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534088432"/>
        <w:docPartObj>
          <w:docPartGallery w:val="Cover Pages"/>
          <w:docPartUnique/>
        </w:docPartObj>
      </w:sdtPr>
      <w:sdtEndPr/>
      <w:sdtContent>
        <w:tbl>
          <w:tblPr>
            <w:tblW w:w="0" w:type="auto"/>
            <w:tblLook w:val="04A0" w:firstRow="1" w:lastRow="0" w:firstColumn="1" w:lastColumn="0" w:noHBand="0" w:noVBand="1"/>
          </w:tblPr>
          <w:tblGrid>
            <w:gridCol w:w="9242"/>
          </w:tblGrid>
          <w:tr w:rsidR="00522B16" w:rsidTr="00522B16">
            <w:trPr>
              <w:cantSplit/>
              <w:trHeight w:val="1418"/>
            </w:trPr>
            <w:tc>
              <w:tcPr>
                <w:tcW w:w="9242" w:type="dxa"/>
              </w:tcPr>
              <w:p w:rsidR="00522B16" w:rsidRDefault="00522B16" w:rsidP="00522B16">
                <w:pPr>
                  <w:pStyle w:val="CoverNormal"/>
                </w:pPr>
              </w:p>
              <w:p w:rsidR="00522B16" w:rsidRDefault="00522B16" w:rsidP="00522B16">
                <w:pPr>
                  <w:pStyle w:val="ResearchPaper"/>
                </w:pPr>
                <w:r>
                  <w:rPr>
                    <w:noProof/>
                    <w:lang w:eastAsia="en-AU"/>
                  </w:rPr>
                  <w:drawing>
                    <wp:anchor distT="0" distB="0" distL="114300" distR="114300" simplePos="0" relativeHeight="251660288" behindDoc="1" locked="0" layoutInCell="1" allowOverlap="1" wp14:anchorId="0E7BFA2B" wp14:editId="4538F227">
                      <wp:simplePos x="0" y="0"/>
                      <wp:positionH relativeFrom="margin">
                        <wp:posOffset>1960245</wp:posOffset>
                      </wp:positionH>
                      <wp:positionV relativeFrom="margin">
                        <wp:posOffset>0</wp:posOffset>
                      </wp:positionV>
                      <wp:extent cx="3830320" cy="503555"/>
                      <wp:effectExtent l="0" t="0" r="0" b="0"/>
                      <wp:wrapTight wrapText="bothSides">
                        <wp:wrapPolygon edited="0">
                          <wp:start x="1182" y="0"/>
                          <wp:lineTo x="0" y="1634"/>
                          <wp:lineTo x="0" y="17977"/>
                          <wp:lineTo x="12784" y="20429"/>
                          <wp:lineTo x="13321" y="20429"/>
                          <wp:lineTo x="21485" y="17977"/>
                          <wp:lineTo x="21485" y="4086"/>
                          <wp:lineTo x="14825" y="0"/>
                          <wp:lineTo x="1826" y="0"/>
                          <wp:lineTo x="1182" y="0"/>
                        </wp:wrapPolygon>
                      </wp:wrapTight>
                      <wp:docPr id="11" name="Picture 11" descr="Australian Government Department of Industry and Science. Office of the Chief Econom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3830320" cy="503555"/>
                              </a:xfrm>
                              <a:prstGeom prst="rect">
                                <a:avLst/>
                              </a:prstGeom>
                              <a:noFill/>
                              <a:ln>
                                <a:noFill/>
                              </a:ln>
                            </pic:spPr>
                          </pic:pic>
                        </a:graphicData>
                      </a:graphic>
                    </wp:anchor>
                  </w:drawing>
                </w:r>
              </w:p>
            </w:tc>
          </w:tr>
          <w:tr w:rsidR="00522B16" w:rsidTr="001072B3">
            <w:trPr>
              <w:cantSplit/>
              <w:trHeight w:hRule="exact" w:val="843"/>
            </w:trPr>
            <w:tc>
              <w:tcPr>
                <w:tcW w:w="9242" w:type="dxa"/>
                <w:vAlign w:val="bottom"/>
              </w:tcPr>
              <w:p w:rsidR="00522B16" w:rsidRDefault="00271547" w:rsidP="00522B16">
                <w:pPr>
                  <w:pStyle w:val="ResearchPaper"/>
                </w:pPr>
                <w:r>
                  <w:t>Research Paper 4</w:t>
                </w:r>
                <w:r w:rsidR="00522B16">
                  <w:t>/2015</w:t>
                </w:r>
              </w:p>
            </w:tc>
          </w:tr>
          <w:tr w:rsidR="00522B16" w:rsidTr="001072B3">
            <w:trPr>
              <w:cantSplit/>
              <w:trHeight w:val="3831"/>
            </w:trPr>
            <w:tc>
              <w:tcPr>
                <w:tcW w:w="9242" w:type="dxa"/>
              </w:tcPr>
              <w:p w:rsidR="00522B16" w:rsidRPr="001072B3" w:rsidRDefault="002E4F19" w:rsidP="001072B3">
                <w:pPr>
                  <w:pStyle w:val="TitleHeading"/>
                  <w:rPr>
                    <w:rFonts w:eastAsiaTheme="minorHAnsi"/>
                  </w:rPr>
                </w:pPr>
                <w:bookmarkStart w:id="0" w:name="_GoBack"/>
                <w:r>
                  <w:rPr>
                    <w:rStyle w:val="TitleHeadingChar"/>
                  </w:rPr>
                  <w:t>The employment dynamics of Australian entrepreneurship</w:t>
                </w:r>
                <w:bookmarkEnd w:id="0"/>
              </w:p>
            </w:tc>
          </w:tr>
          <w:tr w:rsidR="00522B16" w:rsidTr="00522B16">
            <w:trPr>
              <w:cantSplit/>
            </w:trPr>
            <w:tc>
              <w:tcPr>
                <w:tcW w:w="9242" w:type="dxa"/>
                <w:vAlign w:val="center"/>
              </w:tcPr>
              <w:p w:rsidR="00522B16" w:rsidRDefault="001072B3" w:rsidP="001072B3">
                <w:pPr>
                  <w:pStyle w:val="Author"/>
                  <w:spacing w:after="120" w:line="240" w:lineRule="auto"/>
                  <w:rPr>
                    <w:vertAlign w:val="superscript"/>
                  </w:rPr>
                </w:pPr>
                <w:r>
                  <w:t>Luke Hendrickson</w:t>
                </w:r>
                <w:r w:rsidRPr="0075352D">
                  <w:rPr>
                    <w:vertAlign w:val="superscript"/>
                  </w:rPr>
                  <w:t>a</w:t>
                </w:r>
                <w:r>
                  <w:t>, Stan Bucifal</w:t>
                </w:r>
                <w:r w:rsidRPr="0075352D">
                  <w:rPr>
                    <w:vertAlign w:val="superscript"/>
                  </w:rPr>
                  <w:t>a</w:t>
                </w:r>
                <w:r>
                  <w:t>, Antonio Balaguer</w:t>
                </w:r>
                <w:r w:rsidRPr="0075352D">
                  <w:rPr>
                    <w:vertAlign w:val="superscript"/>
                  </w:rPr>
                  <w:t>a</w:t>
                </w:r>
                <w:r w:rsidR="00D629B9">
                  <w:br/>
                </w:r>
                <w:r>
                  <w:t>and David Hansell</w:t>
                </w:r>
                <w:r w:rsidRPr="0075352D">
                  <w:rPr>
                    <w:vertAlign w:val="superscript"/>
                  </w:rPr>
                  <w:t>b</w:t>
                </w:r>
              </w:p>
              <w:p w:rsidR="001072B3" w:rsidRDefault="001072B3" w:rsidP="00EF3556">
                <w:pPr>
                  <w:pStyle w:val="Author"/>
                  <w:spacing w:after="120" w:line="240" w:lineRule="auto"/>
                </w:pPr>
                <w:r w:rsidRPr="00870F4B">
                  <w:rPr>
                    <w:sz w:val="20"/>
                  </w:rPr>
                  <w:t>Department of Industry</w:t>
                </w:r>
                <w:r>
                  <w:rPr>
                    <w:sz w:val="20"/>
                  </w:rPr>
                  <w:t xml:space="preserve"> and Science</w:t>
                </w:r>
                <w:r w:rsidR="00EF3556" w:rsidRPr="00870F4B">
                  <w:rPr>
                    <w:sz w:val="20"/>
                    <w:vertAlign w:val="superscript"/>
                  </w:rPr>
                  <w:t>a</w:t>
                </w:r>
                <w:r>
                  <w:rPr>
                    <w:sz w:val="20"/>
                  </w:rPr>
                  <w:t xml:space="preserve"> and Australian Bureau of Statistics</w:t>
                </w:r>
                <w:r w:rsidRPr="00870F4B">
                  <w:rPr>
                    <w:sz w:val="20"/>
                    <w:vertAlign w:val="superscript"/>
                  </w:rPr>
                  <w:t>b</w:t>
                </w:r>
              </w:p>
            </w:tc>
          </w:tr>
          <w:tr w:rsidR="00522B16" w:rsidTr="00522B16">
            <w:trPr>
              <w:cantSplit/>
            </w:trPr>
            <w:tc>
              <w:tcPr>
                <w:tcW w:w="9242" w:type="dxa"/>
                <w:vAlign w:val="center"/>
              </w:tcPr>
              <w:sdt>
                <w:sdtPr>
                  <w:rPr>
                    <w:rStyle w:val="MonthYearChar"/>
                    <w:rFonts w:eastAsiaTheme="majorEastAsia"/>
                  </w:rPr>
                  <w:alias w:val="Date (Month &amp; Year)"/>
                  <w:tag w:val="Date (Month &amp; Year)"/>
                  <w:id w:val="-586145151"/>
                  <w:date w:fullDate="2015-09-01T00:00:00Z">
                    <w:dateFormat w:val="MMMM yyyy"/>
                    <w:lid w:val="en-AU"/>
                    <w:storeMappedDataAs w:val="dateTime"/>
                    <w:calendar w:val="gregorian"/>
                  </w:date>
                </w:sdtPr>
                <w:sdtEndPr>
                  <w:rPr>
                    <w:rStyle w:val="DefaultParagraphFont"/>
                    <w:rFonts w:eastAsia="Times New Roman"/>
                    <w:b/>
                  </w:rPr>
                </w:sdtEndPr>
                <w:sdtContent>
                  <w:p w:rsidR="00522B16" w:rsidRDefault="00D019EF" w:rsidP="00D019EF">
                    <w:pPr>
                      <w:pStyle w:val="MonthYear"/>
                    </w:pPr>
                    <w:r>
                      <w:rPr>
                        <w:rStyle w:val="MonthYearChar"/>
                        <w:rFonts w:eastAsiaTheme="majorEastAsia"/>
                      </w:rPr>
                      <w:t>September 2015</w:t>
                    </w:r>
                  </w:p>
                </w:sdtContent>
              </w:sdt>
            </w:tc>
          </w:tr>
          <w:tr w:rsidR="00522B16" w:rsidTr="00522B16">
            <w:trPr>
              <w:cantSplit/>
              <w:trHeight w:val="765"/>
            </w:trPr>
            <w:tc>
              <w:tcPr>
                <w:tcW w:w="9242" w:type="dxa"/>
              </w:tcPr>
              <w:p w:rsidR="001072B3" w:rsidRDefault="00522B16" w:rsidP="00522B16">
                <w:pPr>
                  <w:pStyle w:val="AbstractHeader"/>
                </w:pPr>
                <w:r w:rsidRPr="002054C2">
                  <w:t>Abstract</w:t>
                </w:r>
              </w:p>
            </w:tc>
          </w:tr>
          <w:tr w:rsidR="00522B16" w:rsidTr="00522B16">
            <w:trPr>
              <w:cantSplit/>
              <w:trHeight w:val="1125"/>
            </w:trPr>
            <w:tc>
              <w:tcPr>
                <w:tcW w:w="9242" w:type="dxa"/>
              </w:tcPr>
              <w:p w:rsidR="00522B16" w:rsidRPr="00C63547" w:rsidRDefault="001072B3" w:rsidP="00D32076">
                <w:pPr>
                  <w:pStyle w:val="AbstractText"/>
                </w:pPr>
                <w:r>
                  <w:t>This research paper is the first in a series to explore the dynamics of employment and productivity gr</w:t>
                </w:r>
                <w:r w:rsidR="00E00C9D">
                  <w:t>owth in Australian firms using the</w:t>
                </w:r>
                <w:r>
                  <w:t xml:space="preserve"> newly created Expanded Analytical Business Longitudinal Database. This paper examines the contribution of young firms, particularly start-ups, to net job creation in the Australian economy between </w:t>
                </w:r>
                <w:r w:rsidRPr="0089246C">
                  <w:t>2001</w:t>
                </w:r>
                <w:r w:rsidR="0089246C" w:rsidRPr="0089246C">
                  <w:rPr>
                    <w:rFonts w:cstheme="minorHAnsi"/>
                  </w:rPr>
                  <w:t>–</w:t>
                </w:r>
                <w:r w:rsidRPr="0089246C">
                  <w:t>2011</w:t>
                </w:r>
                <w:r>
                  <w:t xml:space="preserve">. The results show that young SMEs contribute disproportionately to job creation. Young SMEs </w:t>
                </w:r>
                <w:r w:rsidR="007E044D">
                  <w:t xml:space="preserve">(firms aged </w:t>
                </w:r>
                <w:r w:rsidR="00D32076">
                  <w:t>0</w:t>
                </w:r>
                <w:r w:rsidR="00FA581F">
                  <w:rPr>
                    <w:rFonts w:cstheme="minorHAnsi"/>
                  </w:rPr>
                  <w:t>–</w:t>
                </w:r>
                <w:r w:rsidR="00D32076">
                  <w:t>5</w:t>
                </w:r>
                <w:r w:rsidR="007E044D">
                  <w:t xml:space="preserve"> years) </w:t>
                </w:r>
                <w:r>
                  <w:t>made the highest contribution to net job creation in Australia (40 per cent) and start-up activity</w:t>
                </w:r>
                <w:r w:rsidR="007E044D">
                  <w:t xml:space="preserve"> (firms aged </w:t>
                </w:r>
                <w:r w:rsidR="00D32076">
                  <w:t>0</w:t>
                </w:r>
                <w:r w:rsidR="00FA581F">
                  <w:rPr>
                    <w:rFonts w:cstheme="minorHAnsi"/>
                  </w:rPr>
                  <w:t>–</w:t>
                </w:r>
                <w:r w:rsidR="00D32076">
                  <w:t>2</w:t>
                </w:r>
                <w:r w:rsidR="007E044D">
                  <w:t xml:space="preserve"> years)</w:t>
                </w:r>
                <w:r>
                  <w:t xml:space="preserve"> is responsible for most of this growth. Australia’s start-up activity is high but </w:t>
                </w:r>
                <w:r w:rsidR="00E00C9D">
                  <w:t xml:space="preserve">they tend to reach smaller sizes </w:t>
                </w:r>
                <w:r>
                  <w:t xml:space="preserve">relative to other OECD countries examined to date. A very small fraction (3 per cent) of start-ups drive the majority </w:t>
                </w:r>
                <w:r w:rsidR="00BF2B05">
                  <w:t xml:space="preserve">(77 per cent) of </w:t>
                </w:r>
                <w:r w:rsidR="00AB01D3">
                  <w:t xml:space="preserve">their </w:t>
                </w:r>
                <w:r w:rsidR="00BF2B05">
                  <w:t xml:space="preserve">post-entry </w:t>
                </w:r>
                <w:r>
                  <w:t>job creation. These high growth start-ups also show superior sales and profit performance but lower labour productivity performance compared to other surviving start-ups.</w:t>
                </w:r>
              </w:p>
            </w:tc>
          </w:tr>
          <w:tr w:rsidR="00522B16" w:rsidTr="00522B16">
            <w:trPr>
              <w:cantSplit/>
              <w:trHeight w:val="1125"/>
            </w:trPr>
            <w:tc>
              <w:tcPr>
                <w:tcW w:w="9242" w:type="dxa"/>
              </w:tcPr>
              <w:p w:rsidR="00522B16" w:rsidRPr="00116A9D" w:rsidRDefault="00522B16" w:rsidP="00522B16">
                <w:pPr>
                  <w:pStyle w:val="JELCodeheader"/>
                  <w:rPr>
                    <w:b w:val="0"/>
                  </w:rPr>
                </w:pPr>
                <w:r w:rsidRPr="00C63547">
                  <w:t>JEL Codes:</w:t>
                </w:r>
                <w:r w:rsidRPr="00116A9D">
                  <w:rPr>
                    <w:b w:val="0"/>
                  </w:rPr>
                  <w:t xml:space="preserve"> </w:t>
                </w:r>
                <w:r w:rsidR="001072B3">
                  <w:rPr>
                    <w:b w:val="0"/>
                  </w:rPr>
                  <w:t>J21, L26</w:t>
                </w:r>
                <w:r w:rsidR="001072B3" w:rsidRPr="00116A9D">
                  <w:rPr>
                    <w:b w:val="0"/>
                  </w:rPr>
                  <w:t xml:space="preserve">, </w:t>
                </w:r>
                <w:r w:rsidR="001072B3">
                  <w:rPr>
                    <w:b w:val="0"/>
                  </w:rPr>
                  <w:t>M13, O31, O57</w:t>
                </w:r>
              </w:p>
              <w:p w:rsidR="00522B16" w:rsidRPr="0089246C" w:rsidRDefault="00522B16" w:rsidP="0089246C">
                <w:pPr>
                  <w:pStyle w:val="JELCodeheader"/>
                  <w:rPr>
                    <w:b w:val="0"/>
                  </w:rPr>
                </w:pPr>
                <w:r w:rsidRPr="00C63547">
                  <w:t>Keywords:</w:t>
                </w:r>
                <w:r w:rsidRPr="00116A9D">
                  <w:rPr>
                    <w:b w:val="0"/>
                  </w:rPr>
                  <w:t xml:space="preserve"> </w:t>
                </w:r>
                <w:r w:rsidR="001072B3">
                  <w:rPr>
                    <w:b w:val="0"/>
                  </w:rPr>
                  <w:t>Australia, creative destruction, DynEmp, entrepreneurship, employment, innovation, OECD, productivity, start-up</w:t>
                </w:r>
              </w:p>
            </w:tc>
          </w:tr>
        </w:tbl>
        <w:p w:rsidR="00522B16" w:rsidRDefault="00522B16" w:rsidP="0089246C">
          <w:pPr>
            <w:pStyle w:val="DisclaimerHeading"/>
            <w:pBdr>
              <w:top w:val="none" w:sz="0" w:space="0" w:color="auto"/>
            </w:pBdr>
            <w:ind w:left="0"/>
          </w:pPr>
        </w:p>
        <w:p w:rsidR="00522B16" w:rsidRPr="00F12E30" w:rsidRDefault="00522B16" w:rsidP="00522B16">
          <w:pPr>
            <w:pStyle w:val="DisclaimerHeading"/>
            <w:spacing w:before="600"/>
          </w:pPr>
          <w:r>
            <w:rPr>
              <w:noProof/>
              <w:lang w:eastAsia="en-AU"/>
            </w:rPr>
            <w:drawing>
              <wp:anchor distT="0" distB="0" distL="114300" distR="114300" simplePos="0" relativeHeight="251661312" behindDoc="1" locked="0" layoutInCell="1" allowOverlap="1" wp14:anchorId="34AE944A" wp14:editId="287BB7B9">
                <wp:simplePos x="0" y="0"/>
                <wp:positionH relativeFrom="margin">
                  <wp:posOffset>2112645</wp:posOffset>
                </wp:positionH>
                <wp:positionV relativeFrom="margin">
                  <wp:posOffset>-351155</wp:posOffset>
                </wp:positionV>
                <wp:extent cx="3830320" cy="503555"/>
                <wp:effectExtent l="0" t="0" r="0" b="0"/>
                <wp:wrapTight wrapText="bothSides">
                  <wp:wrapPolygon edited="0">
                    <wp:start x="1182" y="0"/>
                    <wp:lineTo x="0" y="1634"/>
                    <wp:lineTo x="0" y="17977"/>
                    <wp:lineTo x="12784" y="20429"/>
                    <wp:lineTo x="13321" y="20429"/>
                    <wp:lineTo x="21485" y="17977"/>
                    <wp:lineTo x="21485" y="4086"/>
                    <wp:lineTo x="14825" y="0"/>
                    <wp:lineTo x="1826" y="0"/>
                    <wp:lineTo x="1182" y="0"/>
                  </wp:wrapPolygon>
                </wp:wrapTight>
                <wp:docPr id="12" name="Picture 12" descr="Australian Government Department of Industry and Science. Office of the Chief Econom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3830320" cy="503555"/>
                        </a:xfrm>
                        <a:prstGeom prst="rect">
                          <a:avLst/>
                        </a:prstGeom>
                        <a:noFill/>
                        <a:ln>
                          <a:noFill/>
                        </a:ln>
                      </pic:spPr>
                    </pic:pic>
                  </a:graphicData>
                </a:graphic>
              </wp:anchor>
            </w:drawing>
          </w:r>
          <w:r w:rsidRPr="00F12E30">
            <w:t xml:space="preserve">For further information on this research paper please </w:t>
          </w:r>
          <w:r w:rsidRPr="00B91524">
            <w:t xml:space="preserve">contact: </w:t>
          </w:r>
        </w:p>
        <w:p w:rsidR="00522B16" w:rsidRPr="00EC76AE" w:rsidRDefault="0089246C" w:rsidP="0089246C">
          <w:pPr>
            <w:pStyle w:val="DisclaimerandAcknowledgement"/>
          </w:pPr>
          <w:r>
            <w:t>Manager</w:t>
          </w:r>
        </w:p>
        <w:p w:rsidR="00522B16" w:rsidRPr="00EC76AE" w:rsidRDefault="0089246C" w:rsidP="0089246C">
          <w:pPr>
            <w:pStyle w:val="DisclaimerandAcknowledgement"/>
          </w:pPr>
          <w:r>
            <w:t>Innovation Research</w:t>
          </w:r>
        </w:p>
        <w:p w:rsidR="00522B16" w:rsidRPr="00B91524" w:rsidRDefault="00522B16" w:rsidP="0089246C">
          <w:pPr>
            <w:pStyle w:val="DisclaimerandAcknowledgement"/>
          </w:pPr>
          <w:r w:rsidRPr="00B91524">
            <w:t>Department of Industry</w:t>
          </w:r>
          <w:r>
            <w:t xml:space="preserve"> and Science</w:t>
          </w:r>
        </w:p>
        <w:p w:rsidR="00522B16" w:rsidRPr="00EC76AE" w:rsidRDefault="00522B16" w:rsidP="0089246C">
          <w:pPr>
            <w:pStyle w:val="DisclaimerandAcknowledgement"/>
          </w:pPr>
          <w:r w:rsidRPr="00EC76AE">
            <w:t>GPO Box 9839</w:t>
          </w:r>
        </w:p>
        <w:p w:rsidR="00522B16" w:rsidRPr="00EC76AE" w:rsidRDefault="00522B16" w:rsidP="0089246C">
          <w:pPr>
            <w:pStyle w:val="DisclaimerandAcknowledgement"/>
          </w:pPr>
          <w:r w:rsidRPr="00EC76AE">
            <w:t>Canberra ACT 2601</w:t>
          </w:r>
        </w:p>
        <w:p w:rsidR="00522B16" w:rsidRPr="00EC76AE" w:rsidRDefault="00522B16" w:rsidP="0089246C">
          <w:pPr>
            <w:pStyle w:val="DisclaimerandAcknowledgement"/>
          </w:pPr>
          <w:r w:rsidRPr="00EC76AE">
            <w:t>Phone :</w:t>
          </w:r>
          <w:r w:rsidR="0089246C">
            <w:t xml:space="preserve"> +61 2 6213 6000</w:t>
          </w:r>
        </w:p>
        <w:p w:rsidR="00522B16" w:rsidRDefault="00522B16" w:rsidP="0089246C">
          <w:pPr>
            <w:pStyle w:val="DisclaimerandAcknowledgement"/>
          </w:pPr>
          <w:r w:rsidRPr="00EC76AE">
            <w:t xml:space="preserve">Email: </w:t>
          </w:r>
          <w:hyperlink r:id="rId11" w:history="1">
            <w:r w:rsidR="0089246C" w:rsidRPr="00154C05">
              <w:rPr>
                <w:rStyle w:val="Hyperlink"/>
              </w:rPr>
              <w:t>innovationreport@industry.gov.au</w:t>
            </w:r>
          </w:hyperlink>
        </w:p>
        <w:p w:rsidR="0089246C" w:rsidRDefault="0089246C" w:rsidP="0089246C">
          <w:pPr>
            <w:pStyle w:val="DisclaimerandAcknowledgement"/>
            <w:rPr>
              <w:rStyle w:val="HyperlinkStyleChar"/>
            </w:rPr>
          </w:pPr>
          <w:r w:rsidRPr="008F574E">
            <w:t>Have you read the Australian Innovation System report?</w:t>
          </w:r>
          <w:r>
            <w:t xml:space="preserve"> </w:t>
          </w:r>
          <w:hyperlink r:id="rId12" w:history="1">
            <w:r w:rsidRPr="008F574E">
              <w:rPr>
                <w:rStyle w:val="Hyperlink"/>
              </w:rPr>
              <w:t>www.industry.gov.au/innovationreport</w:t>
            </w:r>
          </w:hyperlink>
        </w:p>
        <w:p w:rsidR="00522B16" w:rsidRPr="00EC76AE" w:rsidRDefault="00522B16" w:rsidP="00522B16">
          <w:pPr>
            <w:pStyle w:val="DisclaimerHeading"/>
          </w:pPr>
          <w:r w:rsidRPr="00EC76AE">
            <w:t>Disclaimer</w:t>
          </w:r>
        </w:p>
        <w:p w:rsidR="00522B16" w:rsidRDefault="00522B16" w:rsidP="0089246C">
          <w:pPr>
            <w:pStyle w:val="DisclaimerandAcknowledgement"/>
          </w:pPr>
          <w:r>
            <w:t>The views expressed in this report are those of the author(s) and do not necessarily reflect those of the Australian Government or the Department of Industry and Science.</w:t>
          </w:r>
        </w:p>
        <w:p w:rsidR="00522B16" w:rsidRPr="00EC76AE" w:rsidRDefault="00522B16" w:rsidP="0089246C">
          <w:pPr>
            <w:pStyle w:val="DisclaimerandAcknowledgement"/>
          </w:pPr>
          <w:r w:rsidRPr="00EC76AE">
            <w:sym w:font="Symbol" w:char="F0D3"/>
          </w:r>
          <w:r w:rsidRPr="00EC76AE">
            <w:t xml:space="preserve"> Commonwealth of Australia </w:t>
          </w:r>
          <w:r>
            <w:t>2015.</w:t>
          </w:r>
          <w:r w:rsidRPr="00EC76AE">
            <w:t xml:space="preserve"> </w:t>
          </w:r>
        </w:p>
        <w:p w:rsidR="00522B16" w:rsidRPr="002A6334" w:rsidRDefault="00522B16" w:rsidP="002A6334">
          <w:pPr>
            <w:pStyle w:val="DisclaimerandAcknowledgement"/>
            <w:rPr>
              <w:rStyle w:val="HyperlinkStyleChar"/>
              <w:sz w:val="18"/>
            </w:rPr>
          </w:pPr>
          <w:r w:rsidRPr="00EC76AE">
            <w:t xml:space="preserve">This work is copyright. Apart from use under Copyright Act 1968, no part may be reproduced or altered by any process without prior written permission from the Australian Government. Requests and inquiries concerning reproduction and rights should be addressed to </w:t>
          </w:r>
          <w:hyperlink r:id="rId13" w:history="1">
            <w:r w:rsidRPr="0049772D">
              <w:rPr>
                <w:rStyle w:val="Hyperlink"/>
              </w:rPr>
              <w:t>chiefeconomist@industry.gov.au</w:t>
            </w:r>
          </w:hyperlink>
          <w:r w:rsidRPr="00B461F3">
            <w:rPr>
              <w:rFonts w:asciiTheme="minorHAnsi" w:hAnsiTheme="minorHAnsi" w:cstheme="minorHAnsi"/>
              <w:color w:val="666666"/>
              <w:szCs w:val="16"/>
            </w:rPr>
            <w:t>.</w:t>
          </w:r>
          <w:r>
            <w:rPr>
              <w:rFonts w:ascii="Tahoma" w:hAnsi="Tahoma" w:cs="Tahoma"/>
              <w:color w:val="666666"/>
              <w:sz w:val="18"/>
            </w:rPr>
            <w:t> </w:t>
          </w:r>
          <w:r w:rsidRPr="00EC76AE">
            <w:t xml:space="preserve">For more information on Office of the Chief Economist research papers please access the Department’s website at: </w:t>
          </w:r>
          <w:hyperlink r:id="rId14" w:history="1">
            <w:r w:rsidRPr="0049772D">
              <w:rPr>
                <w:rStyle w:val="Hyperlink"/>
              </w:rPr>
              <w:t>www.industry.gov.au/OCE</w:t>
            </w:r>
          </w:hyperlink>
        </w:p>
        <w:p w:rsidR="00522B16" w:rsidRPr="0091564A" w:rsidRDefault="00522B16" w:rsidP="0091564A">
          <w:pPr>
            <w:pStyle w:val="DisclaimerHeading"/>
          </w:pPr>
          <w:r w:rsidRPr="004D7A11">
            <w:t>Creative Commons Licence</w:t>
          </w:r>
        </w:p>
        <w:p w:rsidR="00522B16" w:rsidRPr="00A1774F" w:rsidRDefault="00522B16" w:rsidP="0089246C">
          <w:pPr>
            <w:pStyle w:val="DisclaimerandAcknowledgement"/>
          </w:pPr>
          <w:r w:rsidRPr="00A1774F">
            <w:t>With the exception of the Coat of Arms, this publication is licensed under a Creative Commons Attribution 3.0 Australia Licence.</w:t>
          </w:r>
        </w:p>
        <w:p w:rsidR="00522B16" w:rsidRPr="00A1774F" w:rsidRDefault="00522B16" w:rsidP="0089246C">
          <w:pPr>
            <w:pStyle w:val="DisclaimerandAcknowledgement"/>
          </w:pPr>
          <w:r w:rsidRPr="00A1774F">
            <w:t>Creative Commons Attribution 3.0 Australia Licence is a standard form license agreement that allows you to copy, distrib</w:t>
          </w:r>
          <w:r>
            <w:t xml:space="preserve">ute, </w:t>
          </w:r>
          <w:r w:rsidRPr="00A1774F">
            <w:t xml:space="preserve">transmit and adapt this publication provided that you attribute the work. A summary of the licence </w:t>
          </w:r>
          <w:r>
            <w:t xml:space="preserve">terms is available from </w:t>
          </w:r>
          <w:r w:rsidRPr="0089246C">
            <w:rPr>
              <w:color w:val="22789A" w:themeColor="accent1"/>
              <w:u w:val="single"/>
            </w:rPr>
            <w:t>http://creativecommons.org/licenses/by/3.0/au/deed.en</w:t>
          </w:r>
          <w:r w:rsidRPr="00A1774F">
            <w:t xml:space="preserve">. The full licence terms are available from </w:t>
          </w:r>
          <w:r w:rsidRPr="0089246C">
            <w:rPr>
              <w:color w:val="22789A" w:themeColor="accent1"/>
              <w:u w:val="single"/>
            </w:rPr>
            <w:t>http://creativecommons.org/licenses/by/3.0/au/legalcode</w:t>
          </w:r>
          <w:r w:rsidRPr="00A1774F">
            <w:t>.</w:t>
          </w:r>
        </w:p>
        <w:p w:rsidR="00522B16" w:rsidRPr="00A1774F" w:rsidRDefault="002A6334" w:rsidP="0089246C">
          <w:pPr>
            <w:pStyle w:val="DisclaimerandAcknowledgement"/>
          </w:pPr>
          <w:r>
            <w:rPr>
              <w:rFonts w:ascii="inherit" w:hAnsi="inherit"/>
              <w:noProof/>
              <w:sz w:val="20"/>
              <w:szCs w:val="20"/>
              <w:lang w:eastAsia="en-AU"/>
            </w:rPr>
            <w:drawing>
              <wp:anchor distT="0" distB="0" distL="114300" distR="114300" simplePos="0" relativeHeight="251659264" behindDoc="0" locked="0" layoutInCell="1" allowOverlap="1" wp14:anchorId="2D43E9B5" wp14:editId="216992C2">
                <wp:simplePos x="0" y="0"/>
                <wp:positionH relativeFrom="column">
                  <wp:posOffset>1349375</wp:posOffset>
                </wp:positionH>
                <wp:positionV relativeFrom="paragraph">
                  <wp:posOffset>377825</wp:posOffset>
                </wp:positionV>
                <wp:extent cx="1189355" cy="407035"/>
                <wp:effectExtent l="0" t="0" r="0" b="0"/>
                <wp:wrapTopAndBottom/>
                <wp:docPr id="14" name="Picture 14" descr="CC-B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89355" cy="407035"/>
                        </a:xfrm>
                        <a:prstGeom prst="rect">
                          <a:avLst/>
                        </a:prstGeom>
                        <a:noFill/>
                        <a:ln>
                          <a:noFill/>
                        </a:ln>
                      </pic:spPr>
                    </pic:pic>
                  </a:graphicData>
                </a:graphic>
              </wp:anchor>
            </w:drawing>
          </w:r>
          <w:r w:rsidR="00522B16" w:rsidRPr="00A1774F">
            <w:t>The Commonwealth’s preference is that you attribute this publication (and any material sourc</w:t>
          </w:r>
          <w:r w:rsidR="00522B16">
            <w:t xml:space="preserve">ed from it) using the following </w:t>
          </w:r>
          <w:r w:rsidR="00522B16" w:rsidRPr="00A1774F">
            <w:t>wording:</w:t>
          </w:r>
        </w:p>
        <w:p w:rsidR="00522B16" w:rsidRDefault="00522B16" w:rsidP="0089246C">
          <w:pPr>
            <w:pStyle w:val="DisclaimerandAcknowledgement"/>
          </w:pPr>
          <w:r w:rsidRPr="00A1774F">
            <w:t>Source: Licensed from the Commonwealth of Australia under a Creative Commons Attribution 3.0 Australia Licence.</w:t>
          </w:r>
          <w:r>
            <w:t xml:space="preserve"> </w:t>
          </w:r>
          <w:r w:rsidRPr="00A1774F">
            <w:t>The Commonwealth of Australia does not necessarily endorse</w:t>
          </w:r>
          <w:r>
            <w:t xml:space="preserve"> the content of this publication. </w:t>
          </w:r>
        </w:p>
        <w:p w:rsidR="0089246C" w:rsidRPr="004D7A11" w:rsidRDefault="0089246C" w:rsidP="0089246C">
          <w:pPr>
            <w:pStyle w:val="CreativeCommonsLicence"/>
            <w:rPr>
              <w:rFonts w:eastAsia="Calibri"/>
            </w:rPr>
          </w:pPr>
          <w:r>
            <w:t>Acknowledgements</w:t>
          </w:r>
        </w:p>
        <w:p w:rsidR="00522B16" w:rsidRDefault="0089246C" w:rsidP="00522B16">
          <w:pPr>
            <w:pStyle w:val="DisclaimerandAcknowledgement"/>
          </w:pPr>
          <w:r w:rsidRPr="001266DA">
            <w:t>We thank the following colleagues for their comments on the paper:</w:t>
          </w:r>
          <w:r>
            <w:t xml:space="preserve"> Chiara Criscuolo, </w:t>
          </w:r>
          <w:r w:rsidRPr="001266DA">
            <w:t>Andrew Lalor, Mark Cully, Per Davidsson, Diane Braskic, Nick Yazidjoglo</w:t>
          </w:r>
          <w:r>
            <w:t>u, Tony Wiskich, Jennifer Poehl and</w:t>
          </w:r>
          <w:r w:rsidRPr="001266DA">
            <w:t xml:space="preserve"> Abrie Swanepoel</w:t>
          </w:r>
          <w:r>
            <w:t>.</w:t>
          </w:r>
          <w:bookmarkStart w:id="1" w:name="TOC"/>
        </w:p>
        <w:tbl>
          <w:tblPr>
            <w:tblW w:w="0" w:type="auto"/>
            <w:tblInd w:w="2235" w:type="dxa"/>
            <w:shd w:val="clear" w:color="auto" w:fill="DBE5F1"/>
            <w:tblLayout w:type="fixed"/>
            <w:tblLook w:val="04A0" w:firstRow="1" w:lastRow="0" w:firstColumn="1" w:lastColumn="0" w:noHBand="0" w:noVBand="1"/>
          </w:tblPr>
          <w:tblGrid>
            <w:gridCol w:w="7007"/>
          </w:tblGrid>
          <w:tr w:rsidR="0089246C" w:rsidTr="00EB1BB4">
            <w:tc>
              <w:tcPr>
                <w:tcW w:w="7007" w:type="dxa"/>
                <w:shd w:val="clear" w:color="auto" w:fill="DBE5F1"/>
              </w:tcPr>
              <w:bookmarkEnd w:id="1"/>
              <w:p w:rsidR="0089246C" w:rsidRPr="001835DD" w:rsidRDefault="0089246C" w:rsidP="00EB1BB4">
                <w:pPr>
                  <w:pStyle w:val="Keypointsheader"/>
                </w:pPr>
                <w:r w:rsidRPr="00AC3DDE">
                  <w:lastRenderedPageBreak/>
                  <w:t>Key points</w:t>
                </w:r>
              </w:p>
              <w:p w:rsidR="0089246C" w:rsidRPr="0090737B" w:rsidRDefault="0089246C" w:rsidP="0089246C">
                <w:pPr>
                  <w:pStyle w:val="Keypointsbullet"/>
                  <w:numPr>
                    <w:ilvl w:val="0"/>
                    <w:numId w:val="6"/>
                  </w:numPr>
                  <w:ind w:left="351"/>
                </w:pPr>
                <w:r w:rsidRPr="0090737B">
                  <w:t xml:space="preserve">This research paper </w:t>
                </w:r>
                <w:r>
                  <w:t xml:space="preserve">investigates the employment dynamics of Australian entrepreneurship using </w:t>
                </w:r>
                <w:r w:rsidRPr="0090737B">
                  <w:t>the new Australian Bureau of Statistics’ Expanded Analytical Business Longitudinal Database 2001</w:t>
                </w:r>
                <w:r w:rsidR="007F1812">
                  <w:rPr>
                    <w:rFonts w:cstheme="minorHAnsi"/>
                  </w:rPr>
                  <w:t>–</w:t>
                </w:r>
                <w:r w:rsidR="007F1812">
                  <w:t>02 to 2012</w:t>
                </w:r>
                <w:r w:rsidR="007F1812">
                  <w:rPr>
                    <w:rFonts w:ascii="Arial" w:hAnsi="Arial"/>
                  </w:rPr>
                  <w:t>–</w:t>
                </w:r>
                <w:r w:rsidRPr="0090737B">
                  <w:t>13</w:t>
                </w:r>
                <w:r>
                  <w:t>,</w:t>
                </w:r>
                <w:r w:rsidRPr="0090737B">
                  <w:t xml:space="preserve"> funded by the Department of Industry and Science. </w:t>
                </w:r>
              </w:p>
              <w:p w:rsidR="0089246C" w:rsidRDefault="00E00C9D" w:rsidP="0089246C">
                <w:pPr>
                  <w:pStyle w:val="Keypointsbullet"/>
                  <w:numPr>
                    <w:ilvl w:val="0"/>
                    <w:numId w:val="6"/>
                  </w:numPr>
                  <w:ind w:left="351"/>
                </w:pPr>
                <w:r>
                  <w:t>A</w:t>
                </w:r>
                <w:r w:rsidR="0089246C" w:rsidRPr="0090737B">
                  <w:t>s firms age they contribute less to job creation and more to job destruction. Young firms in Australia contribute disproportionately to net job creation. Although employing a small fraction of the Australian workforce</w:t>
                </w:r>
                <w:r w:rsidR="007F1812">
                  <w:t xml:space="preserve"> (15 per cent</w:t>
                </w:r>
                <w:r w:rsidR="0089246C">
                  <w:t>)</w:t>
                </w:r>
                <w:r w:rsidR="0089246C" w:rsidRPr="0090737B">
                  <w:t>, young SMEs</w:t>
                </w:r>
                <w:r w:rsidR="00D019EF">
                  <w:t xml:space="preserve"> </w:t>
                </w:r>
                <w:r w:rsidR="0089246C" w:rsidRPr="0090737B">
                  <w:t>generated the largest share of total job creation (</w:t>
                </w:r>
                <w:r w:rsidR="0089246C">
                  <w:t>4</w:t>
                </w:r>
                <w:r w:rsidR="0089246C" w:rsidRPr="0090737B">
                  <w:t>0</w:t>
                </w:r>
                <w:r w:rsidR="007F1812">
                  <w:t xml:space="preserve"> per cent</w:t>
                </w:r>
                <w:r w:rsidR="0089246C" w:rsidRPr="0090737B">
                  <w:t xml:space="preserve">) in the economy. </w:t>
                </w:r>
              </w:p>
              <w:p w:rsidR="0089246C" w:rsidRPr="0090737B" w:rsidRDefault="0089246C" w:rsidP="0089246C">
                <w:pPr>
                  <w:pStyle w:val="Keypointsbullet"/>
                  <w:numPr>
                    <w:ilvl w:val="0"/>
                    <w:numId w:val="6"/>
                  </w:numPr>
                  <w:ind w:left="351"/>
                </w:pPr>
                <w:r w:rsidRPr="0090737B">
                  <w:t xml:space="preserve">For every 100 existing jobs in Australia in any given year, start-ups will, on average, add 5 jobs within the following three years. </w:t>
                </w:r>
              </w:p>
              <w:p w:rsidR="0089246C" w:rsidRDefault="007F1812" w:rsidP="0089246C">
                <w:pPr>
                  <w:pStyle w:val="Keypointsbullet"/>
                  <w:numPr>
                    <w:ilvl w:val="0"/>
                    <w:numId w:val="6"/>
                  </w:numPr>
                  <w:ind w:left="351"/>
                </w:pPr>
                <w:r>
                  <w:t>Over the period 2006</w:t>
                </w:r>
                <w:r>
                  <w:rPr>
                    <w:rFonts w:ascii="Arial" w:hAnsi="Arial"/>
                  </w:rPr>
                  <w:t>–</w:t>
                </w:r>
                <w:r w:rsidR="0089246C">
                  <w:t xml:space="preserve">2011 we estimate that 1.04 million full time equivalent </w:t>
                </w:r>
                <w:r w:rsidR="00D019EF">
                  <w:t xml:space="preserve">(FTE) </w:t>
                </w:r>
                <w:r w:rsidR="0089246C">
                  <w:t xml:space="preserve">jobs were added to the economy. Start-ups </w:t>
                </w:r>
                <w:r>
                  <w:t>(firms aged 0</w:t>
                </w:r>
                <w:r>
                  <w:rPr>
                    <w:rFonts w:ascii="Arial" w:hAnsi="Arial"/>
                  </w:rPr>
                  <w:t>–</w:t>
                </w:r>
                <w:r w:rsidR="0089246C">
                  <w:t xml:space="preserve">2 years) added 1.44 million </w:t>
                </w:r>
                <w:r w:rsidR="00D019EF">
                  <w:t xml:space="preserve">FTE </w:t>
                </w:r>
                <w:r w:rsidR="0089246C">
                  <w:t xml:space="preserve">jobs to the economy whereas older firms (3+ years) shed around 400,000 </w:t>
                </w:r>
                <w:r w:rsidR="00D019EF">
                  <w:t xml:space="preserve">FTE </w:t>
                </w:r>
                <w:r w:rsidR="0089246C">
                  <w:t xml:space="preserve">jobs over the same period. </w:t>
                </w:r>
              </w:p>
              <w:p w:rsidR="0089246C" w:rsidRPr="0090737B" w:rsidRDefault="007F1812" w:rsidP="0089246C">
                <w:pPr>
                  <w:pStyle w:val="Keypointsbullet"/>
                  <w:numPr>
                    <w:ilvl w:val="0"/>
                    <w:numId w:val="6"/>
                  </w:numPr>
                  <w:ind w:left="351"/>
                </w:pPr>
                <w:r>
                  <w:t xml:space="preserve">Most </w:t>
                </w:r>
                <w:r w:rsidR="00AB01D3" w:rsidRPr="0090737B">
                  <w:t xml:space="preserve">micro-start-ups (new firms with </w:t>
                </w:r>
                <w:r w:rsidR="00AB01D3">
                  <w:t>0</w:t>
                </w:r>
                <w:r w:rsidR="00AB01D3">
                  <w:rPr>
                    <w:rFonts w:ascii="Arial" w:hAnsi="Arial"/>
                  </w:rPr>
                  <w:t>–</w:t>
                </w:r>
                <w:r w:rsidR="00AB01D3" w:rsidRPr="0090737B">
                  <w:t>9 employees)</w:t>
                </w:r>
                <w:r w:rsidR="00AB01D3">
                  <w:t xml:space="preserve"> </w:t>
                </w:r>
                <w:r w:rsidR="0089246C" w:rsidRPr="0090737B">
                  <w:t>either exit or grow very little</w:t>
                </w:r>
                <w:r w:rsidR="00AB01D3">
                  <w:t xml:space="preserve"> (96.8 per cent</w:t>
                </w:r>
                <w:r w:rsidR="00AB01D3" w:rsidRPr="0090737B">
                  <w:t>)</w:t>
                </w:r>
                <w:r w:rsidR="0089246C" w:rsidRPr="0090737B">
                  <w:t xml:space="preserve">. </w:t>
                </w:r>
                <w:r w:rsidR="0089246C">
                  <w:t>A very small fraction</w:t>
                </w:r>
                <w:r w:rsidR="0089246C" w:rsidRPr="0090737B">
                  <w:t xml:space="preserve"> </w:t>
                </w:r>
                <w:r w:rsidR="0089246C">
                  <w:t>(</w:t>
                </w:r>
                <w:r>
                  <w:t>3.2 per cent</w:t>
                </w:r>
                <w:r w:rsidR="0089246C">
                  <w:t>)</w:t>
                </w:r>
                <w:r w:rsidR="0089246C" w:rsidRPr="0090737B">
                  <w:t xml:space="preserve"> of </w:t>
                </w:r>
                <w:r w:rsidR="00AB01D3">
                  <w:t xml:space="preserve">these </w:t>
                </w:r>
                <w:r w:rsidR="00AB01D3" w:rsidRPr="0090737B">
                  <w:t xml:space="preserve">micro-start-ups </w:t>
                </w:r>
                <w:r w:rsidR="0089246C" w:rsidRPr="0090737B">
                  <w:t xml:space="preserve">grow dramatically over five years </w:t>
                </w:r>
                <w:r w:rsidR="0089246C">
                  <w:t xml:space="preserve">post-entry </w:t>
                </w:r>
                <w:r w:rsidR="0089246C" w:rsidRPr="0090737B">
                  <w:t xml:space="preserve">and these firms account for </w:t>
                </w:r>
                <w:r w:rsidR="0089246C">
                  <w:t>the majority (</w:t>
                </w:r>
                <w:r>
                  <w:t>77 per cent</w:t>
                </w:r>
                <w:r w:rsidR="0089246C">
                  <w:t>)</w:t>
                </w:r>
                <w:r w:rsidR="00BF2B05">
                  <w:t xml:space="preserve"> of total post-entry</w:t>
                </w:r>
                <w:r w:rsidR="0089246C" w:rsidRPr="0090737B">
                  <w:t xml:space="preserve"> job creation</w:t>
                </w:r>
                <w:r w:rsidR="00AB01D3">
                  <w:t xml:space="preserve"> of all micro-start-ups in their cohort</w:t>
                </w:r>
                <w:r w:rsidR="0089246C" w:rsidRPr="0090737B">
                  <w:t>. These high growth start-ups are found in all sectors of the economy.</w:t>
                </w:r>
              </w:p>
              <w:p w:rsidR="0089246C" w:rsidRDefault="0089246C" w:rsidP="0089246C">
                <w:pPr>
                  <w:pStyle w:val="Keypointsbullet"/>
                  <w:numPr>
                    <w:ilvl w:val="0"/>
                    <w:numId w:val="6"/>
                  </w:numPr>
                  <w:ind w:left="351" w:hanging="252"/>
                </w:pPr>
                <w:r w:rsidRPr="0090737B">
                  <w:t>As expected the sales and profit performance of these high growth firms is superior to those that remain stable or only grow marginally after five years. However their labour productivity is lower</w:t>
                </w:r>
                <w:r>
                  <w:t xml:space="preserve"> during that period of dramatic employment growth and investment</w:t>
                </w:r>
                <w:r w:rsidRPr="0090737B">
                  <w:t>.</w:t>
                </w:r>
              </w:p>
              <w:p w:rsidR="0089246C" w:rsidRDefault="0089246C" w:rsidP="00300586">
                <w:pPr>
                  <w:pStyle w:val="Keypointsbullet"/>
                  <w:numPr>
                    <w:ilvl w:val="0"/>
                    <w:numId w:val="6"/>
                  </w:numPr>
                  <w:ind w:left="317" w:hanging="252"/>
                </w:pPr>
                <w:r w:rsidRPr="0090737B">
                  <w:t>Australia has relatively high start-up activity</w:t>
                </w:r>
                <w:r w:rsidR="0091564A">
                  <w:t xml:space="preserve"> but this activity has been declining</w:t>
                </w:r>
                <w:r w:rsidR="00E00C9D">
                  <w:t>.</w:t>
                </w:r>
                <w:r w:rsidRPr="0090737B">
                  <w:t xml:space="preserve"> </w:t>
                </w:r>
                <w:r w:rsidR="00E00C9D">
                  <w:t xml:space="preserve">The employment generated </w:t>
                </w:r>
                <w:r w:rsidR="00300586">
                  <w:t>per start-up</w:t>
                </w:r>
                <w:r w:rsidR="00E00C9D">
                  <w:t xml:space="preserve"> is low </w:t>
                </w:r>
                <w:r w:rsidRPr="0090737B">
                  <w:t>compa</w:t>
                </w:r>
                <w:r>
                  <w:t>red with other OECD countries.</w:t>
                </w:r>
                <w:r w:rsidR="00BF2B05">
                  <w:t xml:space="preserve"> </w:t>
                </w:r>
              </w:p>
            </w:tc>
          </w:tr>
        </w:tbl>
        <w:p w:rsidR="0089246C" w:rsidRDefault="0089246C" w:rsidP="00EB1BB4">
          <w:pPr>
            <w:pStyle w:val="BodyText"/>
          </w:pPr>
        </w:p>
        <w:p w:rsidR="00522B16" w:rsidRDefault="00847E99" w:rsidP="00522B16">
          <w:pPr>
            <w:pStyle w:val="CoverNormal"/>
            <w:sectPr w:rsidR="00522B16" w:rsidSect="00522B16">
              <w:headerReference w:type="even" r:id="rId16"/>
              <w:headerReference w:type="default" r:id="rId17"/>
              <w:footerReference w:type="even" r:id="rId18"/>
              <w:footerReference w:type="default" r:id="rId19"/>
              <w:headerReference w:type="first" r:id="rId20"/>
              <w:footerReference w:type="first" r:id="rId21"/>
              <w:pgSz w:w="11906" w:h="16838" w:code="9"/>
              <w:pgMar w:top="1440" w:right="1440" w:bottom="1440" w:left="1440" w:header="709" w:footer="709" w:gutter="0"/>
              <w:pgNumType w:start="0"/>
              <w:cols w:space="708"/>
              <w:titlePg/>
              <w:docGrid w:linePitch="360"/>
            </w:sectPr>
          </w:pPr>
        </w:p>
      </w:sdtContent>
    </w:sdt>
    <w:p w:rsidR="007F1812" w:rsidRDefault="007F1812" w:rsidP="007F1812">
      <w:pPr>
        <w:pStyle w:val="Heading1"/>
      </w:pPr>
      <w:r>
        <w:t>Introduction</w:t>
      </w:r>
    </w:p>
    <w:p w:rsidR="007F1812" w:rsidRDefault="007F1812" w:rsidP="006521AC">
      <w:pPr>
        <w:pStyle w:val="BodyText"/>
      </w:pPr>
      <w:r>
        <w:t>There are large, persistent productivity differences between firms within industries and productivity affects firm survival and growth.</w:t>
      </w:r>
      <w:r w:rsidR="00157C59">
        <w:rPr>
          <w:rStyle w:val="FootnoteReference"/>
        </w:rPr>
        <w:footnoteReference w:id="1"/>
      </w:r>
      <w:r>
        <w:t xml:space="preserve"> Considerable</w:t>
      </w:r>
      <w:r w:rsidRPr="00795D6D">
        <w:t xml:space="preserve"> </w:t>
      </w:r>
      <w:r>
        <w:t xml:space="preserve">international </w:t>
      </w:r>
      <w:r w:rsidRPr="00795D6D">
        <w:t>evidence suggests that entry, exit, expansion, and co</w:t>
      </w:r>
      <w:r>
        <w:t xml:space="preserve">ntraction of firms are closely </w:t>
      </w:r>
      <w:r w:rsidRPr="00795D6D">
        <w:t>related to measures of productivity and profitability (</w:t>
      </w:r>
      <w:r>
        <w:t xml:space="preserve">for surveys and summaries, see </w:t>
      </w:r>
      <w:r w:rsidR="00A5267B">
        <w:t>Syverson 2011,</w:t>
      </w:r>
      <w:r w:rsidRPr="00795D6D">
        <w:t xml:space="preserve"> Foster</w:t>
      </w:r>
      <w:r>
        <w:t xml:space="preserve"> </w:t>
      </w:r>
      <w:r w:rsidRPr="00E635F2">
        <w:rPr>
          <w:i/>
        </w:rPr>
        <w:t>et al</w:t>
      </w:r>
      <w:r>
        <w:t xml:space="preserve">. </w:t>
      </w:r>
      <w:r w:rsidR="00A5267B">
        <w:t>2001,</w:t>
      </w:r>
      <w:r w:rsidRPr="00795D6D">
        <w:t xml:space="preserve"> Bartelsman </w:t>
      </w:r>
      <w:r>
        <w:t>&amp;</w:t>
      </w:r>
      <w:r w:rsidRPr="00795D6D">
        <w:t xml:space="preserve"> Doms 2000).</w:t>
      </w:r>
      <w:r>
        <w:t xml:space="preserve"> </w:t>
      </w:r>
      <w:r w:rsidRPr="00870F4B">
        <w:t xml:space="preserve">Creative-destruction is a restructuring process within an economy where new more innovative, more productive firms replace less innovative, less productive </w:t>
      </w:r>
      <w:r>
        <w:t>ones</w:t>
      </w:r>
      <w:r w:rsidRPr="00870F4B">
        <w:t>.</w:t>
      </w:r>
      <w:r w:rsidR="00EF3556">
        <w:rPr>
          <w:rStyle w:val="FootnoteReference"/>
        </w:rPr>
        <w:footnoteReference w:id="2"/>
      </w:r>
      <w:r w:rsidRPr="00870F4B">
        <w:t xml:space="preserve"> </w:t>
      </w:r>
      <w:r w:rsidR="00FA7E4F">
        <w:t xml:space="preserve"> </w:t>
      </w:r>
      <w:r w:rsidRPr="00870F4B">
        <w:t xml:space="preserve">The efficient reallocation of resources between these </w:t>
      </w:r>
      <w:r>
        <w:t xml:space="preserve">growing and shrinking </w:t>
      </w:r>
      <w:r w:rsidRPr="00870F4B">
        <w:t xml:space="preserve">firms is critical to </w:t>
      </w:r>
      <w:r>
        <w:t>aggregate employment and productivity growth</w:t>
      </w:r>
      <w:r w:rsidRPr="00870F4B">
        <w:t xml:space="preserve">. </w:t>
      </w:r>
      <w:r>
        <w:t>Lentz &amp; Mortensen (2008), working w</w:t>
      </w:r>
      <w:r w:rsidR="00945358">
        <w:t xml:space="preserve">ith </w:t>
      </w:r>
      <w:r w:rsidR="005E67EA">
        <w:t xml:space="preserve">a </w:t>
      </w:r>
      <w:r w:rsidR="00945358">
        <w:t>Danish firm panel from 1992</w:t>
      </w:r>
      <w:r w:rsidR="00945358">
        <w:rPr>
          <w:rFonts w:cstheme="minorHAnsi"/>
        </w:rPr>
        <w:t>–</w:t>
      </w:r>
      <w:r>
        <w:t>1997 found that 74 per cent of aggregate productivity growth came from reallocation of employment to innovating firms through both entry/exit dynamics (21 per cent) and growth through capture of market share (53 per cent). The growth orientation of a firm is ultimately related to the decisions of firm owners and managers to invest in competitive or productive advantages such as acquisition, innovation and skilled empl</w:t>
      </w:r>
      <w:r w:rsidR="00FA7E4F">
        <w:t>oyees</w:t>
      </w:r>
      <w:r>
        <w:t>.</w:t>
      </w:r>
      <w:r w:rsidR="00EF3556">
        <w:rPr>
          <w:rStyle w:val="FootnoteReference"/>
        </w:rPr>
        <w:footnoteReference w:id="3"/>
      </w:r>
      <w:r>
        <w:t xml:space="preserve"> </w:t>
      </w:r>
      <w:r w:rsidRPr="00870F4B">
        <w:t xml:space="preserve">Understanding the </w:t>
      </w:r>
      <w:r>
        <w:t xml:space="preserve">motivations, </w:t>
      </w:r>
      <w:r w:rsidRPr="00870F4B">
        <w:t>entrepreneurial activities and fram</w:t>
      </w:r>
      <w:r>
        <w:t>ework conditions that drive these dynamics would therefore be expected to</w:t>
      </w:r>
      <w:r w:rsidRPr="00870F4B">
        <w:t xml:space="preserve"> lead to better policy outcomes.</w:t>
      </w:r>
      <w:r>
        <w:rPr>
          <w:rStyle w:val="FootnoteReference"/>
        </w:rPr>
        <w:footnoteReference w:id="4"/>
      </w:r>
      <w:r w:rsidRPr="00870F4B">
        <w:t xml:space="preserve"> </w:t>
      </w:r>
    </w:p>
    <w:p w:rsidR="007F1812" w:rsidRDefault="007F1812" w:rsidP="006521AC">
      <w:pPr>
        <w:pStyle w:val="BodyText"/>
      </w:pPr>
      <w:r w:rsidRPr="00870F4B">
        <w:t xml:space="preserve">Until </w:t>
      </w:r>
      <w:r>
        <w:t xml:space="preserve">now </w:t>
      </w:r>
      <w:r w:rsidRPr="00870F4B">
        <w:t xml:space="preserve">our capacity to understand these firm dynamics </w:t>
      </w:r>
      <w:r>
        <w:t xml:space="preserve">and its impact </w:t>
      </w:r>
      <w:r w:rsidRPr="00870F4B">
        <w:t>has been limited</w:t>
      </w:r>
      <w:r>
        <w:t xml:space="preserve"> by a lack of data that would enable researchers to link firm level change in employment and production to national trends</w:t>
      </w:r>
      <w:r w:rsidRPr="00870F4B">
        <w:t>.</w:t>
      </w:r>
      <w:r>
        <w:t xml:space="preserve"> </w:t>
      </w:r>
      <w:r w:rsidRPr="00D10256">
        <w:t xml:space="preserve">Aggregate data, such as the national accounts, provide a glimpse into which industries drive these trends, but by default </w:t>
      </w:r>
      <w:r w:rsidR="004D4E31">
        <w:t>measure net change only hiding</w:t>
      </w:r>
      <w:r w:rsidRPr="00D10256">
        <w:t xml:space="preserve"> </w:t>
      </w:r>
      <w:r w:rsidR="005E67EA">
        <w:t>within-</w:t>
      </w:r>
      <w:r>
        <w:t>sector</w:t>
      </w:r>
      <w:r w:rsidRPr="00D10256">
        <w:t xml:space="preserve"> differences. </w:t>
      </w:r>
    </w:p>
    <w:p w:rsidR="007F1812" w:rsidRDefault="007F1812" w:rsidP="006521AC">
      <w:pPr>
        <w:pStyle w:val="BodyText"/>
      </w:pPr>
      <w:r w:rsidRPr="00D10256">
        <w:t>The Organisation for Economic Cooperation and Development (OECD) has recently created two new cross-country projects using firm-level data to understand these dynamics: D</w:t>
      </w:r>
      <w:r>
        <w:t>yn</w:t>
      </w:r>
      <w:r w:rsidRPr="00D10256">
        <w:t>E</w:t>
      </w:r>
      <w:r w:rsidR="00FB5F20">
        <w:t>mp (s</w:t>
      </w:r>
      <w:r>
        <w:t>ee Box 1</w:t>
      </w:r>
      <w:r w:rsidR="00EF3556">
        <w:t>.1</w:t>
      </w:r>
      <w:r>
        <w:t>)</w:t>
      </w:r>
      <w:r w:rsidRPr="00D10256">
        <w:t>, which focusses on employment</w:t>
      </w:r>
      <w:r>
        <w:t xml:space="preserve"> dynamics</w:t>
      </w:r>
      <w:r w:rsidRPr="00D10256">
        <w:t>, and MultiProd,</w:t>
      </w:r>
      <w:r w:rsidRPr="00870F4B">
        <w:rPr>
          <w:rStyle w:val="FootnoteReference"/>
        </w:rPr>
        <w:footnoteReference w:id="5"/>
      </w:r>
      <w:r w:rsidRPr="00D10256">
        <w:t xml:space="preserve"> which </w:t>
      </w:r>
      <w:r>
        <w:t>sheds light on the micro-drivers of aggregate productivity performance</w:t>
      </w:r>
      <w:r w:rsidRPr="00D10256">
        <w:t>. The first iteration of D</w:t>
      </w:r>
      <w:r>
        <w:t>ynEmp included</w:t>
      </w:r>
      <w:r w:rsidRPr="00D10256">
        <w:t xml:space="preserve"> results from 18 count</w:t>
      </w:r>
      <w:r>
        <w:t>ries over the period, 2</w:t>
      </w:r>
      <w:r w:rsidR="00945358">
        <w:t>001</w:t>
      </w:r>
      <w:r w:rsidR="00945358">
        <w:rPr>
          <w:rFonts w:cstheme="minorHAnsi"/>
        </w:rPr>
        <w:t>–</w:t>
      </w:r>
      <w:r>
        <w:t>2011.</w:t>
      </w:r>
      <w:r w:rsidRPr="00D10256">
        <w:t xml:space="preserve"> </w:t>
      </w:r>
      <w:r>
        <w:t xml:space="preserve">The data showed that </w:t>
      </w:r>
      <w:r w:rsidRPr="00D10256">
        <w:t xml:space="preserve">young, small firms create a disproportionate amount of jobs </w:t>
      </w:r>
      <w:r>
        <w:t xml:space="preserve">and </w:t>
      </w:r>
      <w:r w:rsidRPr="00870F4B">
        <w:t xml:space="preserve">that there are significant differences between countries in the capacity </w:t>
      </w:r>
      <w:r>
        <w:t xml:space="preserve">of these firms to </w:t>
      </w:r>
      <w:r w:rsidR="00FA7E4F">
        <w:t>survive and grow</w:t>
      </w:r>
      <w:r w:rsidRPr="00D10256">
        <w:t>.</w:t>
      </w:r>
      <w:r w:rsidR="00EF3556">
        <w:rPr>
          <w:rStyle w:val="FootnoteReference"/>
        </w:rPr>
        <w:footnoteReference w:id="6"/>
      </w:r>
      <w:r>
        <w:t xml:space="preserve"> </w:t>
      </w:r>
    </w:p>
    <w:p w:rsidR="007F1812" w:rsidRDefault="007F1812" w:rsidP="006521AC">
      <w:pPr>
        <w:pStyle w:val="BodyText"/>
      </w:pPr>
      <w:r w:rsidRPr="00D10256">
        <w:t xml:space="preserve">The Department of Industry and Science </w:t>
      </w:r>
      <w:r>
        <w:t>partnered with</w:t>
      </w:r>
      <w:r w:rsidRPr="00D10256">
        <w:t xml:space="preserve"> the Australian Bureau of Statistics (ABS) to create the </w:t>
      </w:r>
      <w:r w:rsidRPr="00D10256">
        <w:rPr>
          <w:i/>
        </w:rPr>
        <w:t>Expanded Analytical Business Longitudinal Database</w:t>
      </w:r>
      <w:r w:rsidRPr="00D10256">
        <w:t xml:space="preserve"> (</w:t>
      </w:r>
      <w:r w:rsidR="00FB5F20">
        <w:t>s</w:t>
      </w:r>
      <w:r w:rsidRPr="00D10256">
        <w:t>ee Box</w:t>
      </w:r>
      <w:r>
        <w:t> </w:t>
      </w:r>
      <w:r w:rsidRPr="00D10256">
        <w:t>1</w:t>
      </w:r>
      <w:r w:rsidR="00EF3556">
        <w:t>.2</w:t>
      </w:r>
      <w:r w:rsidRPr="00D10256">
        <w:t xml:space="preserve">) so that Australia could contribute to the </w:t>
      </w:r>
      <w:r>
        <w:t xml:space="preserve">two OECD </w:t>
      </w:r>
      <w:r w:rsidRPr="00D10256">
        <w:t>project</w:t>
      </w:r>
      <w:r>
        <w:t>s</w:t>
      </w:r>
      <w:r w:rsidRPr="00D10256">
        <w:t xml:space="preserve">. </w:t>
      </w:r>
      <w:r w:rsidR="004D4E31">
        <w:t>Our ultimate objective, however, was to create a robust longitudinal census of firm activity that we can all use to understand firm dynamics and develop better, more evidence-based industry policy in Australia.</w:t>
      </w:r>
    </w:p>
    <w:p w:rsidR="007F1812" w:rsidRDefault="007F1812" w:rsidP="007F1812">
      <w:pPr>
        <w:pStyle w:val="BodyText"/>
      </w:pPr>
      <w:r w:rsidRPr="005434B7">
        <w:t>The EABLD is a census of firms over the period 2001 to 2012. Any firm with an ABN or ACN is included in the database.</w:t>
      </w:r>
      <w:r w:rsidR="00022814" w:rsidRPr="005434B7">
        <w:t xml:space="preserve"> </w:t>
      </w:r>
      <w:r w:rsidRPr="005434B7">
        <w:t xml:space="preserve">In 2001 there </w:t>
      </w:r>
      <w:r w:rsidRPr="00507D7B">
        <w:t xml:space="preserve">were </w:t>
      </w:r>
      <w:r w:rsidR="00276F05" w:rsidRPr="00507D7B">
        <w:t>1.</w:t>
      </w:r>
      <w:r w:rsidR="00507D7B" w:rsidRPr="00507D7B">
        <w:t>70</w:t>
      </w:r>
      <w:r w:rsidRPr="00507D7B">
        <w:t xml:space="preserve"> million firms in the database accounting for </w:t>
      </w:r>
      <w:r w:rsidR="00276F05" w:rsidRPr="00507D7B">
        <w:t>7.12</w:t>
      </w:r>
      <w:r w:rsidRPr="00507D7B">
        <w:t xml:space="preserve"> million </w:t>
      </w:r>
      <w:r w:rsidR="00276F05" w:rsidRPr="00507D7B">
        <w:t xml:space="preserve">full time equivalent </w:t>
      </w:r>
      <w:r w:rsidRPr="00507D7B">
        <w:t>jobs,</w:t>
      </w:r>
      <w:r w:rsidR="00276F05" w:rsidRPr="005434B7">
        <w:t xml:space="preserve"> $570 billion value added,</w:t>
      </w:r>
      <w:r w:rsidRPr="005434B7">
        <w:t xml:space="preserve"> $</w:t>
      </w:r>
      <w:r w:rsidR="00276F05" w:rsidRPr="005434B7">
        <w:t>2.39</w:t>
      </w:r>
      <w:r w:rsidRPr="005434B7">
        <w:t> </w:t>
      </w:r>
      <w:r w:rsidR="00276F05" w:rsidRPr="005434B7">
        <w:t>tr</w:t>
      </w:r>
      <w:r w:rsidRPr="005434B7">
        <w:t xml:space="preserve">illion total </w:t>
      </w:r>
      <w:r w:rsidR="00276F05" w:rsidRPr="005434B7">
        <w:t xml:space="preserve">sales output </w:t>
      </w:r>
      <w:r w:rsidRPr="005434B7">
        <w:t>of which $</w:t>
      </w:r>
      <w:r w:rsidR="00276F05" w:rsidRPr="005434B7">
        <w:t>173</w:t>
      </w:r>
      <w:r w:rsidRPr="005434B7">
        <w:t xml:space="preserve"> billion came from exports. In 2012 there were </w:t>
      </w:r>
      <w:r w:rsidR="00507D7B">
        <w:t>2.83</w:t>
      </w:r>
      <w:r w:rsidRPr="005434B7">
        <w:t xml:space="preserve"> million firms in the database accounting for </w:t>
      </w:r>
      <w:r w:rsidR="00276F05" w:rsidRPr="005434B7">
        <w:t>8.96</w:t>
      </w:r>
      <w:r w:rsidRPr="005434B7">
        <w:t xml:space="preserve"> million </w:t>
      </w:r>
      <w:r w:rsidR="00276F05" w:rsidRPr="005434B7">
        <w:t xml:space="preserve">FTE </w:t>
      </w:r>
      <w:r w:rsidRPr="005434B7">
        <w:t xml:space="preserve">jobs, </w:t>
      </w:r>
      <w:r w:rsidR="00276F05" w:rsidRPr="005434B7">
        <w:t xml:space="preserve">$1.3 trillion value added, </w:t>
      </w:r>
      <w:r w:rsidRPr="005434B7">
        <w:t>$</w:t>
      </w:r>
      <w:r w:rsidR="00276F05" w:rsidRPr="005434B7">
        <w:t>4.48</w:t>
      </w:r>
      <w:r w:rsidRPr="005434B7">
        <w:t> </w:t>
      </w:r>
      <w:r w:rsidR="00276F05" w:rsidRPr="005434B7">
        <w:t>tr</w:t>
      </w:r>
      <w:r w:rsidRPr="005434B7">
        <w:t xml:space="preserve">illion </w:t>
      </w:r>
      <w:r w:rsidR="00276F05" w:rsidRPr="005434B7">
        <w:t xml:space="preserve">total sales output </w:t>
      </w:r>
      <w:r w:rsidRPr="005434B7">
        <w:t>of which $</w:t>
      </w:r>
      <w:r w:rsidR="00276F05" w:rsidRPr="005434B7">
        <w:t>352</w:t>
      </w:r>
      <w:r w:rsidRPr="005434B7">
        <w:t> billion came from exports.</w:t>
      </w:r>
      <w:r w:rsidR="00507D7B">
        <w:rPr>
          <w:rStyle w:val="FootnoteReference"/>
        </w:rPr>
        <w:footnoteReference w:id="7"/>
      </w:r>
      <w:r w:rsidR="00022814">
        <w:t xml:space="preserve"> </w:t>
      </w:r>
    </w:p>
    <w:p w:rsidR="007F1812" w:rsidRDefault="007F1812" w:rsidP="007F1812">
      <w:pPr>
        <w:pStyle w:val="BodyText"/>
      </w:pPr>
      <w:r w:rsidRPr="00D10256">
        <w:t>This paper compares Australian results for D</w:t>
      </w:r>
      <w:r>
        <w:t>yn</w:t>
      </w:r>
      <w:r w:rsidRPr="00D10256">
        <w:t>E</w:t>
      </w:r>
      <w:r>
        <w:t>mp</w:t>
      </w:r>
      <w:r w:rsidRPr="00D10256">
        <w:t xml:space="preserve"> with those already published by the OECD</w:t>
      </w:r>
      <w:r>
        <w:t xml:space="preserve"> </w:t>
      </w:r>
      <w:r w:rsidRPr="00D10256">
        <w:t xml:space="preserve">and then burrows deeper into the data in order to provide a more comprehensive understanding of the drivers of employment creation and destruction in Australia. </w:t>
      </w:r>
      <w:r w:rsidR="00770790" w:rsidRPr="00EF3556">
        <w:t>Growth is defined here as employment growth.</w:t>
      </w:r>
      <w:r w:rsidR="00770790">
        <w:t xml:space="preserve"> </w:t>
      </w:r>
      <w:r w:rsidRPr="00D10256">
        <w:t xml:space="preserve">We find that Australian results support the main conclusions of </w:t>
      </w:r>
      <w:r>
        <w:t xml:space="preserve">the OECD </w:t>
      </w:r>
      <w:r w:rsidRPr="00D10256">
        <w:t>D</w:t>
      </w:r>
      <w:r>
        <w:t>yn</w:t>
      </w:r>
      <w:r w:rsidRPr="00D10256">
        <w:t>E</w:t>
      </w:r>
      <w:r>
        <w:t>mp</w:t>
      </w:r>
      <w:r w:rsidRPr="00D10256">
        <w:t xml:space="preserve"> </w:t>
      </w:r>
      <w:r>
        <w:t xml:space="preserve">report. We also </w:t>
      </w:r>
      <w:r w:rsidR="00DA558C">
        <w:t xml:space="preserve">describe </w:t>
      </w:r>
      <w:r w:rsidRPr="00D10256">
        <w:t>the growth of young, small Australian firms</w:t>
      </w:r>
      <w:r>
        <w:t>, particularly start-ups</w:t>
      </w:r>
      <w:r w:rsidRPr="00D10256">
        <w:t>.</w:t>
      </w:r>
      <w:r>
        <w:t xml:space="preserve"> </w:t>
      </w:r>
    </w:p>
    <w:p w:rsidR="006521AC" w:rsidRDefault="006521AC" w:rsidP="006521AC">
      <w:pPr>
        <w:pStyle w:val="Caption"/>
      </w:pPr>
      <w:r w:rsidRPr="00D26202">
        <w:t>Box</w:t>
      </w:r>
      <w:r>
        <w:t xml:space="preserve"> </w:t>
      </w:r>
      <w:r w:rsidR="00B77A63">
        <w:fldChar w:fldCharType="begin"/>
      </w:r>
      <w:r w:rsidR="006D3DDF">
        <w:instrText xml:space="preserve"> STYLEREF 1 \s </w:instrText>
      </w:r>
      <w:r w:rsidR="00B77A63">
        <w:fldChar w:fldCharType="separate"/>
      </w:r>
      <w:r w:rsidR="00A13942">
        <w:rPr>
          <w:noProof/>
        </w:rPr>
        <w:t>1</w:t>
      </w:r>
      <w:r w:rsidR="00B77A63">
        <w:rPr>
          <w:noProof/>
        </w:rPr>
        <w:fldChar w:fldCharType="end"/>
      </w:r>
      <w:r>
        <w:rPr>
          <w:noProof/>
        </w:rPr>
        <w:t>.</w:t>
      </w:r>
      <w:r w:rsidR="00B77A63">
        <w:fldChar w:fldCharType="begin"/>
      </w:r>
      <w:r w:rsidR="006D3DDF">
        <w:instrText xml:space="preserve"> SEQ Box \* ARABIC \s 1  </w:instrText>
      </w:r>
      <w:r w:rsidR="00B77A63">
        <w:fldChar w:fldCharType="separate"/>
      </w:r>
      <w:r w:rsidR="00A13942">
        <w:rPr>
          <w:noProof/>
        </w:rPr>
        <w:t>1</w:t>
      </w:r>
      <w:r w:rsidR="00B77A63">
        <w:rPr>
          <w:noProof/>
        </w:rPr>
        <w:fldChar w:fldCharType="end"/>
      </w:r>
      <w:r>
        <w:t xml:space="preserve">: </w:t>
      </w:r>
      <w:r w:rsidR="00E645E9">
        <w:t>DynEmp: The OECD dynamics of employment project</w:t>
      </w:r>
    </w:p>
    <w:tbl>
      <w:tblPr>
        <w:tblStyle w:val="OCETable"/>
        <w:tblW w:w="3790" w:type="pct"/>
        <w:tblInd w:w="2235" w:type="dxa"/>
        <w:tblLayout w:type="fixed"/>
        <w:tblLook w:val="04A0" w:firstRow="1" w:lastRow="0" w:firstColumn="1" w:lastColumn="0" w:noHBand="0" w:noVBand="1"/>
        <w:tblCaption w:val="DynEmp: The OECD dynamics of employment project"/>
        <w:tblDescription w:val="Box describing the OECD dynamics of employment project. By aggregating confidential firm-level data from national business registers, DynEmp provides new comparative, empirical evidence on the role of creative destruction, start-ups and young frims to participating country performance. "/>
      </w:tblPr>
      <w:tblGrid>
        <w:gridCol w:w="7005"/>
      </w:tblGrid>
      <w:tr w:rsidR="006521AC" w:rsidTr="002A6334">
        <w:trPr>
          <w:cnfStyle w:val="100000000000" w:firstRow="1" w:lastRow="0" w:firstColumn="0" w:lastColumn="0" w:oddVBand="0" w:evenVBand="0" w:oddHBand="0" w:evenHBand="0" w:firstRowFirstColumn="0" w:firstRowLastColumn="0" w:lastRowFirstColumn="0" w:lastRowLastColumn="0"/>
          <w:cantSplit/>
          <w:tblHeader/>
        </w:trPr>
        <w:tc>
          <w:tcPr>
            <w:tcW w:w="5000" w:type="pct"/>
            <w:shd w:val="clear" w:color="auto" w:fill="DBE5F1"/>
          </w:tcPr>
          <w:p w:rsidR="006521AC" w:rsidRDefault="00E645E9" w:rsidP="006521AC">
            <w:pPr>
              <w:pStyle w:val="Boxtext"/>
            </w:pPr>
            <w:r>
              <w:rPr>
                <w:sz w:val="20"/>
                <w:szCs w:val="20"/>
              </w:rPr>
              <w:t xml:space="preserve">The </w:t>
            </w:r>
            <w:r w:rsidRPr="005D3CB8">
              <w:rPr>
                <w:sz w:val="20"/>
                <w:szCs w:val="20"/>
              </w:rPr>
              <w:t>OECD Directorate for Science, Technology and Innovation</w:t>
            </w:r>
            <w:r>
              <w:rPr>
                <w:sz w:val="20"/>
                <w:szCs w:val="20"/>
              </w:rPr>
              <w:t xml:space="preserve"> has initiated a cross-country </w:t>
            </w:r>
            <w:r w:rsidRPr="005D3CB8">
              <w:rPr>
                <w:sz w:val="20"/>
                <w:szCs w:val="20"/>
              </w:rPr>
              <w:t xml:space="preserve">project focusing on employment dynamics. </w:t>
            </w:r>
            <w:r>
              <w:rPr>
                <w:sz w:val="20"/>
                <w:szCs w:val="20"/>
              </w:rPr>
              <w:t xml:space="preserve">The OECD provides guidance and STATA® routines </w:t>
            </w:r>
            <w:r w:rsidRPr="005D3CB8">
              <w:rPr>
                <w:sz w:val="20"/>
                <w:szCs w:val="20"/>
              </w:rPr>
              <w:t xml:space="preserve">for </w:t>
            </w:r>
            <w:r>
              <w:rPr>
                <w:sz w:val="20"/>
                <w:szCs w:val="20"/>
              </w:rPr>
              <w:t>d</w:t>
            </w:r>
            <w:r w:rsidRPr="005D3CB8">
              <w:rPr>
                <w:sz w:val="20"/>
                <w:szCs w:val="20"/>
              </w:rPr>
              <w:t xml:space="preserve">istributed </w:t>
            </w:r>
            <w:r>
              <w:rPr>
                <w:sz w:val="20"/>
                <w:szCs w:val="20"/>
              </w:rPr>
              <w:t>m</w:t>
            </w:r>
            <w:r w:rsidRPr="005D3CB8">
              <w:rPr>
                <w:sz w:val="20"/>
                <w:szCs w:val="20"/>
              </w:rPr>
              <w:t xml:space="preserve">icro-data </w:t>
            </w:r>
            <w:r>
              <w:rPr>
                <w:sz w:val="20"/>
                <w:szCs w:val="20"/>
              </w:rPr>
              <w:t>a</w:t>
            </w:r>
            <w:r w:rsidRPr="005D3CB8">
              <w:rPr>
                <w:sz w:val="20"/>
                <w:szCs w:val="20"/>
              </w:rPr>
              <w:t xml:space="preserve">nalysis of </w:t>
            </w:r>
            <w:r>
              <w:rPr>
                <w:sz w:val="20"/>
                <w:szCs w:val="20"/>
              </w:rPr>
              <w:t>b</w:t>
            </w:r>
            <w:r w:rsidRPr="005D3CB8">
              <w:rPr>
                <w:sz w:val="20"/>
                <w:szCs w:val="20"/>
              </w:rPr>
              <w:t xml:space="preserve">usiness </w:t>
            </w:r>
            <w:r>
              <w:rPr>
                <w:sz w:val="20"/>
                <w:szCs w:val="20"/>
              </w:rPr>
              <w:t>d</w:t>
            </w:r>
            <w:r w:rsidRPr="005D3CB8">
              <w:rPr>
                <w:sz w:val="20"/>
                <w:szCs w:val="20"/>
              </w:rPr>
              <w:t>ynamics.</w:t>
            </w:r>
            <w:r>
              <w:rPr>
                <w:sz w:val="20"/>
                <w:szCs w:val="20"/>
              </w:rPr>
              <w:t xml:space="preserve"> </w:t>
            </w:r>
            <w:r w:rsidRPr="005D3CB8">
              <w:rPr>
                <w:sz w:val="20"/>
                <w:szCs w:val="20"/>
              </w:rPr>
              <w:t xml:space="preserve">By aggregating confidential firm-level data from national business registers, DynEmp provides new </w:t>
            </w:r>
            <w:r>
              <w:rPr>
                <w:sz w:val="20"/>
                <w:szCs w:val="20"/>
              </w:rPr>
              <w:t xml:space="preserve">comparative, </w:t>
            </w:r>
            <w:r w:rsidRPr="005D3CB8">
              <w:rPr>
                <w:sz w:val="20"/>
                <w:szCs w:val="20"/>
              </w:rPr>
              <w:t>empirical evidence on the role of creative destruction, start-ups and young firms</w:t>
            </w:r>
            <w:r>
              <w:rPr>
                <w:sz w:val="20"/>
                <w:szCs w:val="20"/>
              </w:rPr>
              <w:t xml:space="preserve"> to participating country performance</w:t>
            </w:r>
            <w:r w:rsidRPr="005D3CB8">
              <w:rPr>
                <w:sz w:val="20"/>
                <w:szCs w:val="20"/>
              </w:rPr>
              <w:t>.</w:t>
            </w:r>
            <w:r>
              <w:rPr>
                <w:sz w:val="20"/>
                <w:szCs w:val="20"/>
              </w:rPr>
              <w:t xml:space="preserve"> A range of OECD countries including Australia, as well as other non-OECD countries such as Brazil and Puerto Rico are currently participating. More detail on the DynEmp project can be found </w:t>
            </w:r>
            <w:hyperlink r:id="rId22" w:history="1">
              <w:r w:rsidRPr="0020195A">
                <w:rPr>
                  <w:rStyle w:val="Hyperlink"/>
                  <w:sz w:val="20"/>
                  <w:szCs w:val="20"/>
                </w:rPr>
                <w:t>here</w:t>
              </w:r>
            </w:hyperlink>
            <w:r>
              <w:rPr>
                <w:sz w:val="20"/>
                <w:szCs w:val="20"/>
              </w:rPr>
              <w:t>. Throughout this paper ‘participating’ countries is defined as OECD and other countries currently in the DynEmp database.</w:t>
            </w:r>
          </w:p>
        </w:tc>
      </w:tr>
    </w:tbl>
    <w:p w:rsidR="00E645E9" w:rsidRDefault="00E645E9" w:rsidP="00E645E9">
      <w:pPr>
        <w:pStyle w:val="Source"/>
        <w:pBdr>
          <w:bottom w:val="single" w:sz="4" w:space="0" w:color="595A5B"/>
        </w:pBdr>
      </w:pPr>
    </w:p>
    <w:p w:rsidR="00E645E9" w:rsidRDefault="00E645E9" w:rsidP="00DB555F">
      <w:pPr>
        <w:pStyle w:val="Caption"/>
      </w:pPr>
      <w:r w:rsidRPr="00D26202">
        <w:t>Box</w:t>
      </w:r>
      <w:r>
        <w:t xml:space="preserve"> </w:t>
      </w:r>
      <w:r w:rsidR="00B77A63">
        <w:fldChar w:fldCharType="begin"/>
      </w:r>
      <w:r w:rsidR="006D3DDF">
        <w:instrText xml:space="preserve"> STYLEREF 1 \s </w:instrText>
      </w:r>
      <w:r w:rsidR="00B77A63">
        <w:fldChar w:fldCharType="separate"/>
      </w:r>
      <w:r w:rsidR="00A13942">
        <w:rPr>
          <w:noProof/>
        </w:rPr>
        <w:t>1</w:t>
      </w:r>
      <w:r w:rsidR="00B77A63">
        <w:rPr>
          <w:noProof/>
        </w:rPr>
        <w:fldChar w:fldCharType="end"/>
      </w:r>
      <w:r>
        <w:rPr>
          <w:noProof/>
        </w:rPr>
        <w:t>.</w:t>
      </w:r>
      <w:r w:rsidR="00B77A63">
        <w:fldChar w:fldCharType="begin"/>
      </w:r>
      <w:r w:rsidR="006D3DDF">
        <w:instrText xml:space="preserve"> SEQ Box \* ARABIC \s 1  </w:instrText>
      </w:r>
      <w:r w:rsidR="00B77A63">
        <w:fldChar w:fldCharType="separate"/>
      </w:r>
      <w:r w:rsidR="00A13942">
        <w:rPr>
          <w:noProof/>
        </w:rPr>
        <w:t>2</w:t>
      </w:r>
      <w:r w:rsidR="00B77A63">
        <w:rPr>
          <w:noProof/>
        </w:rPr>
        <w:fldChar w:fldCharType="end"/>
      </w:r>
      <w:r>
        <w:t>: The Expanded Analytical Business Longitudinal Database 2001</w:t>
      </w:r>
      <w:r>
        <w:rPr>
          <w:rFonts w:cs="Arial"/>
        </w:rPr>
        <w:t>–</w:t>
      </w:r>
      <w:r>
        <w:t>02 to</w:t>
      </w:r>
      <w:r w:rsidR="00946388">
        <w:br/>
      </w:r>
      <w:r>
        <w:t>2012</w:t>
      </w:r>
      <w:r>
        <w:rPr>
          <w:rFonts w:cs="Arial"/>
        </w:rPr>
        <w:t>–</w:t>
      </w:r>
      <w:r>
        <w:t>13</w:t>
      </w:r>
    </w:p>
    <w:tbl>
      <w:tblPr>
        <w:tblStyle w:val="OCETable"/>
        <w:tblW w:w="3790" w:type="pct"/>
        <w:tblInd w:w="2235" w:type="dxa"/>
        <w:tblLayout w:type="fixed"/>
        <w:tblLook w:val="04A0" w:firstRow="1" w:lastRow="0" w:firstColumn="1" w:lastColumn="0" w:noHBand="0" w:noVBand="1"/>
        <w:tblCaption w:val="Box 1.2: The Expanded Analytical Business Longitudinal Database 2001-02 to 2012-13"/>
        <w:tblDescription w:val="This box describes the Expanded Analytical Business Longitudinal Database (EABLD). It is a statistical data integration project with the ABS as the Integrating Authority. The development of the EABLD was funded by the Department of Industry and Science. "/>
      </w:tblPr>
      <w:tblGrid>
        <w:gridCol w:w="7005"/>
      </w:tblGrid>
      <w:tr w:rsidR="00E645E9" w:rsidTr="002A6334">
        <w:trPr>
          <w:cnfStyle w:val="100000000000" w:firstRow="1" w:lastRow="0" w:firstColumn="0" w:lastColumn="0" w:oddVBand="0" w:evenVBand="0" w:oddHBand="0" w:evenHBand="0" w:firstRowFirstColumn="0" w:firstRowLastColumn="0" w:lastRowFirstColumn="0" w:lastRowLastColumn="0"/>
          <w:cantSplit/>
          <w:tblHeader/>
        </w:trPr>
        <w:tc>
          <w:tcPr>
            <w:tcW w:w="5000" w:type="pct"/>
            <w:shd w:val="clear" w:color="auto" w:fill="DBE5F1"/>
          </w:tcPr>
          <w:p w:rsidR="00E645E9" w:rsidRDefault="00E645E9" w:rsidP="00E645E9">
            <w:pPr>
              <w:pStyle w:val="Boxtext"/>
              <w:rPr>
                <w:sz w:val="20"/>
                <w:szCs w:val="20"/>
              </w:rPr>
            </w:pPr>
            <w:r>
              <w:rPr>
                <w:sz w:val="20"/>
                <w:szCs w:val="20"/>
              </w:rPr>
              <w:t>The Expanded Analytical Business Longitudinal Database (EABLD) is a statistical data integration project with the ABS as the Integrating Authority. The development of the EABLD was funded by the Department of Industry and Science.</w:t>
            </w:r>
          </w:p>
          <w:p w:rsidR="00E645E9" w:rsidRDefault="00E645E9" w:rsidP="00E645E9">
            <w:pPr>
              <w:pStyle w:val="Boxtext"/>
              <w:rPr>
                <w:sz w:val="20"/>
                <w:szCs w:val="20"/>
              </w:rPr>
            </w:pPr>
            <w:r>
              <w:rPr>
                <w:sz w:val="20"/>
                <w:szCs w:val="20"/>
              </w:rPr>
              <w:t>The EABLD is the term used to describe a series of integrated, linked longitudinal datasets that cover the period 2001–02 to 2012–13; it contains a range of firm level information.  </w:t>
            </w:r>
          </w:p>
          <w:p w:rsidR="00E645E9" w:rsidRDefault="00E645E9" w:rsidP="00E645E9">
            <w:pPr>
              <w:pStyle w:val="Boxtext"/>
              <w:rPr>
                <w:sz w:val="20"/>
                <w:szCs w:val="20"/>
              </w:rPr>
            </w:pPr>
            <w:r>
              <w:rPr>
                <w:sz w:val="20"/>
                <w:szCs w:val="20"/>
              </w:rPr>
              <w:t xml:space="preserve">The EABLD is based on the Business Register and includes the population of firms for each year. It uses the ABS statistical unit as the firm level unit and large/complex firms are included.  It includes business-level data from administrative sources (predominantly ATO) and a range of ABS surveys (including the Business Characteristics Survey, the Business R&amp;D survey and the Economic Activity Survey).  The use of Business Activity Statement data (sourced from the ATO) provides a basic set of financial information for all businesses. </w:t>
            </w:r>
          </w:p>
          <w:p w:rsidR="00E645E9" w:rsidRDefault="00E645E9" w:rsidP="00E645E9">
            <w:pPr>
              <w:pStyle w:val="Boxtext"/>
              <w:rPr>
                <w:sz w:val="20"/>
                <w:szCs w:val="20"/>
              </w:rPr>
            </w:pPr>
            <w:r>
              <w:rPr>
                <w:sz w:val="20"/>
                <w:szCs w:val="20"/>
              </w:rPr>
              <w:t xml:space="preserve">As it has been created retrospectively and not all information about firm entries, exits and restructures is available, various methods have been developed to ensure that there is a longitudinal perspective.  Solutions have also been developed in respect of the complexities of mapping the various tax reporting structures to the ABS units model.  This is essential to facilitate the linking of directly collected ABS data into the EABLD. </w:t>
            </w:r>
          </w:p>
          <w:p w:rsidR="00E645E9" w:rsidRDefault="00E645E9" w:rsidP="00E645E9">
            <w:pPr>
              <w:pStyle w:val="Boxtext"/>
              <w:rPr>
                <w:sz w:val="20"/>
                <w:szCs w:val="20"/>
              </w:rPr>
            </w:pPr>
            <w:r>
              <w:rPr>
                <w:sz w:val="20"/>
                <w:szCs w:val="20"/>
              </w:rPr>
              <w:t xml:space="preserve">Using the ABS statistical unit structure enables the EABLD to reflect the industry composition which forms part of ABS economic statistics. The EABLD allows for policy evaluation, research and analysis, and the production of statistical outputs for a variety of firm performance measures.  As primary linking is undertaken using the ABN, other administrative data also containing ABN can be linked to the EABLD. </w:t>
            </w:r>
          </w:p>
          <w:p w:rsidR="00E645E9" w:rsidRDefault="00E645E9" w:rsidP="00DB555F">
            <w:pPr>
              <w:pStyle w:val="Boxtext"/>
            </w:pPr>
            <w:r>
              <w:rPr>
                <w:sz w:val="20"/>
                <w:szCs w:val="20"/>
              </w:rPr>
              <w:t xml:space="preserve">More information on the EABLD and how to access it can be found </w:t>
            </w:r>
            <w:hyperlink r:id="rId23" w:history="1">
              <w:r w:rsidRPr="00777016">
                <w:rPr>
                  <w:rStyle w:val="Hyperlink"/>
                  <w:sz w:val="20"/>
                  <w:szCs w:val="20"/>
                </w:rPr>
                <w:t>here</w:t>
              </w:r>
            </w:hyperlink>
            <w:r>
              <w:rPr>
                <w:sz w:val="20"/>
                <w:szCs w:val="20"/>
              </w:rPr>
              <w:t>.</w:t>
            </w:r>
            <w:r>
              <w:rPr>
                <w:rStyle w:val="FootnoteReference"/>
                <w:sz w:val="20"/>
                <w:szCs w:val="20"/>
              </w:rPr>
              <w:footnoteReference w:id="8"/>
            </w:r>
          </w:p>
        </w:tc>
      </w:tr>
    </w:tbl>
    <w:p w:rsidR="007F1812" w:rsidRDefault="007F1812" w:rsidP="00E645E9">
      <w:pPr>
        <w:pStyle w:val="Source"/>
      </w:pPr>
    </w:p>
    <w:p w:rsidR="00D629B9" w:rsidRDefault="00D629B9">
      <w:pPr>
        <w:ind w:left="0"/>
        <w:jc w:val="left"/>
        <w:rPr>
          <w:rFonts w:asciiTheme="majorHAnsi" w:eastAsia="Times New Roman" w:hAnsiTheme="majorHAnsi" w:cs="Arial"/>
          <w:b/>
          <w:bCs/>
          <w:color w:val="22789A"/>
          <w:kern w:val="32"/>
          <w:sz w:val="32"/>
          <w:szCs w:val="32"/>
        </w:rPr>
      </w:pPr>
      <w:r>
        <w:br w:type="page"/>
      </w:r>
    </w:p>
    <w:p w:rsidR="007F1812" w:rsidRDefault="007F1812" w:rsidP="00E645E9">
      <w:pPr>
        <w:pStyle w:val="Heading1"/>
      </w:pPr>
      <w:r>
        <w:t>Results</w:t>
      </w:r>
    </w:p>
    <w:p w:rsidR="007F1812" w:rsidRDefault="007F1812" w:rsidP="007F1812">
      <w:pPr>
        <w:pStyle w:val="BodyText"/>
      </w:pPr>
      <w:r>
        <w:t xml:space="preserve">The following results from the EABLD refer </w:t>
      </w:r>
      <w:r w:rsidR="00945358">
        <w:t>to the period 2001</w:t>
      </w:r>
      <w:r w:rsidR="00945358">
        <w:rPr>
          <w:rFonts w:cstheme="minorHAnsi"/>
        </w:rPr>
        <w:t>–</w:t>
      </w:r>
      <w:r>
        <w:t>02 to 20</w:t>
      </w:r>
      <w:r w:rsidR="00945358">
        <w:t>11</w:t>
      </w:r>
      <w:r w:rsidR="00945358">
        <w:rPr>
          <w:rFonts w:cstheme="minorHAnsi"/>
        </w:rPr>
        <w:t>–</w:t>
      </w:r>
      <w:r>
        <w:t>12 unless otherwise stated. Due to data restrictions, all OECD comparisons are limited to manufacturing, construction, and non-financial business services and use OECD firm size definitions. All other analyses reflect the full complement of industry sectors where possible, excluding government. For detailed information on meth</w:t>
      </w:r>
      <w:r w:rsidR="000C37F3">
        <w:t>odology see Box 1</w:t>
      </w:r>
      <w:r w:rsidR="00DA558C">
        <w:t>.2</w:t>
      </w:r>
      <w:r w:rsidR="000C37F3">
        <w:t xml:space="preserve"> and Appendix A</w:t>
      </w:r>
      <w:r>
        <w:t>.</w:t>
      </w:r>
      <w:r w:rsidRPr="00AC32EB">
        <w:t xml:space="preserve"> </w:t>
      </w:r>
      <w:r>
        <w:t xml:space="preserve">Supplementary </w:t>
      </w:r>
      <w:r w:rsidR="000C37F3">
        <w:t>data is provided at Attachment B</w:t>
      </w:r>
      <w:r>
        <w:t xml:space="preserve">. </w:t>
      </w:r>
    </w:p>
    <w:p w:rsidR="00E645E9" w:rsidRDefault="00E645E9" w:rsidP="00DB555F">
      <w:pPr>
        <w:pStyle w:val="Caption"/>
      </w:pPr>
      <w:r w:rsidRPr="00D26202">
        <w:t>Box</w:t>
      </w:r>
      <w:r>
        <w:t xml:space="preserve"> </w:t>
      </w:r>
      <w:r w:rsidR="00B77A63">
        <w:fldChar w:fldCharType="begin"/>
      </w:r>
      <w:r w:rsidR="006D3DDF">
        <w:instrText xml:space="preserve"> STYLEREF 1 \s </w:instrText>
      </w:r>
      <w:r w:rsidR="00B77A63">
        <w:fldChar w:fldCharType="separate"/>
      </w:r>
      <w:r w:rsidR="00A13942">
        <w:rPr>
          <w:noProof/>
        </w:rPr>
        <w:t>2</w:t>
      </w:r>
      <w:r w:rsidR="00B77A63">
        <w:rPr>
          <w:noProof/>
        </w:rPr>
        <w:fldChar w:fldCharType="end"/>
      </w:r>
      <w:r>
        <w:rPr>
          <w:noProof/>
        </w:rPr>
        <w:t>.</w:t>
      </w:r>
      <w:r w:rsidR="00B77A63">
        <w:fldChar w:fldCharType="begin"/>
      </w:r>
      <w:r w:rsidR="006D3DDF">
        <w:instrText xml:space="preserve"> SEQ Box \* ARABIC \s 1  </w:instrText>
      </w:r>
      <w:r w:rsidR="00B77A63">
        <w:fldChar w:fldCharType="separate"/>
      </w:r>
      <w:r w:rsidR="00A13942">
        <w:rPr>
          <w:noProof/>
        </w:rPr>
        <w:t>1</w:t>
      </w:r>
      <w:r w:rsidR="00B77A63">
        <w:rPr>
          <w:noProof/>
        </w:rPr>
        <w:fldChar w:fldCharType="end"/>
      </w:r>
      <w:r>
        <w:t xml:space="preserve">: Defining </w:t>
      </w:r>
      <w:r w:rsidR="00770790">
        <w:t>firms by age</w:t>
      </w:r>
      <w:r w:rsidR="0091564A">
        <w:t xml:space="preserve"> and size</w:t>
      </w:r>
    </w:p>
    <w:tbl>
      <w:tblPr>
        <w:tblStyle w:val="OCETable"/>
        <w:tblW w:w="3790" w:type="pct"/>
        <w:tblInd w:w="2235" w:type="dxa"/>
        <w:tblLayout w:type="fixed"/>
        <w:tblLook w:val="04A0" w:firstRow="1" w:lastRow="0" w:firstColumn="1" w:lastColumn="0" w:noHBand="0" w:noVBand="1"/>
        <w:tblCaption w:val="Box 2.1: Defining firms by age and size"/>
        <w:tblDescription w:val="We adopt the firm age definitions set out by the OECD. Young firms are defined as firms aged between 0 and 5 years of age. Start-ups are a specific subset of young firms within the first three years of operation (0–2 years old). &#10;Mature firms are defined as those firms aged 6 years and older. Old firms are a specific subset of mature firms that are ten or more years old.&#10;"/>
      </w:tblPr>
      <w:tblGrid>
        <w:gridCol w:w="7005"/>
      </w:tblGrid>
      <w:tr w:rsidR="00E645E9" w:rsidTr="002A6334">
        <w:trPr>
          <w:cnfStyle w:val="100000000000" w:firstRow="1" w:lastRow="0" w:firstColumn="0" w:lastColumn="0" w:oddVBand="0" w:evenVBand="0" w:oddHBand="0" w:evenHBand="0" w:firstRowFirstColumn="0" w:firstRowLastColumn="0" w:lastRowFirstColumn="0" w:lastRowLastColumn="0"/>
          <w:cantSplit/>
          <w:tblHeader/>
        </w:trPr>
        <w:tc>
          <w:tcPr>
            <w:tcW w:w="5000" w:type="pct"/>
            <w:shd w:val="clear" w:color="auto" w:fill="DBE5F1"/>
          </w:tcPr>
          <w:p w:rsidR="00770790" w:rsidRDefault="00770790" w:rsidP="00E645E9">
            <w:pPr>
              <w:pStyle w:val="Boxtext"/>
              <w:rPr>
                <w:sz w:val="20"/>
              </w:rPr>
            </w:pPr>
            <w:r>
              <w:rPr>
                <w:sz w:val="20"/>
              </w:rPr>
              <w:t xml:space="preserve">We adopt the firm age definitions set out by the OECD. </w:t>
            </w:r>
            <w:r w:rsidRPr="00770790">
              <w:rPr>
                <w:i/>
                <w:sz w:val="20"/>
              </w:rPr>
              <w:t>Young firms</w:t>
            </w:r>
            <w:r>
              <w:rPr>
                <w:sz w:val="20"/>
              </w:rPr>
              <w:t xml:space="preserve"> are defined as firms aged between 0 and 5 years of age. Start-ups are a specific subset of young firms within the first three years of operation (0</w:t>
            </w:r>
            <w:r w:rsidR="00655A02">
              <w:rPr>
                <w:sz w:val="20"/>
              </w:rPr>
              <w:t>–</w:t>
            </w:r>
            <w:r>
              <w:rPr>
                <w:sz w:val="20"/>
              </w:rPr>
              <w:t xml:space="preserve">2 years old). </w:t>
            </w:r>
          </w:p>
          <w:p w:rsidR="00770790" w:rsidRDefault="00770790" w:rsidP="00E645E9">
            <w:pPr>
              <w:pStyle w:val="Boxtext"/>
              <w:rPr>
                <w:sz w:val="20"/>
              </w:rPr>
            </w:pPr>
            <w:r w:rsidRPr="00770790">
              <w:rPr>
                <w:i/>
                <w:sz w:val="20"/>
              </w:rPr>
              <w:t>Mature firms</w:t>
            </w:r>
            <w:r>
              <w:rPr>
                <w:sz w:val="20"/>
              </w:rPr>
              <w:t xml:space="preserve"> are defined as those firms aged 6 years and older. Old firms are a specific subset of mature firms that are ten or more years old.</w:t>
            </w:r>
          </w:p>
          <w:p w:rsidR="0091564A" w:rsidRDefault="0091564A" w:rsidP="00E645E9">
            <w:pPr>
              <w:pStyle w:val="Boxtext"/>
              <w:rPr>
                <w:sz w:val="20"/>
              </w:rPr>
            </w:pPr>
            <w:r>
              <w:rPr>
                <w:noProof/>
                <w:sz w:val="20"/>
                <w:lang w:eastAsia="en-AU"/>
              </w:rPr>
              <w:drawing>
                <wp:inline distT="0" distB="0" distL="0" distR="0" wp14:anchorId="5AB062D4" wp14:editId="3BCC4DC3">
                  <wp:extent cx="4311015" cy="1312545"/>
                  <wp:effectExtent l="0" t="0" r="0" b="1905"/>
                  <wp:docPr id="1" name="Picture 2" descr="The diagram above provides a schematic definition of firms by their age as set out by the OECD standards. Using arrows from left to right to show the increasing firm age, the diagram divides firms into two broad categories of ‘young’ and ‘mature’ firms. The young firms are defined as firms aged in the range of 0-5; and the mature firms as those aged 6 years and older. Under this broad categorisation, the diagram subdivides each category based on two age ranges. Young firms are subdivided into ‘start-ups’ that are firms in the age range of 0-2 years, and other young firms that are in the age range of 3-5 years. Mature firms are also subdivided into two sub-categories: firms in the age range of 6-9 and old firms in the age range of more than 10 years. " title="Box 2.1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 age.jpg"/>
                          <pic:cNvPicPr/>
                        </pic:nvPicPr>
                        <pic:blipFill>
                          <a:blip r:embed="rId24" cstate="print"/>
                          <a:stretch>
                            <a:fillRect/>
                          </a:stretch>
                        </pic:blipFill>
                        <pic:spPr>
                          <a:xfrm>
                            <a:off x="0" y="0"/>
                            <a:ext cx="4311015" cy="1312545"/>
                          </a:xfrm>
                          <a:prstGeom prst="rect">
                            <a:avLst/>
                          </a:prstGeom>
                        </pic:spPr>
                      </pic:pic>
                    </a:graphicData>
                  </a:graphic>
                </wp:inline>
              </w:drawing>
            </w:r>
          </w:p>
          <w:p w:rsidR="0091564A" w:rsidRPr="00770790" w:rsidRDefault="0091564A" w:rsidP="00B57C2F">
            <w:pPr>
              <w:pStyle w:val="Boxtext"/>
              <w:rPr>
                <w:sz w:val="20"/>
              </w:rPr>
            </w:pPr>
            <w:r>
              <w:rPr>
                <w:sz w:val="20"/>
              </w:rPr>
              <w:t xml:space="preserve">Firm size classes are defined </w:t>
            </w:r>
            <w:r w:rsidR="00B57C2F">
              <w:rPr>
                <w:sz w:val="20"/>
              </w:rPr>
              <w:t>in T</w:t>
            </w:r>
            <w:r w:rsidR="00066292">
              <w:rPr>
                <w:sz w:val="20"/>
              </w:rPr>
              <w:t xml:space="preserve">able </w:t>
            </w:r>
            <w:r w:rsidR="005A1A60">
              <w:rPr>
                <w:sz w:val="20"/>
              </w:rPr>
              <w:t>2.1</w:t>
            </w:r>
            <w:r w:rsidR="00066292">
              <w:rPr>
                <w:sz w:val="20"/>
              </w:rPr>
              <w:t xml:space="preserve"> </w:t>
            </w:r>
            <w:r w:rsidR="000420D9">
              <w:rPr>
                <w:sz w:val="20"/>
              </w:rPr>
              <w:t xml:space="preserve">below </w:t>
            </w:r>
            <w:r>
              <w:rPr>
                <w:sz w:val="20"/>
              </w:rPr>
              <w:t xml:space="preserve">depending </w:t>
            </w:r>
            <w:r w:rsidR="000420D9">
              <w:rPr>
                <w:sz w:val="20"/>
              </w:rPr>
              <w:t>on the analysis.</w:t>
            </w:r>
          </w:p>
        </w:tc>
      </w:tr>
    </w:tbl>
    <w:p w:rsidR="00E645E9" w:rsidRDefault="00E645E9" w:rsidP="00E645E9">
      <w:pPr>
        <w:pStyle w:val="Source"/>
      </w:pPr>
    </w:p>
    <w:p w:rsidR="005A1A60" w:rsidRDefault="005A1A60" w:rsidP="005A1A60">
      <w:pPr>
        <w:keepNext/>
        <w:keepLines/>
        <w:pBdr>
          <w:top w:val="single" w:sz="2" w:space="1" w:color="595A5B"/>
        </w:pBdr>
        <w:spacing w:before="360" w:after="240" w:line="240" w:lineRule="atLeast"/>
        <w:rPr>
          <w:bCs/>
          <w:color w:val="22789A" w:themeColor="accent1"/>
          <w:sz w:val="18"/>
          <w:szCs w:val="18"/>
          <w:lang w:eastAsia="en-AU"/>
        </w:rPr>
      </w:pPr>
      <w:bookmarkStart w:id="2" w:name="_Toc426555437"/>
      <w:r w:rsidRPr="005A1A60">
        <w:rPr>
          <w:bCs/>
          <w:color w:val="22789A" w:themeColor="accent1"/>
          <w:sz w:val="18"/>
          <w:szCs w:val="18"/>
        </w:rPr>
        <w:t xml:space="preserve">Table </w:t>
      </w:r>
      <w:r>
        <w:rPr>
          <w:bCs/>
          <w:color w:val="22789A" w:themeColor="accent1"/>
          <w:sz w:val="18"/>
          <w:szCs w:val="18"/>
        </w:rPr>
        <w:t>2</w:t>
      </w:r>
      <w:r w:rsidRPr="005A1A60">
        <w:rPr>
          <w:bCs/>
          <w:color w:val="22789A" w:themeColor="accent1"/>
          <w:sz w:val="18"/>
          <w:szCs w:val="18"/>
        </w:rPr>
        <w:t>.</w:t>
      </w:r>
      <w:r w:rsidRPr="005A1A60">
        <w:rPr>
          <w:bCs/>
          <w:color w:val="22789A" w:themeColor="accent1"/>
          <w:sz w:val="18"/>
          <w:szCs w:val="18"/>
        </w:rPr>
        <w:fldChar w:fldCharType="begin"/>
      </w:r>
      <w:r w:rsidRPr="005A1A60">
        <w:rPr>
          <w:bCs/>
          <w:color w:val="22789A" w:themeColor="accent1"/>
          <w:sz w:val="18"/>
          <w:szCs w:val="18"/>
        </w:rPr>
        <w:instrText xml:space="preserve"> SEQ Table \* ARABIC \s 1 </w:instrText>
      </w:r>
      <w:r w:rsidRPr="005A1A60">
        <w:rPr>
          <w:bCs/>
          <w:color w:val="22789A" w:themeColor="accent1"/>
          <w:sz w:val="18"/>
          <w:szCs w:val="18"/>
        </w:rPr>
        <w:fldChar w:fldCharType="separate"/>
      </w:r>
      <w:r w:rsidR="00A13942">
        <w:rPr>
          <w:bCs/>
          <w:noProof/>
          <w:color w:val="22789A" w:themeColor="accent1"/>
          <w:sz w:val="18"/>
          <w:szCs w:val="18"/>
        </w:rPr>
        <w:t>1</w:t>
      </w:r>
      <w:r w:rsidRPr="005A1A60">
        <w:rPr>
          <w:bCs/>
          <w:noProof/>
          <w:color w:val="22789A" w:themeColor="accent1"/>
          <w:sz w:val="18"/>
          <w:szCs w:val="18"/>
        </w:rPr>
        <w:fldChar w:fldCharType="end"/>
      </w:r>
      <w:bookmarkStart w:id="3" w:name="_Toc392596195"/>
      <w:r w:rsidRPr="005A1A60">
        <w:rPr>
          <w:bCs/>
          <w:noProof/>
          <w:color w:val="22789A" w:themeColor="accent1"/>
          <w:sz w:val="18"/>
          <w:szCs w:val="18"/>
        </w:rPr>
        <w:t>:</w:t>
      </w:r>
      <w:r w:rsidRPr="005A1A60">
        <w:rPr>
          <w:bCs/>
          <w:color w:val="22789A" w:themeColor="accent1"/>
          <w:sz w:val="18"/>
          <w:szCs w:val="18"/>
          <w:lang w:eastAsia="en-AU"/>
        </w:rPr>
        <w:t xml:space="preserve"> </w:t>
      </w:r>
      <w:bookmarkEnd w:id="2"/>
      <w:bookmarkEnd w:id="3"/>
      <w:r w:rsidR="00551859" w:rsidRPr="00551859">
        <w:rPr>
          <w:bCs/>
          <w:color w:val="22789A" w:themeColor="accent1"/>
          <w:sz w:val="18"/>
          <w:szCs w:val="18"/>
          <w:lang w:eastAsia="en-AU"/>
        </w:rPr>
        <w:t>Defining firms by age</w:t>
      </w:r>
    </w:p>
    <w:tbl>
      <w:tblPr>
        <w:tblW w:w="6973" w:type="dxa"/>
        <w:tblInd w:w="2234" w:type="dxa"/>
        <w:shd w:val="clear" w:color="auto" w:fill="CAE7F3" w:themeFill="accent1" w:themeFillTint="33"/>
        <w:tblLayout w:type="fixed"/>
        <w:tblCellMar>
          <w:right w:w="28" w:type="dxa"/>
        </w:tblCellMar>
        <w:tblLook w:val="0000" w:firstRow="0" w:lastRow="0" w:firstColumn="0" w:lastColumn="0" w:noHBand="0" w:noVBand="0"/>
        <w:tblCaption w:val="Defining firms by age"/>
        <w:tblDescription w:val="The diagram above provides a schematic definition of firms by their age as set out by the OECD standards. Using arrows from left to right to show the increasing firm age, the diagram divides firms into two broad categories of ‘young’ and ‘mature’ firms. The young firms are defined as firms aged in the range of 0-5; and the mature firms as those aged 6 years and older. Under this broad categorisation, the diagram subdivides each category based on two age ranges. Young firms are subdivided into ‘start-ups’ that are firms in the age range of 0-2 years, and other young firms that are in the age range of 3-5 years. Mature firms are also subdivided into two sub-categories: firms in the age range of 6-9 and old firms in the age range of more than 10 years. "/>
      </w:tblPr>
      <w:tblGrid>
        <w:gridCol w:w="3487"/>
        <w:gridCol w:w="3486"/>
      </w:tblGrid>
      <w:tr w:rsidR="005A1A60" w:rsidRPr="00AA3A65" w:rsidTr="00D629B9">
        <w:trPr>
          <w:cantSplit/>
        </w:trPr>
        <w:tc>
          <w:tcPr>
            <w:tcW w:w="3487" w:type="dxa"/>
            <w:shd w:val="clear" w:color="auto" w:fill="22789A" w:themeFill="accent1"/>
            <w:vAlign w:val="center"/>
          </w:tcPr>
          <w:p w:rsidR="005A1A60" w:rsidRPr="00AA3A65" w:rsidRDefault="005A1A60" w:rsidP="00D629B9">
            <w:pPr>
              <w:pStyle w:val="Tableheader"/>
            </w:pPr>
            <w:r>
              <w:t>Standard Australian firm employment sizes (ABS definition)</w:t>
            </w:r>
          </w:p>
        </w:tc>
        <w:tc>
          <w:tcPr>
            <w:tcW w:w="3486" w:type="dxa"/>
            <w:shd w:val="clear" w:color="auto" w:fill="22789A" w:themeFill="accent1"/>
            <w:vAlign w:val="center"/>
          </w:tcPr>
          <w:p w:rsidR="005A1A60" w:rsidRPr="00AA3A65" w:rsidRDefault="005A1A60" w:rsidP="00D629B9">
            <w:pPr>
              <w:pStyle w:val="Tableheader"/>
            </w:pPr>
            <w:r>
              <w:t>Australian firm employment sizes used for OECD comparisons</w:t>
            </w:r>
          </w:p>
        </w:tc>
      </w:tr>
      <w:tr w:rsidR="005A1A60" w:rsidRPr="00215131" w:rsidTr="00D629B9">
        <w:trPr>
          <w:cantSplit/>
        </w:trPr>
        <w:tc>
          <w:tcPr>
            <w:tcW w:w="3487" w:type="dxa"/>
            <w:shd w:val="clear" w:color="auto" w:fill="CAE7F3" w:themeFill="accent1" w:themeFillTint="33"/>
            <w:vAlign w:val="center"/>
          </w:tcPr>
          <w:p w:rsidR="005A1A60" w:rsidRPr="00215131" w:rsidRDefault="005A1A60" w:rsidP="00D629B9">
            <w:pPr>
              <w:pStyle w:val="Tabletext"/>
              <w:rPr>
                <w:szCs w:val="20"/>
              </w:rPr>
            </w:pPr>
            <w:r>
              <w:rPr>
                <w:szCs w:val="20"/>
              </w:rPr>
              <w:t>Micro (0</w:t>
            </w:r>
            <w:r w:rsidR="00655A02">
              <w:t>–</w:t>
            </w:r>
            <w:r>
              <w:rPr>
                <w:szCs w:val="20"/>
              </w:rPr>
              <w:t>4 employees)</w:t>
            </w:r>
          </w:p>
        </w:tc>
        <w:tc>
          <w:tcPr>
            <w:tcW w:w="3486" w:type="dxa"/>
            <w:shd w:val="clear" w:color="auto" w:fill="CAE7F3" w:themeFill="accent1" w:themeFillTint="33"/>
            <w:vAlign w:val="center"/>
          </w:tcPr>
          <w:p w:rsidR="005A1A60" w:rsidRPr="00215131" w:rsidRDefault="005A1A60" w:rsidP="00D629B9">
            <w:pPr>
              <w:pStyle w:val="Tabletext"/>
              <w:rPr>
                <w:szCs w:val="20"/>
              </w:rPr>
            </w:pPr>
            <w:r>
              <w:rPr>
                <w:szCs w:val="20"/>
              </w:rPr>
              <w:t>Micro (0</w:t>
            </w:r>
            <w:r w:rsidR="00655A02">
              <w:rPr>
                <w:szCs w:val="20"/>
              </w:rPr>
              <w:t>–</w:t>
            </w:r>
            <w:r>
              <w:rPr>
                <w:szCs w:val="20"/>
              </w:rPr>
              <w:t>9 employees)</w:t>
            </w:r>
          </w:p>
        </w:tc>
      </w:tr>
      <w:tr w:rsidR="005A1A60" w:rsidRPr="00AA3A65" w:rsidTr="00D629B9">
        <w:trPr>
          <w:cantSplit/>
        </w:trPr>
        <w:tc>
          <w:tcPr>
            <w:tcW w:w="3487" w:type="dxa"/>
            <w:shd w:val="clear" w:color="auto" w:fill="CAE7F3" w:themeFill="accent1" w:themeFillTint="33"/>
            <w:vAlign w:val="center"/>
          </w:tcPr>
          <w:p w:rsidR="005A1A60" w:rsidRPr="00AA3A65" w:rsidRDefault="005A1A60" w:rsidP="00D629B9">
            <w:pPr>
              <w:pStyle w:val="Tabletext"/>
            </w:pPr>
            <w:r w:rsidRPr="00215131">
              <w:rPr>
                <w:szCs w:val="20"/>
              </w:rPr>
              <w:t>Small (</w:t>
            </w:r>
            <w:r>
              <w:rPr>
                <w:szCs w:val="20"/>
              </w:rPr>
              <w:t>5</w:t>
            </w:r>
            <w:r w:rsidR="00655A02">
              <w:rPr>
                <w:szCs w:val="20"/>
              </w:rPr>
              <w:t>–</w:t>
            </w:r>
            <w:r>
              <w:rPr>
                <w:szCs w:val="20"/>
              </w:rPr>
              <w:t>19</w:t>
            </w:r>
            <w:r w:rsidRPr="00215131">
              <w:rPr>
                <w:szCs w:val="20"/>
              </w:rPr>
              <w:t xml:space="preserve"> employees)</w:t>
            </w:r>
          </w:p>
        </w:tc>
        <w:tc>
          <w:tcPr>
            <w:tcW w:w="3486" w:type="dxa"/>
            <w:shd w:val="clear" w:color="auto" w:fill="CAE7F3" w:themeFill="accent1" w:themeFillTint="33"/>
            <w:vAlign w:val="center"/>
          </w:tcPr>
          <w:p w:rsidR="005A1A60" w:rsidRPr="00AA3A65" w:rsidRDefault="005A1A60" w:rsidP="00D629B9">
            <w:pPr>
              <w:pStyle w:val="Tabletext"/>
            </w:pPr>
            <w:r>
              <w:rPr>
                <w:szCs w:val="20"/>
              </w:rPr>
              <w:t>Small (10</w:t>
            </w:r>
            <w:r w:rsidR="00655A02">
              <w:rPr>
                <w:szCs w:val="20"/>
              </w:rPr>
              <w:t>–</w:t>
            </w:r>
            <w:r>
              <w:rPr>
                <w:szCs w:val="20"/>
              </w:rPr>
              <w:t>49</w:t>
            </w:r>
            <w:r w:rsidRPr="00215131">
              <w:rPr>
                <w:szCs w:val="20"/>
              </w:rPr>
              <w:t xml:space="preserve"> employees)</w:t>
            </w:r>
          </w:p>
        </w:tc>
      </w:tr>
      <w:tr w:rsidR="005A1A60" w:rsidRPr="00AA3A65" w:rsidTr="00D629B9">
        <w:trPr>
          <w:cantSplit/>
        </w:trPr>
        <w:tc>
          <w:tcPr>
            <w:tcW w:w="3487" w:type="dxa"/>
            <w:shd w:val="clear" w:color="auto" w:fill="CAE7F3" w:themeFill="accent1" w:themeFillTint="33"/>
            <w:vAlign w:val="center"/>
          </w:tcPr>
          <w:p w:rsidR="005A1A60" w:rsidRPr="00AA3A65" w:rsidRDefault="005A1A60" w:rsidP="00D629B9">
            <w:pPr>
              <w:pStyle w:val="Tabletext"/>
            </w:pPr>
            <w:r>
              <w:rPr>
                <w:szCs w:val="20"/>
              </w:rPr>
              <w:t>Medium (20</w:t>
            </w:r>
            <w:r>
              <w:rPr>
                <w:rFonts w:cstheme="minorHAnsi"/>
                <w:szCs w:val="20"/>
              </w:rPr>
              <w:t>–199</w:t>
            </w:r>
            <w:r w:rsidRPr="00215131">
              <w:rPr>
                <w:szCs w:val="20"/>
              </w:rPr>
              <w:t xml:space="preserve"> employees)</w:t>
            </w:r>
          </w:p>
        </w:tc>
        <w:tc>
          <w:tcPr>
            <w:tcW w:w="3486" w:type="dxa"/>
            <w:shd w:val="clear" w:color="auto" w:fill="CAE7F3" w:themeFill="accent1" w:themeFillTint="33"/>
            <w:vAlign w:val="center"/>
          </w:tcPr>
          <w:p w:rsidR="005A1A60" w:rsidRPr="00AA3A65" w:rsidRDefault="005A1A60" w:rsidP="00D629B9">
            <w:pPr>
              <w:pStyle w:val="Tabletext"/>
            </w:pPr>
            <w:r>
              <w:rPr>
                <w:szCs w:val="20"/>
              </w:rPr>
              <w:t>Medium (50</w:t>
            </w:r>
            <w:r>
              <w:rPr>
                <w:rFonts w:cstheme="minorHAnsi"/>
                <w:szCs w:val="20"/>
              </w:rPr>
              <w:t>–</w:t>
            </w:r>
            <w:r w:rsidRPr="00215131">
              <w:rPr>
                <w:szCs w:val="20"/>
              </w:rPr>
              <w:t>249 employees)</w:t>
            </w:r>
          </w:p>
        </w:tc>
      </w:tr>
      <w:tr w:rsidR="005A1A60" w:rsidRPr="00AA3A65" w:rsidTr="00D629B9">
        <w:trPr>
          <w:cantSplit/>
        </w:trPr>
        <w:tc>
          <w:tcPr>
            <w:tcW w:w="3487" w:type="dxa"/>
            <w:shd w:val="clear" w:color="auto" w:fill="CAE7F3" w:themeFill="accent1" w:themeFillTint="33"/>
            <w:vAlign w:val="center"/>
          </w:tcPr>
          <w:p w:rsidR="005A1A60" w:rsidRPr="00AA3A65" w:rsidRDefault="005A1A60" w:rsidP="00D629B9">
            <w:pPr>
              <w:pStyle w:val="Tabletext"/>
            </w:pPr>
            <w:r>
              <w:rPr>
                <w:szCs w:val="20"/>
              </w:rPr>
              <w:t>Large (20</w:t>
            </w:r>
            <w:r w:rsidRPr="00215131">
              <w:rPr>
                <w:szCs w:val="20"/>
              </w:rPr>
              <w:t>0+ employees)</w:t>
            </w:r>
          </w:p>
        </w:tc>
        <w:tc>
          <w:tcPr>
            <w:tcW w:w="3486" w:type="dxa"/>
            <w:shd w:val="clear" w:color="auto" w:fill="CAE7F3" w:themeFill="accent1" w:themeFillTint="33"/>
            <w:vAlign w:val="center"/>
          </w:tcPr>
          <w:p w:rsidR="005A1A60" w:rsidRPr="00AA3A65" w:rsidRDefault="005A1A60" w:rsidP="00D629B9">
            <w:pPr>
              <w:pStyle w:val="Tabletext"/>
            </w:pPr>
            <w:r w:rsidRPr="00215131">
              <w:rPr>
                <w:szCs w:val="20"/>
              </w:rPr>
              <w:t>Large (250+ employees)</w:t>
            </w:r>
          </w:p>
        </w:tc>
      </w:tr>
    </w:tbl>
    <w:p w:rsidR="00066292" w:rsidRPr="00997D7E" w:rsidRDefault="005A1A60" w:rsidP="005A1A60">
      <w:pPr>
        <w:keepLines/>
        <w:pBdr>
          <w:bottom w:val="single" w:sz="4" w:space="1" w:color="595A5B"/>
        </w:pBdr>
        <w:spacing w:line="270" w:lineRule="exact"/>
        <w:rPr>
          <w:rFonts w:eastAsia="Times New Roman" w:cs="Arial"/>
          <w:color w:val="22789A" w:themeColor="accent1"/>
          <w:sz w:val="16"/>
          <w:szCs w:val="16"/>
          <w:lang w:val="en"/>
        </w:rPr>
      </w:pPr>
      <w:r w:rsidRPr="005A1A60">
        <w:rPr>
          <w:rFonts w:eastAsia="Times New Roman" w:cs="Arial"/>
          <w:color w:val="22789A"/>
          <w:sz w:val="16"/>
          <w:szCs w:val="20"/>
          <w:lang w:val="en"/>
        </w:rPr>
        <w:t xml:space="preserve">Source: </w:t>
      </w:r>
      <w:r w:rsidR="00997D7E" w:rsidRPr="00997D7E">
        <w:rPr>
          <w:color w:val="22789A" w:themeColor="accent1"/>
          <w:sz w:val="16"/>
          <w:szCs w:val="16"/>
        </w:rPr>
        <w:t xml:space="preserve">ABS (2001) </w:t>
      </w:r>
      <w:r w:rsidR="00997D7E" w:rsidRPr="00997D7E">
        <w:rPr>
          <w:i/>
          <w:iCs/>
          <w:color w:val="22789A" w:themeColor="accent1"/>
          <w:sz w:val="16"/>
          <w:szCs w:val="16"/>
        </w:rPr>
        <w:t>Small Business in Australian</w:t>
      </w:r>
      <w:r w:rsidR="00997D7E" w:rsidRPr="00997D7E">
        <w:rPr>
          <w:color w:val="22789A" w:themeColor="accent1"/>
          <w:sz w:val="16"/>
          <w:szCs w:val="16"/>
        </w:rPr>
        <w:t>, Cat. No. 1321.0 Criscuolo C, Gal PN &amp;</w:t>
      </w:r>
      <w:r w:rsidR="0093369E">
        <w:rPr>
          <w:color w:val="22789A" w:themeColor="accent1"/>
          <w:sz w:val="16"/>
          <w:szCs w:val="16"/>
        </w:rPr>
        <w:br/>
      </w:r>
      <w:r w:rsidR="00997D7E" w:rsidRPr="00997D7E">
        <w:rPr>
          <w:color w:val="22789A" w:themeColor="accent1"/>
          <w:sz w:val="16"/>
          <w:szCs w:val="16"/>
        </w:rPr>
        <w:t xml:space="preserve">Menon C (2014) </w:t>
      </w:r>
      <w:r w:rsidR="00997D7E" w:rsidRPr="00997D7E">
        <w:rPr>
          <w:i/>
          <w:color w:val="22789A" w:themeColor="accent1"/>
          <w:sz w:val="16"/>
          <w:szCs w:val="16"/>
        </w:rPr>
        <w:t>The dynamics of employment growth: New evidence from 18 countries</w:t>
      </w:r>
      <w:r w:rsidR="00997D7E" w:rsidRPr="00997D7E">
        <w:rPr>
          <w:color w:val="22789A" w:themeColor="accent1"/>
          <w:sz w:val="16"/>
          <w:szCs w:val="16"/>
        </w:rPr>
        <w:t xml:space="preserve">, OECD Science, Technology and Industry Policy Papers no. 14, OECD Publishing, </w:t>
      </w:r>
      <w:hyperlink r:id="rId25" w:history="1">
        <w:r w:rsidR="00997D7E" w:rsidRPr="00997D7E">
          <w:rPr>
            <w:rStyle w:val="Hyperlink"/>
            <w:color w:val="22789A" w:themeColor="accent1"/>
            <w:sz w:val="16"/>
            <w:szCs w:val="16"/>
          </w:rPr>
          <w:t>http://dx.doi.org/10.1787/5jz417hj6hg6-en</w:t>
        </w:r>
      </w:hyperlink>
      <w:r w:rsidR="00997D7E" w:rsidRPr="00997D7E">
        <w:rPr>
          <w:rFonts w:eastAsia="Times New Roman" w:cs="Arial"/>
          <w:color w:val="22789A" w:themeColor="accent1"/>
          <w:sz w:val="16"/>
          <w:szCs w:val="16"/>
          <w:lang w:val="en"/>
        </w:rPr>
        <w:t xml:space="preserve"> </w:t>
      </w:r>
    </w:p>
    <w:p w:rsidR="0051396B" w:rsidRPr="005A1A60" w:rsidRDefault="0051396B" w:rsidP="00997D7E">
      <w:pPr>
        <w:keepLines/>
        <w:spacing w:line="270" w:lineRule="exact"/>
        <w:ind w:left="0"/>
        <w:rPr>
          <w:rFonts w:eastAsia="Times New Roman" w:cs="Arial"/>
          <w:color w:val="22789A"/>
          <w:sz w:val="16"/>
          <w:szCs w:val="20"/>
          <w:lang w:val="en"/>
        </w:rPr>
      </w:pPr>
    </w:p>
    <w:p w:rsidR="007F1812" w:rsidRDefault="007F1812" w:rsidP="00E645E9">
      <w:pPr>
        <w:pStyle w:val="Heading2"/>
      </w:pPr>
      <w:r>
        <w:t>Australia has a high and declining share of young firms, particularly start-ups</w:t>
      </w:r>
    </w:p>
    <w:p w:rsidR="007F1812" w:rsidRDefault="007F1812" w:rsidP="007F1812">
      <w:pPr>
        <w:pStyle w:val="BodyText"/>
      </w:pPr>
      <w:r w:rsidRPr="00DA78A9">
        <w:t>The structure of Australian industry is characterised by a</w:t>
      </w:r>
      <w:r>
        <w:t xml:space="preserve"> </w:t>
      </w:r>
      <w:r w:rsidRPr="00DA78A9">
        <w:t xml:space="preserve">high proportion of small firms. </w:t>
      </w:r>
      <w:r>
        <w:t xml:space="preserve">In terms of business counts, nearly all Australian firms could be considered small to medium enterprises (SMEs; 99.7 per cent). </w:t>
      </w:r>
      <w:r w:rsidR="000420D9">
        <w:t>Micro and small f</w:t>
      </w:r>
      <w:r>
        <w:t xml:space="preserve">irms </w:t>
      </w:r>
      <w:r w:rsidR="000420D9">
        <w:t>(</w:t>
      </w:r>
      <w:r>
        <w:t>with less than 50 employees</w:t>
      </w:r>
      <w:r w:rsidR="000420D9">
        <w:t>)</w:t>
      </w:r>
      <w:r>
        <w:t xml:space="preserve"> made up some 98 per cent of Australian firms and accounted for 41 per cent of total employment over the ten years </w:t>
      </w:r>
      <w:r w:rsidR="00945358">
        <w:t>2001</w:t>
      </w:r>
      <w:r w:rsidR="00945358">
        <w:rPr>
          <w:rFonts w:cstheme="minorHAnsi"/>
        </w:rPr>
        <w:t>–</w:t>
      </w:r>
      <w:r>
        <w:t xml:space="preserve">02 </w:t>
      </w:r>
      <w:r w:rsidR="00945358">
        <w:t>to 2011</w:t>
      </w:r>
      <w:r w:rsidR="00945358">
        <w:rPr>
          <w:rFonts w:cstheme="minorHAnsi"/>
        </w:rPr>
        <w:t>–</w:t>
      </w:r>
      <w:r>
        <w:t>12</w:t>
      </w:r>
      <w:r w:rsidRPr="001E5593">
        <w:t xml:space="preserve">. </w:t>
      </w:r>
      <w:r>
        <w:t xml:space="preserve"> </w:t>
      </w:r>
      <w:r w:rsidRPr="001E5593">
        <w:t>Australia also has a</w:t>
      </w:r>
      <w:r>
        <w:t xml:space="preserve"> relatively high share of micro businesses</w:t>
      </w:r>
      <w:r w:rsidRPr="001E5593">
        <w:t xml:space="preserve"> in the total firm population compared to other OECD countries.</w:t>
      </w:r>
      <w:r w:rsidR="000420D9">
        <w:rPr>
          <w:rStyle w:val="FootnoteReference"/>
        </w:rPr>
        <w:footnoteReference w:id="9"/>
      </w:r>
      <w:r w:rsidRPr="001E5593">
        <w:t xml:space="preserve"> Micro </w:t>
      </w:r>
      <w:r>
        <w:t xml:space="preserve">firms </w:t>
      </w:r>
      <w:r w:rsidRPr="001E5593">
        <w:t xml:space="preserve">accounted </w:t>
      </w:r>
      <w:r>
        <w:t xml:space="preserve">for </w:t>
      </w:r>
      <w:r w:rsidRPr="001E5593">
        <w:t>87</w:t>
      </w:r>
      <w:r>
        <w:t xml:space="preserve"> per cent</w:t>
      </w:r>
      <w:r w:rsidRPr="001E5593">
        <w:t xml:space="preserve"> of all firms in the </w:t>
      </w:r>
      <w:r>
        <w:t>business population</w:t>
      </w:r>
      <w:r w:rsidRPr="001E5593">
        <w:t xml:space="preserve"> but only around </w:t>
      </w:r>
      <w:r>
        <w:t>16 per cent of total employment. The OECD median share of micro-firms was 80.6 per cent</w:t>
      </w:r>
      <w:r w:rsidR="00A915D5">
        <w:t>.</w:t>
      </w:r>
      <w:r w:rsidR="00A915D5">
        <w:rPr>
          <w:rStyle w:val="FootnoteReference"/>
        </w:rPr>
        <w:footnoteReference w:id="10"/>
      </w:r>
      <w:r>
        <w:t xml:space="preserve"> </w:t>
      </w:r>
      <w:r w:rsidRPr="001E5593">
        <w:t>Sole-proprietor firms</w:t>
      </w:r>
      <w:r>
        <w:t xml:space="preserve"> (with no employees)</w:t>
      </w:r>
      <w:r w:rsidRPr="001E5593">
        <w:t xml:space="preserve"> account for a high share of </w:t>
      </w:r>
      <w:r>
        <w:t xml:space="preserve">firms </w:t>
      </w:r>
      <w:r w:rsidRPr="001E5593">
        <w:t>in manufacturing (25</w:t>
      </w:r>
      <w:r>
        <w:t xml:space="preserve"> per cent</w:t>
      </w:r>
      <w:r w:rsidRPr="001E5593">
        <w:t>) and services (42</w:t>
      </w:r>
      <w:r>
        <w:t xml:space="preserve"> per cent</w:t>
      </w:r>
      <w:r w:rsidRPr="001E5593">
        <w:t>) but account for a very small percentage of total employment (0.4</w:t>
      </w:r>
      <w:r>
        <w:t xml:space="preserve"> per cent</w:t>
      </w:r>
      <w:r w:rsidRPr="001E5593">
        <w:t xml:space="preserve"> and 0.9</w:t>
      </w:r>
      <w:r>
        <w:t xml:space="preserve"> per cent</w:t>
      </w:r>
      <w:r w:rsidRPr="001E5593">
        <w:t xml:space="preserve"> of manufacturing and services, respectively). </w:t>
      </w:r>
    </w:p>
    <w:p w:rsidR="007F1812" w:rsidRPr="009A3C0C" w:rsidRDefault="007F1812" w:rsidP="007F1812">
      <w:pPr>
        <w:pStyle w:val="BodyText"/>
      </w:pPr>
      <w:r w:rsidRPr="002A1642">
        <w:t>The lion’s share of Australian employment can be attributed to a relatively small number of large firms. Large firms represent only 0.3</w:t>
      </w:r>
      <w:r>
        <w:t xml:space="preserve"> per cent</w:t>
      </w:r>
      <w:r w:rsidRPr="002A1642">
        <w:t xml:space="preserve"> of all Australian firms </w:t>
      </w:r>
      <w:r>
        <w:t xml:space="preserve">but </w:t>
      </w:r>
      <w:r w:rsidRPr="002A1642">
        <w:t>they account for some 40</w:t>
      </w:r>
      <w:r>
        <w:t xml:space="preserve"> per cent</w:t>
      </w:r>
      <w:r w:rsidRPr="002A1642">
        <w:t xml:space="preserve"> </w:t>
      </w:r>
      <w:r>
        <w:t xml:space="preserve">of </w:t>
      </w:r>
      <w:r w:rsidRPr="002A1642">
        <w:t>employment, which is broadly comparable to countries like France, UK, USA and Canada. This general pattern is similar across many other OECD countries, in that most firms are small but most employees work for medium and large firms.</w:t>
      </w:r>
      <w:r>
        <w:t xml:space="preserve"> </w:t>
      </w:r>
    </w:p>
    <w:p w:rsidR="007F1812" w:rsidRDefault="007F1812" w:rsidP="007F1812">
      <w:pPr>
        <w:pStyle w:val="BodyText"/>
      </w:pPr>
      <w:r>
        <w:t>Looking at firm age structure, the differen</w:t>
      </w:r>
      <w:r w:rsidR="0005576A">
        <w:t>ces are more pronounced. Table B</w:t>
      </w:r>
      <w:r>
        <w:t>1 provides firm age and size data for the Australian Business population between 2006 and 2011. Earlier years in the database cannot be included in this table because mature firms (6+ years</w:t>
      </w:r>
      <w:r w:rsidR="0005576A">
        <w:t>) cannot be identified. Figure 2.1</w:t>
      </w:r>
      <w:r>
        <w:t xml:space="preserve"> summarises the age profile of Australian employing SMEs </w:t>
      </w:r>
      <w:r w:rsidR="00945358">
        <w:t>(firms with 1</w:t>
      </w:r>
      <w:r w:rsidR="00945358">
        <w:rPr>
          <w:rFonts w:cstheme="minorHAnsi"/>
        </w:rPr>
        <w:t>–</w:t>
      </w:r>
      <w:r>
        <w:t>199 employees) over the same period. The proportion of firms that are y</w:t>
      </w:r>
      <w:r w:rsidR="00945358">
        <w:t>oung</w:t>
      </w:r>
      <w:r w:rsidR="0093369E">
        <w:br/>
      </w:r>
      <w:r w:rsidR="00945358">
        <w:t>(0</w:t>
      </w:r>
      <w:r w:rsidR="00945358">
        <w:rPr>
          <w:rFonts w:cstheme="minorHAnsi"/>
        </w:rPr>
        <w:t>–</w:t>
      </w:r>
      <w:r>
        <w:t>5 years of age) declined from 42.5 per cent (</w:t>
      </w:r>
      <w:r w:rsidR="00733C2D">
        <w:t>~</w:t>
      </w:r>
      <w:r>
        <w:t>33</w:t>
      </w:r>
      <w:r w:rsidR="000420D9">
        <w:t>7</w:t>
      </w:r>
      <w:r>
        <w:t>,</w:t>
      </w:r>
      <w:r w:rsidR="000420D9">
        <w:t>000</w:t>
      </w:r>
      <w:r>
        <w:t xml:space="preserve"> firms) to 35.6 per cent (</w:t>
      </w:r>
      <w:r w:rsidR="00733C2D">
        <w:t>~</w:t>
      </w:r>
      <w:r>
        <w:t>28</w:t>
      </w:r>
      <w:r w:rsidR="000420D9">
        <w:t>8</w:t>
      </w:r>
      <w:r>
        <w:t>,</w:t>
      </w:r>
      <w:r w:rsidR="000420D9">
        <w:t>000</w:t>
      </w:r>
      <w:r>
        <w:t xml:space="preserve"> firms) over the period examined. Start-ups, according to </w:t>
      </w:r>
      <w:r w:rsidR="00945358">
        <w:t>the OECD definition are firms 0</w:t>
      </w:r>
      <w:r w:rsidR="00945358">
        <w:rPr>
          <w:rFonts w:cstheme="minorHAnsi"/>
        </w:rPr>
        <w:t>–</w:t>
      </w:r>
      <w:r>
        <w:t>2 years of age. The proportion of SMEs that were start-ups declined from 19.2 per cent (</w:t>
      </w:r>
      <w:r w:rsidR="00733C2D">
        <w:t>~</w:t>
      </w:r>
      <w:r>
        <w:t>152,</w:t>
      </w:r>
      <w:r w:rsidR="000420D9">
        <w:t>000</w:t>
      </w:r>
      <w:r>
        <w:t xml:space="preserve"> firms) to 16.3 per cent (</w:t>
      </w:r>
      <w:r w:rsidR="00733C2D">
        <w:t>~</w:t>
      </w:r>
      <w:r>
        <w:t>13</w:t>
      </w:r>
      <w:r w:rsidR="000420D9">
        <w:t>2</w:t>
      </w:r>
      <w:r>
        <w:t>,</w:t>
      </w:r>
      <w:r w:rsidR="000420D9">
        <w:t>000</w:t>
      </w:r>
      <w:r>
        <w:t xml:space="preserve"> firms) between 2006 to 2011 (Figure </w:t>
      </w:r>
      <w:r w:rsidR="0005576A">
        <w:t>2.</w:t>
      </w:r>
      <w:r>
        <w:t>1). Most large firms are mature (6+ years old) and stable at around 90 per cent of all large firms (</w:t>
      </w:r>
      <w:r w:rsidR="0005576A">
        <w:t>Table B</w:t>
      </w:r>
      <w:r>
        <w:t xml:space="preserve">1). </w:t>
      </w:r>
    </w:p>
    <w:p w:rsidR="007F1812" w:rsidRDefault="007F1812" w:rsidP="007F1812">
      <w:pPr>
        <w:pStyle w:val="BodyText"/>
      </w:pPr>
      <w:r>
        <w:t xml:space="preserve">Unlike the Australian data presented in this report, OECD comparisons are limited to manufacturing, construction and non-financial service sectors. By international standards, Australia has a relatively high proportion of </w:t>
      </w:r>
      <w:r w:rsidR="000420D9">
        <w:t>small firms</w:t>
      </w:r>
      <w:r>
        <w:t xml:space="preserve"> that</w:t>
      </w:r>
      <w:r w:rsidRPr="0002788E">
        <w:t xml:space="preserve"> are start</w:t>
      </w:r>
      <w:r>
        <w:t>-</w:t>
      </w:r>
      <w:r w:rsidRPr="0002788E">
        <w:t>ups. Some 3</w:t>
      </w:r>
      <w:r>
        <w:t>3 per cent</w:t>
      </w:r>
      <w:r w:rsidRPr="0002788E">
        <w:t xml:space="preserve"> of </w:t>
      </w:r>
      <w:r>
        <w:t xml:space="preserve">firms </w:t>
      </w:r>
      <w:r w:rsidRPr="0002788E">
        <w:t xml:space="preserve">with </w:t>
      </w:r>
      <w:r>
        <w:t>less</w:t>
      </w:r>
      <w:r w:rsidRPr="0002788E">
        <w:t xml:space="preserve"> than 50 employees were aged </w:t>
      </w:r>
      <w:r>
        <w:t xml:space="preserve">less </w:t>
      </w:r>
      <w:r w:rsidRPr="0002788E">
        <w:t>than 3 years</w:t>
      </w:r>
      <w:r>
        <w:t xml:space="preserve"> in Australia</w:t>
      </w:r>
      <w:r w:rsidRPr="0002788E">
        <w:t xml:space="preserve">. Within the sample, this is second only to Brazil, where the fraction of </w:t>
      </w:r>
      <w:r>
        <w:t>start-up</w:t>
      </w:r>
      <w:r w:rsidR="00733C2D">
        <w:t xml:space="preserve">s in SMEs was </w:t>
      </w:r>
      <w:r w:rsidRPr="0002788E">
        <w:t>40</w:t>
      </w:r>
      <w:r>
        <w:t xml:space="preserve"> per cent</w:t>
      </w:r>
      <w:r w:rsidRPr="0002788E">
        <w:t xml:space="preserve"> (</w:t>
      </w:r>
      <w:r w:rsidR="0005576A">
        <w:t>Figure B</w:t>
      </w:r>
      <w:r>
        <w:t>1</w:t>
      </w:r>
      <w:r w:rsidRPr="0002788E">
        <w:t xml:space="preserve">). </w:t>
      </w:r>
      <w:r>
        <w:t>The relatively high share of start-ups among Australian firms can also be seen in the manufacturin</w:t>
      </w:r>
      <w:r w:rsidR="0005576A">
        <w:t>g and services sectors (Figure B</w:t>
      </w:r>
      <w:r>
        <w:t>2). The share of manufacturing firms aged less than 3 years was around 24 per cent, which is relatively high compared to most other countries over the 10</w:t>
      </w:r>
      <w:r w:rsidR="00655A02">
        <w:t>–</w:t>
      </w:r>
      <w:r>
        <w:t>year period.  Similarly, the services sector also exhibits a relatively high shar</w:t>
      </w:r>
      <w:r w:rsidR="006521AC">
        <w:t>e of young firms, where some 33 per cent</w:t>
      </w:r>
      <w:r>
        <w:t xml:space="preserve"> of firms could be classified as start-ups</w:t>
      </w:r>
      <w:r w:rsidRPr="0002788E">
        <w:t xml:space="preserve"> (</w:t>
      </w:r>
      <w:r w:rsidR="0005576A">
        <w:t>Figure B</w:t>
      </w:r>
      <w:r>
        <w:t>1</w:t>
      </w:r>
      <w:r w:rsidRPr="0002788E">
        <w:t>).</w:t>
      </w:r>
    </w:p>
    <w:p w:rsidR="007F1812" w:rsidRDefault="007F1812" w:rsidP="007F1812">
      <w:pPr>
        <w:pStyle w:val="BodyText"/>
      </w:pPr>
      <w:r>
        <w:t>There is considerable diversity among countries in the average number of people employed by m</w:t>
      </w:r>
      <w:r w:rsidR="0005576A">
        <w:t>anufacturing start-ups (Figure B</w:t>
      </w:r>
      <w:r>
        <w:t>2). Australian manufacturing start-ups tended to employ fewer staff during the period compared to other countries. The average number of staff employed in Australian manufacturing start-ups was 5.5 employees. The size of Australian services start-ups was closer to the middle of the country range. The average number of staff employed in Australian services start-ups was 4.3 employees.</w:t>
      </w:r>
    </w:p>
    <w:p w:rsidR="007F1812" w:rsidRDefault="007F1812" w:rsidP="007F1812">
      <w:pPr>
        <w:pStyle w:val="BodyText"/>
      </w:pPr>
      <w:r>
        <w:t xml:space="preserve">Notwithstanding the relatively high proportion of start-ups in Australia there has been a decline in Australia (Figure </w:t>
      </w:r>
      <w:r w:rsidR="0005576A">
        <w:t>2.</w:t>
      </w:r>
      <w:r>
        <w:t xml:space="preserve">1), and indeed in many other OECD countries. </w:t>
      </w:r>
      <w:r w:rsidR="0005576A">
        <w:t xml:space="preserve">Figure </w:t>
      </w:r>
      <w:r w:rsidR="00022814">
        <w:t>B</w:t>
      </w:r>
      <w:r>
        <w:t xml:space="preserve">3 </w:t>
      </w:r>
      <w:r w:rsidRPr="0002788E">
        <w:t>compares</w:t>
      </w:r>
      <w:r>
        <w:t xml:space="preserve"> start-up rates by countries (i.e. the fraction of start-ups among all firms), ave</w:t>
      </w:r>
      <w:bookmarkStart w:id="4" w:name="CursorPositionBM"/>
      <w:bookmarkEnd w:id="4"/>
      <w:r>
        <w:t xml:space="preserve">raged across the indicated 3-year periods. The share of Australian start-ups against all firms has been declining since the </w:t>
      </w:r>
      <w:r w:rsidR="00945358">
        <w:t>three-year period 2004</w:t>
      </w:r>
      <w:r w:rsidR="00945358">
        <w:rPr>
          <w:rFonts w:cstheme="minorHAnsi"/>
        </w:rPr>
        <w:t>–</w:t>
      </w:r>
      <w:r w:rsidRPr="00D72842">
        <w:t>2006.</w:t>
      </w:r>
      <w:r>
        <w:rPr>
          <w:rStyle w:val="FootnoteReference"/>
        </w:rPr>
        <w:footnoteReference w:id="11"/>
      </w:r>
      <w:r>
        <w:t xml:space="preserve"> This ageing trend is apparent across many other countries in the OECD.</w:t>
      </w:r>
      <w:r w:rsidRPr="00C12DFD">
        <w:t xml:space="preserve"> In parallel with the decline in the start-up rate, Australia’s start-up share of total employment has been falling and the share of start-ups in gross job creation has fallen in recent </w:t>
      </w:r>
      <w:r>
        <w:t>years, from around 32 per cent to less than 15 per cent</w:t>
      </w:r>
      <w:r w:rsidRPr="00C12DFD">
        <w:t>.</w:t>
      </w:r>
    </w:p>
    <w:p w:rsidR="00E645E9" w:rsidRDefault="00E645E9" w:rsidP="00DB555F">
      <w:pPr>
        <w:pStyle w:val="CaptionWide"/>
      </w:pPr>
      <w:r>
        <w:t>Figure</w:t>
      </w:r>
      <w:r w:rsidRPr="000618FB">
        <w:t xml:space="preserve"> </w:t>
      </w:r>
      <w:r w:rsidR="00B77A63">
        <w:fldChar w:fldCharType="begin"/>
      </w:r>
      <w:r w:rsidR="006D3DDF">
        <w:instrText xml:space="preserve"> STYLEREF 1 \s </w:instrText>
      </w:r>
      <w:r w:rsidR="00B77A63">
        <w:fldChar w:fldCharType="separate"/>
      </w:r>
      <w:r w:rsidR="00A13942">
        <w:rPr>
          <w:noProof/>
        </w:rPr>
        <w:t>2</w:t>
      </w:r>
      <w:r w:rsidR="00B77A63">
        <w:rPr>
          <w:noProof/>
        </w:rPr>
        <w:fldChar w:fldCharType="end"/>
      </w:r>
      <w:r w:rsidRPr="000618FB">
        <w:t>.</w:t>
      </w:r>
      <w:r w:rsidR="00B77A63" w:rsidRPr="000618FB">
        <w:fldChar w:fldCharType="begin"/>
      </w:r>
      <w:r w:rsidRPr="000618FB">
        <w:instrText xml:space="preserve"> SEQ </w:instrText>
      </w:r>
      <w:r>
        <w:instrText>Figure</w:instrText>
      </w:r>
      <w:r w:rsidRPr="000618FB">
        <w:instrText xml:space="preserve"> \* ARABIC \s 1 </w:instrText>
      </w:r>
      <w:r w:rsidR="00B77A63" w:rsidRPr="000618FB">
        <w:fldChar w:fldCharType="separate"/>
      </w:r>
      <w:r w:rsidR="00A13942">
        <w:rPr>
          <w:noProof/>
        </w:rPr>
        <w:t>1</w:t>
      </w:r>
      <w:r w:rsidR="00B77A63" w:rsidRPr="000618FB">
        <w:fldChar w:fldCharType="end"/>
      </w:r>
      <w:r>
        <w:t>: Age composition of small to medium sized firms, 2006</w:t>
      </w:r>
      <w:r>
        <w:rPr>
          <w:rFonts w:cs="Arial"/>
        </w:rPr>
        <w:t>–</w:t>
      </w:r>
      <w:r>
        <w:t>2011</w:t>
      </w:r>
    </w:p>
    <w:p w:rsidR="005C720E" w:rsidRPr="005C720E" w:rsidRDefault="0065507A" w:rsidP="005C720E">
      <w:pPr>
        <w:pStyle w:val="PlaceholderWide"/>
      </w:pPr>
      <w:r>
        <w:rPr>
          <w:noProof/>
          <w:lang w:eastAsia="en-AU"/>
        </w:rPr>
        <w:drawing>
          <wp:inline distT="0" distB="0" distL="0" distR="0" wp14:anchorId="27CFF726" wp14:editId="70494751">
            <wp:extent cx="5731510" cy="3578225"/>
            <wp:effectExtent l="0" t="0" r="2540" b="3175"/>
            <wp:docPr id="8" name="Picture 8" descr="Based on data from the ABS Expanded Analytical Business Longitudinal Database, figure 2.1 is a bar chart showing the share of businesses by different age groups in the total number of small and medium sized firms (SMEs) in Australia each year from 2006 to 2011. SMEs are categorised in Australia as firms with 1-199 employees. The units in the bars are the total number of businesses in each age category. Yong firms are 0-5 years of age and mature firms are more than 6 years of age. Start-ups are defined as a subset of young firm at 0-2 years of age. The figure shows that the proportion of firms that are young declined from 42.5 per cent to 35.6 per cent and the proportion of SMEs that were start-ups declined from 19.2 per cent to 16.3 per cent between 2006 and 2011. In terms of the number of firms, the figure shows that between 2006 and 2011, the number of start-ups (0-2 years of age) declined from 152,274 to 131,613, the number of young firms (3-5 years of age) declined from 184,722 to 156,203, whereas the number of mature firms (more than 6 years of age) increased from 455,501 to 520,177." title="Figure 2.1: Age composition of small to medium sized firms, 2006–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2.1 v3.png"/>
                    <pic:cNvPicPr/>
                  </pic:nvPicPr>
                  <pic:blipFill>
                    <a:blip r:embed="rId26">
                      <a:extLst>
                        <a:ext uri="{28A0092B-C50C-407E-A947-70E740481C1C}">
                          <a14:useLocalDpi xmlns:a14="http://schemas.microsoft.com/office/drawing/2010/main" val="0"/>
                        </a:ext>
                      </a:extLst>
                    </a:blip>
                    <a:stretch>
                      <a:fillRect/>
                    </a:stretch>
                  </pic:blipFill>
                  <pic:spPr>
                    <a:xfrm>
                      <a:off x="0" y="0"/>
                      <a:ext cx="5731510" cy="3578225"/>
                    </a:xfrm>
                    <a:prstGeom prst="rect">
                      <a:avLst/>
                    </a:prstGeom>
                  </pic:spPr>
                </pic:pic>
              </a:graphicData>
            </a:graphic>
          </wp:inline>
        </w:drawing>
      </w:r>
    </w:p>
    <w:p w:rsidR="00E645E9" w:rsidRPr="00C62F3A" w:rsidRDefault="00E645E9" w:rsidP="00DB555F">
      <w:pPr>
        <w:pStyle w:val="NoteWide"/>
      </w:pPr>
      <w:r>
        <w:t xml:space="preserve">Notes: The graph shows the </w:t>
      </w:r>
      <w:r w:rsidR="00133523">
        <w:t xml:space="preserve">number </w:t>
      </w:r>
      <w:r>
        <w:t>of firms by different age groups in the total number of small and medium firms (1–199 employees) in Australia. The units in the bars are the total number of businesses in each age category. Young firms are 0–5 years and mature firms are 6+ years. Start-ups are defined as a subset of young firms that are 0–2 years of age. Data is for all sectors of the economy excluding government and non-employing firms.</w:t>
      </w:r>
    </w:p>
    <w:p w:rsidR="00E645E9" w:rsidRDefault="00E645E9" w:rsidP="00DB555F">
      <w:pPr>
        <w:pStyle w:val="SourceWide"/>
      </w:pPr>
      <w:r>
        <w:t xml:space="preserve">Source: </w:t>
      </w:r>
      <w:r w:rsidRPr="00683EED">
        <w:t xml:space="preserve">ABS (2015) </w:t>
      </w:r>
      <w:r>
        <w:t>Expanded</w:t>
      </w:r>
      <w:r w:rsidRPr="00683EED">
        <w:t xml:space="preserve"> Analytical </w:t>
      </w:r>
      <w:r>
        <w:t xml:space="preserve">Business </w:t>
      </w:r>
      <w:r w:rsidRPr="00683EED">
        <w:t>Longitudinal Database</w:t>
      </w:r>
      <w:r>
        <w:t xml:space="preserve"> 2001–02 to 2012–13</w:t>
      </w:r>
    </w:p>
    <w:p w:rsidR="007F1812" w:rsidRDefault="007F1812" w:rsidP="007F1812">
      <w:pPr>
        <w:pStyle w:val="BodyText"/>
      </w:pPr>
      <w:r>
        <w:t>The majority of employment is concentrated in mature busine</w:t>
      </w:r>
      <w:r w:rsidR="0005576A">
        <w:t>sses, both in Australia (Table B</w:t>
      </w:r>
      <w:r>
        <w:t xml:space="preserve">1) and in other countries in the </w:t>
      </w:r>
      <w:r w:rsidR="00733C2D">
        <w:t xml:space="preserve">OECD </w:t>
      </w:r>
      <w:r>
        <w:t xml:space="preserve">DynEmp database. In Australia, in 2011, mature employing businesses accounted for almost 6 million </w:t>
      </w:r>
      <w:r w:rsidR="00733C2D">
        <w:t>Full Time Equivalent (</w:t>
      </w:r>
      <w:r>
        <w:t>FTE</w:t>
      </w:r>
      <w:r w:rsidR="00733C2D">
        <w:t>)</w:t>
      </w:r>
      <w:r>
        <w:t xml:space="preserve"> jobs or 84.2 per cent of all employment. This is for all sectors of the economy. </w:t>
      </w:r>
    </w:p>
    <w:p w:rsidR="007F1812" w:rsidRPr="009A3C0C" w:rsidRDefault="007F1812" w:rsidP="007F1812">
      <w:pPr>
        <w:pStyle w:val="BodyText"/>
      </w:pPr>
      <w:r w:rsidRPr="009A3C0C">
        <w:t>Across all countries</w:t>
      </w:r>
      <w:r>
        <w:t xml:space="preserve"> examined to date</w:t>
      </w:r>
      <w:r w:rsidRPr="009A3C0C">
        <w:t>, around 63</w:t>
      </w:r>
      <w:r>
        <w:t xml:space="preserve"> per cent</w:t>
      </w:r>
      <w:r w:rsidRPr="009A3C0C">
        <w:t xml:space="preserve"> of </w:t>
      </w:r>
      <w:r>
        <w:t xml:space="preserve">manufacturing, construction and non-financial sector </w:t>
      </w:r>
      <w:r w:rsidRPr="009A3C0C">
        <w:t>firms were mature (aged 6 years or more), and these accounted for nearly 80</w:t>
      </w:r>
      <w:r>
        <w:t xml:space="preserve"> per cent</w:t>
      </w:r>
      <w:r w:rsidRPr="009A3C0C">
        <w:t xml:space="preserve"> of total </w:t>
      </w:r>
      <w:r w:rsidRPr="00771E00">
        <w:t>employment</w:t>
      </w:r>
      <w:r w:rsidR="0005576A">
        <w:t xml:space="preserve"> for those sectors (Figure B</w:t>
      </w:r>
      <w:r>
        <w:t>4</w:t>
      </w:r>
      <w:r w:rsidRPr="00771E00">
        <w:t>). Australian mature firms (aged 6</w:t>
      </w:r>
      <w:r>
        <w:t>+</w:t>
      </w:r>
      <w:r w:rsidRPr="00771E00">
        <w:t xml:space="preserve"> years) showed relatively smaller</w:t>
      </w:r>
      <w:r w:rsidRPr="009A3C0C">
        <w:t xml:space="preserve"> shares of overall firms (48</w:t>
      </w:r>
      <w:r>
        <w:t xml:space="preserve"> per cent</w:t>
      </w:r>
      <w:r w:rsidRPr="009A3C0C">
        <w:t>) and employment</w:t>
      </w:r>
      <w:r w:rsidR="0093369E">
        <w:br/>
      </w:r>
      <w:r w:rsidRPr="009A3C0C">
        <w:t>(71</w:t>
      </w:r>
      <w:r>
        <w:t xml:space="preserve"> per cent</w:t>
      </w:r>
      <w:r w:rsidRPr="009A3C0C">
        <w:t>)</w:t>
      </w:r>
      <w:r>
        <w:t xml:space="preserve"> than other countries</w:t>
      </w:r>
      <w:r w:rsidRPr="009A3C0C">
        <w:t>, respectively, but the pattern is</w:t>
      </w:r>
      <w:r>
        <w:t xml:space="preserve"> broadly</w:t>
      </w:r>
      <w:r w:rsidRPr="009A3C0C">
        <w:t xml:space="preserve"> consistent with other participating countries</w:t>
      </w:r>
      <w:r w:rsidR="0005576A">
        <w:t xml:space="preserve"> (Figure B</w:t>
      </w:r>
      <w:r>
        <w:t>4)</w:t>
      </w:r>
      <w:r w:rsidRPr="009A3C0C">
        <w:t>.</w:t>
      </w:r>
    </w:p>
    <w:p w:rsidR="007F1812" w:rsidRDefault="007F1812" w:rsidP="007F1812">
      <w:pPr>
        <w:pStyle w:val="BodyText"/>
      </w:pPr>
      <w:r>
        <w:t>The share of young</w:t>
      </w:r>
      <w:r w:rsidRPr="009A3C0C">
        <w:t xml:space="preserve"> firms</w:t>
      </w:r>
      <w:r w:rsidR="00945358">
        <w:t xml:space="preserve"> (0</w:t>
      </w:r>
      <w:r w:rsidR="00945358">
        <w:rPr>
          <w:rFonts w:cstheme="minorHAnsi"/>
        </w:rPr>
        <w:t>–</w:t>
      </w:r>
      <w:r>
        <w:t xml:space="preserve">5 years old) </w:t>
      </w:r>
      <w:r w:rsidRPr="009A3C0C">
        <w:t>in</w:t>
      </w:r>
      <w:r>
        <w:t xml:space="preserve"> the</w:t>
      </w:r>
      <w:r w:rsidRPr="009A3C0C">
        <w:t xml:space="preserve"> total </w:t>
      </w:r>
      <w:r>
        <w:t xml:space="preserve">number </w:t>
      </w:r>
      <w:r w:rsidRPr="009A3C0C">
        <w:t xml:space="preserve">of all </w:t>
      </w:r>
      <w:r>
        <w:t xml:space="preserve">firms </w:t>
      </w:r>
      <w:r w:rsidRPr="009A3C0C">
        <w:t xml:space="preserve">was lower, </w:t>
      </w:r>
      <w:r w:rsidRPr="00D55608">
        <w:t>compared to mature firms</w:t>
      </w:r>
      <w:r>
        <w:t xml:space="preserve">, </w:t>
      </w:r>
      <w:r w:rsidRPr="009A3C0C">
        <w:t xml:space="preserve">as was their </w:t>
      </w:r>
      <w:r w:rsidRPr="00075241">
        <w:t>share of employment</w:t>
      </w:r>
      <w:r w:rsidRPr="009A3C0C">
        <w:t xml:space="preserve">. This pattern is similar both in Australia and </w:t>
      </w:r>
      <w:r>
        <w:t>across</w:t>
      </w:r>
      <w:r w:rsidRPr="009A3C0C">
        <w:t xml:space="preserve"> other countries</w:t>
      </w:r>
      <w:r w:rsidR="0005576A">
        <w:t xml:space="preserve"> examined by the OECD (Figure B</w:t>
      </w:r>
      <w:r>
        <w:t>4)</w:t>
      </w:r>
      <w:r w:rsidRPr="009A3C0C">
        <w:t xml:space="preserve">. However, differences </w:t>
      </w:r>
      <w:r>
        <w:t xml:space="preserve">between countries do </w:t>
      </w:r>
      <w:r w:rsidRPr="009A3C0C">
        <w:t xml:space="preserve">exist in the relative magnitudes. Australian </w:t>
      </w:r>
      <w:r>
        <w:t>start-up</w:t>
      </w:r>
      <w:r w:rsidRPr="009A3C0C">
        <w:t xml:space="preserve">s (firms aged </w:t>
      </w:r>
      <w:r w:rsidR="00945358">
        <w:t>0</w:t>
      </w:r>
      <w:r w:rsidR="00945358">
        <w:rPr>
          <w:rFonts w:cstheme="minorHAnsi"/>
        </w:rPr>
        <w:t>–</w:t>
      </w:r>
      <w:r w:rsidRPr="009A3C0C">
        <w:t>2 years</w:t>
      </w:r>
      <w:r>
        <w:t>) accounted for 34 per cent</w:t>
      </w:r>
      <w:r w:rsidRPr="009A3C0C">
        <w:t xml:space="preserve"> of all firms in the </w:t>
      </w:r>
      <w:r>
        <w:t>subpopulation</w:t>
      </w:r>
      <w:r w:rsidRPr="009A3C0C">
        <w:t xml:space="preserve"> over the period, which is relatively higher </w:t>
      </w:r>
      <w:r>
        <w:t>than</w:t>
      </w:r>
      <w:r w:rsidRPr="009A3C0C">
        <w:t xml:space="preserve"> the average of other countries </w:t>
      </w:r>
      <w:r>
        <w:t xml:space="preserve">in the OECD DynEmp database </w:t>
      </w:r>
      <w:r w:rsidRPr="009A3C0C">
        <w:t>(20</w:t>
      </w:r>
      <w:r>
        <w:t xml:space="preserve"> per cent</w:t>
      </w:r>
      <w:r w:rsidRPr="009A3C0C">
        <w:t>).</w:t>
      </w:r>
      <w:r w:rsidRPr="00DF6F19">
        <w:t xml:space="preserve"> </w:t>
      </w:r>
    </w:p>
    <w:p w:rsidR="007F1812" w:rsidRDefault="007F1812" w:rsidP="00E645E9">
      <w:pPr>
        <w:pStyle w:val="Heading2"/>
      </w:pPr>
      <w:r>
        <w:t>Young SMEs contribute disproportionately to job creation</w:t>
      </w:r>
    </w:p>
    <w:p w:rsidR="007F1812" w:rsidRDefault="007F1812" w:rsidP="007F1812">
      <w:pPr>
        <w:pStyle w:val="BodyText"/>
      </w:pPr>
      <w:r>
        <w:t>Over the period 2006 to 2011 we estimate that 1.04 million full time equivalent jobs were added to the economy. Young SMEs are responsible for the majority of this net growth having added 1.12 million jobs in that period (Figure 2</w:t>
      </w:r>
      <w:r w:rsidR="0005576A">
        <w:t>.2</w:t>
      </w:r>
      <w:r>
        <w:t xml:space="preserve">). </w:t>
      </w:r>
    </w:p>
    <w:p w:rsidR="007F1812" w:rsidRDefault="007F1812" w:rsidP="007F1812">
      <w:pPr>
        <w:pStyle w:val="BodyText"/>
      </w:pPr>
      <w:r>
        <w:t xml:space="preserve">Figure </w:t>
      </w:r>
      <w:r w:rsidR="0005576A">
        <w:t>2.</w:t>
      </w:r>
      <w:r>
        <w:t>3 shows net job creation b</w:t>
      </w:r>
      <w:r w:rsidR="00945358">
        <w:t>y age over the same period 2006</w:t>
      </w:r>
      <w:r w:rsidR="00945358">
        <w:rPr>
          <w:rFonts w:cstheme="minorHAnsi"/>
        </w:rPr>
        <w:t>–</w:t>
      </w:r>
      <w:r>
        <w:t>2011. Most of the job creation was undertaken by start-ups of any size.</w:t>
      </w:r>
      <w:r w:rsidR="00945358">
        <w:t xml:space="preserve"> Start-ups (firms aged 0</w:t>
      </w:r>
      <w:r w:rsidR="00945358">
        <w:rPr>
          <w:rFonts w:cstheme="minorHAnsi"/>
        </w:rPr>
        <w:t>–</w:t>
      </w:r>
      <w:r>
        <w:t xml:space="preserve">2 years) added </w:t>
      </w:r>
      <w:r w:rsidR="009004EC">
        <w:t xml:space="preserve">approximately </w:t>
      </w:r>
      <w:r>
        <w:t xml:space="preserve">1.44 million jobs to the economy whereas older firms (3+ years) shed just over 400,000 jobs over the same period (Figure </w:t>
      </w:r>
      <w:r w:rsidR="0005576A">
        <w:t>2.3; Table B1). Figure B</w:t>
      </w:r>
      <w:r>
        <w:t>5 shows that firm entry and immediate post-entry growth dominate gross job creation.</w:t>
      </w:r>
      <w:r w:rsidRPr="004B2551">
        <w:t xml:space="preserve"> </w:t>
      </w:r>
      <w:r>
        <w:t>For example, i</w:t>
      </w:r>
      <w:r w:rsidRPr="00463466">
        <w:t>n 2011</w:t>
      </w:r>
      <w:r>
        <w:t>,</w:t>
      </w:r>
      <w:r w:rsidRPr="00463466">
        <w:t xml:space="preserve"> young firms added </w:t>
      </w:r>
      <w:r>
        <w:t>~</w:t>
      </w:r>
      <w:r w:rsidRPr="00463466">
        <w:t>27</w:t>
      </w:r>
      <w:r>
        <w:t>5</w:t>
      </w:r>
      <w:r w:rsidRPr="00463466">
        <w:t>,</w:t>
      </w:r>
      <w:r>
        <w:t>000</w:t>
      </w:r>
      <w:r w:rsidRPr="00463466">
        <w:t xml:space="preserve"> jobs to the economy. </w:t>
      </w:r>
      <w:r>
        <w:t>Firm entry added ~154,000 jobs in 2011, just over half of all young SME firm employment creation. Mature</w:t>
      </w:r>
      <w:r w:rsidRPr="00463466">
        <w:t xml:space="preserve"> firms by contrast added </w:t>
      </w:r>
      <w:r>
        <w:t>~</w:t>
      </w:r>
      <w:r w:rsidRPr="00463466">
        <w:t>5</w:t>
      </w:r>
      <w:r>
        <w:t>3</w:t>
      </w:r>
      <w:r w:rsidRPr="00463466">
        <w:t>,</w:t>
      </w:r>
      <w:r>
        <w:t>000</w:t>
      </w:r>
      <w:r w:rsidRPr="00463466">
        <w:t xml:space="preserve"> jobs to the economy.</w:t>
      </w:r>
    </w:p>
    <w:p w:rsidR="00E645E9" w:rsidRDefault="00E645E9" w:rsidP="00DB555F">
      <w:pPr>
        <w:pStyle w:val="CaptionWide"/>
      </w:pPr>
      <w:r>
        <w:t>Figure</w:t>
      </w:r>
      <w:r w:rsidRPr="000618FB">
        <w:t xml:space="preserve"> </w:t>
      </w:r>
      <w:r w:rsidR="00B77A63">
        <w:fldChar w:fldCharType="begin"/>
      </w:r>
      <w:r w:rsidR="006D3DDF">
        <w:instrText xml:space="preserve"> STYLEREF 1 \s </w:instrText>
      </w:r>
      <w:r w:rsidR="00B77A63">
        <w:fldChar w:fldCharType="separate"/>
      </w:r>
      <w:r w:rsidR="00A13942">
        <w:rPr>
          <w:noProof/>
        </w:rPr>
        <w:t>2</w:t>
      </w:r>
      <w:r w:rsidR="00B77A63">
        <w:rPr>
          <w:noProof/>
        </w:rPr>
        <w:fldChar w:fldCharType="end"/>
      </w:r>
      <w:r w:rsidRPr="000618FB">
        <w:t>.</w:t>
      </w:r>
      <w:r w:rsidR="00B77A63" w:rsidRPr="000618FB">
        <w:fldChar w:fldCharType="begin"/>
      </w:r>
      <w:r w:rsidRPr="000618FB">
        <w:instrText xml:space="preserve"> SEQ </w:instrText>
      </w:r>
      <w:r>
        <w:instrText>Figure</w:instrText>
      </w:r>
      <w:r w:rsidRPr="000618FB">
        <w:instrText xml:space="preserve"> \* ARABIC \s 1 </w:instrText>
      </w:r>
      <w:r w:rsidR="00B77A63" w:rsidRPr="000618FB">
        <w:fldChar w:fldCharType="separate"/>
      </w:r>
      <w:r w:rsidR="00A13942">
        <w:rPr>
          <w:noProof/>
        </w:rPr>
        <w:t>2</w:t>
      </w:r>
      <w:r w:rsidR="00B77A63" w:rsidRPr="000618FB">
        <w:fldChar w:fldCharType="end"/>
      </w:r>
      <w:r>
        <w:t>: Net employment creation, gross employment creation and gross employment destruction by firm age and size, 2006</w:t>
      </w:r>
      <w:r>
        <w:rPr>
          <w:rFonts w:cs="Arial"/>
        </w:rPr>
        <w:t>–</w:t>
      </w:r>
      <w:r>
        <w:t>2011</w:t>
      </w:r>
    </w:p>
    <w:p w:rsidR="005C720E" w:rsidRPr="005C720E" w:rsidRDefault="005C720E" w:rsidP="005C720E">
      <w:pPr>
        <w:pStyle w:val="PlaceholderWide"/>
      </w:pPr>
      <w:r>
        <w:rPr>
          <w:noProof/>
          <w:lang w:eastAsia="en-AU"/>
        </w:rPr>
        <w:drawing>
          <wp:inline distT="0" distB="0" distL="0" distR="0" wp14:anchorId="4641D873" wp14:editId="67198E83">
            <wp:extent cx="5661025" cy="3582035"/>
            <wp:effectExtent l="0" t="0" r="0" b="0"/>
            <wp:docPr id="13" name="Picture 13" descr="Based on data from the ABS Expanded Analytical Business Longitudinal Database, figure 2.2 is a bar chart displaying net employment creation, gross employment creation and gross employment destruction by firm age and size from 2006 to 2011. It compares young SMEs, young large firms, mature SMEs and mature large firms in terms of gross job creation, gross job destruction and net job creation, and provides a total. Young firms are 0-5 years and mature firms are more than 6 years of age. The figure shows that young SMEs contribute disproportionately to job creation. It estimates that 1.04million full time equivalent jobs were added to the economy between 2006 and 2011, and that young SMEs were responsible for the majority of this net growth having added 1.12 million jobs in that period. The total gross job creation in the period was 5.47 million and the total gross job destruction, 4.43 million." title="Figure 2.2: Net employment creation, gross employment creation and gross employment destruction by firm age and size, 2006–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2.2.png"/>
                    <pic:cNvPicPr/>
                  </pic:nvPicPr>
                  <pic:blipFill>
                    <a:blip r:embed="rId27">
                      <a:extLst>
                        <a:ext uri="{28A0092B-C50C-407E-A947-70E740481C1C}">
                          <a14:useLocalDpi xmlns:a14="http://schemas.microsoft.com/office/drawing/2010/main" val="0"/>
                        </a:ext>
                      </a:extLst>
                    </a:blip>
                    <a:stretch>
                      <a:fillRect/>
                    </a:stretch>
                  </pic:blipFill>
                  <pic:spPr>
                    <a:xfrm>
                      <a:off x="0" y="0"/>
                      <a:ext cx="5661025" cy="3582035"/>
                    </a:xfrm>
                    <a:prstGeom prst="rect">
                      <a:avLst/>
                    </a:prstGeom>
                  </pic:spPr>
                </pic:pic>
              </a:graphicData>
            </a:graphic>
          </wp:inline>
        </w:drawing>
      </w:r>
    </w:p>
    <w:p w:rsidR="00E645E9" w:rsidRPr="00C62F3A" w:rsidRDefault="00E645E9" w:rsidP="00DB555F">
      <w:pPr>
        <w:pStyle w:val="NoteWide"/>
      </w:pPr>
      <w:r>
        <w:t xml:space="preserve">Notes: Employment is measured in Full </w:t>
      </w:r>
      <w:r w:rsidR="000C37F3">
        <w:t>Time Equivalents (See Appendix A</w:t>
      </w:r>
      <w:r>
        <w:t>). Results are for all non-government sectors and exclude non-employing firms. Young firms are 0–5 years and mature firms are 6+ years.</w:t>
      </w:r>
    </w:p>
    <w:p w:rsidR="00E645E9" w:rsidRDefault="00E645E9" w:rsidP="00DB555F">
      <w:pPr>
        <w:pStyle w:val="SourceWide"/>
      </w:pPr>
      <w:r>
        <w:t xml:space="preserve">Source: </w:t>
      </w:r>
      <w:r w:rsidRPr="00683EED">
        <w:t xml:space="preserve">ABS (2015) </w:t>
      </w:r>
      <w:r>
        <w:t>Expanded</w:t>
      </w:r>
      <w:r w:rsidRPr="00683EED">
        <w:t xml:space="preserve"> Analytical </w:t>
      </w:r>
      <w:r>
        <w:t xml:space="preserve">Business </w:t>
      </w:r>
      <w:r w:rsidRPr="00683EED">
        <w:t>Longitudinal Database</w:t>
      </w:r>
      <w:r>
        <w:t xml:space="preserve"> 2001–02 to 2012–13</w:t>
      </w:r>
    </w:p>
    <w:p w:rsidR="007F1812" w:rsidRPr="00463466" w:rsidRDefault="00945358" w:rsidP="00E645E9">
      <w:pPr>
        <w:pStyle w:val="BodyText"/>
      </w:pPr>
      <w:r>
        <w:t>The 2006</w:t>
      </w:r>
      <w:r>
        <w:rPr>
          <w:rFonts w:cstheme="minorHAnsi"/>
        </w:rPr>
        <w:t>–</w:t>
      </w:r>
      <w:r w:rsidR="007F1812">
        <w:t xml:space="preserve">2011 period examined is unusual in that it covers a significant economic downturn when a lot of jobs were lost (Figure </w:t>
      </w:r>
      <w:r w:rsidR="0005576A">
        <w:t>2.</w:t>
      </w:r>
      <w:r w:rsidR="007F1812">
        <w:t>3). The data shows that through the global financial crisis start-ups maintained net positive employment growth whereas older firms became net job destroyers</w:t>
      </w:r>
      <w:r w:rsidR="00294E30">
        <w:t xml:space="preserve"> </w:t>
      </w:r>
      <w:r w:rsidR="007F1812">
        <w:t>(Figure</w:t>
      </w:r>
      <w:r w:rsidR="00294E30">
        <w:t> </w:t>
      </w:r>
      <w:r w:rsidR="0005576A">
        <w:t>2.</w:t>
      </w:r>
      <w:r w:rsidR="007F1812">
        <w:t>3). Net employment loss during this period was driven by downsizing rat</w:t>
      </w:r>
      <w:r w:rsidR="0005576A">
        <w:t>her than exit of firms (Figure B</w:t>
      </w:r>
      <w:r w:rsidR="007F1812">
        <w:t xml:space="preserve">5). </w:t>
      </w:r>
    </w:p>
    <w:p w:rsidR="007F1812" w:rsidRDefault="007F1812" w:rsidP="00E645E9">
      <w:pPr>
        <w:pStyle w:val="BodyText"/>
      </w:pPr>
      <w:r>
        <w:t>Despite having a relatively lower share in total employment, younger firms</w:t>
      </w:r>
      <w:r w:rsidR="00AD059C">
        <w:t xml:space="preserve"> </w:t>
      </w:r>
      <w:r>
        <w:t>—</w:t>
      </w:r>
      <w:r w:rsidR="00AD059C">
        <w:t xml:space="preserve"> </w:t>
      </w:r>
      <w:r>
        <w:t>and especially smaller ones</w:t>
      </w:r>
      <w:r w:rsidR="00AD059C">
        <w:t xml:space="preserve"> </w:t>
      </w:r>
      <w:r>
        <w:t>—</w:t>
      </w:r>
      <w:r w:rsidR="00AD059C">
        <w:t xml:space="preserve"> </w:t>
      </w:r>
      <w:r>
        <w:t>contribute disproportionately to jo</w:t>
      </w:r>
      <w:r w:rsidRPr="007C59DA">
        <w:t>b creation</w:t>
      </w:r>
      <w:r>
        <w:t xml:space="preserve"> (Figure </w:t>
      </w:r>
      <w:r w:rsidR="0005576A">
        <w:t>2.</w:t>
      </w:r>
      <w:r>
        <w:t>4)</w:t>
      </w:r>
      <w:r w:rsidRPr="007C59DA">
        <w:t>.</w:t>
      </w:r>
      <w:r>
        <w:t xml:space="preserve"> </w:t>
      </w:r>
      <w:r w:rsidRPr="007C59DA">
        <w:t>Over the period</w:t>
      </w:r>
      <w:r w:rsidR="00945358">
        <w:t xml:space="preserve"> 2006</w:t>
      </w:r>
      <w:r w:rsidR="00945358">
        <w:rPr>
          <w:rFonts w:cstheme="minorHAnsi"/>
        </w:rPr>
        <w:t>–</w:t>
      </w:r>
      <w:r>
        <w:t>2011</w:t>
      </w:r>
      <w:r w:rsidRPr="007C59DA">
        <w:t>, the largest contribution to job creation in Australia (</w:t>
      </w:r>
      <w:r>
        <w:t>40 per cent</w:t>
      </w:r>
      <w:r w:rsidRPr="007C59DA">
        <w:t xml:space="preserve">) came from </w:t>
      </w:r>
      <w:r>
        <w:t xml:space="preserve">young SMEs: firms </w:t>
      </w:r>
      <w:r w:rsidRPr="007C59DA">
        <w:t xml:space="preserve">aged </w:t>
      </w:r>
      <w:r w:rsidR="00945358">
        <w:t>0</w:t>
      </w:r>
      <w:r w:rsidR="00945358">
        <w:rPr>
          <w:rFonts w:cstheme="minorHAnsi"/>
        </w:rPr>
        <w:t>–</w:t>
      </w:r>
      <w:r>
        <w:t>5</w:t>
      </w:r>
      <w:r w:rsidRPr="007C59DA">
        <w:t xml:space="preserve"> years that had </w:t>
      </w:r>
      <w:r w:rsidR="00945358">
        <w:t>1</w:t>
      </w:r>
      <w:r w:rsidR="00945358">
        <w:rPr>
          <w:rFonts w:cstheme="minorHAnsi"/>
        </w:rPr>
        <w:t>–</w:t>
      </w:r>
      <w:r>
        <w:t>199</w:t>
      </w:r>
      <w:r w:rsidRPr="007C59DA">
        <w:t xml:space="preserve"> employees</w:t>
      </w:r>
      <w:r>
        <w:t xml:space="preserve"> and accounted for only 15 per cent of total employment</w:t>
      </w:r>
      <w:r w:rsidRPr="007C59DA">
        <w:t xml:space="preserve">. By contrast, </w:t>
      </w:r>
      <w:r>
        <w:t xml:space="preserve">mature Australian SMEs </w:t>
      </w:r>
      <w:r w:rsidRPr="007C59DA">
        <w:t>showed the highest rate of job destruction (</w:t>
      </w:r>
      <w:r>
        <w:t>52 per cent</w:t>
      </w:r>
      <w:r w:rsidRPr="007C59DA">
        <w:t>) but their share of employment (</w:t>
      </w:r>
      <w:r>
        <w:t>41 per cent</w:t>
      </w:r>
      <w:r w:rsidRPr="007C59DA">
        <w:t>)</w:t>
      </w:r>
      <w:r>
        <w:t xml:space="preserve"> </w:t>
      </w:r>
      <w:r w:rsidRPr="007C59DA">
        <w:t xml:space="preserve">was </w:t>
      </w:r>
      <w:r>
        <w:t>also higher than young</w:t>
      </w:r>
      <w:r w:rsidRPr="007C59DA">
        <w:t xml:space="preserve"> </w:t>
      </w:r>
      <w:r>
        <w:t>SMEs. Large</w:t>
      </w:r>
      <w:r w:rsidRPr="007C59DA">
        <w:t xml:space="preserve"> Australian </w:t>
      </w:r>
      <w:r>
        <w:t xml:space="preserve">firms </w:t>
      </w:r>
      <w:r w:rsidRPr="007C59DA">
        <w:t>(with 2</w:t>
      </w:r>
      <w:r>
        <w:t>0</w:t>
      </w:r>
      <w:r w:rsidRPr="007C59DA">
        <w:t>0</w:t>
      </w:r>
      <w:r>
        <w:t>+</w:t>
      </w:r>
      <w:r w:rsidRPr="007C59DA">
        <w:t xml:space="preserve"> employees) tended to have lower rates of both job creation and job destruction, compared to smaller </w:t>
      </w:r>
      <w:r>
        <w:t>firms</w:t>
      </w:r>
      <w:r w:rsidRPr="007C59DA">
        <w:t>. L</w:t>
      </w:r>
      <w:r>
        <w:t>arge, mature</w:t>
      </w:r>
      <w:r w:rsidRPr="007C59DA">
        <w:t xml:space="preserve"> </w:t>
      </w:r>
      <w:r>
        <w:t xml:space="preserve">firms </w:t>
      </w:r>
      <w:r w:rsidRPr="007C59DA">
        <w:t>aged 6</w:t>
      </w:r>
      <w:r>
        <w:t xml:space="preserve">+ </w:t>
      </w:r>
      <w:r w:rsidRPr="007C59DA">
        <w:t>years accounted</w:t>
      </w:r>
      <w:r>
        <w:t xml:space="preserve"> for 42 per cent</w:t>
      </w:r>
      <w:r w:rsidRPr="007C59DA">
        <w:t xml:space="preserve"> of total employment </w:t>
      </w:r>
      <w:r>
        <w:t xml:space="preserve">but only 25 per cent of gross job creation </w:t>
      </w:r>
      <w:r w:rsidRPr="007C59DA">
        <w:t>(</w:t>
      </w:r>
      <w:r>
        <w:t xml:space="preserve">Figure </w:t>
      </w:r>
      <w:r w:rsidR="0005576A">
        <w:t>2.</w:t>
      </w:r>
      <w:r>
        <w:t>4</w:t>
      </w:r>
      <w:r w:rsidRPr="007C59DA">
        <w:t>).</w:t>
      </w:r>
    </w:p>
    <w:p w:rsidR="00E645E9" w:rsidRDefault="00E645E9" w:rsidP="00DB555F">
      <w:pPr>
        <w:pStyle w:val="CaptionWide"/>
      </w:pPr>
      <w:r>
        <w:t>Figure</w:t>
      </w:r>
      <w:r w:rsidRPr="000618FB">
        <w:t xml:space="preserve"> </w:t>
      </w:r>
      <w:r w:rsidR="00B77A63">
        <w:fldChar w:fldCharType="begin"/>
      </w:r>
      <w:r w:rsidR="006D3DDF">
        <w:instrText xml:space="preserve"> STYLEREF 1 \s </w:instrText>
      </w:r>
      <w:r w:rsidR="00B77A63">
        <w:fldChar w:fldCharType="separate"/>
      </w:r>
      <w:r w:rsidR="00A13942">
        <w:rPr>
          <w:noProof/>
        </w:rPr>
        <w:t>2</w:t>
      </w:r>
      <w:r w:rsidR="00B77A63">
        <w:rPr>
          <w:noProof/>
        </w:rPr>
        <w:fldChar w:fldCharType="end"/>
      </w:r>
      <w:r w:rsidRPr="000618FB">
        <w:t>.</w:t>
      </w:r>
      <w:r w:rsidR="00B77A63" w:rsidRPr="000618FB">
        <w:fldChar w:fldCharType="begin"/>
      </w:r>
      <w:r w:rsidRPr="000618FB">
        <w:instrText xml:space="preserve"> SEQ </w:instrText>
      </w:r>
      <w:r>
        <w:instrText>Figure</w:instrText>
      </w:r>
      <w:r w:rsidRPr="000618FB">
        <w:instrText xml:space="preserve"> \* ARABIC \s 1 </w:instrText>
      </w:r>
      <w:r w:rsidR="00B77A63" w:rsidRPr="000618FB">
        <w:fldChar w:fldCharType="separate"/>
      </w:r>
      <w:r w:rsidR="00A13942">
        <w:rPr>
          <w:noProof/>
        </w:rPr>
        <w:t>3</w:t>
      </w:r>
      <w:r w:rsidR="00B77A63" w:rsidRPr="000618FB">
        <w:fldChar w:fldCharType="end"/>
      </w:r>
      <w:r>
        <w:t>: Net employment growth by firm age, 2006</w:t>
      </w:r>
      <w:r>
        <w:rPr>
          <w:rFonts w:cs="Arial"/>
        </w:rPr>
        <w:t>–</w:t>
      </w:r>
      <w:r>
        <w:t>2011</w:t>
      </w:r>
    </w:p>
    <w:p w:rsidR="005C720E" w:rsidRPr="005C720E" w:rsidRDefault="005C720E" w:rsidP="005C720E">
      <w:pPr>
        <w:pStyle w:val="PlaceholderWide"/>
      </w:pPr>
      <w:r>
        <w:rPr>
          <w:noProof/>
          <w:lang w:eastAsia="en-AU"/>
        </w:rPr>
        <w:drawing>
          <wp:inline distT="0" distB="0" distL="0" distR="0" wp14:anchorId="5A7D3684" wp14:editId="10A15A9F">
            <wp:extent cx="5661025" cy="3570605"/>
            <wp:effectExtent l="0" t="0" r="0" b="0"/>
            <wp:docPr id="16" name="Picture 16" descr="Based on data from the ABS Expanded Analytical Business Longitudinal Database, figure 2.3 is a bar chart displaying net employment growth by firm age from 2006 to 2011. It plots the share of businesses of different age groups each year by the annual employment change (Full Time Equivalent). Most of the job creation was undertaken by start-ups (firms aged 0-2 years) of any size. Start-ups added a total of 1.44 million jobs to the economy between 2006 and 2011 whereas older firms (3 or more years of age) shed just over 400,000 jobs over the same period. The figure shows a significant net employment loss in 2009 for mature businesses (6 or more years of age) while start-ups maintained a net positive employment growth. This indicates that through the global financial crisis start-ups maintained net positive employment growth whereas older firms became net job destroyers" title="Figure 2.3. Net employment growth by firm age, 2006–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2.3.png"/>
                    <pic:cNvPicPr/>
                  </pic:nvPicPr>
                  <pic:blipFill>
                    <a:blip r:embed="rId28">
                      <a:extLst>
                        <a:ext uri="{28A0092B-C50C-407E-A947-70E740481C1C}">
                          <a14:useLocalDpi xmlns:a14="http://schemas.microsoft.com/office/drawing/2010/main" val="0"/>
                        </a:ext>
                      </a:extLst>
                    </a:blip>
                    <a:stretch>
                      <a:fillRect/>
                    </a:stretch>
                  </pic:blipFill>
                  <pic:spPr>
                    <a:xfrm>
                      <a:off x="0" y="0"/>
                      <a:ext cx="5661025" cy="3570605"/>
                    </a:xfrm>
                    <a:prstGeom prst="rect">
                      <a:avLst/>
                    </a:prstGeom>
                  </pic:spPr>
                </pic:pic>
              </a:graphicData>
            </a:graphic>
          </wp:inline>
        </w:drawing>
      </w:r>
    </w:p>
    <w:p w:rsidR="00E645E9" w:rsidRPr="00C62F3A" w:rsidRDefault="00E645E9" w:rsidP="00DB555F">
      <w:pPr>
        <w:pStyle w:val="NoteWide"/>
      </w:pPr>
      <w:r>
        <w:t xml:space="preserve">Notes: Employment is measured in Full </w:t>
      </w:r>
      <w:r w:rsidR="000C37F3">
        <w:t>Time Equivalents (See Appendix A</w:t>
      </w:r>
      <w:r>
        <w:t>). Results are for all non-government sectors and exclude non-employing firms. Young firms are 0–5 years and mature firms are 6+ years. Start-ups are defined as a subset of young firms that are 0–2 years of age.</w:t>
      </w:r>
    </w:p>
    <w:p w:rsidR="00E645E9" w:rsidRDefault="00E645E9" w:rsidP="00DB555F">
      <w:pPr>
        <w:pStyle w:val="SourceWide"/>
      </w:pPr>
      <w:r>
        <w:t xml:space="preserve">Source: </w:t>
      </w:r>
      <w:r w:rsidRPr="00683EED">
        <w:t xml:space="preserve">ABS (2015) </w:t>
      </w:r>
      <w:r>
        <w:t>Expanded</w:t>
      </w:r>
      <w:r w:rsidRPr="00683EED">
        <w:t xml:space="preserve"> Analytical </w:t>
      </w:r>
      <w:r>
        <w:t xml:space="preserve">Business </w:t>
      </w:r>
      <w:r w:rsidRPr="00683EED">
        <w:t>Longitudinal Database</w:t>
      </w:r>
      <w:r>
        <w:t xml:space="preserve"> 2001–02 to 2012–13</w:t>
      </w:r>
    </w:p>
    <w:p w:rsidR="007F1812" w:rsidRDefault="007F1812" w:rsidP="00E645E9">
      <w:pPr>
        <w:pStyle w:val="BodyText"/>
      </w:pPr>
      <w:r>
        <w:t>When we compare Australia to other countries (using restricted sectors and different size classes) we find that Australia’s employment dynamics are consistent with other countries examined to dat</w:t>
      </w:r>
      <w:r w:rsidR="00945358">
        <w:t>e over the ten year period 2001</w:t>
      </w:r>
      <w:r w:rsidR="00945358">
        <w:rPr>
          <w:rFonts w:cstheme="minorHAnsi"/>
        </w:rPr>
        <w:t>–</w:t>
      </w:r>
      <w:r w:rsidR="0005576A">
        <w:t>2011 (Figure B</w:t>
      </w:r>
      <w:r>
        <w:t xml:space="preserve">6). If anything, Australia is more extreme in its reliance on young SMEs for gross job creation. Young SMEs </w:t>
      </w:r>
      <w:r w:rsidRPr="007C59DA">
        <w:t xml:space="preserve">contribution to </w:t>
      </w:r>
      <w:r>
        <w:t xml:space="preserve">gross </w:t>
      </w:r>
      <w:r w:rsidRPr="007C59DA">
        <w:t xml:space="preserve">job creation in Australia </w:t>
      </w:r>
      <w:r>
        <w:t>was 50 per cent compared to the OECD average of</w:t>
      </w:r>
      <w:r w:rsidR="0093369E">
        <w:br/>
      </w:r>
      <w:r>
        <w:t>41 per cent.</w:t>
      </w:r>
    </w:p>
    <w:p w:rsidR="007F1812" w:rsidRDefault="007F1812" w:rsidP="007F1812">
      <w:pPr>
        <w:pStyle w:val="BodyText"/>
      </w:pPr>
      <w:r>
        <w:rPr>
          <w:rFonts w:ascii="Arial" w:hAnsi="Arial" w:cs="Arial"/>
          <w:szCs w:val="20"/>
        </w:rPr>
        <w:t xml:space="preserve">To summarise differences in job creation, destruction and net employment growth, we repeated the regression analysis from Criscuolo </w:t>
      </w:r>
      <w:r w:rsidRPr="003C5F6D">
        <w:rPr>
          <w:rFonts w:ascii="Arial" w:hAnsi="Arial" w:cs="Arial"/>
          <w:i/>
          <w:szCs w:val="20"/>
        </w:rPr>
        <w:t xml:space="preserve">et al. </w:t>
      </w:r>
      <w:r>
        <w:rPr>
          <w:rFonts w:ascii="Arial" w:hAnsi="Arial" w:cs="Arial"/>
          <w:szCs w:val="20"/>
        </w:rPr>
        <w:t xml:space="preserve">(2014; </w:t>
      </w:r>
      <w:r w:rsidR="000C37F3">
        <w:t>See Appendix A</w:t>
      </w:r>
      <w:r w:rsidR="0005576A">
        <w:t>). Table B</w:t>
      </w:r>
      <w:r>
        <w:t xml:space="preserve">2 shows that all groups of firms have higher gross job creation rates than mature-large firms (the reference group). Generally as firms age they contribute less to job creation. Young SMEs show the greatest effect on gross job creation confirming the descriptive analysis above. Young SMEs have a high churn in terms of job creation and destruction. Despite this high </w:t>
      </w:r>
      <w:r w:rsidR="009004EC">
        <w:t xml:space="preserve">rate of </w:t>
      </w:r>
      <w:r>
        <w:t>destruction, their average net growth rates are significantly higher than ot</w:t>
      </w:r>
      <w:r w:rsidR="0005576A">
        <w:t>her firm-age categories (Table B</w:t>
      </w:r>
      <w:r>
        <w:t xml:space="preserve">2). As SMEs age their contribution to net job creation declines significantly. These results are remarkably similar to other countries in the DynEmp database and stable irrespective of whether industry dummies were used. In Australia, it appears that mature-small firms have a significantly higher gross job destruction rate than young-medium sized firms. These rates were similar for other countries. </w:t>
      </w:r>
    </w:p>
    <w:p w:rsidR="00E645E9" w:rsidRDefault="00E645E9" w:rsidP="00DB555F">
      <w:pPr>
        <w:pStyle w:val="CaptionWide"/>
        <w:rPr>
          <w:noProof/>
        </w:rPr>
      </w:pPr>
      <w:r>
        <w:t>Figure</w:t>
      </w:r>
      <w:r w:rsidRPr="000618FB">
        <w:t xml:space="preserve"> </w:t>
      </w:r>
      <w:r w:rsidR="00B77A63">
        <w:fldChar w:fldCharType="begin"/>
      </w:r>
      <w:r w:rsidR="006D3DDF">
        <w:instrText xml:space="preserve"> STYLEREF 1 \s </w:instrText>
      </w:r>
      <w:r w:rsidR="00B77A63">
        <w:fldChar w:fldCharType="separate"/>
      </w:r>
      <w:r w:rsidR="00A13942">
        <w:rPr>
          <w:noProof/>
        </w:rPr>
        <w:t>2</w:t>
      </w:r>
      <w:r w:rsidR="00B77A63">
        <w:rPr>
          <w:noProof/>
        </w:rPr>
        <w:fldChar w:fldCharType="end"/>
      </w:r>
      <w:r w:rsidRPr="000618FB">
        <w:t>.</w:t>
      </w:r>
      <w:r w:rsidR="00B77A63" w:rsidRPr="000618FB">
        <w:fldChar w:fldCharType="begin"/>
      </w:r>
      <w:r w:rsidRPr="000618FB">
        <w:instrText xml:space="preserve"> SEQ </w:instrText>
      </w:r>
      <w:r>
        <w:instrText>Figure</w:instrText>
      </w:r>
      <w:r w:rsidRPr="000618FB">
        <w:instrText xml:space="preserve"> \* ARABIC \s 1 </w:instrText>
      </w:r>
      <w:r w:rsidR="00B77A63" w:rsidRPr="000618FB">
        <w:fldChar w:fldCharType="separate"/>
      </w:r>
      <w:r w:rsidR="00A13942">
        <w:rPr>
          <w:noProof/>
        </w:rPr>
        <w:t>4</w:t>
      </w:r>
      <w:r w:rsidR="00B77A63" w:rsidRPr="000618FB">
        <w:fldChar w:fldCharType="end"/>
      </w:r>
      <w:r>
        <w:t xml:space="preserve">: </w:t>
      </w:r>
      <w:r w:rsidRPr="00E659FD">
        <w:rPr>
          <w:noProof/>
        </w:rPr>
        <w:t xml:space="preserve">Employment, job creation and job destruction </w:t>
      </w:r>
      <w:r>
        <w:rPr>
          <w:noProof/>
        </w:rPr>
        <w:t xml:space="preserve">for SME and Large firms </w:t>
      </w:r>
      <w:r w:rsidRPr="00E659FD">
        <w:rPr>
          <w:noProof/>
        </w:rPr>
        <w:t>by firm age, 200</w:t>
      </w:r>
      <w:r>
        <w:rPr>
          <w:noProof/>
        </w:rPr>
        <w:t>6</w:t>
      </w:r>
      <w:r>
        <w:rPr>
          <w:rFonts w:cs="Arial"/>
          <w:noProof/>
        </w:rPr>
        <w:t>–</w:t>
      </w:r>
      <w:r w:rsidRPr="00E659FD">
        <w:rPr>
          <w:noProof/>
        </w:rPr>
        <w:t>2011</w:t>
      </w:r>
    </w:p>
    <w:p w:rsidR="005C720E" w:rsidRPr="005C720E" w:rsidRDefault="005C720E" w:rsidP="005C720E">
      <w:pPr>
        <w:pStyle w:val="PlaceholderWide"/>
      </w:pPr>
      <w:r>
        <w:rPr>
          <w:noProof/>
          <w:lang w:eastAsia="en-AU"/>
        </w:rPr>
        <w:drawing>
          <wp:inline distT="0" distB="0" distL="0" distR="0" wp14:anchorId="191E321F" wp14:editId="3675971E">
            <wp:extent cx="5661025" cy="3642360"/>
            <wp:effectExtent l="0" t="0" r="0" b="0"/>
            <wp:docPr id="17" name="Picture 17" descr="Based on data from the ABS Expanded Analytical Business Longitudinal Database, figure 4 is a bar chart displaying the shares of total employment, gross job creation and gross job destruction for SME and large firms by firm age from 2006 to 2011. It shows that younger firms contribute disproportionately to job creation despite having a relatedly lower share in total employment. The chart shows that over the period, the largest contribution to job creation in Australia (40 per cent) came from young SMEs (0-5 years of age). Mature Australian SMEs (6 or more years of age) showed the highest rate of job destruction (52 per cent). Nonetheless, the figure shows that the share of total employment of mature SMEs (41 per cent) was higher than that of young SMEs (15 per cent). Large, mature firms aged accounted for 42 per cent of total employment but only 25 per cent of gross job creation." title="Figure 2.4: Employment, job creation and job destruction for SME and Large firms by firm age, 2006–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2.4.png"/>
                    <pic:cNvPicPr/>
                  </pic:nvPicPr>
                  <pic:blipFill>
                    <a:blip r:embed="rId29">
                      <a:extLst>
                        <a:ext uri="{28A0092B-C50C-407E-A947-70E740481C1C}">
                          <a14:useLocalDpi xmlns:a14="http://schemas.microsoft.com/office/drawing/2010/main" val="0"/>
                        </a:ext>
                      </a:extLst>
                    </a:blip>
                    <a:stretch>
                      <a:fillRect/>
                    </a:stretch>
                  </pic:blipFill>
                  <pic:spPr>
                    <a:xfrm>
                      <a:off x="0" y="0"/>
                      <a:ext cx="5661025" cy="3642360"/>
                    </a:xfrm>
                    <a:prstGeom prst="rect">
                      <a:avLst/>
                    </a:prstGeom>
                  </pic:spPr>
                </pic:pic>
              </a:graphicData>
            </a:graphic>
          </wp:inline>
        </w:drawing>
      </w:r>
    </w:p>
    <w:p w:rsidR="00E645E9" w:rsidRPr="00C62F3A" w:rsidRDefault="00E645E9" w:rsidP="00DB555F">
      <w:pPr>
        <w:pStyle w:val="NoteWide"/>
      </w:pPr>
      <w:r>
        <w:t>Notes: Results are for all non-government sectors and excludes non-employing firms. SMEs are firms between 1–199 employees. Large firms are 200+ employees. Age classes are Young (0–5 years old) and Mature (6+ years old).</w:t>
      </w:r>
    </w:p>
    <w:p w:rsidR="00E645E9" w:rsidRDefault="00E645E9" w:rsidP="00DB555F">
      <w:pPr>
        <w:pStyle w:val="SourceWide"/>
      </w:pPr>
      <w:r>
        <w:t xml:space="preserve">Source: </w:t>
      </w:r>
      <w:r w:rsidRPr="00683EED">
        <w:t xml:space="preserve">ABS (2015) </w:t>
      </w:r>
      <w:r>
        <w:t>Expanded</w:t>
      </w:r>
      <w:r w:rsidRPr="00683EED">
        <w:t xml:space="preserve"> Analytical </w:t>
      </w:r>
      <w:r>
        <w:t xml:space="preserve">Business </w:t>
      </w:r>
      <w:r w:rsidRPr="00683EED">
        <w:t>Longitudinal Database</w:t>
      </w:r>
      <w:r>
        <w:t xml:space="preserve"> 2001–02 to 2012–13</w:t>
      </w:r>
    </w:p>
    <w:p w:rsidR="007F1812" w:rsidRDefault="009004EC" w:rsidP="00E645E9">
      <w:pPr>
        <w:pStyle w:val="BodyText"/>
      </w:pPr>
      <w:r>
        <w:t>Figure 2.5 contrasts the contribution of young and mature firms to net employment growth over the period 2001</w:t>
      </w:r>
      <w:r w:rsidR="00655A02">
        <w:t>–</w:t>
      </w:r>
      <w:r>
        <w:t xml:space="preserve">2011 for all countries in the OECD DynEmp database. </w:t>
      </w:r>
      <w:r w:rsidR="007F1812">
        <w:t xml:space="preserve">Figure </w:t>
      </w:r>
      <w:r w:rsidR="0005576A">
        <w:t>2.</w:t>
      </w:r>
      <w:r w:rsidR="007F1812">
        <w:t xml:space="preserve">5 reinforces the </w:t>
      </w:r>
      <w:r>
        <w:t>finding</w:t>
      </w:r>
      <w:r w:rsidR="007F1812">
        <w:t xml:space="preserve"> that young firms’ contribution to net employment growth is significantly larger and net positive compared with mature firms that make a net negative contribution. This is a common phenomenon for the other countries in the DynEmp database. </w:t>
      </w:r>
      <w:r w:rsidR="007F1812" w:rsidRPr="005D7C41">
        <w:t xml:space="preserve">For </w:t>
      </w:r>
      <w:r w:rsidR="007F1812">
        <w:t>the</w:t>
      </w:r>
      <w:r w:rsidR="007F1812" w:rsidRPr="005D7C41">
        <w:t xml:space="preserve"> </w:t>
      </w:r>
      <w:r w:rsidR="007F1812">
        <w:t xml:space="preserve">three </w:t>
      </w:r>
      <w:r w:rsidR="007F1812" w:rsidRPr="005D7C41">
        <w:t xml:space="preserve">sectors </w:t>
      </w:r>
      <w:r w:rsidR="007F1812">
        <w:t>(manufacturing, construction and non-financial services) used to compare with other countries in the DynEmp database,</w:t>
      </w:r>
      <w:r w:rsidR="007F1812">
        <w:rPr>
          <w:rStyle w:val="FootnoteReference"/>
        </w:rPr>
        <w:footnoteReference w:id="12"/>
      </w:r>
      <w:r w:rsidR="007F1812">
        <w:t xml:space="preserve"> young firms (</w:t>
      </w:r>
      <w:r w:rsidR="00945358">
        <w:t>0</w:t>
      </w:r>
      <w:r w:rsidR="00945358">
        <w:rPr>
          <w:rFonts w:cstheme="minorHAnsi"/>
        </w:rPr>
        <w:t>–</w:t>
      </w:r>
      <w:r w:rsidR="007F1812">
        <w:t xml:space="preserve">5 years) had a net employment growth contribution of 2.8 per cent over the period </w:t>
      </w:r>
      <w:r w:rsidR="00945358">
        <w:t>2001</w:t>
      </w:r>
      <w:r w:rsidR="00945358">
        <w:rPr>
          <w:rFonts w:cstheme="minorHAnsi"/>
        </w:rPr>
        <w:t>–</w:t>
      </w:r>
      <w:r w:rsidR="007F1812">
        <w:t xml:space="preserve">2011 (Figure </w:t>
      </w:r>
      <w:r w:rsidR="0005576A">
        <w:t>2.</w:t>
      </w:r>
      <w:r w:rsidR="007F1812">
        <w:t xml:space="preserve">5). Much of this was driven by start-up activity (3.5 per cent) since the contribution to job creation and job destruction by incumbent young firms were 0.6 per cent and -1.4 per cent, respectively. By contrast, mature firms aged 6+ years drag down net employment growth by -4.1 per cent and this was driven primarily </w:t>
      </w:r>
      <w:r w:rsidR="007F1812" w:rsidRPr="0084781B">
        <w:t xml:space="preserve">by </w:t>
      </w:r>
      <w:r w:rsidR="007F1812">
        <w:t>downsizing of incumbent mature firms</w:t>
      </w:r>
      <w:r w:rsidR="007F1812" w:rsidRPr="0084781B">
        <w:t xml:space="preserve">. This pattern is broadly consistent across the other countries </w:t>
      </w:r>
      <w:r w:rsidR="007F1812">
        <w:t xml:space="preserve">in the DynEmp database </w:t>
      </w:r>
      <w:r w:rsidR="007F1812" w:rsidRPr="0084781B">
        <w:t>(</w:t>
      </w:r>
      <w:r w:rsidR="007F1812">
        <w:t xml:space="preserve">Figure </w:t>
      </w:r>
      <w:r w:rsidR="0005576A">
        <w:t>2.</w:t>
      </w:r>
      <w:r w:rsidR="007F1812">
        <w:t>5</w:t>
      </w:r>
      <w:r w:rsidR="007F1812" w:rsidRPr="0084781B">
        <w:t>).</w:t>
      </w:r>
      <w:r w:rsidR="007F1812">
        <w:t xml:space="preserve"> Australia had one of the highest annual average employment growth rates (at 2.9 per cent) in the OECD between 2001 and 2008. Disaggregating this rate by firm age shows that the unweighted net employment growth rate of surviving young </w:t>
      </w:r>
      <w:r w:rsidR="00945358">
        <w:t>firms (aged 0</w:t>
      </w:r>
      <w:r w:rsidR="00945358">
        <w:rPr>
          <w:rFonts w:cstheme="minorHAnsi"/>
        </w:rPr>
        <w:t>–</w:t>
      </w:r>
      <w:r w:rsidR="007F1812">
        <w:t xml:space="preserve">5 years) was 12.2 per cent between 2001 and 2011. By contrast the unweighted net employment growth rate of mature firms (6+ years) was significantly lower at 1.4 per cent over the same period. The net growth gap between these young, surviving and mature firms is one of the highest among the countries in the DynEmp database (data not shown). </w:t>
      </w:r>
    </w:p>
    <w:p w:rsidR="00E645E9" w:rsidRDefault="00E645E9" w:rsidP="00DB555F">
      <w:pPr>
        <w:pStyle w:val="CaptionWide"/>
      </w:pPr>
      <w:r>
        <w:t>Figure</w:t>
      </w:r>
      <w:r w:rsidRPr="000618FB">
        <w:t xml:space="preserve"> </w:t>
      </w:r>
      <w:r w:rsidR="00B77A63">
        <w:fldChar w:fldCharType="begin"/>
      </w:r>
      <w:r w:rsidR="006D3DDF">
        <w:instrText xml:space="preserve"> STYLEREF 1 \s </w:instrText>
      </w:r>
      <w:r w:rsidR="00B77A63">
        <w:fldChar w:fldCharType="separate"/>
      </w:r>
      <w:r w:rsidR="00A13942">
        <w:rPr>
          <w:noProof/>
        </w:rPr>
        <w:t>2</w:t>
      </w:r>
      <w:r w:rsidR="00B77A63">
        <w:rPr>
          <w:noProof/>
        </w:rPr>
        <w:fldChar w:fldCharType="end"/>
      </w:r>
      <w:r w:rsidRPr="000618FB">
        <w:t>.</w:t>
      </w:r>
      <w:r w:rsidR="00B77A63" w:rsidRPr="000618FB">
        <w:fldChar w:fldCharType="begin"/>
      </w:r>
      <w:r w:rsidRPr="000618FB">
        <w:instrText xml:space="preserve"> SEQ </w:instrText>
      </w:r>
      <w:r>
        <w:instrText>Figure</w:instrText>
      </w:r>
      <w:r w:rsidRPr="000618FB">
        <w:instrText xml:space="preserve"> \* ARABIC \s 1 </w:instrText>
      </w:r>
      <w:r w:rsidR="00B77A63" w:rsidRPr="000618FB">
        <w:fldChar w:fldCharType="separate"/>
      </w:r>
      <w:r w:rsidR="00A13942">
        <w:rPr>
          <w:noProof/>
        </w:rPr>
        <w:t>5</w:t>
      </w:r>
      <w:r w:rsidR="00B77A63" w:rsidRPr="000618FB">
        <w:fldChar w:fldCharType="end"/>
      </w:r>
      <w:r>
        <w:t xml:space="preserve">: </w:t>
      </w:r>
      <w:r w:rsidRPr="00D9172C">
        <w:t xml:space="preserve">Net employment growth contributions by </w:t>
      </w:r>
      <w:r w:rsidR="002943C3">
        <w:t xml:space="preserve">incumbent and entry/exit activity </w:t>
      </w:r>
      <w:r w:rsidRPr="00D9172C">
        <w:t xml:space="preserve">and by firm age, as </w:t>
      </w:r>
      <w:r>
        <w:t xml:space="preserve">a percentage of </w:t>
      </w:r>
      <w:r w:rsidRPr="00D9172C">
        <w:t>aggregate non-fi</w:t>
      </w:r>
      <w:r>
        <w:t>nancial sector employment, 2001</w:t>
      </w:r>
      <w:r>
        <w:rPr>
          <w:rFonts w:cs="Arial"/>
        </w:rPr>
        <w:t>–</w:t>
      </w:r>
      <w:r w:rsidRPr="00D9172C">
        <w:t>2011</w:t>
      </w:r>
    </w:p>
    <w:p w:rsidR="005C720E" w:rsidRPr="005C720E" w:rsidRDefault="005C720E" w:rsidP="005C720E">
      <w:pPr>
        <w:pStyle w:val="PlaceholderWide"/>
      </w:pPr>
      <w:r>
        <w:rPr>
          <w:noProof/>
          <w:lang w:eastAsia="en-AU"/>
        </w:rPr>
        <w:drawing>
          <wp:inline distT="0" distB="0" distL="0" distR="0" wp14:anchorId="58333B27" wp14:editId="40713E87">
            <wp:extent cx="5661025" cy="3557905"/>
            <wp:effectExtent l="0" t="0" r="0" b="4445"/>
            <wp:docPr id="19" name="Picture 19" descr="Based on data from the OECD DynEmp Database and ABS Expanded Analytical Business Longitudinal Database, figure 5 is a bar chart displaying net employment growth contributions by margin and by firm age as a percentage of aggregate non-financial sector employment in Australia and 18 other OECD countries in the 10-year period 2001-2011. The 18 OECD countries studied are Brazil, Netherlands, Hungary, Spain, France, New Zealand, Austria, Portugal, Luxembourg, UK, Sweden, Belgium, Italy, Norway, Canada, Japan, Finland and the USA. The figure shows that young firms’ contribution to net employment growth is significantly larger than that of incumbents. In fact, young firms make a net positive contribution to employment growth, compared with mature firms that make a net negative contribution. The figure shows that this is a common phenomenon in Australia as well as other 18 OECD countries under consideration. Young firms (0-5 years of age) had a net employment growth contribution of 2.8per cent over the period 2001-2011. In the same period, mature firms (aged 6 year or more) dragged down net employment growth by -4.1per cent and this was driven primarily by downsizing of incumbent mature firms rather than firms exiting. The figure shows this pattern is broadly consistent across the other OECD countries." title="Figure 2.5: Net employment growth contributions by incumbent and entry/exit activity and by firm age, as a percentage of aggregate non-financial sector employment, 2001–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2.5.png"/>
                    <pic:cNvPicPr/>
                  </pic:nvPicPr>
                  <pic:blipFill>
                    <a:blip r:embed="rId30">
                      <a:extLst>
                        <a:ext uri="{28A0092B-C50C-407E-A947-70E740481C1C}">
                          <a14:useLocalDpi xmlns:a14="http://schemas.microsoft.com/office/drawing/2010/main" val="0"/>
                        </a:ext>
                      </a:extLst>
                    </a:blip>
                    <a:stretch>
                      <a:fillRect/>
                    </a:stretch>
                  </pic:blipFill>
                  <pic:spPr>
                    <a:xfrm>
                      <a:off x="0" y="0"/>
                      <a:ext cx="5661025" cy="3557905"/>
                    </a:xfrm>
                    <a:prstGeom prst="rect">
                      <a:avLst/>
                    </a:prstGeom>
                  </pic:spPr>
                </pic:pic>
              </a:graphicData>
            </a:graphic>
          </wp:inline>
        </w:drawing>
      </w:r>
    </w:p>
    <w:p w:rsidR="00E645E9" w:rsidRPr="00C62F3A" w:rsidRDefault="00E645E9" w:rsidP="00DB555F">
      <w:pPr>
        <w:pStyle w:val="NoteWide"/>
      </w:pPr>
      <w:r>
        <w:t>Notes: Contributions are calculated as the net job creation by the group over total employment in manufacturing, non-financial business services and construction averaged across all availa</w:t>
      </w:r>
      <w:r w:rsidR="0093369E">
        <w:t xml:space="preserve">ble years. Young firms are aged </w:t>
      </w:r>
      <w:r>
        <w:t xml:space="preserve">0–5 years old, mature firms are 6+ years old. </w:t>
      </w:r>
      <w:r w:rsidR="00771851">
        <w:t xml:space="preserve">For the purposes of OECD comparisons headcount measures are used rather than Full Time Equivalents. </w:t>
      </w:r>
      <w:r>
        <w:t>The period covered is 2001–2011 for Australia, Belgium, Canada, Finland, Hungary, the Netherlands, the United Kingdom and the United States; 2001–2010 for Austria, Brazil, Spain, Italy, Luxembourg, Norway and Sweden; 2001–2009 for Japan and New Zealand; 2001–2007 for France; and 2006–2011 for Portugal. Owing to methodological differences, figures may deviate from officially published national statistics. For Japan data are at the establishment level, for other countries at the firm level. Data for Canada refer only to organic employment changes and exclude merger and acquisition activity.</w:t>
      </w:r>
    </w:p>
    <w:p w:rsidR="007F1812" w:rsidRDefault="00E645E9" w:rsidP="00E645E9">
      <w:pPr>
        <w:pStyle w:val="SourceWide"/>
      </w:pPr>
      <w:r>
        <w:t xml:space="preserve">Source: Criscuolo </w:t>
      </w:r>
      <w:r w:rsidRPr="0084781B">
        <w:rPr>
          <w:i/>
        </w:rPr>
        <w:t xml:space="preserve">et al. </w:t>
      </w:r>
      <w:r>
        <w:t xml:space="preserve">(2014) and </w:t>
      </w:r>
      <w:r w:rsidRPr="00683EED">
        <w:t xml:space="preserve">ABS (2015) </w:t>
      </w:r>
      <w:r>
        <w:t>Expanded</w:t>
      </w:r>
      <w:r w:rsidRPr="00683EED">
        <w:t xml:space="preserve"> Analytical </w:t>
      </w:r>
      <w:r>
        <w:t xml:space="preserve">Business </w:t>
      </w:r>
      <w:r w:rsidRPr="00683EED">
        <w:t>Longitudinal Database</w:t>
      </w:r>
      <w:r>
        <w:t xml:space="preserve"> 2001–02 to 2012–13</w:t>
      </w:r>
    </w:p>
    <w:p w:rsidR="007F1812" w:rsidRDefault="007F1812" w:rsidP="00E645E9">
      <w:pPr>
        <w:pStyle w:val="Heading2"/>
      </w:pPr>
      <w:r>
        <w:t>Start-up activity and performance in Australia</w:t>
      </w:r>
    </w:p>
    <w:p w:rsidR="007F1812" w:rsidRDefault="007F1812" w:rsidP="00AA3A65">
      <w:pPr>
        <w:pStyle w:val="BodyText"/>
      </w:pPr>
      <w:r>
        <w:t xml:space="preserve">At this point the definition of </w:t>
      </w:r>
      <w:r w:rsidRPr="007C59DA">
        <w:rPr>
          <w:i/>
        </w:rPr>
        <w:t>start-up</w:t>
      </w:r>
      <w:r>
        <w:t xml:space="preserve"> moves away from the static definition (</w:t>
      </w:r>
      <w:r w:rsidR="00945358">
        <w:rPr>
          <w:i/>
        </w:rPr>
        <w:t>firms aged 0</w:t>
      </w:r>
      <w:r w:rsidR="00945358">
        <w:rPr>
          <w:rFonts w:cstheme="minorHAnsi"/>
          <w:i/>
        </w:rPr>
        <w:t>–</w:t>
      </w:r>
      <w:r w:rsidRPr="00C53F4E">
        <w:rPr>
          <w:i/>
        </w:rPr>
        <w:t>2 years</w:t>
      </w:r>
      <w:r w:rsidRPr="005114EE">
        <w:t>)</w:t>
      </w:r>
      <w:r>
        <w:t xml:space="preserve"> to firm entry: </w:t>
      </w:r>
      <w:r w:rsidRPr="00C53F4E">
        <w:rPr>
          <w:i/>
        </w:rPr>
        <w:t>any firm that is newly created in any given year</w:t>
      </w:r>
      <w:r>
        <w:t>. In this section we track the performance of start-ups over time from birth to three years of age. In this section we are looking at start-ups of all sizes.</w:t>
      </w:r>
    </w:p>
    <w:p w:rsidR="007F1812" w:rsidRDefault="007F1812" w:rsidP="00AA3A65">
      <w:pPr>
        <w:pStyle w:val="BodyText"/>
      </w:pPr>
      <w:r w:rsidRPr="009A3C0C">
        <w:rPr>
          <w:i/>
        </w:rPr>
        <w:t>Normalised net job creation by surviving entrants</w:t>
      </w:r>
      <w:r w:rsidRPr="009A3C0C">
        <w:t xml:space="preserve"> shows the average number of jobs created by surviving </w:t>
      </w:r>
      <w:r>
        <w:t>start-up</w:t>
      </w:r>
      <w:r w:rsidRPr="009A3C0C">
        <w:t xml:space="preserve">s over a three year period. </w:t>
      </w:r>
      <w:r>
        <w:t>This is normalised by dividing this number by the total employment in Australia at the beginning of the three year period. The analytical approach used by the OECD</w:t>
      </w:r>
      <w:r>
        <w:rPr>
          <w:rStyle w:val="FootnoteReference"/>
        </w:rPr>
        <w:footnoteReference w:id="13"/>
      </w:r>
      <w:r>
        <w:t xml:space="preserve"> to identify cross-country differences in the dynamics of firm survival and growth consists of decomposing normalised net job creation from surviving start-ups into four</w:t>
      </w:r>
      <w:r w:rsidR="000C37F3">
        <w:t xml:space="preserve"> main components (See Appendix A</w:t>
      </w:r>
      <w:r>
        <w:t>).</w:t>
      </w:r>
    </w:p>
    <w:p w:rsidR="007F1812" w:rsidRDefault="007F1812" w:rsidP="00AA3A65">
      <w:pPr>
        <w:pStyle w:val="ListNumber"/>
      </w:pPr>
      <w:r>
        <w:rPr>
          <w:i/>
        </w:rPr>
        <w:t>Start-up</w:t>
      </w:r>
      <w:r w:rsidRPr="00E659FD">
        <w:rPr>
          <w:i/>
        </w:rPr>
        <w:t xml:space="preserve"> ratio</w:t>
      </w:r>
      <w:r>
        <w:t>, the number of entrants relative to the country’s total employment.</w:t>
      </w:r>
      <w:r>
        <w:rPr>
          <w:sz w:val="14"/>
          <w:szCs w:val="14"/>
        </w:rPr>
        <w:t xml:space="preserve"> </w:t>
      </w:r>
      <w:r>
        <w:t xml:space="preserve">This can be considered a measure of entrepreneurship in the economy. </w:t>
      </w:r>
    </w:p>
    <w:p w:rsidR="007F1812" w:rsidRDefault="007F1812" w:rsidP="00AA3A65">
      <w:pPr>
        <w:pStyle w:val="ListNumber"/>
      </w:pPr>
      <w:r w:rsidRPr="00E659FD">
        <w:rPr>
          <w:i/>
        </w:rPr>
        <w:t>Survival share</w:t>
      </w:r>
      <w:r>
        <w:t xml:space="preserve">, the number of businesses that survive until or beyond the third year of life over the total number of starting businesses. This measure captures the extent to which the selection process is affecting the survival probability of entrants. </w:t>
      </w:r>
    </w:p>
    <w:p w:rsidR="007F1812" w:rsidRDefault="007F1812" w:rsidP="00AA3A65">
      <w:pPr>
        <w:pStyle w:val="ListNumber"/>
      </w:pPr>
      <w:r w:rsidRPr="00E659FD">
        <w:rPr>
          <w:i/>
        </w:rPr>
        <w:t>Average size at entry</w:t>
      </w:r>
      <w:r>
        <w:t xml:space="preserve">, the average number of employees for entrants that survive until or beyond the third year of life. This measure might reflect, </w:t>
      </w:r>
      <w:r w:rsidRPr="001266DA">
        <w:rPr>
          <w:i/>
        </w:rPr>
        <w:t>inter alia</w:t>
      </w:r>
      <w:r>
        <w:t>, low entry barriers.</w:t>
      </w:r>
    </w:p>
    <w:p w:rsidR="007F1812" w:rsidRDefault="007F1812" w:rsidP="00AA3A65">
      <w:pPr>
        <w:pStyle w:val="ListNumber"/>
      </w:pPr>
      <w:r w:rsidRPr="00E659FD">
        <w:rPr>
          <w:i/>
        </w:rPr>
        <w:t>Average post-entry growth</w:t>
      </w:r>
      <w:r>
        <w:t xml:space="preserve">, measured as the final over initial employment ratio of surviving entrants. This measure reflects the growth performance of surviving start-ups. </w:t>
      </w:r>
    </w:p>
    <w:p w:rsidR="007F1812" w:rsidRPr="008C79AB" w:rsidRDefault="007F1812" w:rsidP="007F1812">
      <w:pPr>
        <w:pStyle w:val="BodyText"/>
      </w:pPr>
      <w:r>
        <w:t xml:space="preserve">In order to make international comparisons, </w:t>
      </w:r>
      <w:r w:rsidR="0005576A">
        <w:t xml:space="preserve">Table 2.1 </w:t>
      </w:r>
      <w:r>
        <w:t>only provides start-up data for the three macro-sectors Manufacturing, Construction and Non-financial business services as defined by the OECD. We have expanded this analysis to include much more detailed sectoral comparisons for all A</w:t>
      </w:r>
      <w:r w:rsidR="0005576A">
        <w:t>ustralia industries (See Table B</w:t>
      </w:r>
      <w:r>
        <w:t xml:space="preserve">3). </w:t>
      </w:r>
    </w:p>
    <w:p w:rsidR="007F1812" w:rsidRDefault="007F1812" w:rsidP="007F1812">
      <w:pPr>
        <w:pStyle w:val="BodyText"/>
      </w:pPr>
      <w:r w:rsidRPr="00937341">
        <w:t>In Australia, net job creation by entrants that survive at least three years represent 4.9</w:t>
      </w:r>
      <w:r>
        <w:t xml:space="preserve"> per cent</w:t>
      </w:r>
      <w:r w:rsidRPr="00937341">
        <w:t xml:space="preserve"> of overall employment. In other words for every 100 jobs in Australia in any given year start-ups will</w:t>
      </w:r>
      <w:r>
        <w:t>, on average,</w:t>
      </w:r>
      <w:r w:rsidRPr="00937341">
        <w:t xml:space="preserve"> add 5 jobs within the following three years. </w:t>
      </w:r>
      <w:r>
        <w:t xml:space="preserve">This value varies by sector from as low as 0.5 per cent to </w:t>
      </w:r>
      <w:r w:rsidR="0005576A">
        <w:t>as high as 8.2 per cent (Table B</w:t>
      </w:r>
      <w:r>
        <w:t xml:space="preserve">3). </w:t>
      </w:r>
      <w:r w:rsidRPr="00937341">
        <w:t xml:space="preserve">This value </w:t>
      </w:r>
      <w:r>
        <w:t xml:space="preserve">also </w:t>
      </w:r>
      <w:r w:rsidRPr="00937341">
        <w:t>changes over time and had a notable dip during the global financial crisis (</w:t>
      </w:r>
      <w:r w:rsidR="0005576A">
        <w:t>Table 2.1</w:t>
      </w:r>
      <w:r w:rsidRPr="00937341">
        <w:t>).</w:t>
      </w:r>
      <w:r>
        <w:t xml:space="preserve"> Australia has relatively high normalised net job creation compared to other OECD countries, which range between 1 per cent and 5 per cent.</w:t>
      </w:r>
    </w:p>
    <w:p w:rsidR="007F1812" w:rsidRPr="00937341" w:rsidRDefault="007F1812" w:rsidP="007F1812">
      <w:pPr>
        <w:pStyle w:val="BodyText"/>
      </w:pPr>
      <w:r w:rsidRPr="00937341">
        <w:t>Net job</w:t>
      </w:r>
      <w:r w:rsidR="00945358">
        <w:t xml:space="preserve"> creation by surviving micro (0</w:t>
      </w:r>
      <w:r w:rsidR="00945358">
        <w:rPr>
          <w:rFonts w:cstheme="minorHAnsi"/>
        </w:rPr>
        <w:t>–</w:t>
      </w:r>
      <w:r w:rsidRPr="00937341">
        <w:t>9 employee) start-ups (at 144</w:t>
      </w:r>
      <w:r>
        <w:t xml:space="preserve"> per cent</w:t>
      </w:r>
      <w:r w:rsidRPr="00937341">
        <w:t>) is large enough to more than compensate for the job destruction of those start-ups that exit within five years, despite only representing 45</w:t>
      </w:r>
      <w:r>
        <w:t xml:space="preserve"> per cent</w:t>
      </w:r>
      <w:r w:rsidRPr="00937341">
        <w:t xml:space="preserve"> of the total start-up cohort that entered the economy (Tab</w:t>
      </w:r>
      <w:r w:rsidR="0005576A">
        <w:t>le B</w:t>
      </w:r>
      <w:r>
        <w:t>3</w:t>
      </w:r>
      <w:r w:rsidRPr="00937341">
        <w:t>).</w:t>
      </w:r>
      <w:r w:rsidRPr="00937341">
        <w:rPr>
          <w:color w:val="FF0000"/>
        </w:rPr>
        <w:t xml:space="preserve"> </w:t>
      </w:r>
    </w:p>
    <w:p w:rsidR="007F1812" w:rsidRDefault="0005576A" w:rsidP="007F1812">
      <w:pPr>
        <w:pStyle w:val="BodyText"/>
      </w:pPr>
      <w:r>
        <w:t xml:space="preserve">Table 2.1 </w:t>
      </w:r>
      <w:r w:rsidR="007F1812" w:rsidRPr="00937341">
        <w:t>shows that the start-up rate was close to 20 start-ups per 1,000 employees in the working population in 2003. Around the global financial crisis the start-up rate fell to 12 and bounced back in 2010 to 15</w:t>
      </w:r>
      <w:r>
        <w:t xml:space="preserve"> (Table 2.1)</w:t>
      </w:r>
      <w:r w:rsidR="007F1812" w:rsidRPr="00937341">
        <w:t>. The latest year 2012 showed a fall in the start-up rate to 11.5 start-ups per 1,000 employees</w:t>
      </w:r>
      <w:r w:rsidR="001216CA">
        <w:t xml:space="preserve"> consistent with Figure 1</w:t>
      </w:r>
      <w:r w:rsidR="007F1812" w:rsidRPr="00937341">
        <w:t>. Australia has a relatively high average start-up ratio compared with other OECD countries which range between 3 and 23 start-ups per 1,000 employees.</w:t>
      </w:r>
      <w:r w:rsidR="007F1812" w:rsidRPr="00937341">
        <w:rPr>
          <w:rStyle w:val="FootnoteReference"/>
        </w:rPr>
        <w:footnoteReference w:id="14"/>
      </w:r>
      <w:r w:rsidR="007F1812" w:rsidRPr="00937341">
        <w:t xml:space="preserve"> Of the sectors covered in the analysis the data shows that start-up rates are low in manufacturing and high in selected service sectors of the economy.</w:t>
      </w:r>
      <w:r w:rsidR="007F1812">
        <w:t xml:space="preserve"> Sectors with very high start-up rates (&gt;35 start-ups per 1,000 employees) were </w:t>
      </w:r>
      <w:r w:rsidR="007F1812" w:rsidRPr="00321A0A">
        <w:rPr>
          <w:i/>
        </w:rPr>
        <w:t>Fishing, Hunting and Trapping</w:t>
      </w:r>
      <w:r w:rsidR="007F1812">
        <w:t xml:space="preserve">, </w:t>
      </w:r>
      <w:r w:rsidR="007F1812" w:rsidRPr="002C585C">
        <w:rPr>
          <w:i/>
        </w:rPr>
        <w:t>Building construction</w:t>
      </w:r>
      <w:r w:rsidR="007F1812">
        <w:t xml:space="preserve"> and</w:t>
      </w:r>
      <w:r w:rsidR="007F1812" w:rsidRPr="002C585C">
        <w:t xml:space="preserve"> </w:t>
      </w:r>
      <w:r w:rsidR="007F1812" w:rsidRPr="002C585C">
        <w:rPr>
          <w:i/>
        </w:rPr>
        <w:t>Construction services</w:t>
      </w:r>
      <w:r w:rsidR="007F1812">
        <w:t>,</w:t>
      </w:r>
      <w:r w:rsidR="007F1812" w:rsidRPr="002C585C">
        <w:t xml:space="preserve"> </w:t>
      </w:r>
      <w:r w:rsidR="007F1812" w:rsidRPr="002C585C">
        <w:rPr>
          <w:i/>
        </w:rPr>
        <w:t>Non-store retailing and Retail</w:t>
      </w:r>
      <w:r w:rsidR="007F1812">
        <w:rPr>
          <w:i/>
        </w:rPr>
        <w:t xml:space="preserve"> </w:t>
      </w:r>
      <w:r w:rsidR="007F1812" w:rsidRPr="002C585C">
        <w:rPr>
          <w:i/>
        </w:rPr>
        <w:t>commission-based buying and/or selling</w:t>
      </w:r>
      <w:r w:rsidR="007F1812">
        <w:t>,</w:t>
      </w:r>
      <w:r w:rsidR="007F1812" w:rsidRPr="002C585C">
        <w:t xml:space="preserve"> </w:t>
      </w:r>
      <w:r w:rsidR="007F1812" w:rsidRPr="002C585C">
        <w:rPr>
          <w:i/>
        </w:rPr>
        <w:t>Internet publishing and broadcasting</w:t>
      </w:r>
      <w:r w:rsidR="007F1812">
        <w:rPr>
          <w:i/>
        </w:rPr>
        <w:t>, Insurance and Superannuation funds,</w:t>
      </w:r>
      <w:r w:rsidR="007F1812">
        <w:t xml:space="preserve"> </w:t>
      </w:r>
      <w:r w:rsidR="007F1812" w:rsidRPr="002C585C">
        <w:rPr>
          <w:i/>
        </w:rPr>
        <w:t>Property operators and real estate services</w:t>
      </w:r>
      <w:r w:rsidR="007F1812">
        <w:rPr>
          <w:i/>
        </w:rPr>
        <w:t xml:space="preserve"> </w:t>
      </w:r>
      <w:r w:rsidR="007F1812">
        <w:t xml:space="preserve">and </w:t>
      </w:r>
      <w:r w:rsidR="007F1812" w:rsidRPr="008249FB">
        <w:rPr>
          <w:i/>
        </w:rPr>
        <w:t>Creative and performing arts</w:t>
      </w:r>
      <w:r>
        <w:t xml:space="preserve"> (Table B</w:t>
      </w:r>
      <w:r w:rsidR="007F1812">
        <w:t xml:space="preserve">3). </w:t>
      </w:r>
      <w:r w:rsidR="007F1812" w:rsidRPr="008249FB">
        <w:rPr>
          <w:i/>
        </w:rPr>
        <w:t>Metal ore mining</w:t>
      </w:r>
      <w:r w:rsidR="007F1812">
        <w:t xml:space="preserve">, </w:t>
      </w:r>
      <w:r w:rsidR="007F1812" w:rsidRPr="008249FB">
        <w:rPr>
          <w:i/>
        </w:rPr>
        <w:t>Pulp &amp; paper manufacturing</w:t>
      </w:r>
      <w:r w:rsidR="007F1812">
        <w:t xml:space="preserve"> and some health and education sectors </w:t>
      </w:r>
      <w:r>
        <w:t>show low start-up rates (Table B</w:t>
      </w:r>
      <w:r w:rsidR="007F1812">
        <w:t xml:space="preserve">3). </w:t>
      </w:r>
    </w:p>
    <w:p w:rsidR="00AA3A65" w:rsidRDefault="00AA3A65" w:rsidP="00DB555F">
      <w:pPr>
        <w:pStyle w:val="CaptionWide"/>
      </w:pPr>
      <w:r w:rsidRPr="000618FB">
        <w:t xml:space="preserve">Table </w:t>
      </w:r>
      <w:r w:rsidR="00B77A63">
        <w:fldChar w:fldCharType="begin"/>
      </w:r>
      <w:r w:rsidR="006D3DDF">
        <w:instrText xml:space="preserve"> STYLEREF 1 \s </w:instrText>
      </w:r>
      <w:r w:rsidR="00B77A63">
        <w:fldChar w:fldCharType="separate"/>
      </w:r>
      <w:r w:rsidR="00A13942">
        <w:rPr>
          <w:noProof/>
        </w:rPr>
        <w:t>2</w:t>
      </w:r>
      <w:r w:rsidR="00B77A63">
        <w:rPr>
          <w:noProof/>
        </w:rPr>
        <w:fldChar w:fldCharType="end"/>
      </w:r>
      <w:r w:rsidRPr="000618FB">
        <w:t>.</w:t>
      </w:r>
      <w:r w:rsidR="00B77A63">
        <w:fldChar w:fldCharType="begin"/>
      </w:r>
      <w:r w:rsidR="006D3DDF">
        <w:instrText xml:space="preserve"> SEQ Table \* ARABIC \s 1 </w:instrText>
      </w:r>
      <w:r w:rsidR="00B77A63">
        <w:fldChar w:fldCharType="separate"/>
      </w:r>
      <w:r w:rsidR="00A13942">
        <w:rPr>
          <w:noProof/>
        </w:rPr>
        <w:t>2</w:t>
      </w:r>
      <w:r w:rsidR="00B77A63">
        <w:rPr>
          <w:noProof/>
        </w:rPr>
        <w:fldChar w:fldCharType="end"/>
      </w:r>
      <w:r>
        <w:t xml:space="preserve">: </w:t>
      </w:r>
      <w:r w:rsidRPr="00771851">
        <w:t>Decomposition of normalised net job creation in Australia, 2001</w:t>
      </w:r>
      <w:r w:rsidRPr="00771851">
        <w:rPr>
          <w:rFonts w:cs="Arial"/>
        </w:rPr>
        <w:t>–</w:t>
      </w:r>
      <w:r w:rsidRPr="00771851">
        <w:t>2011</w:t>
      </w:r>
    </w:p>
    <w:tbl>
      <w:tblPr>
        <w:tblStyle w:val="TableGrid"/>
        <w:tblW w:w="911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AE7F3" w:themeFill="accent1" w:themeFillTint="33"/>
        <w:tblLook w:val="04A0" w:firstRow="1" w:lastRow="0" w:firstColumn="1" w:lastColumn="0" w:noHBand="0" w:noVBand="1"/>
        <w:tblCaption w:val="Table 2.2: Decomposition of normalised net job creation in Australia, 2001-11"/>
        <w:tblDescription w:val="This table examines decomposition of normalised net job creation in Australia. Looking at Entry cohorts, net job creation by surviving entrants relatives to total employment, start-ups per thousand employees, start-up survival rate, share of surviving firms after three years (per cent), average start-up size at entry and average post-entry growth, final over intial employment ration (per cent). "/>
      </w:tblPr>
      <w:tblGrid>
        <w:gridCol w:w="1035"/>
        <w:gridCol w:w="1517"/>
        <w:gridCol w:w="1173"/>
        <w:gridCol w:w="1804"/>
        <w:gridCol w:w="1705"/>
        <w:gridCol w:w="1876"/>
      </w:tblGrid>
      <w:tr w:rsidR="00AA3A65" w:rsidRPr="00837440" w:rsidTr="002A6334">
        <w:trPr>
          <w:trHeight w:val="295"/>
          <w:tblHeader/>
        </w:trPr>
        <w:tc>
          <w:tcPr>
            <w:tcW w:w="1035" w:type="dxa"/>
            <w:shd w:val="clear" w:color="auto" w:fill="22789A" w:themeFill="accent1"/>
          </w:tcPr>
          <w:p w:rsidR="00AA3A65" w:rsidRPr="00837440" w:rsidRDefault="00AA3A65" w:rsidP="00DB555F">
            <w:pPr>
              <w:pStyle w:val="Tableheader"/>
            </w:pPr>
            <w:r w:rsidRPr="00837440">
              <w:t>Entry cohort</w:t>
            </w:r>
          </w:p>
        </w:tc>
        <w:tc>
          <w:tcPr>
            <w:tcW w:w="1517" w:type="dxa"/>
            <w:shd w:val="clear" w:color="auto" w:fill="22789A" w:themeFill="accent1"/>
          </w:tcPr>
          <w:p w:rsidR="00AA3A65" w:rsidRPr="00837440" w:rsidRDefault="00AA3A65" w:rsidP="00DB555F">
            <w:pPr>
              <w:pStyle w:val="Tableheader"/>
              <w:jc w:val="right"/>
            </w:pPr>
            <w:r>
              <w:t>Net job creation by surviving entrants relative to total employment</w:t>
            </w:r>
          </w:p>
        </w:tc>
        <w:tc>
          <w:tcPr>
            <w:tcW w:w="1173" w:type="dxa"/>
            <w:shd w:val="clear" w:color="auto" w:fill="22789A" w:themeFill="accent1"/>
          </w:tcPr>
          <w:p w:rsidR="00AA3A65" w:rsidRPr="00837440" w:rsidRDefault="00AA3A65" w:rsidP="00DB555F">
            <w:pPr>
              <w:pStyle w:val="Tableheader"/>
              <w:jc w:val="right"/>
            </w:pPr>
            <w:r>
              <w:t>Start-up</w:t>
            </w:r>
            <w:r w:rsidRPr="00837440">
              <w:t>s per thousand employees</w:t>
            </w:r>
          </w:p>
        </w:tc>
        <w:tc>
          <w:tcPr>
            <w:tcW w:w="1804" w:type="dxa"/>
            <w:shd w:val="clear" w:color="auto" w:fill="22789A" w:themeFill="accent1"/>
          </w:tcPr>
          <w:p w:rsidR="00AA3A65" w:rsidRPr="00837440" w:rsidRDefault="00AA3A65" w:rsidP="00645DCF">
            <w:pPr>
              <w:pStyle w:val="Tableheader"/>
              <w:jc w:val="right"/>
            </w:pPr>
            <w:r>
              <w:t>Start-up</w:t>
            </w:r>
            <w:r w:rsidRPr="00837440">
              <w:t xml:space="preserve"> survival rate, Share of sur</w:t>
            </w:r>
            <w:r>
              <w:t>viving firms after three years</w:t>
            </w:r>
            <w:r w:rsidR="00645DCF">
              <w:br/>
            </w:r>
            <w:r>
              <w:t>(per cent)</w:t>
            </w:r>
          </w:p>
        </w:tc>
        <w:tc>
          <w:tcPr>
            <w:tcW w:w="1705" w:type="dxa"/>
            <w:shd w:val="clear" w:color="auto" w:fill="22789A" w:themeFill="accent1"/>
          </w:tcPr>
          <w:p w:rsidR="00AA3A65" w:rsidRPr="00837440" w:rsidRDefault="00AA3A65" w:rsidP="00DB555F">
            <w:pPr>
              <w:pStyle w:val="Tableheader"/>
              <w:jc w:val="right"/>
            </w:pPr>
            <w:r w:rsidRPr="00837440">
              <w:t xml:space="preserve">Average </w:t>
            </w:r>
            <w:r>
              <w:t>start-up</w:t>
            </w:r>
            <w:r w:rsidRPr="00837440">
              <w:t xml:space="preserve"> employment size at entry</w:t>
            </w:r>
          </w:p>
        </w:tc>
        <w:tc>
          <w:tcPr>
            <w:tcW w:w="1876" w:type="dxa"/>
            <w:shd w:val="clear" w:color="auto" w:fill="22789A" w:themeFill="accent1"/>
          </w:tcPr>
          <w:p w:rsidR="00AA3A65" w:rsidRPr="00837440" w:rsidRDefault="00AA3A65" w:rsidP="00DB555F">
            <w:pPr>
              <w:pStyle w:val="Tableheader"/>
              <w:jc w:val="right"/>
            </w:pPr>
            <w:r w:rsidRPr="00837440">
              <w:t>Average post-entry growth, Fina</w:t>
            </w:r>
            <w:r>
              <w:t>l over initial employment ratio, (per cent)</w:t>
            </w:r>
          </w:p>
        </w:tc>
      </w:tr>
      <w:tr w:rsidR="00AA3A65" w:rsidRPr="00AB1F15" w:rsidTr="00AA3A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1035" w:type="dxa"/>
            <w:tcBorders>
              <w:top w:val="nil"/>
              <w:left w:val="nil"/>
              <w:bottom w:val="nil"/>
              <w:right w:val="nil"/>
            </w:tcBorders>
            <w:shd w:val="clear" w:color="auto" w:fill="CAE7F3" w:themeFill="accent1" w:themeFillTint="33"/>
            <w:noWrap/>
            <w:hideMark/>
          </w:tcPr>
          <w:p w:rsidR="00AA3A65" w:rsidRPr="00AB1F15" w:rsidRDefault="00AA3A65" w:rsidP="00DB555F">
            <w:pPr>
              <w:pStyle w:val="Tabletext"/>
            </w:pPr>
            <w:r w:rsidRPr="00AB1F15">
              <w:t>2003</w:t>
            </w:r>
          </w:p>
        </w:tc>
        <w:tc>
          <w:tcPr>
            <w:tcW w:w="1517" w:type="dxa"/>
            <w:tcBorders>
              <w:top w:val="nil"/>
              <w:left w:val="nil"/>
              <w:bottom w:val="nil"/>
              <w:right w:val="nil"/>
            </w:tcBorders>
            <w:shd w:val="clear" w:color="auto" w:fill="CAE7F3" w:themeFill="accent1" w:themeFillTint="33"/>
            <w:vAlign w:val="bottom"/>
          </w:tcPr>
          <w:p w:rsidR="00AA3A65" w:rsidRDefault="00AA3A65" w:rsidP="00DB555F">
            <w:pPr>
              <w:pStyle w:val="Tabletext"/>
              <w:jc w:val="right"/>
            </w:pPr>
            <w:r w:rsidRPr="009A3C0C">
              <w:t>5.82</w:t>
            </w:r>
          </w:p>
        </w:tc>
        <w:tc>
          <w:tcPr>
            <w:tcW w:w="1173" w:type="dxa"/>
            <w:tcBorders>
              <w:top w:val="nil"/>
              <w:left w:val="nil"/>
              <w:bottom w:val="nil"/>
              <w:right w:val="nil"/>
            </w:tcBorders>
            <w:shd w:val="clear" w:color="auto" w:fill="CAE7F3" w:themeFill="accent1" w:themeFillTint="33"/>
            <w:noWrap/>
            <w:vAlign w:val="center"/>
            <w:hideMark/>
          </w:tcPr>
          <w:p w:rsidR="00AA3A65" w:rsidRPr="00AB1F15" w:rsidRDefault="00AA3A65" w:rsidP="00DB555F">
            <w:pPr>
              <w:pStyle w:val="Tabletext"/>
              <w:jc w:val="right"/>
            </w:pPr>
            <w:r>
              <w:t>18.9</w:t>
            </w:r>
          </w:p>
        </w:tc>
        <w:tc>
          <w:tcPr>
            <w:tcW w:w="1804" w:type="dxa"/>
            <w:tcBorders>
              <w:top w:val="nil"/>
              <w:left w:val="nil"/>
              <w:bottom w:val="nil"/>
              <w:right w:val="nil"/>
            </w:tcBorders>
            <w:shd w:val="clear" w:color="auto" w:fill="CAE7F3" w:themeFill="accent1" w:themeFillTint="33"/>
            <w:noWrap/>
            <w:vAlign w:val="center"/>
            <w:hideMark/>
          </w:tcPr>
          <w:p w:rsidR="00AA3A65" w:rsidRPr="00AB1F15" w:rsidRDefault="00AA3A65" w:rsidP="00DB555F">
            <w:pPr>
              <w:pStyle w:val="Tabletext"/>
              <w:jc w:val="right"/>
            </w:pPr>
            <w:r>
              <w:t>59.2</w:t>
            </w:r>
          </w:p>
        </w:tc>
        <w:tc>
          <w:tcPr>
            <w:tcW w:w="1705" w:type="dxa"/>
            <w:tcBorders>
              <w:top w:val="nil"/>
              <w:left w:val="nil"/>
              <w:bottom w:val="nil"/>
              <w:right w:val="nil"/>
            </w:tcBorders>
            <w:shd w:val="clear" w:color="auto" w:fill="CAE7F3" w:themeFill="accent1" w:themeFillTint="33"/>
            <w:noWrap/>
            <w:vAlign w:val="center"/>
            <w:hideMark/>
          </w:tcPr>
          <w:p w:rsidR="00AA3A65" w:rsidRPr="00AB1F15" w:rsidRDefault="00AA3A65" w:rsidP="00DB555F">
            <w:pPr>
              <w:pStyle w:val="Tabletext"/>
              <w:jc w:val="right"/>
            </w:pPr>
            <w:r w:rsidRPr="00AB1F15">
              <w:t>2.</w:t>
            </w:r>
            <w:r>
              <w:t>7</w:t>
            </w:r>
          </w:p>
        </w:tc>
        <w:tc>
          <w:tcPr>
            <w:tcW w:w="1876" w:type="dxa"/>
            <w:tcBorders>
              <w:top w:val="nil"/>
              <w:left w:val="nil"/>
              <w:bottom w:val="nil"/>
              <w:right w:val="nil"/>
            </w:tcBorders>
            <w:shd w:val="clear" w:color="auto" w:fill="CAE7F3" w:themeFill="accent1" w:themeFillTint="33"/>
            <w:noWrap/>
            <w:vAlign w:val="center"/>
            <w:hideMark/>
          </w:tcPr>
          <w:p w:rsidR="00AA3A65" w:rsidRPr="00AB1F15" w:rsidRDefault="00AA3A65" w:rsidP="00DB555F">
            <w:pPr>
              <w:pStyle w:val="Tabletext"/>
              <w:jc w:val="right"/>
            </w:pPr>
            <w:r w:rsidRPr="00AB1F15">
              <w:t>141.1</w:t>
            </w:r>
          </w:p>
        </w:tc>
      </w:tr>
      <w:tr w:rsidR="00AA3A65" w:rsidRPr="00AB1F15" w:rsidTr="00AA3A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1035" w:type="dxa"/>
            <w:tcBorders>
              <w:top w:val="nil"/>
              <w:left w:val="nil"/>
              <w:bottom w:val="nil"/>
              <w:right w:val="nil"/>
            </w:tcBorders>
            <w:shd w:val="clear" w:color="auto" w:fill="CAE7F3" w:themeFill="accent1" w:themeFillTint="33"/>
            <w:noWrap/>
            <w:hideMark/>
          </w:tcPr>
          <w:p w:rsidR="00AA3A65" w:rsidRPr="00AB1F15" w:rsidRDefault="00AA3A65" w:rsidP="00DB555F">
            <w:pPr>
              <w:pStyle w:val="Tabletext"/>
            </w:pPr>
            <w:r w:rsidRPr="00AB1F15">
              <w:t>2004</w:t>
            </w:r>
          </w:p>
        </w:tc>
        <w:tc>
          <w:tcPr>
            <w:tcW w:w="1517" w:type="dxa"/>
            <w:tcBorders>
              <w:top w:val="nil"/>
              <w:left w:val="nil"/>
              <w:bottom w:val="nil"/>
              <w:right w:val="nil"/>
            </w:tcBorders>
            <w:shd w:val="clear" w:color="auto" w:fill="CAE7F3" w:themeFill="accent1" w:themeFillTint="33"/>
            <w:vAlign w:val="bottom"/>
          </w:tcPr>
          <w:p w:rsidR="00AA3A65" w:rsidRPr="00AB1F15" w:rsidRDefault="00AA3A65" w:rsidP="00DB555F">
            <w:pPr>
              <w:pStyle w:val="Tabletext"/>
              <w:jc w:val="right"/>
            </w:pPr>
            <w:r w:rsidRPr="009A3C0C">
              <w:t>6.32</w:t>
            </w:r>
          </w:p>
        </w:tc>
        <w:tc>
          <w:tcPr>
            <w:tcW w:w="1173" w:type="dxa"/>
            <w:tcBorders>
              <w:top w:val="nil"/>
              <w:left w:val="nil"/>
              <w:bottom w:val="nil"/>
              <w:right w:val="nil"/>
            </w:tcBorders>
            <w:shd w:val="clear" w:color="auto" w:fill="CAE7F3" w:themeFill="accent1" w:themeFillTint="33"/>
            <w:noWrap/>
            <w:vAlign w:val="center"/>
            <w:hideMark/>
          </w:tcPr>
          <w:p w:rsidR="00AA3A65" w:rsidRPr="00AB1F15" w:rsidRDefault="00AA3A65" w:rsidP="00DB555F">
            <w:pPr>
              <w:pStyle w:val="Tabletext"/>
              <w:jc w:val="right"/>
            </w:pPr>
            <w:r w:rsidRPr="00AB1F15">
              <w:t>18.8</w:t>
            </w:r>
          </w:p>
        </w:tc>
        <w:tc>
          <w:tcPr>
            <w:tcW w:w="1804" w:type="dxa"/>
            <w:tcBorders>
              <w:top w:val="nil"/>
              <w:left w:val="nil"/>
              <w:bottom w:val="nil"/>
              <w:right w:val="nil"/>
            </w:tcBorders>
            <w:shd w:val="clear" w:color="auto" w:fill="CAE7F3" w:themeFill="accent1" w:themeFillTint="33"/>
            <w:noWrap/>
            <w:vAlign w:val="center"/>
            <w:hideMark/>
          </w:tcPr>
          <w:p w:rsidR="00AA3A65" w:rsidRPr="00AB1F15" w:rsidRDefault="00AA3A65" w:rsidP="00DB555F">
            <w:pPr>
              <w:pStyle w:val="Tabletext"/>
              <w:jc w:val="right"/>
            </w:pPr>
            <w:r w:rsidRPr="00AB1F15">
              <w:t>59.4</w:t>
            </w:r>
          </w:p>
        </w:tc>
        <w:tc>
          <w:tcPr>
            <w:tcW w:w="1705" w:type="dxa"/>
            <w:tcBorders>
              <w:top w:val="nil"/>
              <w:left w:val="nil"/>
              <w:bottom w:val="nil"/>
              <w:right w:val="nil"/>
            </w:tcBorders>
            <w:shd w:val="clear" w:color="auto" w:fill="CAE7F3" w:themeFill="accent1" w:themeFillTint="33"/>
            <w:noWrap/>
            <w:vAlign w:val="center"/>
            <w:hideMark/>
          </w:tcPr>
          <w:p w:rsidR="00AA3A65" w:rsidRPr="00AB1F15" w:rsidRDefault="00AA3A65" w:rsidP="00DB555F">
            <w:pPr>
              <w:pStyle w:val="Tabletext"/>
              <w:jc w:val="right"/>
            </w:pPr>
            <w:r>
              <w:t>3.3</w:t>
            </w:r>
          </w:p>
        </w:tc>
        <w:tc>
          <w:tcPr>
            <w:tcW w:w="1876" w:type="dxa"/>
            <w:tcBorders>
              <w:top w:val="nil"/>
              <w:left w:val="nil"/>
              <w:bottom w:val="nil"/>
              <w:right w:val="nil"/>
            </w:tcBorders>
            <w:shd w:val="clear" w:color="auto" w:fill="CAE7F3" w:themeFill="accent1" w:themeFillTint="33"/>
            <w:noWrap/>
            <w:vAlign w:val="center"/>
            <w:hideMark/>
          </w:tcPr>
          <w:p w:rsidR="00AA3A65" w:rsidRPr="00AB1F15" w:rsidRDefault="00AA3A65" w:rsidP="00DB555F">
            <w:pPr>
              <w:pStyle w:val="Tabletext"/>
              <w:jc w:val="right"/>
            </w:pPr>
            <w:r>
              <w:t>129.3</w:t>
            </w:r>
          </w:p>
        </w:tc>
      </w:tr>
      <w:tr w:rsidR="00AA3A65" w:rsidRPr="00AB1F15" w:rsidTr="00AA3A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1035" w:type="dxa"/>
            <w:tcBorders>
              <w:top w:val="nil"/>
              <w:left w:val="nil"/>
              <w:bottom w:val="nil"/>
              <w:right w:val="nil"/>
            </w:tcBorders>
            <w:shd w:val="clear" w:color="auto" w:fill="CAE7F3" w:themeFill="accent1" w:themeFillTint="33"/>
            <w:noWrap/>
            <w:hideMark/>
          </w:tcPr>
          <w:p w:rsidR="00AA3A65" w:rsidRPr="00AB1F15" w:rsidRDefault="00AA3A65" w:rsidP="00DB555F">
            <w:pPr>
              <w:pStyle w:val="Tabletext"/>
            </w:pPr>
            <w:r w:rsidRPr="00AB1F15">
              <w:t>2005</w:t>
            </w:r>
          </w:p>
        </w:tc>
        <w:tc>
          <w:tcPr>
            <w:tcW w:w="1517" w:type="dxa"/>
            <w:tcBorders>
              <w:top w:val="nil"/>
              <w:left w:val="nil"/>
              <w:bottom w:val="nil"/>
              <w:right w:val="nil"/>
            </w:tcBorders>
            <w:shd w:val="clear" w:color="auto" w:fill="CAE7F3" w:themeFill="accent1" w:themeFillTint="33"/>
            <w:vAlign w:val="bottom"/>
          </w:tcPr>
          <w:p w:rsidR="00AA3A65" w:rsidRPr="00AB1F15" w:rsidRDefault="00AA3A65" w:rsidP="00DB555F">
            <w:pPr>
              <w:pStyle w:val="Tabletext"/>
              <w:jc w:val="right"/>
            </w:pPr>
            <w:r w:rsidRPr="009A3C0C">
              <w:t>5.54</w:t>
            </w:r>
          </w:p>
        </w:tc>
        <w:tc>
          <w:tcPr>
            <w:tcW w:w="1173" w:type="dxa"/>
            <w:tcBorders>
              <w:top w:val="nil"/>
              <w:left w:val="nil"/>
              <w:bottom w:val="nil"/>
              <w:right w:val="nil"/>
            </w:tcBorders>
            <w:shd w:val="clear" w:color="auto" w:fill="CAE7F3" w:themeFill="accent1" w:themeFillTint="33"/>
            <w:noWrap/>
            <w:vAlign w:val="center"/>
            <w:hideMark/>
          </w:tcPr>
          <w:p w:rsidR="00AA3A65" w:rsidRPr="00AB1F15" w:rsidRDefault="00AA3A65" w:rsidP="00DB555F">
            <w:pPr>
              <w:pStyle w:val="Tabletext"/>
              <w:jc w:val="right"/>
            </w:pPr>
            <w:r w:rsidRPr="00AB1F15">
              <w:t>16.</w:t>
            </w:r>
            <w:r>
              <w:t>4</w:t>
            </w:r>
          </w:p>
        </w:tc>
        <w:tc>
          <w:tcPr>
            <w:tcW w:w="1804" w:type="dxa"/>
            <w:tcBorders>
              <w:top w:val="nil"/>
              <w:left w:val="nil"/>
              <w:bottom w:val="nil"/>
              <w:right w:val="nil"/>
            </w:tcBorders>
            <w:shd w:val="clear" w:color="auto" w:fill="CAE7F3" w:themeFill="accent1" w:themeFillTint="33"/>
            <w:noWrap/>
            <w:vAlign w:val="center"/>
            <w:hideMark/>
          </w:tcPr>
          <w:p w:rsidR="00AA3A65" w:rsidRPr="00AB1F15" w:rsidRDefault="00AA3A65" w:rsidP="00DB555F">
            <w:pPr>
              <w:pStyle w:val="Tabletext"/>
              <w:jc w:val="right"/>
            </w:pPr>
            <w:r w:rsidRPr="00AB1F15">
              <w:t>60.</w:t>
            </w:r>
            <w:r>
              <w:t>1</w:t>
            </w:r>
          </w:p>
        </w:tc>
        <w:tc>
          <w:tcPr>
            <w:tcW w:w="1705" w:type="dxa"/>
            <w:tcBorders>
              <w:top w:val="nil"/>
              <w:left w:val="nil"/>
              <w:bottom w:val="nil"/>
              <w:right w:val="nil"/>
            </w:tcBorders>
            <w:shd w:val="clear" w:color="auto" w:fill="CAE7F3" w:themeFill="accent1" w:themeFillTint="33"/>
            <w:noWrap/>
            <w:vAlign w:val="center"/>
            <w:hideMark/>
          </w:tcPr>
          <w:p w:rsidR="00AA3A65" w:rsidRPr="00AB1F15" w:rsidRDefault="00AA3A65" w:rsidP="00DB555F">
            <w:pPr>
              <w:pStyle w:val="Tabletext"/>
              <w:jc w:val="right"/>
            </w:pPr>
            <w:r w:rsidRPr="00AB1F15">
              <w:t>3.6</w:t>
            </w:r>
          </w:p>
        </w:tc>
        <w:tc>
          <w:tcPr>
            <w:tcW w:w="1876" w:type="dxa"/>
            <w:tcBorders>
              <w:top w:val="nil"/>
              <w:left w:val="nil"/>
              <w:bottom w:val="nil"/>
              <w:right w:val="nil"/>
            </w:tcBorders>
            <w:shd w:val="clear" w:color="auto" w:fill="CAE7F3" w:themeFill="accent1" w:themeFillTint="33"/>
            <w:noWrap/>
            <w:vAlign w:val="center"/>
            <w:hideMark/>
          </w:tcPr>
          <w:p w:rsidR="00AA3A65" w:rsidRPr="00AB1F15" w:rsidRDefault="00AA3A65" w:rsidP="00DB555F">
            <w:pPr>
              <w:pStyle w:val="Tabletext"/>
              <w:jc w:val="right"/>
            </w:pPr>
            <w:r>
              <w:t>118.3</w:t>
            </w:r>
          </w:p>
        </w:tc>
      </w:tr>
      <w:tr w:rsidR="00AA3A65" w:rsidRPr="00AB1F15" w:rsidTr="00AA3A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1035" w:type="dxa"/>
            <w:tcBorders>
              <w:top w:val="nil"/>
              <w:left w:val="nil"/>
              <w:bottom w:val="nil"/>
              <w:right w:val="nil"/>
            </w:tcBorders>
            <w:shd w:val="clear" w:color="auto" w:fill="CAE7F3" w:themeFill="accent1" w:themeFillTint="33"/>
            <w:noWrap/>
            <w:hideMark/>
          </w:tcPr>
          <w:p w:rsidR="00AA3A65" w:rsidRPr="00AB1F15" w:rsidRDefault="00AA3A65" w:rsidP="00DB555F">
            <w:pPr>
              <w:pStyle w:val="Tabletext"/>
            </w:pPr>
            <w:r w:rsidRPr="00AB1F15">
              <w:t>2006</w:t>
            </w:r>
          </w:p>
        </w:tc>
        <w:tc>
          <w:tcPr>
            <w:tcW w:w="1517" w:type="dxa"/>
            <w:tcBorders>
              <w:top w:val="nil"/>
              <w:left w:val="nil"/>
              <w:bottom w:val="nil"/>
              <w:right w:val="nil"/>
            </w:tcBorders>
            <w:shd w:val="clear" w:color="auto" w:fill="CAE7F3" w:themeFill="accent1" w:themeFillTint="33"/>
            <w:vAlign w:val="bottom"/>
          </w:tcPr>
          <w:p w:rsidR="00AA3A65" w:rsidRPr="00AB1F15" w:rsidRDefault="00AA3A65" w:rsidP="00DB555F">
            <w:pPr>
              <w:pStyle w:val="Tabletext"/>
              <w:jc w:val="right"/>
            </w:pPr>
            <w:r w:rsidRPr="009A3C0C">
              <w:t>5.26</w:t>
            </w:r>
          </w:p>
        </w:tc>
        <w:tc>
          <w:tcPr>
            <w:tcW w:w="1173" w:type="dxa"/>
            <w:tcBorders>
              <w:top w:val="nil"/>
              <w:left w:val="nil"/>
              <w:bottom w:val="nil"/>
              <w:right w:val="nil"/>
            </w:tcBorders>
            <w:shd w:val="clear" w:color="auto" w:fill="CAE7F3" w:themeFill="accent1" w:themeFillTint="33"/>
            <w:noWrap/>
            <w:vAlign w:val="center"/>
            <w:hideMark/>
          </w:tcPr>
          <w:p w:rsidR="00AA3A65" w:rsidRPr="00AB1F15" w:rsidRDefault="00AA3A65" w:rsidP="00DB555F">
            <w:pPr>
              <w:pStyle w:val="Tabletext"/>
              <w:jc w:val="right"/>
            </w:pPr>
            <w:r w:rsidRPr="00AB1F15">
              <w:t>15.</w:t>
            </w:r>
            <w:r>
              <w:t>7</w:t>
            </w:r>
          </w:p>
        </w:tc>
        <w:tc>
          <w:tcPr>
            <w:tcW w:w="1804" w:type="dxa"/>
            <w:tcBorders>
              <w:top w:val="nil"/>
              <w:left w:val="nil"/>
              <w:bottom w:val="nil"/>
              <w:right w:val="nil"/>
            </w:tcBorders>
            <w:shd w:val="clear" w:color="auto" w:fill="CAE7F3" w:themeFill="accent1" w:themeFillTint="33"/>
            <w:noWrap/>
            <w:vAlign w:val="center"/>
            <w:hideMark/>
          </w:tcPr>
          <w:p w:rsidR="00AA3A65" w:rsidRPr="00AB1F15" w:rsidRDefault="00AA3A65" w:rsidP="00DB555F">
            <w:pPr>
              <w:pStyle w:val="Tabletext"/>
              <w:jc w:val="right"/>
            </w:pPr>
            <w:r w:rsidRPr="00AB1F15">
              <w:t>59.5</w:t>
            </w:r>
          </w:p>
        </w:tc>
        <w:tc>
          <w:tcPr>
            <w:tcW w:w="1705" w:type="dxa"/>
            <w:tcBorders>
              <w:top w:val="nil"/>
              <w:left w:val="nil"/>
              <w:bottom w:val="nil"/>
              <w:right w:val="nil"/>
            </w:tcBorders>
            <w:shd w:val="clear" w:color="auto" w:fill="CAE7F3" w:themeFill="accent1" w:themeFillTint="33"/>
            <w:noWrap/>
            <w:vAlign w:val="center"/>
            <w:hideMark/>
          </w:tcPr>
          <w:p w:rsidR="00AA3A65" w:rsidRPr="00AB1F15" w:rsidRDefault="00AA3A65" w:rsidP="00DB555F">
            <w:pPr>
              <w:pStyle w:val="Tabletext"/>
              <w:jc w:val="right"/>
            </w:pPr>
            <w:r w:rsidRPr="00AB1F15">
              <w:t>3.6</w:t>
            </w:r>
          </w:p>
        </w:tc>
        <w:tc>
          <w:tcPr>
            <w:tcW w:w="1876" w:type="dxa"/>
            <w:tcBorders>
              <w:top w:val="nil"/>
              <w:left w:val="nil"/>
              <w:bottom w:val="nil"/>
              <w:right w:val="nil"/>
            </w:tcBorders>
            <w:shd w:val="clear" w:color="auto" w:fill="CAE7F3" w:themeFill="accent1" w:themeFillTint="33"/>
            <w:noWrap/>
            <w:vAlign w:val="center"/>
            <w:hideMark/>
          </w:tcPr>
          <w:p w:rsidR="00AA3A65" w:rsidRPr="00AB1F15" w:rsidRDefault="00AA3A65" w:rsidP="00DB555F">
            <w:pPr>
              <w:pStyle w:val="Tabletext"/>
              <w:jc w:val="right"/>
            </w:pPr>
            <w:r>
              <w:t>118.3</w:t>
            </w:r>
          </w:p>
        </w:tc>
      </w:tr>
      <w:tr w:rsidR="00AA3A65" w:rsidRPr="00AB1F15" w:rsidTr="00AA3A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1035" w:type="dxa"/>
            <w:tcBorders>
              <w:top w:val="nil"/>
              <w:left w:val="nil"/>
              <w:bottom w:val="nil"/>
              <w:right w:val="nil"/>
            </w:tcBorders>
            <w:shd w:val="clear" w:color="auto" w:fill="CAE7F3" w:themeFill="accent1" w:themeFillTint="33"/>
            <w:noWrap/>
            <w:hideMark/>
          </w:tcPr>
          <w:p w:rsidR="00AA3A65" w:rsidRPr="00AB1F15" w:rsidRDefault="00AA3A65" w:rsidP="00DB555F">
            <w:pPr>
              <w:pStyle w:val="Tabletext"/>
            </w:pPr>
            <w:r w:rsidRPr="00AB1F15">
              <w:t>2007</w:t>
            </w:r>
          </w:p>
        </w:tc>
        <w:tc>
          <w:tcPr>
            <w:tcW w:w="1517" w:type="dxa"/>
            <w:tcBorders>
              <w:top w:val="nil"/>
              <w:left w:val="nil"/>
              <w:bottom w:val="nil"/>
              <w:right w:val="nil"/>
            </w:tcBorders>
            <w:shd w:val="clear" w:color="auto" w:fill="CAE7F3" w:themeFill="accent1" w:themeFillTint="33"/>
            <w:vAlign w:val="bottom"/>
          </w:tcPr>
          <w:p w:rsidR="00AA3A65" w:rsidRPr="00AB1F15" w:rsidRDefault="00AA3A65" w:rsidP="00DB555F">
            <w:pPr>
              <w:pStyle w:val="Tabletext"/>
              <w:jc w:val="right"/>
            </w:pPr>
            <w:r w:rsidRPr="009A3C0C">
              <w:t>4.05</w:t>
            </w:r>
          </w:p>
        </w:tc>
        <w:tc>
          <w:tcPr>
            <w:tcW w:w="1173" w:type="dxa"/>
            <w:tcBorders>
              <w:top w:val="nil"/>
              <w:left w:val="nil"/>
              <w:bottom w:val="nil"/>
              <w:right w:val="nil"/>
            </w:tcBorders>
            <w:shd w:val="clear" w:color="auto" w:fill="CAE7F3" w:themeFill="accent1" w:themeFillTint="33"/>
            <w:noWrap/>
            <w:vAlign w:val="center"/>
            <w:hideMark/>
          </w:tcPr>
          <w:p w:rsidR="00AA3A65" w:rsidRPr="00AB1F15" w:rsidRDefault="00AA3A65" w:rsidP="00DB555F">
            <w:pPr>
              <w:pStyle w:val="Tabletext"/>
              <w:jc w:val="right"/>
            </w:pPr>
            <w:r w:rsidRPr="00AB1F15">
              <w:t>15.</w:t>
            </w:r>
            <w:r>
              <w:t>4</w:t>
            </w:r>
          </w:p>
        </w:tc>
        <w:tc>
          <w:tcPr>
            <w:tcW w:w="1804" w:type="dxa"/>
            <w:tcBorders>
              <w:top w:val="nil"/>
              <w:left w:val="nil"/>
              <w:bottom w:val="nil"/>
              <w:right w:val="nil"/>
            </w:tcBorders>
            <w:shd w:val="clear" w:color="auto" w:fill="CAE7F3" w:themeFill="accent1" w:themeFillTint="33"/>
            <w:noWrap/>
            <w:vAlign w:val="center"/>
            <w:hideMark/>
          </w:tcPr>
          <w:p w:rsidR="00AA3A65" w:rsidRPr="00AB1F15" w:rsidRDefault="00AA3A65" w:rsidP="00DB555F">
            <w:pPr>
              <w:pStyle w:val="Tabletext"/>
              <w:jc w:val="right"/>
            </w:pPr>
            <w:r w:rsidRPr="00AB1F15">
              <w:t>59.8</w:t>
            </w:r>
          </w:p>
        </w:tc>
        <w:tc>
          <w:tcPr>
            <w:tcW w:w="1705" w:type="dxa"/>
            <w:tcBorders>
              <w:top w:val="nil"/>
              <w:left w:val="nil"/>
              <w:bottom w:val="nil"/>
              <w:right w:val="nil"/>
            </w:tcBorders>
            <w:shd w:val="clear" w:color="auto" w:fill="CAE7F3" w:themeFill="accent1" w:themeFillTint="33"/>
            <w:noWrap/>
            <w:vAlign w:val="center"/>
            <w:hideMark/>
          </w:tcPr>
          <w:p w:rsidR="00AA3A65" w:rsidRPr="00AB1F15" w:rsidRDefault="00AA3A65" w:rsidP="00DB555F">
            <w:pPr>
              <w:pStyle w:val="Tabletext"/>
              <w:jc w:val="right"/>
            </w:pPr>
            <w:r>
              <w:t>3.6</w:t>
            </w:r>
          </w:p>
        </w:tc>
        <w:tc>
          <w:tcPr>
            <w:tcW w:w="1876" w:type="dxa"/>
            <w:tcBorders>
              <w:top w:val="nil"/>
              <w:left w:val="nil"/>
              <w:bottom w:val="nil"/>
              <w:right w:val="nil"/>
            </w:tcBorders>
            <w:shd w:val="clear" w:color="auto" w:fill="CAE7F3" w:themeFill="accent1" w:themeFillTint="33"/>
            <w:noWrap/>
            <w:vAlign w:val="center"/>
            <w:hideMark/>
          </w:tcPr>
          <w:p w:rsidR="00AA3A65" w:rsidRPr="00AB1F15" w:rsidRDefault="00AA3A65" w:rsidP="00DB555F">
            <w:pPr>
              <w:pStyle w:val="Tabletext"/>
              <w:jc w:val="right"/>
            </w:pPr>
            <w:r>
              <w:t>98.0</w:t>
            </w:r>
          </w:p>
        </w:tc>
      </w:tr>
      <w:tr w:rsidR="00AA3A65" w:rsidRPr="00AB1F15" w:rsidTr="00AA3A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1035" w:type="dxa"/>
            <w:tcBorders>
              <w:top w:val="nil"/>
              <w:left w:val="nil"/>
              <w:bottom w:val="nil"/>
              <w:right w:val="nil"/>
            </w:tcBorders>
            <w:shd w:val="clear" w:color="auto" w:fill="CAE7F3" w:themeFill="accent1" w:themeFillTint="33"/>
            <w:noWrap/>
            <w:hideMark/>
          </w:tcPr>
          <w:p w:rsidR="00AA3A65" w:rsidRPr="00AB1F15" w:rsidRDefault="00AA3A65" w:rsidP="00DB555F">
            <w:pPr>
              <w:pStyle w:val="Tabletext"/>
            </w:pPr>
            <w:r w:rsidRPr="00AB1F15">
              <w:t>2008</w:t>
            </w:r>
          </w:p>
        </w:tc>
        <w:tc>
          <w:tcPr>
            <w:tcW w:w="1517" w:type="dxa"/>
            <w:tcBorders>
              <w:top w:val="nil"/>
              <w:left w:val="nil"/>
              <w:bottom w:val="nil"/>
              <w:right w:val="nil"/>
            </w:tcBorders>
            <w:shd w:val="clear" w:color="auto" w:fill="CAE7F3" w:themeFill="accent1" w:themeFillTint="33"/>
            <w:vAlign w:val="bottom"/>
          </w:tcPr>
          <w:p w:rsidR="00AA3A65" w:rsidRPr="00AB1F15" w:rsidRDefault="00AA3A65" w:rsidP="00DB555F">
            <w:pPr>
              <w:pStyle w:val="Tabletext"/>
              <w:jc w:val="right"/>
            </w:pPr>
            <w:r w:rsidRPr="009A3C0C">
              <w:t>3.56</w:t>
            </w:r>
          </w:p>
        </w:tc>
        <w:tc>
          <w:tcPr>
            <w:tcW w:w="1173" w:type="dxa"/>
            <w:tcBorders>
              <w:top w:val="nil"/>
              <w:left w:val="nil"/>
              <w:bottom w:val="nil"/>
              <w:right w:val="nil"/>
            </w:tcBorders>
            <w:shd w:val="clear" w:color="auto" w:fill="CAE7F3" w:themeFill="accent1" w:themeFillTint="33"/>
            <w:noWrap/>
            <w:vAlign w:val="center"/>
            <w:hideMark/>
          </w:tcPr>
          <w:p w:rsidR="00AA3A65" w:rsidRPr="00AB1F15" w:rsidRDefault="00AA3A65" w:rsidP="00DB555F">
            <w:pPr>
              <w:pStyle w:val="Tabletext"/>
              <w:jc w:val="right"/>
            </w:pPr>
            <w:r w:rsidRPr="00AB1F15">
              <w:t>13.7</w:t>
            </w:r>
          </w:p>
        </w:tc>
        <w:tc>
          <w:tcPr>
            <w:tcW w:w="1804" w:type="dxa"/>
            <w:tcBorders>
              <w:top w:val="nil"/>
              <w:left w:val="nil"/>
              <w:bottom w:val="nil"/>
              <w:right w:val="nil"/>
            </w:tcBorders>
            <w:shd w:val="clear" w:color="auto" w:fill="CAE7F3" w:themeFill="accent1" w:themeFillTint="33"/>
            <w:noWrap/>
            <w:vAlign w:val="center"/>
            <w:hideMark/>
          </w:tcPr>
          <w:p w:rsidR="00AA3A65" w:rsidRPr="00AB1F15" w:rsidRDefault="00AA3A65" w:rsidP="00DB555F">
            <w:pPr>
              <w:pStyle w:val="Tabletext"/>
              <w:jc w:val="right"/>
            </w:pPr>
            <w:r w:rsidRPr="00AB1F15">
              <w:t>59.4</w:t>
            </w:r>
          </w:p>
        </w:tc>
        <w:tc>
          <w:tcPr>
            <w:tcW w:w="1705" w:type="dxa"/>
            <w:tcBorders>
              <w:top w:val="nil"/>
              <w:left w:val="nil"/>
              <w:bottom w:val="nil"/>
              <w:right w:val="nil"/>
            </w:tcBorders>
            <w:shd w:val="clear" w:color="auto" w:fill="CAE7F3" w:themeFill="accent1" w:themeFillTint="33"/>
            <w:noWrap/>
            <w:vAlign w:val="center"/>
            <w:hideMark/>
          </w:tcPr>
          <w:p w:rsidR="00AA3A65" w:rsidRPr="00AB1F15" w:rsidRDefault="00AA3A65" w:rsidP="00DB555F">
            <w:pPr>
              <w:pStyle w:val="Tabletext"/>
              <w:jc w:val="right"/>
            </w:pPr>
            <w:r>
              <w:t>3.8</w:t>
            </w:r>
          </w:p>
        </w:tc>
        <w:tc>
          <w:tcPr>
            <w:tcW w:w="1876" w:type="dxa"/>
            <w:tcBorders>
              <w:top w:val="nil"/>
              <w:left w:val="nil"/>
              <w:bottom w:val="nil"/>
              <w:right w:val="nil"/>
            </w:tcBorders>
            <w:shd w:val="clear" w:color="auto" w:fill="CAE7F3" w:themeFill="accent1" w:themeFillTint="33"/>
            <w:noWrap/>
            <w:vAlign w:val="center"/>
            <w:hideMark/>
          </w:tcPr>
          <w:p w:rsidR="00AA3A65" w:rsidRPr="00AB1F15" w:rsidRDefault="00AA3A65" w:rsidP="00DB555F">
            <w:pPr>
              <w:pStyle w:val="Tabletext"/>
              <w:jc w:val="right"/>
            </w:pPr>
            <w:r>
              <w:t>89.5</w:t>
            </w:r>
          </w:p>
        </w:tc>
      </w:tr>
      <w:tr w:rsidR="00AA3A65" w:rsidRPr="00AB1F15" w:rsidTr="00AA3A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1035" w:type="dxa"/>
            <w:tcBorders>
              <w:top w:val="nil"/>
              <w:left w:val="nil"/>
              <w:bottom w:val="nil"/>
              <w:right w:val="nil"/>
            </w:tcBorders>
            <w:shd w:val="clear" w:color="auto" w:fill="CAE7F3" w:themeFill="accent1" w:themeFillTint="33"/>
            <w:noWrap/>
            <w:hideMark/>
          </w:tcPr>
          <w:p w:rsidR="00AA3A65" w:rsidRPr="00AB1F15" w:rsidRDefault="00AA3A65" w:rsidP="00DB555F">
            <w:pPr>
              <w:pStyle w:val="Tabletext"/>
            </w:pPr>
            <w:r w:rsidRPr="00AB1F15">
              <w:t>2009</w:t>
            </w:r>
          </w:p>
        </w:tc>
        <w:tc>
          <w:tcPr>
            <w:tcW w:w="1517" w:type="dxa"/>
            <w:tcBorders>
              <w:top w:val="nil"/>
              <w:left w:val="nil"/>
              <w:bottom w:val="nil"/>
              <w:right w:val="nil"/>
            </w:tcBorders>
            <w:shd w:val="clear" w:color="auto" w:fill="CAE7F3" w:themeFill="accent1" w:themeFillTint="33"/>
            <w:vAlign w:val="bottom"/>
          </w:tcPr>
          <w:p w:rsidR="00AA3A65" w:rsidRPr="00AB1F15" w:rsidRDefault="00AA3A65" w:rsidP="00DB555F">
            <w:pPr>
              <w:pStyle w:val="Tabletext"/>
              <w:jc w:val="right"/>
            </w:pPr>
            <w:r w:rsidRPr="009A3C0C">
              <w:t>3.93</w:t>
            </w:r>
          </w:p>
        </w:tc>
        <w:tc>
          <w:tcPr>
            <w:tcW w:w="1173" w:type="dxa"/>
            <w:tcBorders>
              <w:top w:val="nil"/>
              <w:left w:val="nil"/>
              <w:bottom w:val="nil"/>
              <w:right w:val="nil"/>
            </w:tcBorders>
            <w:shd w:val="clear" w:color="auto" w:fill="CAE7F3" w:themeFill="accent1" w:themeFillTint="33"/>
            <w:noWrap/>
            <w:vAlign w:val="center"/>
            <w:hideMark/>
          </w:tcPr>
          <w:p w:rsidR="00AA3A65" w:rsidRPr="00AB1F15" w:rsidRDefault="00AA3A65" w:rsidP="00DB555F">
            <w:pPr>
              <w:pStyle w:val="Tabletext"/>
              <w:jc w:val="right"/>
            </w:pPr>
            <w:r w:rsidRPr="00AB1F15">
              <w:t>12.</w:t>
            </w:r>
            <w:r>
              <w:t>2</w:t>
            </w:r>
          </w:p>
        </w:tc>
        <w:tc>
          <w:tcPr>
            <w:tcW w:w="1804" w:type="dxa"/>
            <w:tcBorders>
              <w:top w:val="nil"/>
              <w:left w:val="nil"/>
              <w:bottom w:val="nil"/>
              <w:right w:val="nil"/>
            </w:tcBorders>
            <w:shd w:val="clear" w:color="auto" w:fill="CAE7F3" w:themeFill="accent1" w:themeFillTint="33"/>
            <w:noWrap/>
            <w:vAlign w:val="center"/>
            <w:hideMark/>
          </w:tcPr>
          <w:p w:rsidR="00AA3A65" w:rsidRPr="00AB1F15" w:rsidRDefault="00AA3A65" w:rsidP="00DB555F">
            <w:pPr>
              <w:pStyle w:val="Tabletext"/>
              <w:jc w:val="right"/>
            </w:pPr>
            <w:r w:rsidRPr="00AB1F15">
              <w:t>55.7</w:t>
            </w:r>
          </w:p>
        </w:tc>
        <w:tc>
          <w:tcPr>
            <w:tcW w:w="1705" w:type="dxa"/>
            <w:tcBorders>
              <w:top w:val="nil"/>
              <w:left w:val="nil"/>
              <w:bottom w:val="nil"/>
              <w:right w:val="nil"/>
            </w:tcBorders>
            <w:shd w:val="clear" w:color="auto" w:fill="CAE7F3" w:themeFill="accent1" w:themeFillTint="33"/>
            <w:noWrap/>
            <w:vAlign w:val="center"/>
            <w:hideMark/>
          </w:tcPr>
          <w:p w:rsidR="00AA3A65" w:rsidRPr="00AB1F15" w:rsidRDefault="00AA3A65" w:rsidP="00DB555F">
            <w:pPr>
              <w:pStyle w:val="Tabletext"/>
              <w:jc w:val="right"/>
            </w:pPr>
            <w:r>
              <w:t>3.9</w:t>
            </w:r>
          </w:p>
        </w:tc>
        <w:tc>
          <w:tcPr>
            <w:tcW w:w="1876" w:type="dxa"/>
            <w:tcBorders>
              <w:top w:val="nil"/>
              <w:left w:val="nil"/>
              <w:bottom w:val="nil"/>
              <w:right w:val="nil"/>
            </w:tcBorders>
            <w:shd w:val="clear" w:color="auto" w:fill="CAE7F3" w:themeFill="accent1" w:themeFillTint="33"/>
            <w:noWrap/>
            <w:vAlign w:val="center"/>
            <w:hideMark/>
          </w:tcPr>
          <w:p w:rsidR="00AA3A65" w:rsidRPr="00AB1F15" w:rsidRDefault="00AA3A65" w:rsidP="00DB555F">
            <w:pPr>
              <w:pStyle w:val="Tabletext"/>
              <w:jc w:val="right"/>
            </w:pPr>
            <w:r>
              <w:t>107.4</w:t>
            </w:r>
          </w:p>
        </w:tc>
      </w:tr>
      <w:tr w:rsidR="00AA3A65" w:rsidRPr="00AB1F15" w:rsidTr="00AA3A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1035" w:type="dxa"/>
            <w:tcBorders>
              <w:top w:val="nil"/>
              <w:left w:val="nil"/>
              <w:bottom w:val="nil"/>
              <w:right w:val="nil"/>
            </w:tcBorders>
            <w:shd w:val="clear" w:color="auto" w:fill="CAE7F3" w:themeFill="accent1" w:themeFillTint="33"/>
            <w:noWrap/>
            <w:hideMark/>
          </w:tcPr>
          <w:p w:rsidR="00AA3A65" w:rsidRPr="00AB1F15" w:rsidRDefault="00AA3A65" w:rsidP="00DB555F">
            <w:pPr>
              <w:pStyle w:val="Tabletext"/>
            </w:pPr>
            <w:r w:rsidRPr="00AB1F15">
              <w:t>2010</w:t>
            </w:r>
          </w:p>
        </w:tc>
        <w:tc>
          <w:tcPr>
            <w:tcW w:w="1517" w:type="dxa"/>
            <w:tcBorders>
              <w:top w:val="nil"/>
              <w:left w:val="nil"/>
              <w:bottom w:val="nil"/>
              <w:right w:val="nil"/>
            </w:tcBorders>
            <w:shd w:val="clear" w:color="auto" w:fill="CAE7F3" w:themeFill="accent1" w:themeFillTint="33"/>
          </w:tcPr>
          <w:p w:rsidR="00AA3A65" w:rsidRDefault="00AA3A65" w:rsidP="00DB555F">
            <w:pPr>
              <w:pStyle w:val="Tabletext"/>
              <w:jc w:val="right"/>
            </w:pPr>
          </w:p>
        </w:tc>
        <w:tc>
          <w:tcPr>
            <w:tcW w:w="1173" w:type="dxa"/>
            <w:tcBorders>
              <w:top w:val="nil"/>
              <w:left w:val="nil"/>
              <w:bottom w:val="nil"/>
              <w:right w:val="nil"/>
            </w:tcBorders>
            <w:shd w:val="clear" w:color="auto" w:fill="CAE7F3" w:themeFill="accent1" w:themeFillTint="33"/>
            <w:noWrap/>
            <w:vAlign w:val="center"/>
            <w:hideMark/>
          </w:tcPr>
          <w:p w:rsidR="00AA3A65" w:rsidRPr="00AB1F15" w:rsidRDefault="00AA3A65" w:rsidP="00DB555F">
            <w:pPr>
              <w:pStyle w:val="Tabletext"/>
              <w:jc w:val="right"/>
            </w:pPr>
            <w:r>
              <w:t>15.6</w:t>
            </w:r>
          </w:p>
        </w:tc>
        <w:tc>
          <w:tcPr>
            <w:tcW w:w="1804" w:type="dxa"/>
            <w:tcBorders>
              <w:top w:val="nil"/>
              <w:left w:val="nil"/>
              <w:bottom w:val="nil"/>
              <w:right w:val="nil"/>
            </w:tcBorders>
            <w:shd w:val="clear" w:color="auto" w:fill="CAE7F3" w:themeFill="accent1" w:themeFillTint="33"/>
            <w:noWrap/>
            <w:vAlign w:val="center"/>
          </w:tcPr>
          <w:p w:rsidR="00AA3A65" w:rsidRPr="00AB1F15" w:rsidRDefault="00AA3A65" w:rsidP="00DB555F">
            <w:pPr>
              <w:pStyle w:val="Tabletext"/>
              <w:jc w:val="right"/>
            </w:pPr>
            <w:r>
              <w:t>-</w:t>
            </w:r>
          </w:p>
        </w:tc>
        <w:tc>
          <w:tcPr>
            <w:tcW w:w="1705" w:type="dxa"/>
            <w:tcBorders>
              <w:top w:val="nil"/>
              <w:left w:val="nil"/>
              <w:bottom w:val="nil"/>
              <w:right w:val="nil"/>
            </w:tcBorders>
            <w:shd w:val="clear" w:color="auto" w:fill="CAE7F3" w:themeFill="accent1" w:themeFillTint="33"/>
            <w:noWrap/>
            <w:vAlign w:val="center"/>
          </w:tcPr>
          <w:p w:rsidR="00AA3A65" w:rsidRPr="007C6435" w:rsidRDefault="00AA3A65" w:rsidP="00DB555F">
            <w:pPr>
              <w:pStyle w:val="Tabletext"/>
              <w:jc w:val="right"/>
            </w:pPr>
            <w:r w:rsidRPr="007C6435">
              <w:t>-</w:t>
            </w:r>
          </w:p>
        </w:tc>
        <w:tc>
          <w:tcPr>
            <w:tcW w:w="1876" w:type="dxa"/>
            <w:tcBorders>
              <w:top w:val="nil"/>
              <w:left w:val="nil"/>
              <w:bottom w:val="nil"/>
              <w:right w:val="nil"/>
            </w:tcBorders>
            <w:shd w:val="clear" w:color="auto" w:fill="CAE7F3" w:themeFill="accent1" w:themeFillTint="33"/>
            <w:noWrap/>
            <w:vAlign w:val="center"/>
          </w:tcPr>
          <w:p w:rsidR="00AA3A65" w:rsidRPr="00AB1F15" w:rsidRDefault="00AA3A65" w:rsidP="00DB555F">
            <w:pPr>
              <w:pStyle w:val="Tabletext"/>
              <w:jc w:val="right"/>
            </w:pPr>
            <w:r>
              <w:t>-</w:t>
            </w:r>
          </w:p>
        </w:tc>
      </w:tr>
      <w:tr w:rsidR="00AA3A65" w:rsidRPr="00AB1F15" w:rsidTr="00AA3A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1035" w:type="dxa"/>
            <w:tcBorders>
              <w:top w:val="nil"/>
              <w:left w:val="nil"/>
              <w:bottom w:val="nil"/>
              <w:right w:val="nil"/>
            </w:tcBorders>
            <w:shd w:val="clear" w:color="auto" w:fill="CAE7F3" w:themeFill="accent1" w:themeFillTint="33"/>
            <w:noWrap/>
            <w:hideMark/>
          </w:tcPr>
          <w:p w:rsidR="00AA3A65" w:rsidRPr="00AB1F15" w:rsidRDefault="00AA3A65" w:rsidP="00DB555F">
            <w:pPr>
              <w:pStyle w:val="Tabletext"/>
            </w:pPr>
            <w:r w:rsidRPr="00AB1F15">
              <w:t>2011</w:t>
            </w:r>
          </w:p>
        </w:tc>
        <w:tc>
          <w:tcPr>
            <w:tcW w:w="1517" w:type="dxa"/>
            <w:tcBorders>
              <w:top w:val="nil"/>
              <w:left w:val="nil"/>
              <w:bottom w:val="nil"/>
              <w:right w:val="nil"/>
            </w:tcBorders>
            <w:shd w:val="clear" w:color="auto" w:fill="CAE7F3" w:themeFill="accent1" w:themeFillTint="33"/>
          </w:tcPr>
          <w:p w:rsidR="00AA3A65" w:rsidRDefault="00AA3A65" w:rsidP="00DB555F">
            <w:pPr>
              <w:pStyle w:val="Tabletext"/>
              <w:jc w:val="right"/>
            </w:pPr>
          </w:p>
        </w:tc>
        <w:tc>
          <w:tcPr>
            <w:tcW w:w="1173" w:type="dxa"/>
            <w:tcBorders>
              <w:top w:val="nil"/>
              <w:left w:val="nil"/>
              <w:bottom w:val="nil"/>
              <w:right w:val="nil"/>
            </w:tcBorders>
            <w:shd w:val="clear" w:color="auto" w:fill="CAE7F3" w:themeFill="accent1" w:themeFillTint="33"/>
            <w:noWrap/>
            <w:vAlign w:val="center"/>
            <w:hideMark/>
          </w:tcPr>
          <w:p w:rsidR="00AA3A65" w:rsidRPr="00AB1F15" w:rsidRDefault="00AA3A65" w:rsidP="00DB555F">
            <w:pPr>
              <w:pStyle w:val="Tabletext"/>
              <w:jc w:val="right"/>
            </w:pPr>
            <w:r>
              <w:t>15.2</w:t>
            </w:r>
          </w:p>
        </w:tc>
        <w:tc>
          <w:tcPr>
            <w:tcW w:w="1804" w:type="dxa"/>
            <w:tcBorders>
              <w:top w:val="nil"/>
              <w:left w:val="nil"/>
              <w:bottom w:val="nil"/>
              <w:right w:val="nil"/>
            </w:tcBorders>
            <w:shd w:val="clear" w:color="auto" w:fill="CAE7F3" w:themeFill="accent1" w:themeFillTint="33"/>
            <w:noWrap/>
            <w:vAlign w:val="center"/>
          </w:tcPr>
          <w:p w:rsidR="00AA3A65" w:rsidRPr="00AB1F15" w:rsidRDefault="00AA3A65" w:rsidP="00DB555F">
            <w:pPr>
              <w:pStyle w:val="Tabletext"/>
              <w:jc w:val="right"/>
            </w:pPr>
            <w:r>
              <w:t>-</w:t>
            </w:r>
          </w:p>
        </w:tc>
        <w:tc>
          <w:tcPr>
            <w:tcW w:w="1705" w:type="dxa"/>
            <w:tcBorders>
              <w:top w:val="nil"/>
              <w:left w:val="nil"/>
              <w:bottom w:val="nil"/>
              <w:right w:val="nil"/>
            </w:tcBorders>
            <w:shd w:val="clear" w:color="auto" w:fill="CAE7F3" w:themeFill="accent1" w:themeFillTint="33"/>
            <w:noWrap/>
            <w:vAlign w:val="center"/>
          </w:tcPr>
          <w:p w:rsidR="00AA3A65" w:rsidRPr="007C6435" w:rsidRDefault="00AA3A65" w:rsidP="00DB555F">
            <w:pPr>
              <w:pStyle w:val="Tabletext"/>
              <w:jc w:val="right"/>
            </w:pPr>
            <w:r w:rsidRPr="007C6435">
              <w:t>-</w:t>
            </w:r>
          </w:p>
        </w:tc>
        <w:tc>
          <w:tcPr>
            <w:tcW w:w="1876" w:type="dxa"/>
            <w:tcBorders>
              <w:top w:val="nil"/>
              <w:left w:val="nil"/>
              <w:bottom w:val="nil"/>
              <w:right w:val="nil"/>
            </w:tcBorders>
            <w:shd w:val="clear" w:color="auto" w:fill="CAE7F3" w:themeFill="accent1" w:themeFillTint="33"/>
            <w:noWrap/>
            <w:vAlign w:val="center"/>
          </w:tcPr>
          <w:p w:rsidR="00AA3A65" w:rsidRPr="00AB1F15" w:rsidRDefault="00AA3A65" w:rsidP="00DB555F">
            <w:pPr>
              <w:pStyle w:val="Tabletext"/>
              <w:jc w:val="right"/>
            </w:pPr>
            <w:r>
              <w:t>-</w:t>
            </w:r>
          </w:p>
        </w:tc>
      </w:tr>
      <w:tr w:rsidR="00AA3A65" w:rsidRPr="00AB1F15" w:rsidTr="00997D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1035" w:type="dxa"/>
            <w:tcBorders>
              <w:top w:val="nil"/>
              <w:left w:val="nil"/>
              <w:bottom w:val="single" w:sz="4" w:space="0" w:color="595A5B" w:themeColor="text1"/>
              <w:right w:val="nil"/>
            </w:tcBorders>
            <w:shd w:val="clear" w:color="auto" w:fill="CAE7F3" w:themeFill="accent1" w:themeFillTint="33"/>
            <w:noWrap/>
            <w:hideMark/>
          </w:tcPr>
          <w:p w:rsidR="00AA3A65" w:rsidRPr="00AB1F15" w:rsidRDefault="00AA3A65" w:rsidP="00DB555F">
            <w:pPr>
              <w:pStyle w:val="Tabletext"/>
            </w:pPr>
            <w:r w:rsidRPr="00AB1F15">
              <w:t>2012</w:t>
            </w:r>
          </w:p>
        </w:tc>
        <w:tc>
          <w:tcPr>
            <w:tcW w:w="1517" w:type="dxa"/>
            <w:tcBorders>
              <w:top w:val="nil"/>
              <w:left w:val="nil"/>
              <w:bottom w:val="single" w:sz="4" w:space="0" w:color="595A5B" w:themeColor="text1"/>
              <w:right w:val="nil"/>
            </w:tcBorders>
            <w:shd w:val="clear" w:color="auto" w:fill="CAE7F3" w:themeFill="accent1" w:themeFillTint="33"/>
          </w:tcPr>
          <w:p w:rsidR="00AA3A65" w:rsidRDefault="00AA3A65" w:rsidP="00DB555F">
            <w:pPr>
              <w:pStyle w:val="Tabletext"/>
              <w:jc w:val="right"/>
            </w:pPr>
          </w:p>
        </w:tc>
        <w:tc>
          <w:tcPr>
            <w:tcW w:w="1173" w:type="dxa"/>
            <w:tcBorders>
              <w:top w:val="nil"/>
              <w:left w:val="nil"/>
              <w:bottom w:val="single" w:sz="4" w:space="0" w:color="595A5B" w:themeColor="text1"/>
              <w:right w:val="nil"/>
            </w:tcBorders>
            <w:shd w:val="clear" w:color="auto" w:fill="CAE7F3" w:themeFill="accent1" w:themeFillTint="33"/>
            <w:noWrap/>
            <w:vAlign w:val="center"/>
            <w:hideMark/>
          </w:tcPr>
          <w:p w:rsidR="00AA3A65" w:rsidRPr="00AB1F15" w:rsidRDefault="00AA3A65" w:rsidP="00DB555F">
            <w:pPr>
              <w:pStyle w:val="Tabletext"/>
              <w:jc w:val="right"/>
            </w:pPr>
            <w:r>
              <w:t>11.5</w:t>
            </w:r>
          </w:p>
        </w:tc>
        <w:tc>
          <w:tcPr>
            <w:tcW w:w="1804" w:type="dxa"/>
            <w:tcBorders>
              <w:top w:val="nil"/>
              <w:left w:val="nil"/>
              <w:bottom w:val="single" w:sz="4" w:space="0" w:color="595A5B" w:themeColor="text1"/>
              <w:right w:val="nil"/>
            </w:tcBorders>
            <w:shd w:val="clear" w:color="auto" w:fill="CAE7F3" w:themeFill="accent1" w:themeFillTint="33"/>
            <w:noWrap/>
            <w:vAlign w:val="center"/>
          </w:tcPr>
          <w:p w:rsidR="00AA3A65" w:rsidRPr="00AB1F15" w:rsidRDefault="00AA3A65" w:rsidP="00DB555F">
            <w:pPr>
              <w:pStyle w:val="Tabletext"/>
              <w:jc w:val="right"/>
            </w:pPr>
            <w:r>
              <w:t>-</w:t>
            </w:r>
          </w:p>
        </w:tc>
        <w:tc>
          <w:tcPr>
            <w:tcW w:w="1705" w:type="dxa"/>
            <w:tcBorders>
              <w:top w:val="nil"/>
              <w:left w:val="nil"/>
              <w:bottom w:val="single" w:sz="4" w:space="0" w:color="595A5B" w:themeColor="text1"/>
              <w:right w:val="nil"/>
            </w:tcBorders>
            <w:shd w:val="clear" w:color="auto" w:fill="CAE7F3" w:themeFill="accent1" w:themeFillTint="33"/>
            <w:noWrap/>
            <w:vAlign w:val="center"/>
          </w:tcPr>
          <w:p w:rsidR="00AA3A65" w:rsidRPr="007C6435" w:rsidRDefault="00AA3A65" w:rsidP="00DB555F">
            <w:pPr>
              <w:pStyle w:val="Tabletext"/>
              <w:jc w:val="right"/>
            </w:pPr>
            <w:r w:rsidRPr="007C6435">
              <w:t>-</w:t>
            </w:r>
          </w:p>
        </w:tc>
        <w:tc>
          <w:tcPr>
            <w:tcW w:w="1876" w:type="dxa"/>
            <w:tcBorders>
              <w:top w:val="nil"/>
              <w:left w:val="nil"/>
              <w:bottom w:val="single" w:sz="4" w:space="0" w:color="595A5B" w:themeColor="text1"/>
              <w:right w:val="nil"/>
            </w:tcBorders>
            <w:shd w:val="clear" w:color="auto" w:fill="CAE7F3" w:themeFill="accent1" w:themeFillTint="33"/>
            <w:noWrap/>
            <w:vAlign w:val="center"/>
          </w:tcPr>
          <w:p w:rsidR="00AA3A65" w:rsidRPr="00AB1F15" w:rsidRDefault="00AA3A65" w:rsidP="00DB555F">
            <w:pPr>
              <w:pStyle w:val="Tabletext"/>
              <w:jc w:val="right"/>
            </w:pPr>
            <w:r>
              <w:t>-</w:t>
            </w:r>
          </w:p>
        </w:tc>
      </w:tr>
      <w:tr w:rsidR="00AA3A65" w:rsidRPr="00AB1F15" w:rsidTr="00997D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1035" w:type="dxa"/>
            <w:tcBorders>
              <w:top w:val="single" w:sz="4" w:space="0" w:color="595A5B" w:themeColor="text1"/>
              <w:left w:val="nil"/>
              <w:bottom w:val="single" w:sz="4" w:space="0" w:color="FFFFFF" w:themeColor="text2"/>
              <w:right w:val="nil"/>
            </w:tcBorders>
            <w:shd w:val="clear" w:color="auto" w:fill="CAE7F3" w:themeFill="accent1" w:themeFillTint="33"/>
            <w:noWrap/>
            <w:hideMark/>
          </w:tcPr>
          <w:p w:rsidR="00AA3A65" w:rsidRPr="00AB1F15" w:rsidRDefault="00AA3A65" w:rsidP="00DB555F">
            <w:pPr>
              <w:pStyle w:val="Tabletext"/>
              <w:rPr>
                <w:i/>
              </w:rPr>
            </w:pPr>
            <w:r w:rsidRPr="00AB1F15">
              <w:rPr>
                <w:i/>
              </w:rPr>
              <w:t>Mean</w:t>
            </w:r>
          </w:p>
        </w:tc>
        <w:tc>
          <w:tcPr>
            <w:tcW w:w="1517" w:type="dxa"/>
            <w:tcBorders>
              <w:top w:val="single" w:sz="4" w:space="0" w:color="595A5B" w:themeColor="text1"/>
              <w:left w:val="nil"/>
              <w:bottom w:val="single" w:sz="4" w:space="0" w:color="FFFFFF" w:themeColor="text2"/>
              <w:right w:val="nil"/>
            </w:tcBorders>
            <w:shd w:val="clear" w:color="auto" w:fill="CAE7F3" w:themeFill="accent1" w:themeFillTint="33"/>
            <w:vAlign w:val="center"/>
          </w:tcPr>
          <w:p w:rsidR="00AA3A65" w:rsidRDefault="00AA3A65" w:rsidP="00DB555F">
            <w:pPr>
              <w:pStyle w:val="Tabletext"/>
              <w:jc w:val="right"/>
            </w:pPr>
            <w:r>
              <w:t>4.93</w:t>
            </w:r>
          </w:p>
          <w:p w:rsidR="00AA3A65" w:rsidRPr="00AB1F15" w:rsidRDefault="00AA3A65" w:rsidP="00DB555F">
            <w:pPr>
              <w:pStyle w:val="Tabletext"/>
              <w:jc w:val="right"/>
            </w:pPr>
            <w:r>
              <w:t>(0.40)</w:t>
            </w:r>
          </w:p>
        </w:tc>
        <w:tc>
          <w:tcPr>
            <w:tcW w:w="1173" w:type="dxa"/>
            <w:tcBorders>
              <w:top w:val="single" w:sz="4" w:space="0" w:color="595A5B" w:themeColor="text1"/>
              <w:left w:val="nil"/>
              <w:bottom w:val="single" w:sz="4" w:space="0" w:color="FFFFFF" w:themeColor="text2"/>
              <w:right w:val="nil"/>
            </w:tcBorders>
            <w:shd w:val="clear" w:color="auto" w:fill="CAE7F3" w:themeFill="accent1" w:themeFillTint="33"/>
            <w:noWrap/>
            <w:vAlign w:val="center"/>
            <w:hideMark/>
          </w:tcPr>
          <w:p w:rsidR="00AA3A65" w:rsidRDefault="00AA3A65" w:rsidP="00DB555F">
            <w:pPr>
              <w:pStyle w:val="Tabletext"/>
              <w:jc w:val="right"/>
            </w:pPr>
            <w:r w:rsidRPr="00AB1F15">
              <w:t>15.3</w:t>
            </w:r>
          </w:p>
          <w:p w:rsidR="00AA3A65" w:rsidRPr="00AB1F15" w:rsidRDefault="00AA3A65" w:rsidP="00DB555F">
            <w:pPr>
              <w:pStyle w:val="Tabletext"/>
              <w:jc w:val="right"/>
            </w:pPr>
            <w:r>
              <w:t>(0.8)</w:t>
            </w:r>
          </w:p>
        </w:tc>
        <w:tc>
          <w:tcPr>
            <w:tcW w:w="1804" w:type="dxa"/>
            <w:tcBorders>
              <w:top w:val="single" w:sz="4" w:space="0" w:color="595A5B" w:themeColor="text1"/>
              <w:left w:val="nil"/>
              <w:bottom w:val="single" w:sz="4" w:space="0" w:color="FFFFFF" w:themeColor="text2"/>
              <w:right w:val="nil"/>
            </w:tcBorders>
            <w:shd w:val="clear" w:color="auto" w:fill="CAE7F3" w:themeFill="accent1" w:themeFillTint="33"/>
            <w:noWrap/>
            <w:vAlign w:val="center"/>
            <w:hideMark/>
          </w:tcPr>
          <w:p w:rsidR="00AA3A65" w:rsidRDefault="00AA3A65" w:rsidP="00DB555F">
            <w:pPr>
              <w:pStyle w:val="Tabletext"/>
              <w:jc w:val="right"/>
            </w:pPr>
            <w:r w:rsidRPr="00AB1F15">
              <w:t>59.0</w:t>
            </w:r>
          </w:p>
          <w:p w:rsidR="00AA3A65" w:rsidRPr="00AB1F15" w:rsidRDefault="00AA3A65" w:rsidP="00DB555F">
            <w:pPr>
              <w:pStyle w:val="Tabletext"/>
              <w:jc w:val="right"/>
            </w:pPr>
            <w:r>
              <w:t>(0.6)</w:t>
            </w:r>
          </w:p>
        </w:tc>
        <w:tc>
          <w:tcPr>
            <w:tcW w:w="1705" w:type="dxa"/>
            <w:tcBorders>
              <w:top w:val="single" w:sz="4" w:space="0" w:color="595A5B" w:themeColor="text1"/>
              <w:left w:val="nil"/>
              <w:bottom w:val="single" w:sz="4" w:space="0" w:color="FFFFFF" w:themeColor="text2"/>
              <w:right w:val="nil"/>
            </w:tcBorders>
            <w:shd w:val="clear" w:color="auto" w:fill="CAE7F3" w:themeFill="accent1" w:themeFillTint="33"/>
            <w:noWrap/>
            <w:vAlign w:val="center"/>
            <w:hideMark/>
          </w:tcPr>
          <w:p w:rsidR="00AA3A65" w:rsidRDefault="00AA3A65" w:rsidP="00DB555F">
            <w:pPr>
              <w:pStyle w:val="Tabletext"/>
              <w:jc w:val="right"/>
            </w:pPr>
            <w:r w:rsidRPr="00AB1F15">
              <w:t>3.5</w:t>
            </w:r>
          </w:p>
          <w:p w:rsidR="00AA3A65" w:rsidRPr="00AB1F15" w:rsidRDefault="00AA3A65" w:rsidP="00DB555F">
            <w:pPr>
              <w:pStyle w:val="Tabletext"/>
              <w:jc w:val="right"/>
            </w:pPr>
            <w:r>
              <w:t>(0.2)</w:t>
            </w:r>
          </w:p>
        </w:tc>
        <w:tc>
          <w:tcPr>
            <w:tcW w:w="1876" w:type="dxa"/>
            <w:tcBorders>
              <w:top w:val="single" w:sz="4" w:space="0" w:color="595A5B" w:themeColor="text1"/>
              <w:left w:val="nil"/>
              <w:bottom w:val="single" w:sz="4" w:space="0" w:color="FFFFFF" w:themeColor="text2"/>
              <w:right w:val="nil"/>
            </w:tcBorders>
            <w:shd w:val="clear" w:color="auto" w:fill="CAE7F3" w:themeFill="accent1" w:themeFillTint="33"/>
            <w:noWrap/>
            <w:vAlign w:val="center"/>
            <w:hideMark/>
          </w:tcPr>
          <w:p w:rsidR="00AA3A65" w:rsidRDefault="00AA3A65" w:rsidP="00DB555F">
            <w:pPr>
              <w:pStyle w:val="Tabletext"/>
              <w:jc w:val="right"/>
            </w:pPr>
            <w:r w:rsidRPr="00AB1F15">
              <w:t>114.6</w:t>
            </w:r>
          </w:p>
          <w:p w:rsidR="00AA3A65" w:rsidRPr="00AB1F15" w:rsidRDefault="00AA3A65" w:rsidP="00DB555F">
            <w:pPr>
              <w:pStyle w:val="Tabletext"/>
              <w:jc w:val="right"/>
            </w:pPr>
            <w:r>
              <w:t>(6.7)</w:t>
            </w:r>
          </w:p>
        </w:tc>
      </w:tr>
    </w:tbl>
    <w:p w:rsidR="00AA3A65" w:rsidRPr="00A30089" w:rsidRDefault="00AA3A65" w:rsidP="00DB555F">
      <w:pPr>
        <w:pStyle w:val="NoteWide"/>
      </w:pPr>
      <w:r w:rsidRPr="00A30089">
        <w:t>Note</w:t>
      </w:r>
      <w:r>
        <w:t xml:space="preserve">s: These data are for </w:t>
      </w:r>
      <w:r w:rsidRPr="00223401">
        <w:t xml:space="preserve">manufacturing, construction, and non-financial </w:t>
      </w:r>
      <w:r>
        <w:t xml:space="preserve">business </w:t>
      </w:r>
      <w:r w:rsidRPr="00223401">
        <w:t>services</w:t>
      </w:r>
      <w:r>
        <w:t xml:space="preserve">. </w:t>
      </w:r>
      <w:r w:rsidR="00771851">
        <w:t xml:space="preserve">For the purposes of OECD comparisons headcount measures are used rather than Full Time Equivalents. </w:t>
      </w:r>
      <w:r>
        <w:t>Some indicators are not available beyond 2009 because the third year survival and growth data is not yet available in the database. Numbers in brackets are standard errors.</w:t>
      </w:r>
    </w:p>
    <w:p w:rsidR="00AA3A65" w:rsidRPr="00A30089" w:rsidRDefault="00AA3A65" w:rsidP="00DB555F">
      <w:pPr>
        <w:pStyle w:val="SourceWide"/>
      </w:pPr>
      <w:r>
        <w:t xml:space="preserve">Source: </w:t>
      </w:r>
      <w:r w:rsidRPr="00683EED">
        <w:t xml:space="preserve">ABS (2015) </w:t>
      </w:r>
      <w:r>
        <w:t>Expanded</w:t>
      </w:r>
      <w:r w:rsidRPr="00683EED">
        <w:t xml:space="preserve"> Analytical </w:t>
      </w:r>
      <w:r>
        <w:t xml:space="preserve">Business </w:t>
      </w:r>
      <w:r w:rsidRPr="00683EED">
        <w:t>Longitudinal Database</w:t>
      </w:r>
      <w:r>
        <w:t xml:space="preserve"> 2001–02 to 2012–13</w:t>
      </w:r>
    </w:p>
    <w:p w:rsidR="007F1812" w:rsidRDefault="007F1812" w:rsidP="007F1812">
      <w:pPr>
        <w:pStyle w:val="BodyText"/>
      </w:pPr>
      <w:r>
        <w:t>The start-up survival sh</w:t>
      </w:r>
      <w:r w:rsidR="00AD059C">
        <w:t>are was steady between 2003</w:t>
      </w:r>
      <w:r w:rsidR="000C37F3">
        <w:rPr>
          <w:rFonts w:cstheme="minorHAnsi"/>
        </w:rPr>
        <w:t xml:space="preserve"> and </w:t>
      </w:r>
      <w:r>
        <w:t>2009 at around 60 per cent</w:t>
      </w:r>
      <w:r w:rsidR="0005576A">
        <w:t xml:space="preserve"> (Table 2.1</w:t>
      </w:r>
      <w:r>
        <w:t>). There is some evidence of a decline in survival in the 2009 cohort. Three year s</w:t>
      </w:r>
      <w:r w:rsidRPr="009A3C0C">
        <w:t xml:space="preserve">urvival of Australian </w:t>
      </w:r>
      <w:r>
        <w:t xml:space="preserve">start-ups is moderate to low compared with other OECD countries which range from about 55 per cent to over 70 per cent. Cross-sectoral variation in start-up survival is high, ranging between 42 per cent and 74 per cent for the sectors </w:t>
      </w:r>
      <w:r w:rsidR="0005576A">
        <w:t>covered in the analysis (Table B</w:t>
      </w:r>
      <w:r>
        <w:t xml:space="preserve">3). Sectors with lower survival rates include </w:t>
      </w:r>
      <w:r w:rsidRPr="00903B2A">
        <w:rPr>
          <w:i/>
        </w:rPr>
        <w:t>Forestry and logging</w:t>
      </w:r>
      <w:r>
        <w:t xml:space="preserve"> (42 per cent), </w:t>
      </w:r>
      <w:r w:rsidRPr="00145658">
        <w:rPr>
          <w:i/>
        </w:rPr>
        <w:t>Internet publishing and broadcasting</w:t>
      </w:r>
      <w:r>
        <w:t xml:space="preserve"> (45 per cent) and </w:t>
      </w:r>
      <w:r>
        <w:rPr>
          <w:i/>
        </w:rPr>
        <w:t>Creative and performing arts activities</w:t>
      </w:r>
      <w:r>
        <w:t xml:space="preserve"> (45 per cent). Sectors with high survival rates were </w:t>
      </w:r>
      <w:r w:rsidRPr="00145658">
        <w:rPr>
          <w:i/>
        </w:rPr>
        <w:t>Accommodation services</w:t>
      </w:r>
      <w:r>
        <w:t xml:space="preserve"> (71 per cent), </w:t>
      </w:r>
      <w:r w:rsidRPr="00145658">
        <w:rPr>
          <w:i/>
        </w:rPr>
        <w:t>Beverage and Tobacco manufacturing</w:t>
      </w:r>
      <w:r>
        <w:t xml:space="preserve"> (70 per cent) and a number of health and</w:t>
      </w:r>
      <w:r w:rsidR="0005576A">
        <w:t xml:space="preserve"> education subdivisions (Table B</w:t>
      </w:r>
      <w:r>
        <w:t xml:space="preserve">3). </w:t>
      </w:r>
    </w:p>
    <w:p w:rsidR="007F1812" w:rsidRDefault="007F1812" w:rsidP="007F1812">
      <w:pPr>
        <w:pStyle w:val="BodyText"/>
      </w:pPr>
      <w:r>
        <w:t>Of the start-ups that do survive to three years, their average size at entry was 3.5 employees (</w:t>
      </w:r>
      <w:r w:rsidR="0005576A">
        <w:t>Table 2.1</w:t>
      </w:r>
      <w:r>
        <w:t>). This figure steadily increased between 2003 and 2009 to almost 4 employees. Average size at entry is relatively moderate compared with other OECD countries that range between 1.8 and 7 employees. The Australian average size data hides significant secto</w:t>
      </w:r>
      <w:r w:rsidR="0005576A">
        <w:t>ral variation over time (Table B</w:t>
      </w:r>
      <w:r>
        <w:t xml:space="preserve">3). Sectors where start-up rates are high typically have low average entry sizes and </w:t>
      </w:r>
      <w:r w:rsidRPr="009A3C0C">
        <w:rPr>
          <w:i/>
        </w:rPr>
        <w:t>vice versa</w:t>
      </w:r>
      <w:r>
        <w:t xml:space="preserve">. </w:t>
      </w:r>
    </w:p>
    <w:p w:rsidR="007F1812" w:rsidRDefault="007F1812" w:rsidP="007F1812">
      <w:pPr>
        <w:pStyle w:val="BodyText"/>
      </w:pPr>
      <w:r>
        <w:t>Average post-entry growth of start-ups was 114.6 per cent (</w:t>
      </w:r>
      <w:r w:rsidR="0005576A">
        <w:t>Table 2.1</w:t>
      </w:r>
      <w:r>
        <w:t xml:space="preserve">). This figure represents a final over initial employment ratio for firms that survive to three years. A score higher than 100 per cent shows post-entry growth. Australia’s average post-entry growth rate is low compared to most other OECD countries examined to date (ranging from 110 per cent to 240 per cent). Australia’s average post-entry growth has been declining over the period measured, with a notable fall during the global financial crisis, and a return to moderate net employment growth for firms entering the economy in 2009. </w:t>
      </w:r>
    </w:p>
    <w:p w:rsidR="007F1812" w:rsidRDefault="007F1812" w:rsidP="007F1812">
      <w:pPr>
        <w:pStyle w:val="BodyText"/>
      </w:pPr>
      <w:r>
        <w:t xml:space="preserve">Most firms that survive three years either grow marginally or retain their staff numbers at entry levels (~100 per cent). In some sectors, if they manage to survive, the reduction in employment is significant. For example, </w:t>
      </w:r>
      <w:r w:rsidRPr="002C05E4">
        <w:rPr>
          <w:i/>
        </w:rPr>
        <w:t>Motion picture and sound recording activities</w:t>
      </w:r>
      <w:r>
        <w:rPr>
          <w:i/>
        </w:rPr>
        <w:t xml:space="preserve"> </w:t>
      </w:r>
      <w:r>
        <w:t xml:space="preserve">(34 per cent), </w:t>
      </w:r>
      <w:r>
        <w:rPr>
          <w:i/>
        </w:rPr>
        <w:t xml:space="preserve">Creative and performing arts activities </w:t>
      </w:r>
      <w:r>
        <w:t xml:space="preserve">(75 per cent) and </w:t>
      </w:r>
      <w:r w:rsidRPr="00A07392">
        <w:rPr>
          <w:i/>
        </w:rPr>
        <w:t>Insurance and Superannuation Funds</w:t>
      </w:r>
      <w:r>
        <w:t xml:space="preserve"> (73 p</w:t>
      </w:r>
      <w:r w:rsidR="0005576A">
        <w:t>er cent) shed employees (Table B</w:t>
      </w:r>
      <w:r>
        <w:t xml:space="preserve">3). Contingent on survival, mining sector firms show high relative employment growth as do </w:t>
      </w:r>
      <w:r w:rsidRPr="00B4730B">
        <w:rPr>
          <w:i/>
        </w:rPr>
        <w:t>Air and Space Transport</w:t>
      </w:r>
      <w:r>
        <w:t xml:space="preserve"> and </w:t>
      </w:r>
      <w:r w:rsidRPr="00B4730B">
        <w:rPr>
          <w:i/>
        </w:rPr>
        <w:t>Warehousing and Storage Services</w:t>
      </w:r>
      <w:r>
        <w:t xml:space="preserve">. This indicator is more variable than other sub-components. The growth prospects of start-ups varied significantly by cohort birth date. For example, </w:t>
      </w:r>
      <w:r w:rsidRPr="00A07392">
        <w:rPr>
          <w:i/>
        </w:rPr>
        <w:t>Metal ore mining</w:t>
      </w:r>
      <w:r>
        <w:t xml:space="preserve"> start-ups showed a high average post-entry growth (432 per cent) but varied dramatically between 1,682 per cent and 127 per cent for the seven cohorts studied. </w:t>
      </w:r>
    </w:p>
    <w:p w:rsidR="007F1812" w:rsidRDefault="007F1812" w:rsidP="00AA3A65">
      <w:pPr>
        <w:pStyle w:val="Heading2"/>
      </w:pPr>
      <w:r>
        <w:t>Micro-start-up performance</w:t>
      </w:r>
    </w:p>
    <w:p w:rsidR="007F1812" w:rsidRDefault="007F1812" w:rsidP="007F1812">
      <w:pPr>
        <w:pStyle w:val="BodyText"/>
      </w:pPr>
      <w:r>
        <w:t xml:space="preserve">This section takes a closer look at micro-sized start-ups (new firms created with </w:t>
      </w:r>
      <w:r w:rsidR="00945358">
        <w:t>0</w:t>
      </w:r>
      <w:r w:rsidR="00945358">
        <w:rPr>
          <w:rFonts w:cstheme="minorHAnsi"/>
        </w:rPr>
        <w:t>–</w:t>
      </w:r>
      <w:r>
        <w:t>9 employees). We followed a number of cohorts of micro-sized start-ups over five years</w:t>
      </w:r>
      <w:r w:rsidR="00770790">
        <w:t xml:space="preserve"> post-entry</w:t>
      </w:r>
      <w:r>
        <w:t>. After five years we compare the performance of those surviving firms in the start-up cohort that s</w:t>
      </w:r>
      <w:r w:rsidR="00945358">
        <w:t>tayed in the same size range (0</w:t>
      </w:r>
      <w:r w:rsidR="00945358">
        <w:rPr>
          <w:rFonts w:cstheme="minorHAnsi"/>
        </w:rPr>
        <w:t>–</w:t>
      </w:r>
      <w:r>
        <w:t xml:space="preserve">9 employees) with those in the cohort </w:t>
      </w:r>
      <w:r w:rsidR="00945358">
        <w:t>that grew in employment into 10</w:t>
      </w:r>
      <w:r w:rsidR="00945358">
        <w:rPr>
          <w:rFonts w:cstheme="minorHAnsi"/>
        </w:rPr>
        <w:t>–</w:t>
      </w:r>
      <w:r>
        <w:t>19 and 20+ employee categories. We call these latter firms high growth micro-start-ups for the purpos</w:t>
      </w:r>
      <w:r w:rsidR="000C37F3">
        <w:t>es of this paper (See Appendix A</w:t>
      </w:r>
      <w:r>
        <w:t xml:space="preserve"> for more detail).</w:t>
      </w:r>
    </w:p>
    <w:p w:rsidR="007F1812" w:rsidRDefault="007F1812" w:rsidP="007F1812">
      <w:pPr>
        <w:pStyle w:val="BodyText"/>
      </w:pPr>
      <w:r>
        <w:t xml:space="preserve">Most micro-start-ups do not survive and even fewer grow. So where does the employment growth come from? We analysed micro-start-ups as a more accurate representation of organic or </w:t>
      </w:r>
      <w:r w:rsidRPr="006E7063">
        <w:rPr>
          <w:i/>
        </w:rPr>
        <w:t>de novo</w:t>
      </w:r>
      <w:r>
        <w:t xml:space="preserve"> entrepreneurship and avoid t</w:t>
      </w:r>
      <w:r w:rsidR="00770790">
        <w:t>he influence of</w:t>
      </w:r>
      <w:r>
        <w:t xml:space="preserve"> mergers/acquisitions </w:t>
      </w:r>
      <w:r w:rsidR="00770790">
        <w:t xml:space="preserve">by large firms </w:t>
      </w:r>
      <w:r>
        <w:t>influencing the result. As shown earlier in the paper, micro-sized start-ups, like other start-ups are net job creators at the intensive margin. This is a consistent result across almost all two-digit industrie</w:t>
      </w:r>
      <w:r w:rsidR="0005576A">
        <w:t>s observed in Australia (Table B</w:t>
      </w:r>
      <w:r>
        <w:t>3). Across almost all industries in Australia, net job creation by surviving start-ups is large enough to more than compensate for the job destruction that comes from exiting start-ups. This result is consistent with other OECD countries studied to date where job creation rates range between 95 per cent and 190 per cent.</w:t>
      </w:r>
      <w:r w:rsidR="00A915D5">
        <w:rPr>
          <w:rStyle w:val="FootnoteReference"/>
        </w:rPr>
        <w:footnoteReference w:id="15"/>
      </w:r>
      <w:r>
        <w:t xml:space="preserve"> However, hidden under the aggregate data is high sectoral variation in the extent to which they contribute to job creation. In </w:t>
      </w:r>
      <w:r w:rsidRPr="000C37F3">
        <w:rPr>
          <w:i/>
        </w:rPr>
        <w:t>Mining</w:t>
      </w:r>
      <w:r>
        <w:t xml:space="preserve"> sectors for example, the jobs created by surviving micro-start-ups (intensive margin) can be up to six times that of initial micro-start-up employme</w:t>
      </w:r>
      <w:r w:rsidR="0005576A">
        <w:t>nt (extensive margin; Table B</w:t>
      </w:r>
      <w:r>
        <w:t>3).</w:t>
      </w:r>
      <w:r>
        <w:rPr>
          <w:rStyle w:val="FootnoteReference"/>
        </w:rPr>
        <w:footnoteReference w:id="16"/>
      </w:r>
      <w:r>
        <w:t xml:space="preserve"> </w:t>
      </w:r>
    </w:p>
    <w:p w:rsidR="007F1812" w:rsidRDefault="000C37F3" w:rsidP="007F1812">
      <w:pPr>
        <w:pStyle w:val="BodyText"/>
      </w:pPr>
      <w:r>
        <w:t>Figure 2.6</w:t>
      </w:r>
      <w:r w:rsidR="007F1812">
        <w:t xml:space="preserve">A shows that a very small fraction of the surviving micro-sized start-ups are responsible for most of the job creation by all micro-start-ups over </w:t>
      </w:r>
      <w:r w:rsidR="00505401">
        <w:t>a five year period</w:t>
      </w:r>
      <w:r w:rsidR="007F1812">
        <w:t xml:space="preserve">. Although representing only 3.2 per cent of all micro-start-ups they accounted for 77 per cent of </w:t>
      </w:r>
      <w:r w:rsidR="00723203">
        <w:t xml:space="preserve">gross </w:t>
      </w:r>
      <w:r w:rsidR="007F1812">
        <w:t xml:space="preserve">job creation by surviving micro-start-ups over five years. This result </w:t>
      </w:r>
      <w:r w:rsidR="00AB01D3">
        <w:t xml:space="preserve">is </w:t>
      </w:r>
      <w:r w:rsidR="007F1812">
        <w:t xml:space="preserve">very similar to results for other OECD countries (generally less than 5 per cent). For most sectors of the economy, these firms grow dramatically after five years to more than compensate for the job destruction of exiting micro-start-ups. </w:t>
      </w:r>
    </w:p>
    <w:p w:rsidR="007F1812" w:rsidRDefault="000C37F3" w:rsidP="007F1812">
      <w:pPr>
        <w:pStyle w:val="BodyText"/>
      </w:pPr>
      <w:r>
        <w:t>Figure 2.6</w:t>
      </w:r>
      <w:r w:rsidR="007F1812">
        <w:t xml:space="preserve">B shows that the disproportionate contribution of high growth micro-start-ups varies by industry (62.5 to 93.6 per cent; </w:t>
      </w:r>
      <w:r>
        <w:t>Figure 2.6</w:t>
      </w:r>
      <w:r w:rsidR="00EF3556">
        <w:t>B; See also Table B</w:t>
      </w:r>
      <w:r w:rsidR="007F1812">
        <w:t xml:space="preserve">3). For example, micro-sized mining firms that both survived and grew into a higher size class totalled 8.3 per cent of all micro-entrants in that sector and also accounted for 93.6 per cent of micro-firms’ contribution to total employment growth for that sector. The construction sector is at the other end of the spectrum with a lower percentage of high growth micro-start-ups and, perhaps not surprisingly, a lower contribution to employment growth for the sector. </w:t>
      </w:r>
      <w:r w:rsidR="007F1812" w:rsidRPr="000C37F3">
        <w:t>Figure </w:t>
      </w:r>
      <w:r w:rsidRPr="000C37F3">
        <w:t>2.</w:t>
      </w:r>
      <w:r w:rsidR="007F1812" w:rsidRPr="000C37F3">
        <w:t>6B</w:t>
      </w:r>
      <w:r w:rsidR="007F1812">
        <w:t xml:space="preserve"> also shows that the average employment contribution per high-growth micro-start-up varies by sector. </w:t>
      </w:r>
      <w:r w:rsidR="007F1812" w:rsidRPr="00E158F9">
        <w:rPr>
          <w:i/>
        </w:rPr>
        <w:t>Mining</w:t>
      </w:r>
      <w:r w:rsidR="007F1812">
        <w:t xml:space="preserve"> and </w:t>
      </w:r>
      <w:r w:rsidR="007F1812" w:rsidRPr="00E158F9">
        <w:rPr>
          <w:i/>
        </w:rPr>
        <w:t>Public administration &amp; safety</w:t>
      </w:r>
      <w:r w:rsidR="007F1812">
        <w:t xml:space="preserve"> have double the employment growth per firm that </w:t>
      </w:r>
      <w:r w:rsidR="007F1812" w:rsidRPr="00E158F9">
        <w:rPr>
          <w:i/>
        </w:rPr>
        <w:t>Retail</w:t>
      </w:r>
      <w:r w:rsidR="007F1812">
        <w:t xml:space="preserve"> </w:t>
      </w:r>
      <w:r w:rsidR="007F1812" w:rsidRPr="00E158F9">
        <w:rPr>
          <w:i/>
        </w:rPr>
        <w:t>trade</w:t>
      </w:r>
      <w:r w:rsidR="007F1812">
        <w:t xml:space="preserve"> and </w:t>
      </w:r>
      <w:r w:rsidR="007F1812" w:rsidRPr="00E158F9">
        <w:rPr>
          <w:i/>
        </w:rPr>
        <w:t>Wholesale trade</w:t>
      </w:r>
      <w:r w:rsidR="007F1812">
        <w:t xml:space="preserve"> have.</w:t>
      </w:r>
      <w:r w:rsidR="007F1812">
        <w:rPr>
          <w:rStyle w:val="FootnoteReference"/>
        </w:rPr>
        <w:footnoteReference w:id="17"/>
      </w:r>
      <w:r w:rsidR="007F1812">
        <w:t xml:space="preserve"> </w:t>
      </w:r>
    </w:p>
    <w:p w:rsidR="001D5803" w:rsidRDefault="007F1812" w:rsidP="007F1812">
      <w:pPr>
        <w:pStyle w:val="BodyText"/>
      </w:pPr>
      <w:r w:rsidRPr="00910848">
        <w:t>When we further analysed the performance of these high growth micro-start-ups created in 2006 we found that, not surprisingly, these firms exhibited superior sales, gross operating profit, employment</w:t>
      </w:r>
      <w:r>
        <w:t>,</w:t>
      </w:r>
      <w:r w:rsidRPr="00910848">
        <w:t xml:space="preserve"> value added </w:t>
      </w:r>
      <w:r>
        <w:t xml:space="preserve">and capital expenditure </w:t>
      </w:r>
      <w:r w:rsidRPr="00910848">
        <w:t>performance compared with surviving micro-start-ups firms that were stable or grew marginally over the same period</w:t>
      </w:r>
      <w:r>
        <w:t xml:space="preserve"> (</w:t>
      </w:r>
      <w:r w:rsidR="000C37F3">
        <w:t>Figure 2.7</w:t>
      </w:r>
      <w:r w:rsidR="0005576A">
        <w:t>A; Tables B4 to B</w:t>
      </w:r>
      <w:r>
        <w:t>6).</w:t>
      </w:r>
      <w:r>
        <w:rPr>
          <w:rStyle w:val="FootnoteReference"/>
        </w:rPr>
        <w:footnoteReference w:id="18"/>
      </w:r>
      <w:r>
        <w:t xml:space="preserve"> While the lower ranges on these performance measures were often similar the upper ranges were significantly different. These results were common to all industry divisions in Australia and across earlier cohorts studied (data not shown</w:t>
      </w:r>
      <w:r w:rsidRPr="00910848">
        <w:t xml:space="preserve">). </w:t>
      </w:r>
    </w:p>
    <w:p w:rsidR="00723203" w:rsidRDefault="001D5803" w:rsidP="007F1812">
      <w:pPr>
        <w:pStyle w:val="BodyText"/>
        <w:sectPr w:rsidR="00723203" w:rsidSect="00EB1BB4">
          <w:headerReference w:type="default" r:id="rId31"/>
          <w:footerReference w:type="default" r:id="rId32"/>
          <w:pgSz w:w="11906" w:h="16838"/>
          <w:pgMar w:top="1440" w:right="1440" w:bottom="1440" w:left="1440" w:header="709" w:footer="709" w:gutter="0"/>
          <w:pgNumType w:start="1"/>
          <w:cols w:space="708"/>
          <w:docGrid w:linePitch="360"/>
        </w:sectPr>
      </w:pPr>
      <w:r>
        <w:t xml:space="preserve">Labour productivity of surviving micro-start-ups </w:t>
      </w:r>
      <w:r w:rsidR="00123EB3">
        <w:t xml:space="preserve">was </w:t>
      </w:r>
      <w:r>
        <w:t>higher</w:t>
      </w:r>
      <w:r w:rsidR="00123EB3">
        <w:t xml:space="preserve"> after five years consistent with the trends noted by Nyugen &amp; Hansell (2014). </w:t>
      </w:r>
      <w:r w:rsidR="007F1812" w:rsidRPr="00910848">
        <w:t xml:space="preserve">Despite high performance in </w:t>
      </w:r>
      <w:r w:rsidR="005515B4">
        <w:t xml:space="preserve">every other measure, </w:t>
      </w:r>
      <w:r w:rsidR="007F1812" w:rsidRPr="00910848">
        <w:t>high growth micro-start-ups typically had lower or at best equal labour productivity performance</w:t>
      </w:r>
      <w:r w:rsidR="007F1812">
        <w:t xml:space="preserve"> </w:t>
      </w:r>
      <w:r>
        <w:t xml:space="preserve">compared to the surviving start-ups that did not grow much </w:t>
      </w:r>
      <w:r w:rsidR="007F1812">
        <w:t>(</w:t>
      </w:r>
      <w:r w:rsidR="000C37F3">
        <w:t>Figure 2.7</w:t>
      </w:r>
      <w:r w:rsidR="007F1812">
        <w:t>B; Table</w:t>
      </w:r>
      <w:r w:rsidR="0005576A">
        <w:t xml:space="preserve"> B</w:t>
      </w:r>
      <w:r w:rsidR="007F1812">
        <w:t>5).</w:t>
      </w:r>
      <w:r>
        <w:t xml:space="preserve"> </w:t>
      </w:r>
      <w:r w:rsidR="007F1812">
        <w:t xml:space="preserve">Additionally the productivity dispersion was higher in the low growth start-up cohort compared to the high growth cohort after five years. While the absolute labour productivity </w:t>
      </w:r>
      <w:r w:rsidR="005515B4">
        <w:t>values</w:t>
      </w:r>
      <w:r w:rsidR="007F1812">
        <w:t xml:space="preserve"> varied by industry, the </w:t>
      </w:r>
      <w:r w:rsidR="00C77673">
        <w:t>relative differences</w:t>
      </w:r>
      <w:r w:rsidR="007F1812">
        <w:t xml:space="preserve"> </w:t>
      </w:r>
      <w:r w:rsidR="00C77673">
        <w:t xml:space="preserve">were </w:t>
      </w:r>
      <w:r w:rsidR="007F1812">
        <w:t>similar across all industries and micro-start-up cohorts observed.</w:t>
      </w:r>
      <w:r w:rsidR="00723203">
        <w:tab/>
        <w:t xml:space="preserve"> </w:t>
      </w:r>
      <w:r w:rsidR="007F1812">
        <w:t xml:space="preserve"> </w:t>
      </w:r>
    </w:p>
    <w:p w:rsidR="00AA3A65" w:rsidRDefault="00AA3A65" w:rsidP="00DB555F">
      <w:pPr>
        <w:pStyle w:val="CaptionWide"/>
      </w:pPr>
      <w:r>
        <w:t>Figure</w:t>
      </w:r>
      <w:r w:rsidRPr="000618FB">
        <w:t xml:space="preserve"> </w:t>
      </w:r>
      <w:r w:rsidR="00B77A63">
        <w:fldChar w:fldCharType="begin"/>
      </w:r>
      <w:r w:rsidR="006D3DDF">
        <w:instrText xml:space="preserve"> STYLEREF 1 \s </w:instrText>
      </w:r>
      <w:r w:rsidR="00B77A63">
        <w:fldChar w:fldCharType="separate"/>
      </w:r>
      <w:r w:rsidR="00A13942">
        <w:rPr>
          <w:noProof/>
        </w:rPr>
        <w:t>2</w:t>
      </w:r>
      <w:r w:rsidR="00B77A63">
        <w:rPr>
          <w:noProof/>
        </w:rPr>
        <w:fldChar w:fldCharType="end"/>
      </w:r>
      <w:r w:rsidRPr="000618FB">
        <w:t>.</w:t>
      </w:r>
      <w:r w:rsidR="00B77A63" w:rsidRPr="000618FB">
        <w:fldChar w:fldCharType="begin"/>
      </w:r>
      <w:r w:rsidRPr="000618FB">
        <w:instrText xml:space="preserve"> SEQ </w:instrText>
      </w:r>
      <w:r>
        <w:instrText>Figure</w:instrText>
      </w:r>
      <w:r w:rsidRPr="000618FB">
        <w:instrText xml:space="preserve"> \* ARABIC \s 1 </w:instrText>
      </w:r>
      <w:r w:rsidR="00B77A63" w:rsidRPr="000618FB">
        <w:fldChar w:fldCharType="separate"/>
      </w:r>
      <w:r w:rsidR="00A13942">
        <w:rPr>
          <w:noProof/>
        </w:rPr>
        <w:t>6</w:t>
      </w:r>
      <w:r w:rsidR="00B77A63" w:rsidRPr="000618FB">
        <w:fldChar w:fldCharType="end"/>
      </w:r>
      <w:r>
        <w:t>: Five year post-entry dynamics of micro-</w:t>
      </w:r>
      <w:r w:rsidR="00294E30">
        <w:t>sized start-ups</w:t>
      </w:r>
      <w:r>
        <w:t xml:space="preserve"> by share of firms (all sector, panel A) and by industry (panel B), 200</w:t>
      </w:r>
      <w:r w:rsidR="00EC0DAE">
        <w:t>2</w:t>
      </w:r>
      <w:r>
        <w:rPr>
          <w:rFonts w:cs="Arial"/>
        </w:rPr>
        <w:t>–</w:t>
      </w:r>
      <w:r w:rsidRPr="00D9172C">
        <w:t>2011</w:t>
      </w:r>
    </w:p>
    <w:p w:rsidR="00306B80" w:rsidRPr="00306B80" w:rsidRDefault="00306B80" w:rsidP="00306B80">
      <w:pPr>
        <w:pStyle w:val="PlaceholderWide"/>
      </w:pPr>
      <w:r>
        <w:rPr>
          <w:noProof/>
          <w:lang w:eastAsia="en-AU"/>
        </w:rPr>
        <w:drawing>
          <wp:inline distT="0" distB="0" distL="0" distR="0" wp14:anchorId="4DE98C44" wp14:editId="13B6EF76">
            <wp:extent cx="8570268" cy="4208940"/>
            <wp:effectExtent l="0" t="0" r="2540" b="1270"/>
            <wp:docPr id="20" name="Picture 20" descr="Based on data from the ABS Expanded Analytical Business Longitudinal Database, figure 6 (panels A and B) displays five year post-entry dynamics of micro-entrants (0-4 employees) by share of firms from 2001 to 2011. Panel A is a bar chart incorporating all sectors and showing the contribution to job creation as well as exits. It shows that a very small percentage of the surviving micro-sized start-ups are responsible for most of the job creation by all micro-start-ups over five years. Although representing only 3.2% of all micro-start-ups they accounted for 77% of total net job creation by surviving micro-start-ups over five years. For most sectors of the economy, these firms grow dramatically after five years to more than compensate for the job destruction of exiting micro-start-ups. &#10;Panel B is a bubble chart comparing industry sectors. It plots the contribution to total micro-start up job creation versus the share of total micro-start-up businesses. It shows that the disproportionate contribution of high growth micro-start-ups varies by industry from 62.5per cent to 93.6per cent. This is evident in micro-sized mining firms that accounted for 93.6per cent of micro-firms contribution to total employment growth for that sector.&#10;" title="Figure 2.6: : Five year post-entry dynamics of micro-sized start-ups by share of firms (all sector, panel A) and by industry (panel B), 2002–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2.6.pn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8570268" cy="4208940"/>
                    </a:xfrm>
                    <a:prstGeom prst="rect">
                      <a:avLst/>
                    </a:prstGeom>
                  </pic:spPr>
                </pic:pic>
              </a:graphicData>
            </a:graphic>
          </wp:inline>
        </w:drawing>
      </w:r>
    </w:p>
    <w:p w:rsidR="00306B80" w:rsidRDefault="001A2600" w:rsidP="00DB555F">
      <w:pPr>
        <w:pStyle w:val="NoteWide"/>
      </w:pPr>
      <w:r>
        <w:rPr>
          <w:noProof/>
          <w:lang w:eastAsia="en-AU"/>
        </w:rPr>
        <w:drawing>
          <wp:anchor distT="0" distB="0" distL="114300" distR="114300" simplePos="0" relativeHeight="251662336" behindDoc="0" locked="0" layoutInCell="1" allowOverlap="1">
            <wp:simplePos x="0" y="0"/>
            <wp:positionH relativeFrom="column">
              <wp:posOffset>0</wp:posOffset>
            </wp:positionH>
            <wp:positionV relativeFrom="paragraph">
              <wp:posOffset>304800</wp:posOffset>
            </wp:positionV>
            <wp:extent cx="8600440" cy="4516755"/>
            <wp:effectExtent l="0" t="0" r="0" b="0"/>
            <wp:wrapTopAndBottom/>
            <wp:docPr id="3" name="Picture 3" descr="Based on data from the ABS Expanded Analytical Business Longitudinal Database, figure 6 (panels A and B) displays five year post-entry dynamics of micro-entrants (0-4 employees) by share of firms from 2001 to 2011. Panel A is a bar chart incorporating all sectors and showing the contribution to job creation as well as exits. It shows that a very small percentage of the surviving micro-sized start-ups are responsible for most of the job creation by all micro-start-ups over five years. Although representing only 3.2% of all micro-start-ups they accounted for 77% of total net job creation by surviving micro-start-ups over five years. For most sectors of the economy, these firms grow dramatically after five years to more than compensate for the job destruction of exiting micro-start-ups. &#10;Panel B is a bubble chart comparing industry sectors. It plots the contribution to total micro-start up job creation versus the share of total micro-start-up businesses. It shows that the disproportionate contribution of high growth micro-start-ups varies by industry from 62.5per cent to 93.6per cent. This is evident in micro-sized mining firms that accounted for 93.6per cent of micro-firms contribution to total employment growth for that sector.&#10;" title="Figure 2.6: Five year post-entry dynamics of micro-sized start-ups by share of firms (all sector, panel A) and by industry (panel B), 2002–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2.6 B.png"/>
                    <pic:cNvPicPr/>
                  </pic:nvPicPr>
                  <pic:blipFill>
                    <a:blip r:embed="rId34">
                      <a:extLst>
                        <a:ext uri="{28A0092B-C50C-407E-A947-70E740481C1C}">
                          <a14:useLocalDpi xmlns:a14="http://schemas.microsoft.com/office/drawing/2010/main" val="0"/>
                        </a:ext>
                      </a:extLst>
                    </a:blip>
                    <a:stretch>
                      <a:fillRect/>
                    </a:stretch>
                  </pic:blipFill>
                  <pic:spPr>
                    <a:xfrm>
                      <a:off x="0" y="0"/>
                      <a:ext cx="8600440" cy="4516755"/>
                    </a:xfrm>
                    <a:prstGeom prst="rect">
                      <a:avLst/>
                    </a:prstGeom>
                  </pic:spPr>
                </pic:pic>
              </a:graphicData>
            </a:graphic>
            <wp14:sizeRelH relativeFrom="page">
              <wp14:pctWidth>0</wp14:pctWidth>
            </wp14:sizeRelH>
            <wp14:sizeRelV relativeFrom="page">
              <wp14:pctHeight>0</wp14:pctHeight>
            </wp14:sizeRelV>
          </wp:anchor>
        </w:drawing>
      </w:r>
    </w:p>
    <w:p w:rsidR="00AA3A65" w:rsidRPr="00C62F3A" w:rsidRDefault="00AA3A65" w:rsidP="00DB555F">
      <w:pPr>
        <w:pStyle w:val="NoteWide"/>
      </w:pPr>
      <w:r>
        <w:t xml:space="preserve">Notes: Share of firms by size class reached after five years and the contribution to net job creation by that group. Results </w:t>
      </w:r>
      <w:r w:rsidR="00EC0DAE">
        <w:t xml:space="preserve">for panel A </w:t>
      </w:r>
      <w:r>
        <w:t>are the results of all industry sectors</w:t>
      </w:r>
      <w:r w:rsidR="00EC0DAE">
        <w:t xml:space="preserve"> and the five-year cohorts starting in 2002, 2003, 2004, 2005 and 2006</w:t>
      </w:r>
      <w:r>
        <w:t>. Size of the bubbles in panel B represent</w:t>
      </w:r>
      <w:r w:rsidR="007656CB">
        <w:t>s</w:t>
      </w:r>
      <w:r>
        <w:t xml:space="preserve"> the number of employees created per high growth firm over five years.</w:t>
      </w:r>
      <w:r w:rsidR="00370DCF">
        <w:t xml:space="preserve"> All data is calculated using a headcount measure. FTE measures show similar relative results.</w:t>
      </w:r>
    </w:p>
    <w:p w:rsidR="00AA3A65" w:rsidRDefault="00AA3A65" w:rsidP="000078F3">
      <w:pPr>
        <w:pStyle w:val="SourceWide"/>
      </w:pPr>
      <w:r>
        <w:t xml:space="preserve">Source: </w:t>
      </w:r>
      <w:r w:rsidRPr="00683EED">
        <w:t xml:space="preserve">ABS (2015) </w:t>
      </w:r>
      <w:r>
        <w:t>Expanded</w:t>
      </w:r>
      <w:r w:rsidRPr="00683EED">
        <w:t xml:space="preserve"> Analytical </w:t>
      </w:r>
      <w:r>
        <w:t xml:space="preserve">Business </w:t>
      </w:r>
      <w:r w:rsidRPr="00683EED">
        <w:t>Longitudinal Database</w:t>
      </w:r>
      <w:r>
        <w:t xml:space="preserve"> 2001–02 to 2012–13</w:t>
      </w:r>
      <w:r w:rsidR="00723203">
        <w:t xml:space="preserve"> </w:t>
      </w:r>
      <w:r w:rsidR="00723203">
        <w:tab/>
      </w:r>
    </w:p>
    <w:p w:rsidR="00723203" w:rsidRDefault="00723203" w:rsidP="00723203">
      <w:pPr>
        <w:pStyle w:val="BodyText"/>
        <w:sectPr w:rsidR="00723203" w:rsidSect="008066AF">
          <w:pgSz w:w="16838" w:h="11906" w:orient="landscape"/>
          <w:pgMar w:top="1440" w:right="1440" w:bottom="1440" w:left="1440" w:header="709" w:footer="709" w:gutter="0"/>
          <w:cols w:space="708"/>
          <w:docGrid w:linePitch="360"/>
        </w:sectPr>
      </w:pPr>
    </w:p>
    <w:p w:rsidR="00AA3A65" w:rsidRDefault="00AA3A65" w:rsidP="008A7707">
      <w:pPr>
        <w:pStyle w:val="CaptionWide"/>
        <w:jc w:val="left"/>
      </w:pPr>
      <w:r>
        <w:t>Figure</w:t>
      </w:r>
      <w:r w:rsidRPr="000618FB">
        <w:t xml:space="preserve"> </w:t>
      </w:r>
      <w:r w:rsidR="00B77A63">
        <w:fldChar w:fldCharType="begin"/>
      </w:r>
      <w:r w:rsidR="006D3DDF">
        <w:instrText xml:space="preserve"> STYLEREF 1 \s </w:instrText>
      </w:r>
      <w:r w:rsidR="00B77A63">
        <w:fldChar w:fldCharType="separate"/>
      </w:r>
      <w:r w:rsidR="00A13942">
        <w:rPr>
          <w:noProof/>
        </w:rPr>
        <w:t>2</w:t>
      </w:r>
      <w:r w:rsidR="00B77A63">
        <w:rPr>
          <w:noProof/>
        </w:rPr>
        <w:fldChar w:fldCharType="end"/>
      </w:r>
      <w:r w:rsidRPr="000618FB">
        <w:t>.</w:t>
      </w:r>
      <w:r w:rsidR="00B77A63" w:rsidRPr="000618FB">
        <w:fldChar w:fldCharType="begin"/>
      </w:r>
      <w:r w:rsidRPr="000618FB">
        <w:instrText xml:space="preserve"> SEQ </w:instrText>
      </w:r>
      <w:r>
        <w:instrText>Figure</w:instrText>
      </w:r>
      <w:r w:rsidRPr="000618FB">
        <w:instrText xml:space="preserve"> \* ARABIC \s 1 </w:instrText>
      </w:r>
      <w:r w:rsidR="00B77A63" w:rsidRPr="000618FB">
        <w:fldChar w:fldCharType="separate"/>
      </w:r>
      <w:r w:rsidR="00A13942">
        <w:rPr>
          <w:noProof/>
        </w:rPr>
        <w:t>7</w:t>
      </w:r>
      <w:r w:rsidR="00B77A63" w:rsidRPr="000618FB">
        <w:fldChar w:fldCharType="end"/>
      </w:r>
      <w:r>
        <w:t>: Mean sales (panel A) and labour productivity (panel B) at micro-start-up stage and size class achieved after five years</w:t>
      </w:r>
      <w:r w:rsidR="00F23136">
        <w:t>, by selected industry, 2006</w:t>
      </w:r>
      <w:r w:rsidR="00F23136">
        <w:rPr>
          <w:rFonts w:cs="Arial"/>
        </w:rPr>
        <w:t>–</w:t>
      </w:r>
      <w:r w:rsidR="00F23136">
        <w:t xml:space="preserve">2011 </w:t>
      </w:r>
      <w:r w:rsidR="00F23136">
        <w:rPr>
          <w:noProof/>
          <w:lang w:eastAsia="en-AU"/>
        </w:rPr>
        <w:drawing>
          <wp:inline distT="0" distB="0" distL="0" distR="0" wp14:anchorId="2494368A" wp14:editId="64FD0D52">
            <wp:extent cx="5731510" cy="3584575"/>
            <wp:effectExtent l="0" t="0" r="2540" b="0"/>
            <wp:docPr id="2" name="Picture 2" descr="Based on data from the ABS Expanded Analytical Business Longitudinal Database, figure 2.7 consists of two bar charts (panels A and B). Panel A shows mean sales at the micro-start-up stage and size class achieved after five years, by three selected industry sectors (Agriculture, forestry and fishing; Manufacturing; and Professional, scientific and technical services) from 2006 to 2011. The chart shows that high growth micro-start-ups created in 2006 exhibited superior sales compared with surviving micro-start-ups that were stable or grew marginally over the same period. These results were common to all industry divisions in Australia. Panel B shows labour productivity at the micro-start-up stage and size class achieved after five years in the three selected industry sectors from 2006 to 2011. It shows that despite the high performance in the measures noted above these high growth micro-start-ups typically had lower or at best equal labour productivity compared with low growth start-ups. It also shows that the productivity dispersion was higher in the low growth start-up cohort comparted to the high growth cohort after five years." title="Figure 2.7: Mean sales (panel A) and labour productivity (panel B) at micro-start-up stage and size class achieved after five years, by selected industry, 2006–201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2.7A.png"/>
                    <pic:cNvPicPr/>
                  </pic:nvPicPr>
                  <pic:blipFill>
                    <a:blip r:embed="rId35">
                      <a:extLst>
                        <a:ext uri="{28A0092B-C50C-407E-A947-70E740481C1C}">
                          <a14:useLocalDpi xmlns:a14="http://schemas.microsoft.com/office/drawing/2010/main" val="0"/>
                        </a:ext>
                      </a:extLst>
                    </a:blip>
                    <a:stretch>
                      <a:fillRect/>
                    </a:stretch>
                  </pic:blipFill>
                  <pic:spPr>
                    <a:xfrm>
                      <a:off x="0" y="0"/>
                      <a:ext cx="5731510" cy="3584575"/>
                    </a:xfrm>
                    <a:prstGeom prst="rect">
                      <a:avLst/>
                    </a:prstGeom>
                  </pic:spPr>
                </pic:pic>
              </a:graphicData>
            </a:graphic>
          </wp:inline>
        </w:drawing>
      </w:r>
      <w:r w:rsidR="00370DCF">
        <w:t xml:space="preserve"> </w:t>
      </w:r>
      <w:r w:rsidR="00F23136">
        <w:rPr>
          <w:noProof/>
          <w:lang w:eastAsia="en-AU"/>
        </w:rPr>
        <w:drawing>
          <wp:inline distT="0" distB="0" distL="0" distR="0" wp14:anchorId="1925FFC3" wp14:editId="61D1A9D7">
            <wp:extent cx="5602605" cy="3724910"/>
            <wp:effectExtent l="0" t="0" r="0" b="8890"/>
            <wp:docPr id="7" name="Picture 7" descr="Based on data from the ABS Expanded Analytical Business Longitudinal Database, figure 2.7 consists of two bar charts (panels A and B). Panel A shows mean sales at the micro-start-up stage and size class achieved after five years, by three selected industry sectors (Agriculture, forestry and fishing; Manufacturing; and Professional, scientific and technical services) from 2006 to 2011. The chart shows that high growth micro-start-ups created in 2006 exhibited superior sales compared with surviving micro-start-ups that were stable or grew marginally over the same period. These results were common to all industry divisions in Australia. Panel B shows labour productivity at the micro-start-up stage and size class achieved after five years in the three selected industry sectors from 2006 to 2011. It shows that despite the high performance in the measures noted above these high growth micro-start-ups typically had lower or at best equal labour productivity compared with low growth start-ups. It also shows that the productivity dispersion was higher in the low growth start-up cohort comparted to the high growth cohort after five years." title="Figure 2.7: Mean sales (panel A) and labour productivity (panel B) at micro-start-up stage and size class achieved after five years, by selected industry, 2006–201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602605" cy="3724910"/>
                    </a:xfrm>
                    <a:prstGeom prst="rect">
                      <a:avLst/>
                    </a:prstGeom>
                    <a:noFill/>
                  </pic:spPr>
                </pic:pic>
              </a:graphicData>
            </a:graphic>
          </wp:inline>
        </w:drawing>
      </w:r>
    </w:p>
    <w:p w:rsidR="00F23136" w:rsidRPr="00F23136" w:rsidRDefault="00F23136" w:rsidP="00F23136">
      <w:pPr>
        <w:pStyle w:val="PlaceholderWide"/>
      </w:pPr>
    </w:p>
    <w:p w:rsidR="00AA3A65" w:rsidRDefault="00AA3A65" w:rsidP="00370DCF">
      <w:pPr>
        <w:pStyle w:val="NoteWide"/>
      </w:pPr>
      <w:r>
        <w:t>Notes: All micro-sized start-ups in 2006 were tracked over five years between 2006 and 2011. All surviving firms after five years are classified into the 0–9 employees, 10–19 employees or 20+ employees size class achieved. Dollar values are nominal.</w:t>
      </w:r>
      <w:r w:rsidR="00370DCF">
        <w:t xml:space="preserve"> Employment data and size classes are calculated using a headcount measure. FTE measures show similar relative results. </w:t>
      </w:r>
      <w:r>
        <w:t xml:space="preserve">Source: </w:t>
      </w:r>
      <w:r w:rsidRPr="00683EED">
        <w:t xml:space="preserve">ABS (2015) </w:t>
      </w:r>
      <w:r>
        <w:t>Expanded</w:t>
      </w:r>
      <w:r w:rsidRPr="00683EED">
        <w:t xml:space="preserve"> Analytical </w:t>
      </w:r>
      <w:r>
        <w:t xml:space="preserve">Business </w:t>
      </w:r>
      <w:r w:rsidRPr="00683EED">
        <w:t>Longitudinal Database</w:t>
      </w:r>
      <w:r>
        <w:t xml:space="preserve"> 2001–02 to 2012–13</w:t>
      </w:r>
    </w:p>
    <w:p w:rsidR="007F1812" w:rsidRDefault="007F1812" w:rsidP="00AA3A65">
      <w:pPr>
        <w:pStyle w:val="Heading1"/>
      </w:pPr>
      <w:r>
        <w:t>Discussion</w:t>
      </w:r>
    </w:p>
    <w:p w:rsidR="007F1812" w:rsidRDefault="007F1812" w:rsidP="007F1812">
      <w:pPr>
        <w:pStyle w:val="BodyText"/>
      </w:pPr>
      <w:r>
        <w:t xml:space="preserve">This paper shows that young SMEs contribute disproportionately to net employment creation in Australia. Jobs growth in Australia is generated by firms of all ages and sizes </w:t>
      </w:r>
      <w:r w:rsidRPr="00254F69">
        <w:t xml:space="preserve">but it is </w:t>
      </w:r>
      <w:r>
        <w:t xml:space="preserve">young firms, particularly high growth start-ups </w:t>
      </w:r>
      <w:r w:rsidRPr="00254F69">
        <w:t xml:space="preserve">that </w:t>
      </w:r>
      <w:r>
        <w:t xml:space="preserve">are the engine of employment growth. </w:t>
      </w:r>
    </w:p>
    <w:p w:rsidR="007F1812" w:rsidRDefault="007F1812" w:rsidP="007F1812">
      <w:pPr>
        <w:pStyle w:val="BodyText"/>
      </w:pPr>
      <w:r>
        <w:t xml:space="preserve">Over the ten year reference period, young SMEs made the highest contribution to net job creation in Australia (50 per cent) and start-up activity is responsible for approximately half of this growth. </w:t>
      </w:r>
      <w:r w:rsidRPr="00910848">
        <w:t>It is a very small fraction (3</w:t>
      </w:r>
      <w:r>
        <w:t xml:space="preserve"> per cent</w:t>
      </w:r>
      <w:r w:rsidRPr="00910848">
        <w:t xml:space="preserve">) of surviving start-ups that go on to generate most </w:t>
      </w:r>
      <w:r>
        <w:t>(77 per cent</w:t>
      </w:r>
      <w:r w:rsidRPr="00910848">
        <w:t>) of the employment growth in young firms.</w:t>
      </w:r>
      <w:r>
        <w:t xml:space="preserve"> Job creation by these high growth micro-start-ups is more than enough to compensate for gross job destruction by exiting start-ups and downsizing mature firms. Start-up activity is therefore critical for employment growth in Australia. </w:t>
      </w:r>
      <w:r w:rsidRPr="0013767A">
        <w:t xml:space="preserve">The data shows that an ‘up or out’ dynamic </w:t>
      </w:r>
      <w:r>
        <w:t xml:space="preserve">generally </w:t>
      </w:r>
      <w:r w:rsidRPr="0013767A">
        <w:t xml:space="preserve">holds </w:t>
      </w:r>
      <w:r>
        <w:t>true for job growth in Australian firms</w:t>
      </w:r>
      <w:r w:rsidRPr="0013767A">
        <w:t>, consistent w</w:t>
      </w:r>
      <w:r>
        <w:t>ith the findings of all other countries studied to date.</w:t>
      </w:r>
      <w:r w:rsidR="006F7D59">
        <w:rPr>
          <w:rStyle w:val="FootnoteReference"/>
        </w:rPr>
        <w:footnoteReference w:id="19"/>
      </w:r>
      <w:r w:rsidR="006F7D59" w:rsidRPr="006F7D59">
        <w:rPr>
          <w:vertAlign w:val="superscript"/>
        </w:rPr>
        <w:t>,</w:t>
      </w:r>
      <w:r w:rsidR="007656CB">
        <w:rPr>
          <w:rStyle w:val="FootnoteReference"/>
        </w:rPr>
        <w:footnoteReference w:id="20"/>
      </w:r>
      <w:r>
        <w:t xml:space="preserve"> However, the </w:t>
      </w:r>
      <w:r w:rsidR="006F7D59">
        <w:t xml:space="preserve">start-up </w:t>
      </w:r>
      <w:r>
        <w:t xml:space="preserve">data </w:t>
      </w:r>
      <w:r w:rsidR="006F7D59">
        <w:t xml:space="preserve">(See section 2.3) </w:t>
      </w:r>
      <w:r>
        <w:t xml:space="preserve">for Australia suggests that we are more likely to go ‘out’ than we are to go ‘up’ compared to the OECD median. </w:t>
      </w:r>
      <w:r w:rsidR="006F7D59">
        <w:t xml:space="preserve">More countries in the OECD DynEmp database will confirm this result. </w:t>
      </w:r>
      <w:r>
        <w:t>Observing all sectors shows that key information on the performance of a resource-driven country like Australia can be missed by a narrow focus on manufacturing and services. The data on employment dynamics shows the high impact that the mining boom had on firm creation, survival and growth in that sector.</w:t>
      </w:r>
    </w:p>
    <w:p w:rsidR="007F1812" w:rsidRDefault="007F1812" w:rsidP="007F1812">
      <w:pPr>
        <w:pStyle w:val="BodyText"/>
      </w:pPr>
      <w:r w:rsidRPr="00910848">
        <w:t>Australia has relatively healthy entrepreneurship and creative-destruction compared with other OECD countries. Start-ups occupy a relatively high share of total firms</w:t>
      </w:r>
      <w:r>
        <w:t>,</w:t>
      </w:r>
      <w:r w:rsidRPr="00910848">
        <w:t xml:space="preserve"> implying that Australia’s firm environment is more dynamic compared to a number of other OECD countries. These results are consistent with other reports that show Australia has relatively high entrepreneurial intentions, a high rate of firm creation and low regulatory barriers to entrepreneursh</w:t>
      </w:r>
      <w:r w:rsidR="00A5267B">
        <w:t>ip</w:t>
      </w:r>
      <w:r w:rsidRPr="00910848">
        <w:t>.</w:t>
      </w:r>
      <w:r w:rsidR="007656CB">
        <w:rPr>
          <w:rStyle w:val="FootnoteReference"/>
        </w:rPr>
        <w:footnoteReference w:id="21"/>
      </w:r>
      <w:r w:rsidRPr="0013767A">
        <w:t xml:space="preserve"> </w:t>
      </w:r>
    </w:p>
    <w:p w:rsidR="007F1812" w:rsidRDefault="007F1812" w:rsidP="007F1812">
      <w:pPr>
        <w:pStyle w:val="BodyText"/>
      </w:pPr>
      <w:r>
        <w:t xml:space="preserve">This paper highlights the significance of start-up firms to net job creation in Australia. However the importance of start-ups to the Australian economy has been declining over the decade examined: The share of start-ups in the economy, their share of employment and their contribution to gross job creation, while still high compared to other OECD countries fell significantly. One explanation worth further research is whether industry composition is changing over the ten year period such that some sectors of the economy explain the slowing start-up activity. </w:t>
      </w:r>
    </w:p>
    <w:p w:rsidR="007F1812" w:rsidRDefault="007F1812" w:rsidP="007F1812">
      <w:pPr>
        <w:pStyle w:val="BodyText"/>
      </w:pPr>
      <w:r w:rsidRPr="0013767A">
        <w:t xml:space="preserve">The </w:t>
      </w:r>
      <w:r>
        <w:t xml:space="preserve">declining </w:t>
      </w:r>
      <w:r w:rsidRPr="0013767A">
        <w:t xml:space="preserve">rate of entrepreneurship is </w:t>
      </w:r>
      <w:r>
        <w:t>also observed</w:t>
      </w:r>
      <w:r w:rsidRPr="0013767A">
        <w:t xml:space="preserve"> across all </w:t>
      </w:r>
      <w:r>
        <w:t xml:space="preserve">OECD </w:t>
      </w:r>
      <w:r w:rsidRPr="0013767A">
        <w:t xml:space="preserve">countries </w:t>
      </w:r>
      <w:r>
        <w:t>examined to date, suggesting</w:t>
      </w:r>
      <w:r w:rsidRPr="0013767A">
        <w:t xml:space="preserve"> a global phenomenon rather than a specifically </w:t>
      </w:r>
      <w:r>
        <w:t>Australian</w:t>
      </w:r>
      <w:r w:rsidRPr="0013767A">
        <w:t xml:space="preserve"> </w:t>
      </w:r>
      <w:r w:rsidRPr="0090737B">
        <w:t>issue. It has been argued that firm ageing/consolidation represents a slowing in the rate of creative-destruction and re-allocation dynamics.</w:t>
      </w:r>
      <w:r w:rsidR="007656CB">
        <w:rPr>
          <w:rStyle w:val="FootnoteReference"/>
        </w:rPr>
        <w:footnoteReference w:id="22"/>
      </w:r>
      <w:r w:rsidRPr="0090737B">
        <w:t xml:space="preserve"> </w:t>
      </w:r>
      <w:r>
        <w:t xml:space="preserve">The global financial crisis will have influenced the downward trend to some extent across all OECD countries examined to date. However, </w:t>
      </w:r>
      <w:r w:rsidRPr="003D4011">
        <w:t xml:space="preserve">Hathaway &amp; Litan </w:t>
      </w:r>
      <w:r>
        <w:t>(</w:t>
      </w:r>
      <w:r w:rsidRPr="003D4011">
        <w:t>2014</w:t>
      </w:r>
      <w:r>
        <w:t xml:space="preserve">) show declining start-up activity in the USA since the late 1970s with little </w:t>
      </w:r>
      <w:r w:rsidRPr="003D4011">
        <w:t>evidence that business consolidation is responsible</w:t>
      </w:r>
      <w:r>
        <w:t xml:space="preserve"> for the decline</w:t>
      </w:r>
      <w:r w:rsidRPr="003D4011">
        <w:t>.</w:t>
      </w:r>
      <w:r>
        <w:t xml:space="preserve"> The unemployment rate in Australia generally fell during the period we examined. Swanepoel &amp; Harrison (2015) show that the unemployment rate has a positive and statistically significant impact on self-employment in Australia. The start-up rate data shown in this paper does mimic aggregate unemployment trends over the same period as it does in other OECD countries. </w:t>
      </w:r>
      <w:r w:rsidR="006F7D59">
        <w:t>S</w:t>
      </w:r>
      <w:r>
        <w:t xml:space="preserve">tart-up activity </w:t>
      </w:r>
      <w:r w:rsidR="001D5803">
        <w:t>is</w:t>
      </w:r>
      <w:r w:rsidR="006F7D59">
        <w:t xml:space="preserve"> buffer</w:t>
      </w:r>
      <w:r w:rsidR="001D5803">
        <w:t>ing</w:t>
      </w:r>
      <w:r>
        <w:t xml:space="preserve"> </w:t>
      </w:r>
      <w:r w:rsidR="006F7D59">
        <w:t xml:space="preserve">against unemployment during economic downturns. </w:t>
      </w:r>
    </w:p>
    <w:p w:rsidR="001D5803" w:rsidRPr="00910848" w:rsidRDefault="001D5803" w:rsidP="001D5803">
      <w:pPr>
        <w:pStyle w:val="BodyText"/>
      </w:pPr>
      <w:r>
        <w:t xml:space="preserve">High growth firms are found in all sectors of the economy. </w:t>
      </w:r>
      <w:r w:rsidRPr="00910848">
        <w:t xml:space="preserve">If net job creation is a policy aim </w:t>
      </w:r>
      <w:r>
        <w:t>then</w:t>
      </w:r>
      <w:r w:rsidRPr="00910848">
        <w:t xml:space="preserve"> being able to identify these high growth start-ups early is critical</w:t>
      </w:r>
      <w:r>
        <w:t>.</w:t>
      </w:r>
      <w:r w:rsidRPr="00910848">
        <w:t xml:space="preserve"> Understanding the internal capabilities of these high-growth firms and how they grow is therefore a fruitful area of future research. </w:t>
      </w:r>
      <w:r>
        <w:t xml:space="preserve"> </w:t>
      </w:r>
    </w:p>
    <w:p w:rsidR="006F7D59" w:rsidRDefault="007F1812" w:rsidP="006F7D59">
      <w:pPr>
        <w:pStyle w:val="BodyText"/>
      </w:pPr>
      <w:r w:rsidRPr="005853AE">
        <w:t>Australia’s national average post-survival growth prospects are relatively low compared with other OECD countries</w:t>
      </w:r>
      <w:r w:rsidR="006F7D59">
        <w:t>. T</w:t>
      </w:r>
      <w:r>
        <w:t>he efficiency of resource reallocation may</w:t>
      </w:r>
      <w:r w:rsidR="00022814">
        <w:t xml:space="preserve"> </w:t>
      </w:r>
      <w:r>
        <w:t>be relatively low in Australia</w:t>
      </w:r>
      <w:r w:rsidR="006F7D59">
        <w:t xml:space="preserve"> or competition may be particularly high</w:t>
      </w:r>
      <w:r w:rsidRPr="005853AE">
        <w:t>.</w:t>
      </w:r>
      <w:r w:rsidR="006F7D59">
        <w:t xml:space="preserve"> This needs further testing and validation.</w:t>
      </w:r>
      <w:r w:rsidRPr="005853AE">
        <w:t xml:space="preserve"> </w:t>
      </w:r>
      <w:r w:rsidRPr="00910848">
        <w:t xml:space="preserve">Criscuolo </w:t>
      </w:r>
      <w:r w:rsidRPr="00910848">
        <w:rPr>
          <w:i/>
        </w:rPr>
        <w:t>et al</w:t>
      </w:r>
      <w:r w:rsidRPr="00910848">
        <w:t xml:space="preserve">. (2014) highlight the importance of exogenous (outside-firm) factors such as bankruptcy laws and the availability of finance that may be a constraint to this growth. </w:t>
      </w:r>
      <w:r w:rsidR="001D5803">
        <w:t>In Australia, m</w:t>
      </w:r>
      <w:r w:rsidR="001D5803" w:rsidRPr="005853AE">
        <w:t>ost venture capital is poured into technology-driven ICT and life science firms (ABS 2015)</w:t>
      </w:r>
      <w:r w:rsidR="001D5803">
        <w:t xml:space="preserve"> </w:t>
      </w:r>
      <w:r w:rsidR="001D5803" w:rsidRPr="005853AE">
        <w:t xml:space="preserve">rather </w:t>
      </w:r>
      <w:r w:rsidR="001D5803">
        <w:t xml:space="preserve">than </w:t>
      </w:r>
      <w:r w:rsidR="001D5803" w:rsidRPr="005853AE">
        <w:t xml:space="preserve">the full range of </w:t>
      </w:r>
      <w:r w:rsidR="001D5803">
        <w:t xml:space="preserve">sectors that exhibit </w:t>
      </w:r>
      <w:r w:rsidR="001D5803" w:rsidRPr="005853AE">
        <w:t>high-growth start-up</w:t>
      </w:r>
      <w:r w:rsidR="001D5803">
        <w:t xml:space="preserve"> dynamics</w:t>
      </w:r>
      <w:r w:rsidR="001D5803" w:rsidRPr="005853AE">
        <w:t xml:space="preserve">. </w:t>
      </w:r>
      <w:r w:rsidR="001D5803" w:rsidRPr="00910848">
        <w:t>Venture capital and other formal sources of finance for start-ups might be more supportive of other sectors if funds and deal flow was higher and high information asymmetries were addressed</w:t>
      </w:r>
      <w:r w:rsidR="001D5803">
        <w:t xml:space="preserve"> in those sectors</w:t>
      </w:r>
      <w:r w:rsidR="001D5803" w:rsidRPr="00910848">
        <w:t>.</w:t>
      </w:r>
      <w:r w:rsidR="001D5803">
        <w:t xml:space="preserve"> </w:t>
      </w:r>
    </w:p>
    <w:p w:rsidR="007F1812" w:rsidRDefault="007F1812" w:rsidP="00335A63">
      <w:pPr>
        <w:pStyle w:val="BodyText"/>
      </w:pPr>
      <w:r w:rsidRPr="00910848">
        <w:t xml:space="preserve">Other North American and European countries studied by the OECD may have certain market scale </w:t>
      </w:r>
      <w:r>
        <w:t xml:space="preserve">or access </w:t>
      </w:r>
      <w:r w:rsidRPr="00910848">
        <w:t xml:space="preserve">advantages. </w:t>
      </w:r>
      <w:r>
        <w:t xml:space="preserve">The OECD (2007) has estimated that lower market access relative to the OECD average could contribute negatively to </w:t>
      </w:r>
      <w:r w:rsidR="00335A63">
        <w:t>GDP per capita by as much as 10 per cent</w:t>
      </w:r>
      <w:r>
        <w:t xml:space="preserve"> in Australia. A critical aspect of our future research will be to determine how early, and the extent to which, these high-growth micro-start-ups access international markets for either capital injections or export sales. Australia is a relatively open economy. However, given our relatively younger and smaller firms </w:t>
      </w:r>
      <w:r w:rsidR="001D5803">
        <w:t>resource constraints factors</w:t>
      </w:r>
      <w:r>
        <w:t xml:space="preserve"> </w:t>
      </w:r>
      <w:r w:rsidR="001D5803">
        <w:t xml:space="preserve">may be </w:t>
      </w:r>
      <w:r>
        <w:t>lock</w:t>
      </w:r>
      <w:r w:rsidR="001D5803">
        <w:t>ing</w:t>
      </w:r>
      <w:r>
        <w:t xml:space="preserve"> up the growth potential of Australian start-ups. </w:t>
      </w:r>
      <w:r w:rsidRPr="00910848">
        <w:t>The Export Council of Australia</w:t>
      </w:r>
      <w:r w:rsidRPr="00910848">
        <w:rPr>
          <w:rStyle w:val="FootnoteReference"/>
        </w:rPr>
        <w:footnoteReference w:id="23"/>
      </w:r>
      <w:r w:rsidRPr="00910848">
        <w:t xml:space="preserve"> note that the </w:t>
      </w:r>
      <w:r>
        <w:t>highest</w:t>
      </w:r>
      <w:r w:rsidRPr="00910848">
        <w:t xml:space="preserve"> barriers to </w:t>
      </w:r>
      <w:r>
        <w:t xml:space="preserve">exporting </w:t>
      </w:r>
      <w:r w:rsidRPr="00910848">
        <w:t>firm</w:t>
      </w:r>
      <w:r>
        <w:t>s</w:t>
      </w:r>
      <w:r w:rsidRPr="00910848">
        <w:t xml:space="preserve"> are access to information relating to local culture, firm practices and language; information about local regulations and customer payment issues. Helping Australian born global start-ups overcome these barriers may ease </w:t>
      </w:r>
      <w:r>
        <w:t>Australia’s</w:t>
      </w:r>
      <w:r w:rsidRPr="00910848">
        <w:t xml:space="preserve"> growth constraint relative to other countries.</w:t>
      </w:r>
      <w:r w:rsidR="00335A63">
        <w:t xml:space="preserve"> </w:t>
      </w:r>
    </w:p>
    <w:p w:rsidR="007F1812" w:rsidRDefault="007F1812" w:rsidP="007F1812">
      <w:pPr>
        <w:pStyle w:val="BodyText"/>
      </w:pPr>
      <w:r>
        <w:t>There is a wealth of research that shows that persistent and large variation in firm productivity exists within all industries and that firm productivity affects firm profitability, survival and growth.</w:t>
      </w:r>
      <w:r w:rsidR="00EF3556">
        <w:rPr>
          <w:rStyle w:val="FootnoteReference"/>
        </w:rPr>
        <w:footnoteReference w:id="24"/>
      </w:r>
      <w:r>
        <w:t xml:space="preserve"> </w:t>
      </w:r>
      <w:r w:rsidR="00C77673">
        <w:t>T</w:t>
      </w:r>
      <w:r>
        <w:t xml:space="preserve">he data we have presented here is not entirely consistent with the OECD’s conceptual model of resource reallocation and creative destruction: </w:t>
      </w:r>
      <w:r w:rsidRPr="0011554D">
        <w:rPr>
          <w:i/>
        </w:rPr>
        <w:t>more innovative,</w:t>
      </w:r>
      <w:r>
        <w:t xml:space="preserve"> </w:t>
      </w:r>
      <w:r w:rsidRPr="0011554D">
        <w:rPr>
          <w:i/>
        </w:rPr>
        <w:t>more productive firms capture resources from less innovative, less productive firms</w:t>
      </w:r>
      <w:r>
        <w:t xml:space="preserve">. </w:t>
      </w:r>
    </w:p>
    <w:p w:rsidR="007F1812" w:rsidRDefault="007F1812" w:rsidP="007F1812">
      <w:pPr>
        <w:pStyle w:val="BodyText"/>
      </w:pPr>
      <w:r>
        <w:t xml:space="preserve">We demonstrate that after five years the high growth start-ups often have lower labour productivity than the surviving start-ups that don’t grow. </w:t>
      </w:r>
      <w:r w:rsidR="008B462B">
        <w:t>The use of headcount measure rather than full time equivalents or hours worked does not change this result.</w:t>
      </w:r>
      <w:r w:rsidR="008B462B">
        <w:rPr>
          <w:rStyle w:val="FootnoteReference"/>
        </w:rPr>
        <w:footnoteReference w:id="25"/>
      </w:r>
      <w:r w:rsidR="008B462B">
        <w:t xml:space="preserve"> </w:t>
      </w:r>
      <w:r>
        <w:t>Revenue-based productivity measures often understate true productivity differences, especially for newer firms where more productive firms often have lower prices and are larger).</w:t>
      </w:r>
      <w:r w:rsidR="00EF3556">
        <w:rPr>
          <w:rStyle w:val="FootnoteReference"/>
        </w:rPr>
        <w:footnoteReference w:id="26"/>
      </w:r>
      <w:r>
        <w:t xml:space="preserve"> Unfortunately we are not able to observe plant-specific output prices across all industries over such a long timeframe at this stage. Capital expenditures and intermediate costs suggest that total factor productivity may exhibit the same response as labour productivity. Future research will investigate whether these observations hold for total factor productivity and whether there is a trade-off between productivity and employment growth amongst firms of different age and size classes within Australia. </w:t>
      </w:r>
    </w:p>
    <w:p w:rsidR="007F1812" w:rsidRDefault="007F1812" w:rsidP="007F1812">
      <w:pPr>
        <w:pStyle w:val="BodyText"/>
      </w:pPr>
      <w:r>
        <w:t xml:space="preserve">We suggest the observed productivity differences may also be explained by strategic decisions of start-up management and leadership. </w:t>
      </w:r>
      <w:r w:rsidRPr="00910848">
        <w:t xml:space="preserve">An important management-related dimension is the role of learning, innovation investment and risk-taking in differentiating start-up growth performance before economies of scale diverge. Consistent with innovation and growth literature we argue that high growth start-ups are able to develop a sustained and unique market advantage early, which by definition, would come from the introduction of new </w:t>
      </w:r>
      <w:r>
        <w:t>or</w:t>
      </w:r>
      <w:r w:rsidRPr="00910848">
        <w:t xml:space="preserve"> significantly improved goods, services and methods for organi</w:t>
      </w:r>
      <w:r w:rsidR="00A5267B">
        <w:t>sing production</w:t>
      </w:r>
      <w:r w:rsidRPr="00910848">
        <w:t>.</w:t>
      </w:r>
      <w:r w:rsidR="00EF3556">
        <w:rPr>
          <w:rStyle w:val="FootnoteReference"/>
        </w:rPr>
        <w:footnoteReference w:id="27"/>
      </w:r>
      <w:r w:rsidRPr="00910848">
        <w:t xml:space="preserve"> If Syverson’s (2011) argument is correct then these innovative firms are able to leverage productivity advantages faster and displace less productive competitors quicker. Empirical evidence suggests this is the case for Australian firms: innovation drives firm growth in profitability, employment, economies of scope and productivity (</w:t>
      </w:r>
      <w:r w:rsidR="00D26F2E">
        <w:t xml:space="preserve">see </w:t>
      </w:r>
      <w:r w:rsidRPr="00910848">
        <w:t>B</w:t>
      </w:r>
      <w:r w:rsidR="00A5267B">
        <w:t>alasubramanian &amp; Sivadasan 2011,</w:t>
      </w:r>
      <w:r w:rsidRPr="00910848">
        <w:t xml:space="preserve"> Department of Industry 2014</w:t>
      </w:r>
      <w:r w:rsidR="00A5267B">
        <w:t>,</w:t>
      </w:r>
      <w:r>
        <w:t xml:space="preserve"> Andrews </w:t>
      </w:r>
      <w:r w:rsidRPr="00A51D2B">
        <w:rPr>
          <w:i/>
        </w:rPr>
        <w:t>et al</w:t>
      </w:r>
      <w:r>
        <w:t>. 2014</w:t>
      </w:r>
      <w:r w:rsidRPr="00910848">
        <w:t>).</w:t>
      </w:r>
      <w:r>
        <w:t xml:space="preserve"> Innovators are significantly more likely to invest in physical capital, indicating in part the building of new productive capabilities through technology adoption such as ICT (Department of Industry 2014). </w:t>
      </w:r>
      <w:r>
        <w:rPr>
          <w:szCs w:val="20"/>
        </w:rPr>
        <w:t>The data presented in this paper shows high growth start-ups dramatically increase their capital expenditure, indicating in part the building of new productive capabilities through technology adop</w:t>
      </w:r>
      <w:r w:rsidR="00A5267B">
        <w:rPr>
          <w:szCs w:val="20"/>
        </w:rPr>
        <w:t>tion such as ICT (see OECD 2015</w:t>
      </w:r>
      <w:r>
        <w:rPr>
          <w:szCs w:val="20"/>
        </w:rPr>
        <w:t>).</w:t>
      </w:r>
    </w:p>
    <w:p w:rsidR="007F1812" w:rsidRDefault="007F1812" w:rsidP="00D67E22">
      <w:pPr>
        <w:pStyle w:val="ListParagraph"/>
        <w:ind w:left="2127"/>
      </w:pPr>
      <w:r w:rsidRPr="00795D6D">
        <w:t xml:space="preserve">Among innovative firms, young and small firms </w:t>
      </w:r>
      <w:r>
        <w:t xml:space="preserve">can </w:t>
      </w:r>
      <w:r w:rsidRPr="00795D6D">
        <w:t>have higher innovation intensities than mature firms as measured by the ratio of research and development spending to sales.</w:t>
      </w:r>
      <w:r w:rsidR="00D36649">
        <w:rPr>
          <w:rStyle w:val="FootnoteReference"/>
        </w:rPr>
        <w:footnoteReference w:id="28"/>
      </w:r>
      <w:r>
        <w:t xml:space="preserve"> Our own ongoing research gives compelling evidence that innovation capability underpins the observed firm-employment dynamics thereby influencing productivity and employment outcomes in the Australian economy. </w:t>
      </w:r>
      <w:r w:rsidR="00F15175">
        <w:t xml:space="preserve">Our preliminary analysis shows that </w:t>
      </w:r>
      <w:r>
        <w:t xml:space="preserve">the likelihood of innovation, employment, productivity growth and economies of scope falls significantly as Australian </w:t>
      </w:r>
      <w:r w:rsidR="00D36649">
        <w:t>firms’ age</w:t>
      </w:r>
      <w:r>
        <w:t xml:space="preserve">. </w:t>
      </w:r>
      <w:r w:rsidR="00A54B78">
        <w:t xml:space="preserve">R&amp;D expenditure per employee </w:t>
      </w:r>
      <w:r w:rsidR="002E4F19">
        <w:t>is significantly higher for young Australian firms (</w:t>
      </w:r>
      <w:r w:rsidR="00A54B78">
        <w:t>$50,000 per employee</w:t>
      </w:r>
      <w:r w:rsidR="002E4F19">
        <w:t>)</w:t>
      </w:r>
      <w:r w:rsidR="00A54B78">
        <w:t xml:space="preserve"> </w:t>
      </w:r>
      <w:r w:rsidR="002E4F19">
        <w:t xml:space="preserve">than </w:t>
      </w:r>
      <w:r w:rsidR="00A54B78">
        <w:t xml:space="preserve">mature firms </w:t>
      </w:r>
      <w:r w:rsidR="002E4F19">
        <w:t xml:space="preserve">(less than $30,000 per employee) across all years </w:t>
      </w:r>
      <w:r w:rsidR="00A54B78">
        <w:t>in the period 2006</w:t>
      </w:r>
      <w:r w:rsidR="00655A02">
        <w:t>–</w:t>
      </w:r>
      <w:r w:rsidR="00A54B78">
        <w:t>07 to 2011</w:t>
      </w:r>
      <w:r w:rsidR="00655A02">
        <w:t>–</w:t>
      </w:r>
      <w:r w:rsidR="00A54B78">
        <w:t xml:space="preserve">12. </w:t>
      </w:r>
      <w:r>
        <w:t xml:space="preserve">Innovative firms are twice as likely </w:t>
      </w:r>
      <w:r w:rsidR="008B462B">
        <w:t>to generate employment growth as</w:t>
      </w:r>
      <w:r>
        <w:t xml:space="preserve"> non-innovative firms (</w:t>
      </w:r>
      <w:r w:rsidR="00A023A8">
        <w:t xml:space="preserve">see </w:t>
      </w:r>
      <w:r>
        <w:t>Department of Industry</w:t>
      </w:r>
      <w:r w:rsidR="00D36649">
        <w:t xml:space="preserve"> </w:t>
      </w:r>
      <w:r w:rsidR="00A54B78">
        <w:t xml:space="preserve">and Science </w:t>
      </w:r>
      <w:r>
        <w:t>2014</w:t>
      </w:r>
      <w:r w:rsidR="00A54B78">
        <w:t>a</w:t>
      </w:r>
      <w:r w:rsidR="00F15175">
        <w:t>). Our</w:t>
      </w:r>
      <w:r>
        <w:t xml:space="preserve"> research shows </w:t>
      </w:r>
      <w:r w:rsidR="0087268B">
        <w:t>over the period 2005</w:t>
      </w:r>
      <w:r w:rsidR="00655A02">
        <w:t>–</w:t>
      </w:r>
      <w:r w:rsidR="0087268B">
        <w:t>06 to 2010</w:t>
      </w:r>
      <w:r w:rsidR="00655A02">
        <w:t>–</w:t>
      </w:r>
      <w:r w:rsidR="0087268B">
        <w:t xml:space="preserve">11 </w:t>
      </w:r>
      <w:r w:rsidR="00D67E22">
        <w:t>that R&amp;D performing</w:t>
      </w:r>
      <w:r w:rsidR="0087268B">
        <w:t xml:space="preserve"> </w:t>
      </w:r>
      <w:r w:rsidR="0083768D">
        <w:t>micro-firms (0</w:t>
      </w:r>
      <w:r w:rsidR="0083768D">
        <w:rPr>
          <w:rFonts w:cstheme="minorHAnsi"/>
        </w:rPr>
        <w:t>–</w:t>
      </w:r>
      <w:r w:rsidR="00D67E22">
        <w:t xml:space="preserve">9 employees) </w:t>
      </w:r>
      <w:r w:rsidR="0087268B">
        <w:t xml:space="preserve">were </w:t>
      </w:r>
      <w:r w:rsidR="0083768D">
        <w:t>26 per cent</w:t>
      </w:r>
      <w:r w:rsidR="00D67E22">
        <w:t xml:space="preserve"> </w:t>
      </w:r>
      <w:r w:rsidR="0087268B">
        <w:t>more</w:t>
      </w:r>
      <w:r w:rsidR="00D67E22">
        <w:t xml:space="preserve"> likely than non-R&amp;D performing micro-firms</w:t>
      </w:r>
      <w:r w:rsidR="0087268B">
        <w:t xml:space="preserve"> to increase </w:t>
      </w:r>
      <w:r w:rsidR="00D67E22">
        <w:t xml:space="preserve">annual </w:t>
      </w:r>
      <w:r w:rsidR="0087268B">
        <w:t xml:space="preserve">sales </w:t>
      </w:r>
      <w:r w:rsidR="00D67E22">
        <w:t xml:space="preserve">by </w:t>
      </w:r>
      <w:r w:rsidR="0083768D">
        <w:t>20 per cent</w:t>
      </w:r>
      <w:r w:rsidR="0087268B">
        <w:t xml:space="preserve"> or more</w:t>
      </w:r>
      <w:r w:rsidR="00D67E22">
        <w:t xml:space="preserve">. </w:t>
      </w:r>
      <w:r>
        <w:t xml:space="preserve">If innovation is so important for firm survival and growth it may be logical to think that the high growth micro-start-ups invest more in innovation or innovate more frequently. However, this assumption needs to be tested empirically. We have observed that innovation is a useful proxy indicator for the overall quality of a firm but innovative firms differ in just how innovative they are. Looking at the productivity dispersion for both low and high growth micro-start-ups we will likely find that the presence of innovation is not exclusive to one particular cohort. Rather, more detailed investigation is required into the extent to which new to market innovation is occurring in each cohort and, as noted above, the extent to which each cohort competes in international markets. </w:t>
      </w:r>
    </w:p>
    <w:p w:rsidR="007F1812" w:rsidRDefault="007F1812" w:rsidP="007F1812">
      <w:pPr>
        <w:pStyle w:val="BodyText"/>
      </w:pPr>
      <w:r>
        <w:t xml:space="preserve">The second strategy dimension to consider is growth-orientation. Our data is consistent with the majority of owners and managers of Australian start-ups being self-employed or lifestyle entrepreneurs, i.e. </w:t>
      </w:r>
      <w:r w:rsidRPr="001E2CD8">
        <w:t xml:space="preserve">opportunity based </w:t>
      </w:r>
      <w:r w:rsidRPr="001E2CD8">
        <w:rPr>
          <w:bCs/>
        </w:rPr>
        <w:t>entrepreneur</w:t>
      </w:r>
      <w:r>
        <w:t>s</w:t>
      </w:r>
      <w:r w:rsidRPr="001E2CD8">
        <w:t xml:space="preserve">, opting for work-life balance versus </w:t>
      </w:r>
      <w:r>
        <w:t xml:space="preserve">ongoing </w:t>
      </w:r>
      <w:r w:rsidRPr="001E2CD8">
        <w:t>wealth creation</w:t>
      </w:r>
      <w:r>
        <w:t>.</w:t>
      </w:r>
      <w:r w:rsidR="00D36649">
        <w:rPr>
          <w:rStyle w:val="FootnoteReference"/>
        </w:rPr>
        <w:footnoteReference w:id="29"/>
      </w:r>
      <w:r>
        <w:t xml:space="preserve"> Most surviving start-ups still double their sales in five years but do not to grow much in employment. They keep their costs and re-investment low and focus on being efficient and profitable. This is a viable and successful strategy for many start-ups. </w:t>
      </w:r>
    </w:p>
    <w:p w:rsidR="007F1812" w:rsidRDefault="007F1812" w:rsidP="002C7DEE">
      <w:pPr>
        <w:pStyle w:val="BodyText"/>
      </w:pPr>
      <w:r w:rsidRPr="0018081B">
        <w:t>By contrast the high growth start-ups grow dramatically in all aspects of production,</w:t>
      </w:r>
      <w:r>
        <w:t xml:space="preserve"> implying high growth in market share. However, their output growth does not keep pace with employment growth </w:t>
      </w:r>
      <w:r w:rsidR="00D67E22">
        <w:t xml:space="preserve">to the extent </w:t>
      </w:r>
      <w:r>
        <w:t>that any inherent labour productivity advantage may be hidden</w:t>
      </w:r>
      <w:r w:rsidR="00D67E22">
        <w:t xml:space="preserve"> compared with low growth micro-startups</w:t>
      </w:r>
      <w:r>
        <w:t xml:space="preserve">. We suggest that these high growth firms are still in their ascendancy even after five years (see Nyugen &amp; Hansell 2014). </w:t>
      </w:r>
      <w:r w:rsidRPr="00910848">
        <w:t>Owner/managers are hiring new staff and investing in physical and intangible capital with the expectation of future returns thereby temporarily suppressing revenue-based labour productivity. This may explain the inconsistency with the prevailing economic argument and suggests that revenue-based labour productivity may not always be the best indicator of performance when young firms are in a rapid growth phase. Future research needs to track these firms over their full lifecycle to assess if and when these firms achieve their ‘maximum’ productivity performance</w:t>
      </w:r>
      <w:r>
        <w:t xml:space="preserve"> (See Coad </w:t>
      </w:r>
      <w:r w:rsidRPr="003D4011">
        <w:rPr>
          <w:i/>
        </w:rPr>
        <w:t>et al</w:t>
      </w:r>
      <w:r>
        <w:t>. 2015)</w:t>
      </w:r>
      <w:r w:rsidRPr="00910848">
        <w:t>.</w:t>
      </w:r>
      <w:r>
        <w:t xml:space="preserve"> This data suggests that labour productivity should </w:t>
      </w:r>
      <w:r w:rsidR="00D67E22">
        <w:t xml:space="preserve">always be </w:t>
      </w:r>
      <w:r w:rsidR="008B5E68">
        <w:t xml:space="preserve">considered with other indicators of firm growth such as sales or employment when considering </w:t>
      </w:r>
      <w:r>
        <w:t>key performance indicator</w:t>
      </w:r>
      <w:r w:rsidR="008B5E68">
        <w:t>s</w:t>
      </w:r>
      <w:r>
        <w:t xml:space="preserve"> for </w:t>
      </w:r>
      <w:r w:rsidR="008B5E68">
        <w:t>industry policies</w:t>
      </w:r>
      <w:r>
        <w:t>.</w:t>
      </w:r>
    </w:p>
    <w:p w:rsidR="007F1812" w:rsidRDefault="007F1812" w:rsidP="002C7DEE">
      <w:pPr>
        <w:pStyle w:val="BodyText"/>
      </w:pPr>
      <w:r>
        <w:t xml:space="preserve">This paper explores a rich dataset from the perspective of employment dynamics. This paper demonstrates how the Expanded Analytical Business Longitudinal Database (EABLD) has unlocked an unprecedented level of analytical capacity within the ABS, the Department of Industry and Science and the research community more broadly. The EABLD is essentially a longitudinal census of the business population with basic information such as sales, value added, employment and has the capacity to be further developed with additional datasets being added. These additional datasets could be administrative enabling counterfactual evaluation of industry policies at any level of government. The Department of Industry and Science, in collaboration with the Australian Bureau of Statistics, is now participating in two major OECD firm dynamics projects and is undertaking a series of research projects asking policy questions on the importance of R&amp;D, intellectual property, employee share schemes, innovation and entrepreneurship to aggregate employment and productivity growth in Australia. </w:t>
      </w:r>
    </w:p>
    <w:p w:rsidR="007F1812" w:rsidRPr="002F79BA" w:rsidRDefault="007F1812" w:rsidP="007F1812">
      <w:pPr>
        <w:ind w:left="2127"/>
        <w:rPr>
          <w:highlight w:val="yellow"/>
        </w:rPr>
        <w:sectPr w:rsidR="007F1812" w:rsidRPr="002F79BA" w:rsidSect="0083768D">
          <w:pgSz w:w="11906" w:h="16838"/>
          <w:pgMar w:top="1440" w:right="1440" w:bottom="1440" w:left="1440" w:header="709" w:footer="709" w:gutter="0"/>
          <w:cols w:space="708"/>
          <w:docGrid w:linePitch="360"/>
        </w:sectPr>
      </w:pPr>
    </w:p>
    <w:p w:rsidR="007F1812" w:rsidRPr="006A3A74" w:rsidRDefault="007F1812" w:rsidP="00AA3A65">
      <w:pPr>
        <w:pStyle w:val="Heading6"/>
      </w:pPr>
      <w:r w:rsidRPr="006A3A74">
        <w:t>Methodological notes</w:t>
      </w:r>
    </w:p>
    <w:p w:rsidR="007F1812" w:rsidRPr="00011309" w:rsidRDefault="007F1812" w:rsidP="002C7DEE">
      <w:pPr>
        <w:pStyle w:val="BodyText"/>
      </w:pPr>
      <w:r w:rsidRPr="00011309">
        <w:t xml:space="preserve">The results presented here are based, in part, on tax data supplied by the ATO to the ABS under the Taxation Administration Act 1953, which requires that such data is only used for the purpose of administering the Census and Statistics Act 1905. Any discussion of data limitations or weaknesses is in the context of using the data for statistical purposes, and is not related to the ability of the data to support the ATO's core operational requirements. Legislative requirements to ensure privacy and secrecy of this data have been adhered to. In accordance with the Census and Statistics Act 1905, results have been confidentialised to ensure that they are not likely to enable identification of a particular person or organisation. </w:t>
      </w:r>
    </w:p>
    <w:p w:rsidR="007F1812" w:rsidRPr="00011309" w:rsidRDefault="007F1812" w:rsidP="00AA3A65">
      <w:pPr>
        <w:pStyle w:val="Heading7"/>
      </w:pPr>
      <w:r w:rsidRPr="00011309">
        <w:t>Employment</w:t>
      </w:r>
    </w:p>
    <w:p w:rsidR="00056A3E" w:rsidRDefault="00CF3EEF" w:rsidP="00056A3E">
      <w:pPr>
        <w:pStyle w:val="BodyText"/>
      </w:pPr>
      <w:r w:rsidRPr="00CF3EEF">
        <w:t>We use an estimate of a full-time equivalent (FTE) employment measure based on individual wages and the employer’s industry of origin. These estimates are better aligned with the ABS Labour Force Series (cat no 6202</w:t>
      </w:r>
      <w:r>
        <w:t>.0</w:t>
      </w:r>
      <w:r w:rsidRPr="00CF3EEF">
        <w:t>) for employee hours worked and hours worked for individuals using five waves of the Survey of Employee Earnings and Hours (cat no. 6306</w:t>
      </w:r>
      <w:r>
        <w:t>.0</w:t>
      </w:r>
      <w:r w:rsidRPr="00CF3EEF">
        <w:t xml:space="preserve">) than the headcount measure. </w:t>
      </w:r>
    </w:p>
    <w:p w:rsidR="00056A3E" w:rsidRPr="00CF3EEF" w:rsidRDefault="00056A3E" w:rsidP="00056A3E">
      <w:pPr>
        <w:pStyle w:val="BodyText"/>
      </w:pPr>
      <w:r w:rsidRPr="00CF3EEF">
        <w:t xml:space="preserve">For the purposes of OECD comparisons </w:t>
      </w:r>
      <w:r>
        <w:t>em</w:t>
      </w:r>
      <w:r w:rsidRPr="00CF3EEF">
        <w:t xml:space="preserve">ployment is a headcount measure based on the number of unique ABN-Employee links in ATO annual payment summaries. These data are then linked to the EABLD to align the ABS units model and the ATO data structures. A consequence of this definition is that employment totals will differ with official ABS measures of employment in the Labour Force Survey as multiple job holders (either concurrent or sequential in one year) will receive a payment summary from each employer each year. </w:t>
      </w:r>
    </w:p>
    <w:p w:rsidR="007F1812" w:rsidRPr="006D7B85" w:rsidRDefault="007F1812" w:rsidP="00AA3A65">
      <w:pPr>
        <w:pStyle w:val="Heading7"/>
      </w:pPr>
      <w:r w:rsidRPr="006D7B85">
        <w:t>Scope</w:t>
      </w:r>
    </w:p>
    <w:p w:rsidR="007F1812" w:rsidRDefault="007F1812" w:rsidP="007F1812">
      <w:pPr>
        <w:pStyle w:val="BodyText"/>
      </w:pPr>
      <w:r>
        <w:t>This p</w:t>
      </w:r>
      <w:r w:rsidR="00945358">
        <w:t>aper provides data for the 2001</w:t>
      </w:r>
      <w:r w:rsidR="00945358">
        <w:rPr>
          <w:rFonts w:cstheme="minorHAnsi"/>
        </w:rPr>
        <w:t>–</w:t>
      </w:r>
      <w:r w:rsidR="00945358">
        <w:t>02 to 2011</w:t>
      </w:r>
      <w:r w:rsidR="00945358">
        <w:rPr>
          <w:rFonts w:cstheme="minorHAnsi"/>
        </w:rPr>
        <w:t>–</w:t>
      </w:r>
      <w:r>
        <w:t>12</w:t>
      </w:r>
      <w:r w:rsidR="00945358">
        <w:t xml:space="preserve"> years from the EABLD. The 2012</w:t>
      </w:r>
      <w:r w:rsidR="00945358">
        <w:rPr>
          <w:rFonts w:cstheme="minorHAnsi"/>
        </w:rPr>
        <w:t>–</w:t>
      </w:r>
      <w:r>
        <w:t>13 data was not included in the analysis at this stage because of the need to quality check the robus</w:t>
      </w:r>
      <w:r w:rsidR="00945358">
        <w:t>tness of the data from the 2012</w:t>
      </w:r>
      <w:r w:rsidR="00945358">
        <w:rPr>
          <w:rFonts w:cstheme="minorHAnsi"/>
        </w:rPr>
        <w:t>–</w:t>
      </w:r>
      <w:r>
        <w:t>13 year.</w:t>
      </w:r>
    </w:p>
    <w:p w:rsidR="007F1812" w:rsidRDefault="007F1812" w:rsidP="007F1812">
      <w:pPr>
        <w:pStyle w:val="BodyText"/>
      </w:pPr>
      <w:r>
        <w:t xml:space="preserve">For the purposes of cross-country comparisons, the data is limited to manufacturing, construction and service sectors excluding financial and insurance services using the </w:t>
      </w:r>
      <w:r w:rsidRPr="00E53EC7">
        <w:t>International Standard Industrial Classification</w:t>
      </w:r>
      <w:r>
        <w:t>.</w:t>
      </w:r>
      <w:r>
        <w:rPr>
          <w:rStyle w:val="FootnoteReference"/>
        </w:rPr>
        <w:footnoteReference w:id="30"/>
      </w:r>
      <w:r>
        <w:t xml:space="preserve"> We also use OECD size class definitions to ensure comparability. International comparisons are made on manufacturing, construction and non-financial business services only. All other sectors are excluded from international comparisons.</w:t>
      </w:r>
    </w:p>
    <w:p w:rsidR="007F1812" w:rsidRDefault="007F1812" w:rsidP="007F1812">
      <w:pPr>
        <w:pStyle w:val="BodyText"/>
      </w:pPr>
      <w:r>
        <w:t xml:space="preserve">Where internal cross-sectoral comparisons are made, all ANZSIC6 sub-divisions are used except </w:t>
      </w:r>
      <w:r w:rsidRPr="002157A3">
        <w:t>6, 7, 17, 26, 27, 47, 56, 60, 75, 76, and 96 due to the small number of observations</w:t>
      </w:r>
      <w:r>
        <w:t xml:space="preserve">. These sectors are included in national average analysis but excluded from descriptive statistics in order to maintain confidentiality of information. </w:t>
      </w:r>
    </w:p>
    <w:p w:rsidR="007F1812" w:rsidRDefault="007F1812" w:rsidP="007F1812">
      <w:pPr>
        <w:pStyle w:val="BodyText"/>
      </w:pPr>
      <w:r>
        <w:t xml:space="preserve">For the purposes of static comparisons start-ups </w:t>
      </w:r>
      <w:r w:rsidR="00EB1BB4">
        <w:t>are defined as firms that are 0</w:t>
      </w:r>
      <w:r w:rsidR="00EB1BB4">
        <w:rPr>
          <w:rFonts w:cstheme="minorHAnsi"/>
        </w:rPr>
        <w:t>–</w:t>
      </w:r>
      <w:r>
        <w:t xml:space="preserve">2 years old (Results sections1 and 2). For all other longitudinal or temporal analyses start-ups are defined as firm entry. </w:t>
      </w:r>
    </w:p>
    <w:p w:rsidR="007F1812" w:rsidRDefault="007F1812" w:rsidP="007F1812">
      <w:pPr>
        <w:pStyle w:val="BodyText"/>
      </w:pPr>
      <w:r>
        <w:t xml:space="preserve">Where the performance of growth and micro-sized start-ups are analysed in Results section 4, we define micro-sized start-ups </w:t>
      </w:r>
      <w:r w:rsidR="00EB1BB4">
        <w:t>as business entries that have 0</w:t>
      </w:r>
      <w:r w:rsidR="00EB1BB4">
        <w:rPr>
          <w:rFonts w:cstheme="minorHAnsi"/>
        </w:rPr>
        <w:t>–</w:t>
      </w:r>
      <w:r>
        <w:t>9 employees at time t. Medium and high growth micro-sized start-ups are defined as micro-sized start-ups that at time t+5 have gro</w:t>
      </w:r>
      <w:r w:rsidR="00EB1BB4">
        <w:t>wn their employment into the 10</w:t>
      </w:r>
      <w:r w:rsidR="00EB1BB4">
        <w:rPr>
          <w:rFonts w:cstheme="minorHAnsi"/>
        </w:rPr>
        <w:t>–</w:t>
      </w:r>
      <w:r>
        <w:t>19 employee and 20+ employee range, respectively.</w:t>
      </w:r>
    </w:p>
    <w:p w:rsidR="007F1812" w:rsidRPr="006D7B85" w:rsidRDefault="007F1812" w:rsidP="00AA3A65">
      <w:pPr>
        <w:pStyle w:val="Heading7"/>
      </w:pPr>
      <w:r w:rsidRPr="006D7B85">
        <w:t>Decomposition Analysis</w:t>
      </w:r>
    </w:p>
    <w:p w:rsidR="007F1812" w:rsidRDefault="007F1812" w:rsidP="007F1812">
      <w:pPr>
        <w:pStyle w:val="BodyText"/>
      </w:pPr>
      <w:r>
        <w:t>The analytical approach used by the OECD</w:t>
      </w:r>
      <w:r>
        <w:rPr>
          <w:rStyle w:val="FootnoteReference"/>
        </w:rPr>
        <w:footnoteReference w:id="31"/>
      </w:r>
      <w:r>
        <w:t xml:space="preserve"> to identify cross-country differences in the dynamics of start-up survival and growth consists of decomposing normalised net job creation by surviving entrants into four main components.</w:t>
      </w:r>
    </w:p>
    <w:p w:rsidR="007F1812" w:rsidRDefault="007F1812" w:rsidP="007F1812">
      <w:pPr>
        <w:pStyle w:val="ListNumber"/>
        <w:numPr>
          <w:ilvl w:val="0"/>
          <w:numId w:val="15"/>
        </w:numPr>
        <w:spacing w:before="120"/>
      </w:pPr>
      <w:r w:rsidRPr="00215131">
        <w:rPr>
          <w:i/>
        </w:rPr>
        <w:t>Start-up ratio</w:t>
      </w:r>
      <w:r>
        <w:t xml:space="preserve">, </w:t>
      </w:r>
      <m:oMath>
        <m:f>
          <m:fPr>
            <m:ctrlPr>
              <w:rPr>
                <w:rFonts w:ascii="Cambria Math" w:hAnsi="Cambria Math"/>
                <w:i/>
              </w:rPr>
            </m:ctrlPr>
          </m:fPr>
          <m:num>
            <m:sSub>
              <m:sSubPr>
                <m:ctrlPr>
                  <w:rPr>
                    <w:rFonts w:ascii="Cambria Math" w:hAnsi="Cambria Math"/>
                    <w:i/>
                  </w:rPr>
                </m:ctrlPr>
              </m:sSubPr>
              <m:e>
                <m:r>
                  <w:rPr>
                    <w:rFonts w:ascii="Cambria Math" w:hAnsi="Cambria Math"/>
                  </w:rPr>
                  <m:t>NrUnit</m:t>
                </m:r>
              </m:e>
              <m:sub>
                <m:r>
                  <w:rPr>
                    <w:rFonts w:ascii="Cambria Math" w:hAnsi="Cambria Math"/>
                  </w:rPr>
                  <m:t>at</m:t>
                </m:r>
              </m:sub>
            </m:sSub>
            <m:d>
              <m:dPr>
                <m:ctrlPr>
                  <w:rPr>
                    <w:rFonts w:ascii="Cambria Math" w:hAnsi="Cambria Math"/>
                    <w:i/>
                  </w:rPr>
                </m:ctrlPr>
              </m:dPr>
              <m:e>
                <m:r>
                  <w:rPr>
                    <w:rFonts w:ascii="Cambria Math" w:hAnsi="Cambria Math"/>
                  </w:rPr>
                  <m:t>t+j</m:t>
                </m:r>
              </m:e>
            </m:d>
          </m:num>
          <m:den>
            <m:sSub>
              <m:sSubPr>
                <m:ctrlPr>
                  <w:rPr>
                    <w:rFonts w:ascii="Cambria Math" w:hAnsi="Cambria Math"/>
                    <w:i/>
                  </w:rPr>
                </m:ctrlPr>
              </m:sSubPr>
              <m:e>
                <m:r>
                  <w:rPr>
                    <w:rFonts w:ascii="Cambria Math" w:hAnsi="Cambria Math"/>
                  </w:rPr>
                  <m:t>EMP</m:t>
                </m:r>
              </m:e>
              <m:sub>
                <m:r>
                  <w:rPr>
                    <w:rFonts w:ascii="Cambria Math" w:hAnsi="Cambria Math"/>
                  </w:rPr>
                  <m:t>t</m:t>
                </m:r>
              </m:sub>
            </m:sSub>
            <m:d>
              <m:dPr>
                <m:ctrlPr>
                  <w:rPr>
                    <w:rFonts w:ascii="Cambria Math" w:hAnsi="Cambria Math"/>
                    <w:i/>
                  </w:rPr>
                </m:ctrlPr>
              </m:dPr>
              <m:e>
                <m:r>
                  <w:rPr>
                    <w:rFonts w:ascii="Cambria Math" w:hAnsi="Cambria Math"/>
                  </w:rPr>
                  <m:t>t</m:t>
                </m:r>
              </m:e>
            </m:d>
          </m:den>
        </m:f>
      </m:oMath>
      <w:r>
        <w:t>, measured as the number of entrants relative to the country’s total employment.</w:t>
      </w:r>
      <w:r w:rsidRPr="00215131">
        <w:rPr>
          <w:sz w:val="14"/>
          <w:szCs w:val="14"/>
        </w:rPr>
        <w:t xml:space="preserve"> </w:t>
      </w:r>
      <w:r>
        <w:t xml:space="preserve">This can be considered a measure of the role of entrepreneurship in the economy. </w:t>
      </w:r>
    </w:p>
    <w:p w:rsidR="007F1812" w:rsidRDefault="007F1812" w:rsidP="007F1812">
      <w:pPr>
        <w:pStyle w:val="ListNumber"/>
        <w:numPr>
          <w:ilvl w:val="0"/>
          <w:numId w:val="4"/>
        </w:numPr>
        <w:spacing w:before="120"/>
      </w:pPr>
      <w:r w:rsidRPr="00E659FD">
        <w:rPr>
          <w:i/>
        </w:rPr>
        <w:t>Survival share</w:t>
      </w:r>
      <w:r>
        <w:t xml:space="preserve">, </w:t>
      </w:r>
      <m:oMath>
        <m:f>
          <m:fPr>
            <m:ctrlPr>
              <w:rPr>
                <w:rFonts w:ascii="Cambria Math" w:hAnsi="Cambria Math"/>
                <w:i/>
              </w:rPr>
            </m:ctrlPr>
          </m:fPr>
          <m:num>
            <m:sSubSup>
              <m:sSubSupPr>
                <m:ctrlPr>
                  <w:rPr>
                    <w:rFonts w:ascii="Cambria Math" w:hAnsi="Cambria Math"/>
                    <w:i/>
                  </w:rPr>
                </m:ctrlPr>
              </m:sSubSupPr>
              <m:e>
                <m:r>
                  <w:rPr>
                    <w:rFonts w:ascii="Cambria Math" w:hAnsi="Cambria Math"/>
                  </w:rPr>
                  <m:t>NrUnits</m:t>
                </m:r>
              </m:e>
              <m:sub>
                <m:r>
                  <w:rPr>
                    <w:rFonts w:ascii="Cambria Math" w:hAnsi="Cambria Math"/>
                  </w:rPr>
                  <m:t>at</m:t>
                </m:r>
              </m:sub>
              <m:sup>
                <m:r>
                  <w:rPr>
                    <w:rFonts w:ascii="Cambria Math" w:hAnsi="Cambria Math"/>
                  </w:rPr>
                  <m:t>surv</m:t>
                </m:r>
              </m:sup>
            </m:sSubSup>
            <m:d>
              <m:dPr>
                <m:ctrlPr>
                  <w:rPr>
                    <w:rFonts w:ascii="Cambria Math" w:hAnsi="Cambria Math"/>
                    <w:i/>
                  </w:rPr>
                </m:ctrlPr>
              </m:dPr>
              <m:e>
                <m:r>
                  <w:rPr>
                    <w:rFonts w:ascii="Cambria Math" w:hAnsi="Cambria Math"/>
                  </w:rPr>
                  <m:t>t</m:t>
                </m:r>
              </m:e>
            </m:d>
          </m:num>
          <m:den>
            <m:sSub>
              <m:sSubPr>
                <m:ctrlPr>
                  <w:rPr>
                    <w:rFonts w:ascii="Cambria Math" w:hAnsi="Cambria Math"/>
                    <w:i/>
                  </w:rPr>
                </m:ctrlPr>
              </m:sSubPr>
              <m:e>
                <m:r>
                  <w:rPr>
                    <w:rFonts w:ascii="Cambria Math" w:hAnsi="Cambria Math"/>
                  </w:rPr>
                  <m:t>NrUnit</m:t>
                </m:r>
              </m:e>
              <m:sub>
                <m:r>
                  <w:rPr>
                    <w:rFonts w:ascii="Cambria Math" w:hAnsi="Cambria Math"/>
                  </w:rPr>
                  <m:t>at</m:t>
                </m:r>
              </m:sub>
            </m:sSub>
            <m:d>
              <m:dPr>
                <m:ctrlPr>
                  <w:rPr>
                    <w:rFonts w:ascii="Cambria Math" w:hAnsi="Cambria Math"/>
                    <w:i/>
                  </w:rPr>
                </m:ctrlPr>
              </m:dPr>
              <m:e>
                <m:r>
                  <w:rPr>
                    <w:rFonts w:ascii="Cambria Math" w:hAnsi="Cambria Math"/>
                  </w:rPr>
                  <m:t>t</m:t>
                </m:r>
              </m:e>
            </m:d>
          </m:den>
        </m:f>
      </m:oMath>
      <w:r>
        <w:t xml:space="preserve">, measured as the number of businesses that survive until or beyond the third year of life over the total number of starting businesses. This measure captures the extent to which the selection process is affecting the survival probability of entrants. </w:t>
      </w:r>
    </w:p>
    <w:p w:rsidR="007F1812" w:rsidRDefault="007F1812" w:rsidP="007F1812">
      <w:pPr>
        <w:pStyle w:val="ListNumber"/>
        <w:numPr>
          <w:ilvl w:val="0"/>
          <w:numId w:val="4"/>
        </w:numPr>
      </w:pPr>
      <w:r w:rsidRPr="00E659FD">
        <w:rPr>
          <w:i/>
        </w:rPr>
        <w:t>Average size at entry</w:t>
      </w:r>
      <w:r>
        <w:t xml:space="preserve">, </w:t>
      </w:r>
      <m:oMath>
        <m:f>
          <m:fPr>
            <m:ctrlPr>
              <w:rPr>
                <w:rFonts w:ascii="Cambria Math" w:hAnsi="Cambria Math"/>
                <w:i/>
              </w:rPr>
            </m:ctrlPr>
          </m:fPr>
          <m:num>
            <m:sSubSup>
              <m:sSubSupPr>
                <m:ctrlPr>
                  <w:rPr>
                    <w:rFonts w:ascii="Cambria Math" w:hAnsi="Cambria Math"/>
                    <w:i/>
                  </w:rPr>
                </m:ctrlPr>
              </m:sSubSupPr>
              <m:e>
                <m:r>
                  <w:rPr>
                    <w:rFonts w:ascii="Cambria Math" w:hAnsi="Cambria Math"/>
                  </w:rPr>
                  <m:t>EMP</m:t>
                </m:r>
              </m:e>
              <m:sub>
                <m:r>
                  <w:rPr>
                    <w:rFonts w:ascii="Cambria Math" w:hAnsi="Cambria Math"/>
                  </w:rPr>
                  <m:t>at</m:t>
                </m:r>
              </m:sub>
              <m:sup>
                <m:r>
                  <w:rPr>
                    <w:rFonts w:ascii="Cambria Math" w:hAnsi="Cambria Math"/>
                  </w:rPr>
                  <m:t>surv</m:t>
                </m:r>
              </m:sup>
            </m:sSubSup>
            <m:d>
              <m:dPr>
                <m:ctrlPr>
                  <w:rPr>
                    <w:rFonts w:ascii="Cambria Math" w:hAnsi="Cambria Math"/>
                    <w:i/>
                  </w:rPr>
                </m:ctrlPr>
              </m:dPr>
              <m:e>
                <m:r>
                  <w:rPr>
                    <w:rFonts w:ascii="Cambria Math" w:hAnsi="Cambria Math"/>
                  </w:rPr>
                  <m:t>t</m:t>
                </m:r>
              </m:e>
            </m:d>
          </m:num>
          <m:den>
            <m:sSubSup>
              <m:sSubSupPr>
                <m:ctrlPr>
                  <w:rPr>
                    <w:rFonts w:ascii="Cambria Math" w:hAnsi="Cambria Math"/>
                    <w:i/>
                  </w:rPr>
                </m:ctrlPr>
              </m:sSubSupPr>
              <m:e>
                <m:r>
                  <w:rPr>
                    <w:rFonts w:ascii="Cambria Math" w:hAnsi="Cambria Math"/>
                  </w:rPr>
                  <m:t>NrUnits</m:t>
                </m:r>
              </m:e>
              <m:sub>
                <m:r>
                  <w:rPr>
                    <w:rFonts w:ascii="Cambria Math" w:hAnsi="Cambria Math"/>
                  </w:rPr>
                  <m:t>at</m:t>
                </m:r>
              </m:sub>
              <m:sup>
                <m:r>
                  <w:rPr>
                    <w:rFonts w:ascii="Cambria Math" w:hAnsi="Cambria Math"/>
                  </w:rPr>
                  <m:t>surv</m:t>
                </m:r>
              </m:sup>
            </m:sSubSup>
            <m:d>
              <m:dPr>
                <m:ctrlPr>
                  <w:rPr>
                    <w:rFonts w:ascii="Cambria Math" w:hAnsi="Cambria Math"/>
                    <w:i/>
                  </w:rPr>
                </m:ctrlPr>
              </m:dPr>
              <m:e>
                <m:r>
                  <w:rPr>
                    <w:rFonts w:ascii="Cambria Math" w:hAnsi="Cambria Math"/>
                  </w:rPr>
                  <m:t>t</m:t>
                </m:r>
              </m:e>
            </m:d>
          </m:den>
        </m:f>
      </m:oMath>
      <w:r>
        <w:t xml:space="preserve">, calculated as the average number of employees for entrants. This measure might reflect, inter alia, low entry barriers. </w:t>
      </w:r>
    </w:p>
    <w:p w:rsidR="007F1812" w:rsidRDefault="007F1812" w:rsidP="007F1812">
      <w:pPr>
        <w:pStyle w:val="ListNumber"/>
        <w:numPr>
          <w:ilvl w:val="0"/>
          <w:numId w:val="4"/>
        </w:numPr>
        <w:spacing w:before="120"/>
      </w:pPr>
      <w:r w:rsidRPr="00E659FD">
        <w:rPr>
          <w:i/>
        </w:rPr>
        <w:t>Average post-entry growth</w:t>
      </w:r>
      <w:r>
        <w:t xml:space="preserve">, </w:t>
      </w:r>
      <m:oMath>
        <m:f>
          <m:fPr>
            <m:ctrlPr>
              <w:rPr>
                <w:rFonts w:ascii="Cambria Math" w:hAnsi="Cambria Math"/>
                <w:i/>
              </w:rPr>
            </m:ctrlPr>
          </m:fPr>
          <m:num>
            <m:sSubSup>
              <m:sSubSupPr>
                <m:ctrlPr>
                  <w:rPr>
                    <w:rFonts w:ascii="Cambria Math" w:hAnsi="Cambria Math"/>
                    <w:i/>
                  </w:rPr>
                </m:ctrlPr>
              </m:sSubSupPr>
              <m:e>
                <m:r>
                  <w:rPr>
                    <w:rFonts w:ascii="Cambria Math" w:hAnsi="Cambria Math"/>
                  </w:rPr>
                  <m:t>EMP</m:t>
                </m:r>
              </m:e>
              <m:sub>
                <m:r>
                  <w:rPr>
                    <w:rFonts w:ascii="Cambria Math" w:hAnsi="Cambria Math"/>
                  </w:rPr>
                  <m:t>at</m:t>
                </m:r>
              </m:sub>
              <m:sup>
                <m:r>
                  <w:rPr>
                    <w:rFonts w:ascii="Cambria Math" w:hAnsi="Cambria Math"/>
                  </w:rPr>
                  <m:t>surv</m:t>
                </m:r>
              </m:sup>
            </m:sSubSup>
            <m:r>
              <w:rPr>
                <w:rFonts w:ascii="Cambria Math" w:hAnsi="Cambria Math"/>
              </w:rPr>
              <m:t>(t+j)</m:t>
            </m:r>
          </m:num>
          <m:den>
            <m:sSub>
              <m:sSubPr>
                <m:ctrlPr>
                  <w:rPr>
                    <w:rFonts w:ascii="Cambria Math" w:hAnsi="Cambria Math"/>
                    <w:i/>
                  </w:rPr>
                </m:ctrlPr>
              </m:sSubPr>
              <m:e>
                <m:r>
                  <w:rPr>
                    <w:rFonts w:ascii="Cambria Math" w:hAnsi="Cambria Math"/>
                  </w:rPr>
                  <m:t>EMP</m:t>
                </m:r>
              </m:e>
              <m:sub>
                <m:r>
                  <w:rPr>
                    <w:rFonts w:ascii="Cambria Math" w:hAnsi="Cambria Math"/>
                  </w:rPr>
                  <m:t>at</m:t>
                </m:r>
              </m:sub>
            </m:sSub>
            <m:r>
              <w:rPr>
                <w:rFonts w:ascii="Cambria Math" w:hAnsi="Cambria Math"/>
              </w:rPr>
              <m:t>(t)</m:t>
            </m:r>
          </m:den>
        </m:f>
      </m:oMath>
      <w:r>
        <w:t xml:space="preserve">, measured as the final over initial employment ratio of surviving entrants. This measure reflects the growth performance of surviving start-ups. </w:t>
      </w:r>
    </w:p>
    <w:p w:rsidR="007F1812" w:rsidRDefault="007F1812" w:rsidP="007F1812">
      <w:pPr>
        <w:pStyle w:val="ListNumber"/>
        <w:numPr>
          <w:ilvl w:val="0"/>
          <w:numId w:val="0"/>
        </w:numPr>
        <w:spacing w:after="360"/>
        <w:ind w:left="2160"/>
      </w:pPr>
      <w:r w:rsidRPr="00291106">
        <w:t>The following equation</w:t>
      </w:r>
      <w:r>
        <w:t xml:space="preserve"> decomposes normalise net job creation into the above components:</w:t>
      </w:r>
    </w:p>
    <w:p w:rsidR="007F1812" w:rsidRPr="00881784" w:rsidRDefault="00847E99" w:rsidP="007F1812">
      <w:pPr>
        <w:pStyle w:val="ListNumber"/>
        <w:numPr>
          <w:ilvl w:val="0"/>
          <w:numId w:val="0"/>
        </w:numPr>
        <w:spacing w:before="360" w:after="360"/>
        <w:ind w:left="2160"/>
        <w:rPr>
          <w:rFonts w:asciiTheme="minorHAnsi" w:eastAsiaTheme="minorEastAsia" w:hAnsiTheme="minorHAnsi"/>
          <w:sz w:val="24"/>
        </w:rPr>
      </w:pPr>
      <m:oMath>
        <m:f>
          <m:fPr>
            <m:ctrlPr>
              <w:rPr>
                <w:rFonts w:ascii="Cambria Math" w:hAnsi="Cambria Math"/>
                <w:i/>
              </w:rPr>
            </m:ctrlPr>
          </m:fPr>
          <m:num>
            <m:sSubSup>
              <m:sSubSupPr>
                <m:ctrlPr>
                  <w:rPr>
                    <w:rFonts w:ascii="Cambria Math" w:hAnsi="Cambria Math"/>
                    <w:i/>
                  </w:rPr>
                </m:ctrlPr>
              </m:sSubSupPr>
              <m:e>
                <m:r>
                  <w:rPr>
                    <w:rFonts w:ascii="Cambria Math" w:hAnsi="Cambria Math"/>
                  </w:rPr>
                  <m:t>EMP</m:t>
                </m:r>
              </m:e>
              <m:sub>
                <m:r>
                  <w:rPr>
                    <w:rFonts w:ascii="Cambria Math" w:hAnsi="Cambria Math"/>
                  </w:rPr>
                  <m:t>at</m:t>
                </m:r>
              </m:sub>
              <m:sup>
                <m:r>
                  <w:rPr>
                    <w:rFonts w:ascii="Cambria Math" w:hAnsi="Cambria Math"/>
                  </w:rPr>
                  <m:t>surv</m:t>
                </m:r>
              </m:sup>
            </m:sSubSup>
            <m:r>
              <w:rPr>
                <w:rFonts w:ascii="Cambria Math" w:hAnsi="Cambria Math"/>
              </w:rPr>
              <m:t>(t+j)</m:t>
            </m:r>
          </m:num>
          <m:den>
            <m:sSub>
              <m:sSubPr>
                <m:ctrlPr>
                  <w:rPr>
                    <w:rFonts w:ascii="Cambria Math" w:hAnsi="Cambria Math"/>
                    <w:i/>
                  </w:rPr>
                </m:ctrlPr>
              </m:sSubPr>
              <m:e>
                <m:r>
                  <w:rPr>
                    <w:rFonts w:ascii="Cambria Math" w:hAnsi="Cambria Math"/>
                  </w:rPr>
                  <m:t>EMP</m:t>
                </m:r>
              </m:e>
              <m:sub>
                <m:r>
                  <w:rPr>
                    <w:rFonts w:ascii="Cambria Math" w:hAnsi="Cambria Math"/>
                  </w:rPr>
                  <m:t>t</m:t>
                </m:r>
              </m:sub>
            </m:sSub>
            <m:r>
              <w:rPr>
                <w:rFonts w:ascii="Cambria Math" w:hAnsi="Cambria Math"/>
              </w:rPr>
              <m:t>(t)</m:t>
            </m:r>
          </m:den>
        </m:f>
        <m:r>
          <w:rPr>
            <w:rFonts w:ascii="Cambria Math" w:hAnsi="Cambria Math"/>
          </w:rPr>
          <m:t>=</m:t>
        </m:r>
        <m:f>
          <m:fPr>
            <m:ctrlPr>
              <w:rPr>
                <w:rFonts w:ascii="Cambria Math" w:hAnsi="Cambria Math"/>
                <w:i/>
              </w:rPr>
            </m:ctrlPr>
          </m:fPr>
          <m:num>
            <m:sSubSup>
              <m:sSubSupPr>
                <m:ctrlPr>
                  <w:rPr>
                    <w:rFonts w:ascii="Cambria Math" w:hAnsi="Cambria Math"/>
                    <w:i/>
                  </w:rPr>
                </m:ctrlPr>
              </m:sSubSupPr>
              <m:e>
                <m:r>
                  <w:rPr>
                    <w:rFonts w:ascii="Cambria Math" w:hAnsi="Cambria Math"/>
                  </w:rPr>
                  <m:t>EMP</m:t>
                </m:r>
              </m:e>
              <m:sub>
                <m:r>
                  <w:rPr>
                    <w:rFonts w:ascii="Cambria Math" w:hAnsi="Cambria Math"/>
                  </w:rPr>
                  <m:t>at</m:t>
                </m:r>
              </m:sub>
              <m:sup>
                <m:r>
                  <w:rPr>
                    <w:rFonts w:ascii="Cambria Math" w:hAnsi="Cambria Math"/>
                  </w:rPr>
                  <m:t>surv</m:t>
                </m:r>
              </m:sup>
            </m:sSubSup>
            <m:r>
              <w:rPr>
                <w:rFonts w:ascii="Cambria Math" w:hAnsi="Cambria Math"/>
              </w:rPr>
              <m:t>(t+j)</m:t>
            </m:r>
          </m:num>
          <m:den>
            <m:sSub>
              <m:sSubPr>
                <m:ctrlPr>
                  <w:rPr>
                    <w:rFonts w:ascii="Cambria Math" w:hAnsi="Cambria Math"/>
                    <w:i/>
                  </w:rPr>
                </m:ctrlPr>
              </m:sSubPr>
              <m:e>
                <m:r>
                  <w:rPr>
                    <w:rFonts w:ascii="Cambria Math" w:hAnsi="Cambria Math"/>
                  </w:rPr>
                  <m:t>EMP</m:t>
                </m:r>
              </m:e>
              <m:sub>
                <m:r>
                  <w:rPr>
                    <w:rFonts w:ascii="Cambria Math" w:hAnsi="Cambria Math"/>
                  </w:rPr>
                  <m:t>at</m:t>
                </m:r>
              </m:sub>
            </m:sSub>
            <m:r>
              <w:rPr>
                <w:rFonts w:ascii="Cambria Math" w:hAnsi="Cambria Math"/>
              </w:rPr>
              <m:t>(t)</m:t>
            </m:r>
          </m:den>
        </m:f>
        <m:r>
          <w:rPr>
            <w:rFonts w:ascii="Cambria Math" w:hAnsi="Cambria Math"/>
          </w:rPr>
          <m:t>*</m:t>
        </m:r>
        <m:f>
          <m:fPr>
            <m:ctrlPr>
              <w:rPr>
                <w:rFonts w:ascii="Cambria Math" w:hAnsi="Cambria Math"/>
                <w:i/>
              </w:rPr>
            </m:ctrlPr>
          </m:fPr>
          <m:num>
            <m:sSubSup>
              <m:sSubSupPr>
                <m:ctrlPr>
                  <w:rPr>
                    <w:rFonts w:ascii="Cambria Math" w:hAnsi="Cambria Math"/>
                    <w:i/>
                  </w:rPr>
                </m:ctrlPr>
              </m:sSubSupPr>
              <m:e>
                <m:r>
                  <w:rPr>
                    <w:rFonts w:ascii="Cambria Math" w:hAnsi="Cambria Math"/>
                  </w:rPr>
                  <m:t>EMP</m:t>
                </m:r>
              </m:e>
              <m:sub>
                <m:r>
                  <w:rPr>
                    <w:rFonts w:ascii="Cambria Math" w:hAnsi="Cambria Math"/>
                  </w:rPr>
                  <m:t>at</m:t>
                </m:r>
              </m:sub>
              <m:sup>
                <m:r>
                  <w:rPr>
                    <w:rFonts w:ascii="Cambria Math" w:hAnsi="Cambria Math"/>
                  </w:rPr>
                  <m:t>surv</m:t>
                </m:r>
              </m:sup>
            </m:sSubSup>
            <m:d>
              <m:dPr>
                <m:ctrlPr>
                  <w:rPr>
                    <w:rFonts w:ascii="Cambria Math" w:hAnsi="Cambria Math"/>
                    <w:i/>
                  </w:rPr>
                </m:ctrlPr>
              </m:dPr>
              <m:e>
                <m:r>
                  <w:rPr>
                    <w:rFonts w:ascii="Cambria Math" w:hAnsi="Cambria Math"/>
                  </w:rPr>
                  <m:t>t</m:t>
                </m:r>
              </m:e>
            </m:d>
          </m:num>
          <m:den>
            <m:sSubSup>
              <m:sSubSupPr>
                <m:ctrlPr>
                  <w:rPr>
                    <w:rFonts w:ascii="Cambria Math" w:hAnsi="Cambria Math"/>
                    <w:i/>
                  </w:rPr>
                </m:ctrlPr>
              </m:sSubSupPr>
              <m:e>
                <m:r>
                  <w:rPr>
                    <w:rFonts w:ascii="Cambria Math" w:hAnsi="Cambria Math"/>
                  </w:rPr>
                  <m:t>NrUnits</m:t>
                </m:r>
              </m:e>
              <m:sub>
                <m:r>
                  <w:rPr>
                    <w:rFonts w:ascii="Cambria Math" w:hAnsi="Cambria Math"/>
                  </w:rPr>
                  <m:t>at</m:t>
                </m:r>
              </m:sub>
              <m:sup>
                <m:r>
                  <w:rPr>
                    <w:rFonts w:ascii="Cambria Math" w:hAnsi="Cambria Math"/>
                  </w:rPr>
                  <m:t>surv</m:t>
                </m:r>
              </m:sup>
            </m:sSubSup>
            <m:d>
              <m:dPr>
                <m:ctrlPr>
                  <w:rPr>
                    <w:rFonts w:ascii="Cambria Math" w:hAnsi="Cambria Math"/>
                    <w:i/>
                  </w:rPr>
                </m:ctrlPr>
              </m:dPr>
              <m:e>
                <m:r>
                  <w:rPr>
                    <w:rFonts w:ascii="Cambria Math" w:hAnsi="Cambria Math"/>
                  </w:rPr>
                  <m:t>t</m:t>
                </m:r>
              </m:e>
            </m:d>
          </m:den>
        </m:f>
        <m:r>
          <w:rPr>
            <w:rFonts w:ascii="Cambria Math" w:hAnsi="Cambria Math"/>
          </w:rPr>
          <m:t>*</m:t>
        </m:r>
        <m:f>
          <m:fPr>
            <m:ctrlPr>
              <w:rPr>
                <w:rFonts w:ascii="Cambria Math" w:hAnsi="Cambria Math"/>
                <w:i/>
              </w:rPr>
            </m:ctrlPr>
          </m:fPr>
          <m:num>
            <m:sSubSup>
              <m:sSubSupPr>
                <m:ctrlPr>
                  <w:rPr>
                    <w:rFonts w:ascii="Cambria Math" w:hAnsi="Cambria Math"/>
                    <w:i/>
                  </w:rPr>
                </m:ctrlPr>
              </m:sSubSupPr>
              <m:e>
                <m:r>
                  <w:rPr>
                    <w:rFonts w:ascii="Cambria Math" w:hAnsi="Cambria Math"/>
                  </w:rPr>
                  <m:t>NrUnits</m:t>
                </m:r>
              </m:e>
              <m:sub>
                <m:r>
                  <w:rPr>
                    <w:rFonts w:ascii="Cambria Math" w:hAnsi="Cambria Math"/>
                  </w:rPr>
                  <m:t>at</m:t>
                </m:r>
              </m:sub>
              <m:sup>
                <m:r>
                  <w:rPr>
                    <w:rFonts w:ascii="Cambria Math" w:hAnsi="Cambria Math"/>
                  </w:rPr>
                  <m:t>surv</m:t>
                </m:r>
              </m:sup>
            </m:sSubSup>
            <m:d>
              <m:dPr>
                <m:ctrlPr>
                  <w:rPr>
                    <w:rFonts w:ascii="Cambria Math" w:hAnsi="Cambria Math"/>
                    <w:i/>
                  </w:rPr>
                </m:ctrlPr>
              </m:dPr>
              <m:e>
                <m:r>
                  <w:rPr>
                    <w:rFonts w:ascii="Cambria Math" w:hAnsi="Cambria Math"/>
                  </w:rPr>
                  <m:t>t</m:t>
                </m:r>
              </m:e>
            </m:d>
          </m:num>
          <m:den>
            <m:sSub>
              <m:sSubPr>
                <m:ctrlPr>
                  <w:rPr>
                    <w:rFonts w:ascii="Cambria Math" w:hAnsi="Cambria Math"/>
                    <w:i/>
                  </w:rPr>
                </m:ctrlPr>
              </m:sSubPr>
              <m:e>
                <m:r>
                  <w:rPr>
                    <w:rFonts w:ascii="Cambria Math" w:hAnsi="Cambria Math"/>
                  </w:rPr>
                  <m:t>NrUnit</m:t>
                </m:r>
              </m:e>
              <m:sub>
                <m:r>
                  <w:rPr>
                    <w:rFonts w:ascii="Cambria Math" w:hAnsi="Cambria Math"/>
                  </w:rPr>
                  <m:t>at</m:t>
                </m:r>
              </m:sub>
            </m:sSub>
            <m:d>
              <m:dPr>
                <m:ctrlPr>
                  <w:rPr>
                    <w:rFonts w:ascii="Cambria Math" w:hAnsi="Cambria Math"/>
                    <w:i/>
                  </w:rPr>
                </m:ctrlPr>
              </m:dPr>
              <m:e>
                <m:r>
                  <w:rPr>
                    <w:rFonts w:ascii="Cambria Math" w:hAnsi="Cambria Math"/>
                  </w:rPr>
                  <m:t>t</m:t>
                </m:r>
              </m:e>
            </m:d>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NrUnit</m:t>
                </m:r>
              </m:e>
              <m:sub>
                <m:r>
                  <w:rPr>
                    <w:rFonts w:ascii="Cambria Math" w:hAnsi="Cambria Math"/>
                  </w:rPr>
                  <m:t>at</m:t>
                </m:r>
              </m:sub>
            </m:sSub>
            <m:d>
              <m:dPr>
                <m:ctrlPr>
                  <w:rPr>
                    <w:rFonts w:ascii="Cambria Math" w:hAnsi="Cambria Math"/>
                    <w:i/>
                  </w:rPr>
                </m:ctrlPr>
              </m:dPr>
              <m:e>
                <m:r>
                  <w:rPr>
                    <w:rFonts w:ascii="Cambria Math" w:hAnsi="Cambria Math"/>
                  </w:rPr>
                  <m:t>t+j</m:t>
                </m:r>
              </m:e>
            </m:d>
          </m:num>
          <m:den>
            <m:sSub>
              <m:sSubPr>
                <m:ctrlPr>
                  <w:rPr>
                    <w:rFonts w:ascii="Cambria Math" w:hAnsi="Cambria Math"/>
                    <w:i/>
                  </w:rPr>
                </m:ctrlPr>
              </m:sSubPr>
              <m:e>
                <m:r>
                  <w:rPr>
                    <w:rFonts w:ascii="Cambria Math" w:hAnsi="Cambria Math"/>
                  </w:rPr>
                  <m:t>EMP</m:t>
                </m:r>
              </m:e>
              <m:sub>
                <m:r>
                  <w:rPr>
                    <w:rFonts w:ascii="Cambria Math" w:hAnsi="Cambria Math"/>
                  </w:rPr>
                  <m:t>t</m:t>
                </m:r>
              </m:sub>
            </m:sSub>
            <m:d>
              <m:dPr>
                <m:ctrlPr>
                  <w:rPr>
                    <w:rFonts w:ascii="Cambria Math" w:hAnsi="Cambria Math"/>
                    <w:i/>
                  </w:rPr>
                </m:ctrlPr>
              </m:dPr>
              <m:e>
                <m:r>
                  <w:rPr>
                    <w:rFonts w:ascii="Cambria Math" w:hAnsi="Cambria Math"/>
                  </w:rPr>
                  <m:t>t</m:t>
                </m:r>
              </m:e>
            </m:d>
          </m:den>
        </m:f>
        <m:r>
          <w:rPr>
            <w:rFonts w:ascii="Cambria Math" w:hAnsi="Cambria Math"/>
          </w:rPr>
          <m:t xml:space="preserve"> </m:t>
        </m:r>
      </m:oMath>
      <w:r w:rsidR="007F1812">
        <w:rPr>
          <w:rFonts w:asciiTheme="minorHAnsi" w:eastAsiaTheme="minorEastAsia" w:hAnsiTheme="minorHAnsi"/>
          <w:sz w:val="24"/>
        </w:rPr>
        <w:t xml:space="preserve"> </w:t>
      </w:r>
      <w:r w:rsidR="007F1812" w:rsidRPr="00291106">
        <w:rPr>
          <w:rFonts w:asciiTheme="minorHAnsi" w:eastAsiaTheme="minorEastAsia" w:hAnsiTheme="minorHAnsi"/>
          <w:sz w:val="24"/>
        </w:rPr>
        <w:t>(1)</w:t>
      </w:r>
    </w:p>
    <w:p w:rsidR="007F1812" w:rsidRPr="006D7B85" w:rsidRDefault="007F1812" w:rsidP="00AA3A65">
      <w:pPr>
        <w:pStyle w:val="Heading7"/>
      </w:pPr>
      <w:r w:rsidRPr="006D7B85">
        <w:t xml:space="preserve">Regression Model </w:t>
      </w:r>
    </w:p>
    <w:p w:rsidR="007F1812" w:rsidRDefault="007F1812" w:rsidP="007F1812">
      <w:pPr>
        <w:pStyle w:val="BodyText"/>
      </w:pPr>
      <w:r>
        <w:t xml:space="preserve">OLS regression analysis was used to determine the role of firm age within size classes and </w:t>
      </w:r>
      <w:r w:rsidRPr="001A538A">
        <w:rPr>
          <w:i/>
        </w:rPr>
        <w:t>vice versa</w:t>
      </w:r>
      <w:r>
        <w:t xml:space="preserve"> using the following equation adapted from Criscuolo </w:t>
      </w:r>
      <w:r w:rsidRPr="0084781B">
        <w:rPr>
          <w:i/>
        </w:rPr>
        <w:t xml:space="preserve">et al. </w:t>
      </w:r>
      <w:r>
        <w:t>(2014):</w:t>
      </w:r>
    </w:p>
    <w:p w:rsidR="007F1812" w:rsidRDefault="00847E99" w:rsidP="007F1812">
      <w:pPr>
        <w:pStyle w:val="BodyText"/>
        <w:rPr>
          <w:rFonts w:eastAsiaTheme="minorEastAsia"/>
          <w:sz w:val="24"/>
        </w:rPr>
      </w:pPr>
      <m:oMath>
        <m:sSub>
          <m:sSubPr>
            <m:ctrlPr>
              <w:rPr>
                <w:rFonts w:ascii="Cambria Math" w:hAnsi="Cambria Math"/>
                <w:i/>
                <w:sz w:val="24"/>
              </w:rPr>
            </m:ctrlPr>
          </m:sSubPr>
          <m:e>
            <m:r>
              <w:rPr>
                <w:rFonts w:ascii="Cambria Math" w:hAnsi="Cambria Math"/>
                <w:sz w:val="24"/>
              </w:rPr>
              <m:t>y</m:t>
            </m:r>
          </m:e>
          <m:sub>
            <m:r>
              <w:rPr>
                <w:rFonts w:ascii="Cambria Math" w:hAnsi="Cambria Math"/>
                <w:sz w:val="24"/>
              </w:rPr>
              <m:t>ijsct</m:t>
            </m:r>
          </m:sub>
        </m:sSub>
        <m:r>
          <w:rPr>
            <w:rFonts w:ascii="Cambria Math" w:hAnsi="Cambria Math"/>
            <w:sz w:val="24"/>
          </w:rPr>
          <m:t xml:space="preserve"> =  ∝ + </m:t>
        </m:r>
        <m:nary>
          <m:naryPr>
            <m:chr m:val="∑"/>
            <m:limLoc m:val="subSup"/>
            <m:supHide m:val="1"/>
            <m:ctrlPr>
              <w:rPr>
                <w:rFonts w:ascii="Cambria Math" w:hAnsi="Cambria Math"/>
                <w:i/>
                <w:sz w:val="24"/>
              </w:rPr>
            </m:ctrlPr>
          </m:naryPr>
          <m:sub>
            <m:r>
              <w:rPr>
                <w:rFonts w:ascii="Cambria Math" w:hAnsi="Cambria Math"/>
                <w:sz w:val="24"/>
              </w:rPr>
              <m:t>ij</m:t>
            </m:r>
          </m:sub>
          <m:sup/>
          <m:e>
            <m:sSub>
              <m:sSubPr>
                <m:ctrlPr>
                  <w:rPr>
                    <w:rFonts w:ascii="Cambria Math" w:hAnsi="Cambria Math"/>
                    <w:i/>
                    <w:sz w:val="24"/>
                  </w:rPr>
                </m:ctrlPr>
              </m:sSubPr>
              <m:e>
                <m:r>
                  <w:rPr>
                    <w:rFonts w:ascii="Cambria Math" w:hAnsi="Cambria Math"/>
                    <w:sz w:val="24"/>
                  </w:rPr>
                  <m:t>δ</m:t>
                </m:r>
              </m:e>
              <m:sub>
                <m:r>
                  <w:rPr>
                    <w:rFonts w:ascii="Cambria Math" w:hAnsi="Cambria Math"/>
                    <w:sz w:val="24"/>
                  </w:rPr>
                  <m:t>ij</m:t>
                </m:r>
              </m:sub>
            </m:sSub>
            <m:sSub>
              <m:sSubPr>
                <m:ctrlPr>
                  <w:rPr>
                    <w:rFonts w:ascii="Cambria Math" w:hAnsi="Cambria Math"/>
                    <w:i/>
                    <w:sz w:val="24"/>
                  </w:rPr>
                </m:ctrlPr>
              </m:sSubPr>
              <m:e>
                <m:r>
                  <w:rPr>
                    <w:rFonts w:ascii="Cambria Math" w:hAnsi="Cambria Math"/>
                    <w:sz w:val="24"/>
                  </w:rPr>
                  <m:t>Ageclass</m:t>
                </m:r>
              </m:e>
              <m:sub>
                <m:r>
                  <w:rPr>
                    <w:rFonts w:ascii="Cambria Math" w:hAnsi="Cambria Math"/>
                    <w:sz w:val="24"/>
                  </w:rPr>
                  <m:t>i</m:t>
                </m:r>
              </m:sub>
            </m:sSub>
            <m:r>
              <w:rPr>
                <w:rFonts w:ascii="Cambria Math" w:hAnsi="Cambria Math"/>
                <w:sz w:val="24"/>
              </w:rPr>
              <m:t>*</m:t>
            </m:r>
          </m:e>
        </m:nary>
        <m:sSub>
          <m:sSubPr>
            <m:ctrlPr>
              <w:rPr>
                <w:rFonts w:ascii="Cambria Math" w:hAnsi="Cambria Math"/>
                <w:i/>
                <w:sz w:val="24"/>
              </w:rPr>
            </m:ctrlPr>
          </m:sSubPr>
          <m:e>
            <m:r>
              <w:rPr>
                <w:rFonts w:ascii="Cambria Math" w:hAnsi="Cambria Math"/>
                <w:sz w:val="24"/>
              </w:rPr>
              <m:t>Sizeclass</m:t>
            </m:r>
          </m:e>
          <m:sub>
            <m:r>
              <w:rPr>
                <w:rFonts w:ascii="Cambria Math" w:hAnsi="Cambria Math"/>
                <w:sz w:val="24"/>
              </w:rPr>
              <m:t>j</m:t>
            </m:r>
          </m:sub>
        </m:sSub>
        <m:r>
          <w:rPr>
            <w:rFonts w:ascii="Cambria Math" w:hAnsi="Cambria Math"/>
            <w:sz w:val="24"/>
          </w:rPr>
          <m:t xml:space="preserve">+ </m:t>
        </m:r>
        <m:sSub>
          <m:sSubPr>
            <m:ctrlPr>
              <w:rPr>
                <w:rFonts w:ascii="Cambria Math" w:hAnsi="Cambria Math"/>
                <w:i/>
                <w:sz w:val="24"/>
              </w:rPr>
            </m:ctrlPr>
          </m:sSubPr>
          <m:e>
            <m:r>
              <w:rPr>
                <w:rFonts w:ascii="Cambria Math" w:hAnsi="Cambria Math"/>
                <w:sz w:val="24"/>
              </w:rPr>
              <m:t>I</m:t>
            </m:r>
          </m:e>
          <m:sub>
            <m:r>
              <w:rPr>
                <w:rFonts w:ascii="Cambria Math" w:hAnsi="Cambria Math"/>
                <w:sz w:val="24"/>
              </w:rPr>
              <m:t>s</m:t>
            </m:r>
          </m:sub>
        </m:sSub>
        <m:r>
          <w:rPr>
            <w:rFonts w:ascii="Cambria Math" w:hAnsi="Cambria Math"/>
            <w:sz w:val="24"/>
          </w:rPr>
          <m:t>+</m:t>
        </m:r>
        <m:sSub>
          <m:sSubPr>
            <m:ctrlPr>
              <w:rPr>
                <w:rFonts w:ascii="Cambria Math" w:hAnsi="Cambria Math"/>
                <w:i/>
                <w:sz w:val="24"/>
              </w:rPr>
            </m:ctrlPr>
          </m:sSubPr>
          <m:e>
            <m:r>
              <w:rPr>
                <w:rFonts w:ascii="Cambria Math" w:hAnsi="Cambria Math"/>
                <w:sz w:val="24"/>
              </w:rPr>
              <m:t>μ</m:t>
            </m:r>
          </m:e>
          <m:sub>
            <m:r>
              <w:rPr>
                <w:rFonts w:ascii="Cambria Math" w:hAnsi="Cambria Math"/>
                <w:sz w:val="24"/>
              </w:rPr>
              <m:t>ijsct</m:t>
            </m:r>
          </m:sub>
        </m:sSub>
      </m:oMath>
      <w:r w:rsidR="007F1812">
        <w:rPr>
          <w:rFonts w:eastAsiaTheme="minorEastAsia"/>
          <w:sz w:val="24"/>
        </w:rPr>
        <w:t xml:space="preserve">  (2)</w:t>
      </w:r>
    </w:p>
    <w:p w:rsidR="007F1812" w:rsidRDefault="007F1812" w:rsidP="007F1812">
      <w:pPr>
        <w:pStyle w:val="BodyText"/>
      </w:pPr>
      <w:r>
        <w:t xml:space="preserve">where </w:t>
      </w:r>
      <w:r w:rsidRPr="00372B24">
        <w:rPr>
          <w:i/>
        </w:rPr>
        <w:t>i</w:t>
      </w:r>
      <w:r>
        <w:t xml:space="preserve"> indexes age classes, </w:t>
      </w:r>
      <w:r w:rsidRPr="00372B24">
        <w:rPr>
          <w:i/>
        </w:rPr>
        <w:t>j</w:t>
      </w:r>
      <w:r>
        <w:t xml:space="preserve"> size classes, </w:t>
      </w:r>
      <w:r w:rsidRPr="00372B24">
        <w:rPr>
          <w:i/>
        </w:rPr>
        <w:t>s</w:t>
      </w:r>
      <w:r>
        <w:t xml:space="preserve"> macro sectors and </w:t>
      </w:r>
      <w:r w:rsidRPr="00372B24">
        <w:rPr>
          <w:i/>
        </w:rPr>
        <w:t>t</w:t>
      </w:r>
      <w:r>
        <w:t xml:space="preserve"> years. </w:t>
      </w:r>
      <w:r w:rsidRPr="00372B24">
        <w:rPr>
          <w:i/>
        </w:rPr>
        <w:t>I</w:t>
      </w:r>
      <w:r w:rsidRPr="00372B24">
        <w:rPr>
          <w:vertAlign w:val="subscript"/>
        </w:rPr>
        <w:t>s</w:t>
      </w:r>
      <w:r>
        <w:t xml:space="preserve"> is a macro-sector fixed effect. The dependent variable could be either the ratio of gross job creation over average total employment, the ratio of gross job destruction over average total employment or the ratio of net job creation of average total employment across the periods studied. Two age classes and three size classes were used across the macro-sectors studied according to the following table.</w:t>
      </w:r>
    </w:p>
    <w:p w:rsidR="00AA3A65" w:rsidRDefault="00AA3A65" w:rsidP="000078F3">
      <w:pPr>
        <w:pStyle w:val="Caption"/>
      </w:pPr>
      <w:r w:rsidRPr="000618FB">
        <w:t xml:space="preserve">Table </w:t>
      </w:r>
      <w:r w:rsidR="00B77A63">
        <w:fldChar w:fldCharType="begin"/>
      </w:r>
      <w:r w:rsidR="006D3DDF">
        <w:instrText xml:space="preserve"> STYLEREF 6 \s </w:instrText>
      </w:r>
      <w:r w:rsidR="00B77A63">
        <w:fldChar w:fldCharType="separate"/>
      </w:r>
      <w:r w:rsidR="00A13942">
        <w:rPr>
          <w:noProof/>
        </w:rPr>
        <w:t>A</w:t>
      </w:r>
      <w:r w:rsidR="00B77A63">
        <w:rPr>
          <w:noProof/>
        </w:rPr>
        <w:fldChar w:fldCharType="end"/>
      </w:r>
      <w:r w:rsidR="00B77A63">
        <w:fldChar w:fldCharType="begin"/>
      </w:r>
      <w:r w:rsidR="006D3DDF">
        <w:instrText xml:space="preserve"> SEQ Table \* ARABIC \s 6 </w:instrText>
      </w:r>
      <w:r w:rsidR="00B77A63">
        <w:fldChar w:fldCharType="separate"/>
      </w:r>
      <w:r w:rsidR="00A13942">
        <w:rPr>
          <w:noProof/>
        </w:rPr>
        <w:t>1</w:t>
      </w:r>
      <w:r w:rsidR="00B77A63">
        <w:rPr>
          <w:noProof/>
        </w:rPr>
        <w:fldChar w:fldCharType="end"/>
      </w:r>
      <w:r>
        <w:t>:</w:t>
      </w:r>
      <w:r w:rsidR="00E319C9">
        <w:t xml:space="preserve"> </w:t>
      </w:r>
      <w:r w:rsidR="00DA558C">
        <w:t>OECD d</w:t>
      </w:r>
      <w:r w:rsidR="00E319C9">
        <w:t>efinitions of</w:t>
      </w:r>
      <w:r>
        <w:t xml:space="preserve"> </w:t>
      </w:r>
      <w:r w:rsidR="00E319C9">
        <w:t>a</w:t>
      </w:r>
      <w:r w:rsidR="001B3FF4">
        <w:t xml:space="preserve">ge and size </w:t>
      </w:r>
      <w:r w:rsidR="00E319C9">
        <w:t>classes</w:t>
      </w:r>
    </w:p>
    <w:tbl>
      <w:tblPr>
        <w:tblW w:w="6973" w:type="dxa"/>
        <w:tblInd w:w="2234" w:type="dxa"/>
        <w:shd w:val="clear" w:color="auto" w:fill="CAE7F3" w:themeFill="accent1" w:themeFillTint="33"/>
        <w:tblLayout w:type="fixed"/>
        <w:tblCellMar>
          <w:right w:w="28" w:type="dxa"/>
        </w:tblCellMar>
        <w:tblLook w:val="0000" w:firstRow="0" w:lastRow="0" w:firstColumn="0" w:lastColumn="0" w:noHBand="0" w:noVBand="0"/>
        <w:tblCaption w:val="Table A1: OECD definitions of age and size classes"/>
        <w:tblDescription w:val="This table describes OECD definitions of age and size clases. "/>
      </w:tblPr>
      <w:tblGrid>
        <w:gridCol w:w="3487"/>
        <w:gridCol w:w="3486"/>
      </w:tblGrid>
      <w:tr w:rsidR="00AA3A65" w:rsidRPr="00AA3A65" w:rsidTr="00AA3A65">
        <w:trPr>
          <w:cantSplit/>
        </w:trPr>
        <w:tc>
          <w:tcPr>
            <w:tcW w:w="4621" w:type="dxa"/>
            <w:shd w:val="clear" w:color="auto" w:fill="22789A" w:themeFill="accent1"/>
            <w:vAlign w:val="center"/>
          </w:tcPr>
          <w:p w:rsidR="00AA3A65" w:rsidRPr="00AA3A65" w:rsidRDefault="00AA3A65" w:rsidP="00AA3A65">
            <w:pPr>
              <w:pStyle w:val="Tableheader"/>
            </w:pPr>
            <w:r>
              <w:t>Age classes</w:t>
            </w:r>
          </w:p>
        </w:tc>
        <w:tc>
          <w:tcPr>
            <w:tcW w:w="4621" w:type="dxa"/>
            <w:shd w:val="clear" w:color="auto" w:fill="22789A" w:themeFill="accent1"/>
            <w:vAlign w:val="center"/>
          </w:tcPr>
          <w:p w:rsidR="00AA3A65" w:rsidRPr="00AA3A65" w:rsidRDefault="00AA3A65" w:rsidP="00AA3A65">
            <w:pPr>
              <w:pStyle w:val="Tableheader"/>
            </w:pPr>
            <w:r>
              <w:t>Size classes</w:t>
            </w:r>
          </w:p>
        </w:tc>
      </w:tr>
      <w:tr w:rsidR="00AA3A65" w:rsidRPr="00AA3A65" w:rsidTr="00AA3A65">
        <w:trPr>
          <w:cantSplit/>
        </w:trPr>
        <w:tc>
          <w:tcPr>
            <w:tcW w:w="4621" w:type="dxa"/>
            <w:shd w:val="clear" w:color="auto" w:fill="CAE7F3" w:themeFill="accent1" w:themeFillTint="33"/>
            <w:vAlign w:val="center"/>
          </w:tcPr>
          <w:p w:rsidR="00AA3A65" w:rsidRPr="00AA3A65" w:rsidRDefault="00AA3A65" w:rsidP="0091564A">
            <w:pPr>
              <w:pStyle w:val="Tabletext"/>
            </w:pPr>
            <w:r w:rsidRPr="00215131">
              <w:rPr>
                <w:szCs w:val="20"/>
              </w:rPr>
              <w:t>Young (</w:t>
            </w:r>
            <w:r w:rsidR="0091564A">
              <w:rPr>
                <w:rFonts w:cstheme="minorHAnsi"/>
                <w:szCs w:val="20"/>
              </w:rPr>
              <w:t>&lt;</w:t>
            </w:r>
            <w:r w:rsidR="0091564A">
              <w:rPr>
                <w:szCs w:val="20"/>
              </w:rPr>
              <w:t>6</w:t>
            </w:r>
            <w:r w:rsidRPr="00215131">
              <w:rPr>
                <w:szCs w:val="20"/>
              </w:rPr>
              <w:t xml:space="preserve"> years of age)</w:t>
            </w:r>
          </w:p>
        </w:tc>
        <w:tc>
          <w:tcPr>
            <w:tcW w:w="4621" w:type="dxa"/>
            <w:shd w:val="clear" w:color="auto" w:fill="CAE7F3" w:themeFill="accent1" w:themeFillTint="33"/>
            <w:vAlign w:val="center"/>
          </w:tcPr>
          <w:p w:rsidR="00AA3A65" w:rsidRPr="00AA3A65" w:rsidRDefault="00AA3A65" w:rsidP="00AA3A65">
            <w:pPr>
              <w:pStyle w:val="Tabletext"/>
            </w:pPr>
            <w:r w:rsidRPr="00215131">
              <w:rPr>
                <w:szCs w:val="20"/>
              </w:rPr>
              <w:t>Small (&lt;50 employees)</w:t>
            </w:r>
          </w:p>
        </w:tc>
      </w:tr>
      <w:tr w:rsidR="00AA3A65" w:rsidRPr="00AA3A65" w:rsidTr="00AA3A65">
        <w:trPr>
          <w:cantSplit/>
        </w:trPr>
        <w:tc>
          <w:tcPr>
            <w:tcW w:w="4621" w:type="dxa"/>
            <w:shd w:val="clear" w:color="auto" w:fill="CAE7F3" w:themeFill="accent1" w:themeFillTint="33"/>
            <w:vAlign w:val="center"/>
          </w:tcPr>
          <w:p w:rsidR="00AA3A65" w:rsidRPr="00AA3A65" w:rsidRDefault="00AA3A65" w:rsidP="00AA3A65">
            <w:pPr>
              <w:pStyle w:val="Tabletext"/>
            </w:pPr>
            <w:r w:rsidRPr="00215131">
              <w:rPr>
                <w:szCs w:val="20"/>
              </w:rPr>
              <w:t>Old (6+ years)</w:t>
            </w:r>
          </w:p>
        </w:tc>
        <w:tc>
          <w:tcPr>
            <w:tcW w:w="4621" w:type="dxa"/>
            <w:shd w:val="clear" w:color="auto" w:fill="CAE7F3" w:themeFill="accent1" w:themeFillTint="33"/>
            <w:vAlign w:val="center"/>
          </w:tcPr>
          <w:p w:rsidR="00AA3A65" w:rsidRPr="00AA3A65" w:rsidRDefault="00AA3A65" w:rsidP="00AA3A65">
            <w:pPr>
              <w:pStyle w:val="Tabletext"/>
            </w:pPr>
            <w:r>
              <w:rPr>
                <w:szCs w:val="20"/>
              </w:rPr>
              <w:t>Medium (50</w:t>
            </w:r>
            <w:r>
              <w:rPr>
                <w:rFonts w:cstheme="minorHAnsi"/>
                <w:szCs w:val="20"/>
              </w:rPr>
              <w:t>–</w:t>
            </w:r>
            <w:r w:rsidRPr="00215131">
              <w:rPr>
                <w:szCs w:val="20"/>
              </w:rPr>
              <w:t>249 employees)</w:t>
            </w:r>
          </w:p>
        </w:tc>
      </w:tr>
      <w:tr w:rsidR="00AA3A65" w:rsidRPr="00AA3A65" w:rsidTr="00AA3A65">
        <w:trPr>
          <w:cantSplit/>
        </w:trPr>
        <w:tc>
          <w:tcPr>
            <w:tcW w:w="4621" w:type="dxa"/>
            <w:shd w:val="clear" w:color="auto" w:fill="CAE7F3" w:themeFill="accent1" w:themeFillTint="33"/>
            <w:vAlign w:val="center"/>
          </w:tcPr>
          <w:p w:rsidR="00AA3A65" w:rsidRPr="00AA3A65" w:rsidRDefault="00AA3A65" w:rsidP="00AA3A65">
            <w:pPr>
              <w:pStyle w:val="Tabletext"/>
            </w:pPr>
          </w:p>
        </w:tc>
        <w:tc>
          <w:tcPr>
            <w:tcW w:w="4621" w:type="dxa"/>
            <w:shd w:val="clear" w:color="auto" w:fill="CAE7F3" w:themeFill="accent1" w:themeFillTint="33"/>
            <w:vAlign w:val="center"/>
          </w:tcPr>
          <w:p w:rsidR="00AA3A65" w:rsidRPr="00AA3A65" w:rsidRDefault="00AA3A65" w:rsidP="00AA3A65">
            <w:pPr>
              <w:pStyle w:val="Tabletext"/>
            </w:pPr>
            <w:r w:rsidRPr="00215131">
              <w:rPr>
                <w:szCs w:val="20"/>
              </w:rPr>
              <w:t>Large (250+ employees)</w:t>
            </w:r>
          </w:p>
        </w:tc>
      </w:tr>
    </w:tbl>
    <w:p w:rsidR="00AA3A65" w:rsidRDefault="00E319C9" w:rsidP="00D26F2E">
      <w:pPr>
        <w:pStyle w:val="Source"/>
        <w:pBdr>
          <w:bottom w:val="single" w:sz="4" w:space="0" w:color="595A5B"/>
        </w:pBdr>
      </w:pPr>
      <w:r w:rsidRPr="000E3193">
        <w:t xml:space="preserve">Source: </w:t>
      </w:r>
      <w:r w:rsidR="000E3193">
        <w:t>Criscuolo C</w:t>
      </w:r>
      <w:r w:rsidR="000E3193" w:rsidRPr="00C63FF4">
        <w:t>, Gal P</w:t>
      </w:r>
      <w:r w:rsidR="000E3193">
        <w:t xml:space="preserve"> </w:t>
      </w:r>
      <w:r w:rsidR="000E3193" w:rsidRPr="00C63FF4">
        <w:t xml:space="preserve">N </w:t>
      </w:r>
      <w:r w:rsidR="000E3193">
        <w:t xml:space="preserve">&amp; </w:t>
      </w:r>
      <w:r w:rsidR="000E3193" w:rsidRPr="00C63FF4">
        <w:t xml:space="preserve">Menon </w:t>
      </w:r>
      <w:r w:rsidR="000E3193">
        <w:t xml:space="preserve"> </w:t>
      </w:r>
      <w:r w:rsidR="000E3193" w:rsidRPr="00C63FF4">
        <w:t xml:space="preserve">C (2014) </w:t>
      </w:r>
      <w:r w:rsidR="000E3193" w:rsidRPr="00C63FF4">
        <w:rPr>
          <w:i/>
        </w:rPr>
        <w:t xml:space="preserve">The </w:t>
      </w:r>
      <w:r w:rsidR="000E3193">
        <w:rPr>
          <w:i/>
        </w:rPr>
        <w:t>d</w:t>
      </w:r>
      <w:r w:rsidR="000E3193" w:rsidRPr="00C63FF4">
        <w:rPr>
          <w:i/>
        </w:rPr>
        <w:t xml:space="preserve">ynamics of </w:t>
      </w:r>
      <w:r w:rsidR="000E3193">
        <w:rPr>
          <w:i/>
        </w:rPr>
        <w:t>e</w:t>
      </w:r>
      <w:r w:rsidR="000E3193" w:rsidRPr="00C63FF4">
        <w:rPr>
          <w:i/>
        </w:rPr>
        <w:t xml:space="preserve">mployment </w:t>
      </w:r>
      <w:r w:rsidR="000E3193">
        <w:rPr>
          <w:i/>
        </w:rPr>
        <w:t>g</w:t>
      </w:r>
      <w:r w:rsidR="000E3193" w:rsidRPr="00C63FF4">
        <w:rPr>
          <w:i/>
        </w:rPr>
        <w:t xml:space="preserve">rowth: New </w:t>
      </w:r>
      <w:r w:rsidR="000E3193">
        <w:rPr>
          <w:i/>
        </w:rPr>
        <w:t>e</w:t>
      </w:r>
      <w:r w:rsidR="000E3193" w:rsidRPr="00C63FF4">
        <w:rPr>
          <w:i/>
        </w:rPr>
        <w:t xml:space="preserve">vidence from 18 </w:t>
      </w:r>
      <w:r w:rsidR="000E3193">
        <w:rPr>
          <w:i/>
        </w:rPr>
        <w:t>c</w:t>
      </w:r>
      <w:r w:rsidR="000E3193" w:rsidRPr="00C63FF4">
        <w:rPr>
          <w:i/>
        </w:rPr>
        <w:t>ountries</w:t>
      </w:r>
      <w:r w:rsidR="000E3193" w:rsidRPr="00C63FF4">
        <w:t xml:space="preserve">, OECD Science, Technology and Industry Policy Papers no. 14, OECD Publishing, </w:t>
      </w:r>
    </w:p>
    <w:p w:rsidR="007F1812" w:rsidRDefault="007F1812" w:rsidP="00AA3A65">
      <w:pPr>
        <w:pStyle w:val="BodyText"/>
      </w:pPr>
      <w:r>
        <w:t>The split between young and mature firms at age five years was chosen in part to make international comparisons possible. However, Nguyen &amp; Hansell (2014) also observe that, contingent on survival, most firms reach their industry’s productivity frontier or get close to it at around 5 years of age.</w:t>
      </w:r>
    </w:p>
    <w:p w:rsidR="007F1812" w:rsidRPr="006D7B85" w:rsidRDefault="007F1812" w:rsidP="00AA3A65">
      <w:pPr>
        <w:pStyle w:val="Heading7"/>
      </w:pPr>
      <w:r w:rsidRPr="006D7B85">
        <w:t>Entry and Exit</w:t>
      </w:r>
    </w:p>
    <w:p w:rsidR="007F1812" w:rsidRPr="00CC3AE0" w:rsidRDefault="007F1812" w:rsidP="00AA3A65">
      <w:pPr>
        <w:pStyle w:val="BodyText"/>
      </w:pPr>
      <w:r w:rsidRPr="00CC3AE0">
        <w:t xml:space="preserve">It is important to note that a business entry or exit may not equate to a business start-up or closure in the Australian Business Register. There may be a number of reasons why a business entry or exit event has occurred, including events relating to selling a business and changes in a business' structure due to merger or takeover activities. Further, businesses may transition into and out of the profiled population based on the guidelines used by the ABS, such as a medium sized enterprise growing in size and complexity. </w:t>
      </w:r>
      <w:r w:rsidR="00D47087">
        <w:t>Incumbent firms are simply defined as firms that are not entering or exiting the economy. Their employment activity is basically recruitment and downsizing.</w:t>
      </w:r>
    </w:p>
    <w:p w:rsidR="007F1812" w:rsidRPr="00CC3AE0" w:rsidRDefault="007F1812" w:rsidP="00AA3A65">
      <w:pPr>
        <w:pStyle w:val="BodyText"/>
      </w:pPr>
      <w:r w:rsidRPr="00CC3AE0">
        <w:t xml:space="preserve">While the methodology of linking the administrative and survey data in the EABLD tries to accommodate these known issues, further analytical work is necessary to evaluate its efficacy. In particular future work needs to analyse worker clusters over time to identify true entry and exit as international evidence suggests that relabelling of firms with new identifiers can introduce bias (Hethey-Maier </w:t>
      </w:r>
      <w:r>
        <w:t xml:space="preserve">&amp; </w:t>
      </w:r>
      <w:r w:rsidRPr="00CC3AE0">
        <w:t xml:space="preserve">Schmieder 2013). </w:t>
      </w:r>
    </w:p>
    <w:p w:rsidR="007F1812" w:rsidRDefault="007F1812" w:rsidP="00AA3A65">
      <w:pPr>
        <w:pStyle w:val="BodyText"/>
      </w:pPr>
      <w:r w:rsidRPr="00CC3AE0">
        <w:t xml:space="preserve">For these reasons we focus on micro-start-ups as they are more representative of de novo entrepreneurship. However, the evidence cited by Criscuolo </w:t>
      </w:r>
      <w:r w:rsidRPr="006D7B85">
        <w:rPr>
          <w:i/>
        </w:rPr>
        <w:t>et al</w:t>
      </w:r>
      <w:r w:rsidRPr="00CC3AE0">
        <w:t xml:space="preserve">. (2014) suggests that this issue doesn’t affect the overall result or trend. </w:t>
      </w:r>
    </w:p>
    <w:p w:rsidR="000E0FB8" w:rsidRDefault="000E0FB8" w:rsidP="00AA3A65">
      <w:pPr>
        <w:pStyle w:val="BodyText"/>
        <w:sectPr w:rsidR="000E0FB8" w:rsidSect="000E0FB8">
          <w:headerReference w:type="default" r:id="rId37"/>
          <w:pgSz w:w="11906" w:h="16838" w:code="9"/>
          <w:pgMar w:top="1440" w:right="1440" w:bottom="1440" w:left="1440" w:header="709" w:footer="709" w:gutter="0"/>
          <w:cols w:space="708"/>
          <w:docGrid w:linePitch="360"/>
        </w:sectPr>
      </w:pPr>
    </w:p>
    <w:p w:rsidR="000E0FB8" w:rsidRDefault="000E0FB8" w:rsidP="000E0FB8">
      <w:pPr>
        <w:pStyle w:val="Heading6"/>
      </w:pPr>
      <w:r>
        <w:t>Supplementary data</w:t>
      </w:r>
    </w:p>
    <w:p w:rsidR="000E0FB8" w:rsidRPr="000618FB" w:rsidRDefault="000E0FB8" w:rsidP="000E0FB8">
      <w:pPr>
        <w:pStyle w:val="CaptionWide"/>
      </w:pPr>
      <w:r w:rsidRPr="000618FB">
        <w:t xml:space="preserve">Table </w:t>
      </w:r>
      <w:r>
        <w:t>B1: Number of firms, total employment and net employment growth by firm age and firm size, 2006</w:t>
      </w:r>
      <w:r>
        <w:rPr>
          <w:rFonts w:cs="Arial"/>
        </w:rPr>
        <w:t>–</w:t>
      </w:r>
      <w:r>
        <w:t>2011</w:t>
      </w:r>
    </w:p>
    <w:tbl>
      <w:tblPr>
        <w:tblStyle w:val="OCETable"/>
        <w:tblW w:w="13413" w:type="dxa"/>
        <w:tblBorders>
          <w:right w:val="single" w:sz="4" w:space="0" w:color="595A5B" w:themeColor="text1"/>
        </w:tblBorders>
        <w:tblLook w:val="04A0" w:firstRow="1" w:lastRow="0" w:firstColumn="1" w:lastColumn="0" w:noHBand="0" w:noVBand="1"/>
        <w:tblCaption w:val="Table B1: Number of firms, total employment and net employment growth by firm age and firm size, 2006-2011"/>
        <w:tblDescription w:val="This table examines the number of firms, total employment and net employment growth by firm age and firm size, 2006-2011. Looking at firms that are 0-2 years, 3-5 years, 6 +years and all firms. Firm size examined includes small (1-19), medium (20-199) and large (200+ employees)."/>
      </w:tblPr>
      <w:tblGrid>
        <w:gridCol w:w="1042"/>
        <w:gridCol w:w="1193"/>
        <w:gridCol w:w="1147"/>
        <w:gridCol w:w="1204"/>
        <w:gridCol w:w="1206"/>
        <w:gridCol w:w="1336"/>
        <w:gridCol w:w="1204"/>
        <w:gridCol w:w="1204"/>
        <w:gridCol w:w="1455"/>
        <w:gridCol w:w="1269"/>
        <w:gridCol w:w="1153"/>
      </w:tblGrid>
      <w:tr w:rsidR="006B209A" w:rsidRPr="00FF3C36" w:rsidTr="006B209A">
        <w:trPr>
          <w:cnfStyle w:val="100000000000" w:firstRow="1" w:lastRow="0" w:firstColumn="0" w:lastColumn="0" w:oddVBand="0" w:evenVBand="0" w:oddHBand="0" w:evenHBand="0" w:firstRowFirstColumn="0" w:firstRowLastColumn="0" w:lastRowFirstColumn="0" w:lastRowLastColumn="0"/>
          <w:trHeight w:val="264"/>
          <w:tblHeader/>
        </w:trPr>
        <w:tc>
          <w:tcPr>
            <w:tcW w:w="1042" w:type="dxa"/>
            <w:noWrap/>
            <w:hideMark/>
          </w:tcPr>
          <w:p w:rsidR="008B5E68" w:rsidRPr="00885151" w:rsidRDefault="008B5E68" w:rsidP="00EF3556">
            <w:pPr>
              <w:pStyle w:val="Tabletext"/>
              <w:rPr>
                <w:i/>
                <w:color w:val="FFFFFF" w:themeColor="background1"/>
                <w:lang w:eastAsia="en-AU"/>
              </w:rPr>
            </w:pPr>
            <w:r w:rsidRPr="00885151">
              <w:rPr>
                <w:i/>
                <w:color w:val="FFFFFF" w:themeColor="background1"/>
                <w:lang w:eastAsia="en-AU"/>
              </w:rPr>
              <w:t>Firm age</w:t>
            </w:r>
          </w:p>
        </w:tc>
        <w:tc>
          <w:tcPr>
            <w:tcW w:w="3544" w:type="dxa"/>
            <w:gridSpan w:val="3"/>
            <w:tcBorders>
              <w:right w:val="single" w:sz="4" w:space="0" w:color="595A5B" w:themeColor="text1"/>
            </w:tcBorders>
            <w:noWrap/>
            <w:hideMark/>
          </w:tcPr>
          <w:p w:rsidR="008B5E68" w:rsidRPr="00885151" w:rsidRDefault="008B5E68" w:rsidP="00EF3556">
            <w:pPr>
              <w:pStyle w:val="Tabletext"/>
              <w:jc w:val="center"/>
              <w:rPr>
                <w:i/>
                <w:color w:val="FFFFFF" w:themeColor="background1"/>
                <w:lang w:eastAsia="en-AU"/>
              </w:rPr>
            </w:pPr>
            <w:r w:rsidRPr="00885151">
              <w:rPr>
                <w:i/>
                <w:color w:val="FFFFFF" w:themeColor="background1"/>
                <w:lang w:eastAsia="en-AU"/>
              </w:rPr>
              <w:t>0–2 years</w:t>
            </w:r>
          </w:p>
        </w:tc>
        <w:tc>
          <w:tcPr>
            <w:tcW w:w="3746" w:type="dxa"/>
            <w:gridSpan w:val="3"/>
            <w:tcBorders>
              <w:left w:val="single" w:sz="4" w:space="0" w:color="595A5B" w:themeColor="text1"/>
              <w:right w:val="single" w:sz="4" w:space="0" w:color="595A5B" w:themeColor="text1"/>
            </w:tcBorders>
            <w:noWrap/>
            <w:hideMark/>
          </w:tcPr>
          <w:p w:rsidR="008B5E68" w:rsidRPr="00885151" w:rsidRDefault="008B5E68" w:rsidP="00EF3556">
            <w:pPr>
              <w:pStyle w:val="Tabletext"/>
              <w:jc w:val="center"/>
              <w:rPr>
                <w:i/>
                <w:color w:val="FFFFFF" w:themeColor="background1"/>
                <w:lang w:eastAsia="en-AU"/>
              </w:rPr>
            </w:pPr>
            <w:r w:rsidRPr="00885151">
              <w:rPr>
                <w:i/>
                <w:color w:val="FFFFFF" w:themeColor="background1"/>
                <w:lang w:eastAsia="en-AU"/>
              </w:rPr>
              <w:t>3–5 years</w:t>
            </w:r>
          </w:p>
        </w:tc>
        <w:tc>
          <w:tcPr>
            <w:tcW w:w="3928" w:type="dxa"/>
            <w:gridSpan w:val="3"/>
            <w:tcBorders>
              <w:left w:val="single" w:sz="4" w:space="0" w:color="595A5B" w:themeColor="text1"/>
              <w:right w:val="single" w:sz="4" w:space="0" w:color="595A5B" w:themeColor="text1"/>
            </w:tcBorders>
            <w:noWrap/>
            <w:hideMark/>
          </w:tcPr>
          <w:p w:rsidR="008B5E68" w:rsidRPr="00885151" w:rsidRDefault="008B5E68" w:rsidP="00EF3556">
            <w:pPr>
              <w:pStyle w:val="Tabletext"/>
              <w:jc w:val="center"/>
              <w:rPr>
                <w:i/>
                <w:color w:val="FFFFFF" w:themeColor="background1"/>
                <w:lang w:eastAsia="en-AU"/>
              </w:rPr>
            </w:pPr>
            <w:r w:rsidRPr="00885151">
              <w:rPr>
                <w:i/>
                <w:color w:val="FFFFFF" w:themeColor="background1"/>
                <w:lang w:eastAsia="en-AU"/>
              </w:rPr>
              <w:t>6+ years</w:t>
            </w:r>
          </w:p>
        </w:tc>
        <w:tc>
          <w:tcPr>
            <w:tcW w:w="1153" w:type="dxa"/>
            <w:tcBorders>
              <w:left w:val="single" w:sz="4" w:space="0" w:color="595A5B" w:themeColor="text1"/>
            </w:tcBorders>
          </w:tcPr>
          <w:p w:rsidR="008B5E68" w:rsidRPr="00885151" w:rsidRDefault="008B5E68" w:rsidP="00EF3556">
            <w:pPr>
              <w:pStyle w:val="Tabletext"/>
              <w:jc w:val="center"/>
              <w:rPr>
                <w:i/>
                <w:color w:val="FFFFFF" w:themeColor="background1"/>
                <w:lang w:eastAsia="en-AU"/>
              </w:rPr>
            </w:pPr>
            <w:r>
              <w:rPr>
                <w:i/>
                <w:color w:val="FFFFFF" w:themeColor="background1"/>
                <w:lang w:eastAsia="en-AU"/>
              </w:rPr>
              <w:t>All firms</w:t>
            </w:r>
          </w:p>
        </w:tc>
      </w:tr>
      <w:tr w:rsidR="006B209A" w:rsidRPr="00FF3C36" w:rsidTr="006B209A">
        <w:trPr>
          <w:trHeight w:val="264"/>
        </w:trPr>
        <w:tc>
          <w:tcPr>
            <w:tcW w:w="1042" w:type="dxa"/>
            <w:tcBorders>
              <w:bottom w:val="nil"/>
            </w:tcBorders>
            <w:shd w:val="clear" w:color="auto" w:fill="22789A" w:themeFill="accent1"/>
            <w:noWrap/>
            <w:hideMark/>
          </w:tcPr>
          <w:p w:rsidR="008B5E68" w:rsidRPr="00885151" w:rsidRDefault="008B5E68" w:rsidP="00EF3556">
            <w:pPr>
              <w:pStyle w:val="Tabletext"/>
              <w:rPr>
                <w:i/>
                <w:color w:val="FFFFFF" w:themeColor="background1"/>
                <w:lang w:eastAsia="en-AU"/>
              </w:rPr>
            </w:pPr>
            <w:r w:rsidRPr="00885151">
              <w:rPr>
                <w:i/>
                <w:color w:val="FFFFFF" w:themeColor="background1"/>
                <w:lang w:eastAsia="en-AU"/>
              </w:rPr>
              <w:t>Firm size</w:t>
            </w:r>
          </w:p>
        </w:tc>
        <w:tc>
          <w:tcPr>
            <w:tcW w:w="1193" w:type="dxa"/>
            <w:tcBorders>
              <w:bottom w:val="nil"/>
            </w:tcBorders>
            <w:shd w:val="clear" w:color="auto" w:fill="22789A" w:themeFill="accent1"/>
            <w:noWrap/>
            <w:hideMark/>
          </w:tcPr>
          <w:p w:rsidR="008B5E68" w:rsidRPr="00885151" w:rsidRDefault="008B5E68" w:rsidP="00EF3556">
            <w:pPr>
              <w:pStyle w:val="Tabletext"/>
              <w:jc w:val="right"/>
              <w:rPr>
                <w:i/>
                <w:color w:val="FFFFFF" w:themeColor="background1"/>
                <w:lang w:eastAsia="en-AU"/>
              </w:rPr>
            </w:pPr>
            <w:r w:rsidRPr="00885151">
              <w:rPr>
                <w:i/>
                <w:color w:val="FFFFFF" w:themeColor="background1"/>
                <w:lang w:eastAsia="en-AU"/>
              </w:rPr>
              <w:t>Small (1–19 employees)</w:t>
            </w:r>
          </w:p>
        </w:tc>
        <w:tc>
          <w:tcPr>
            <w:tcW w:w="1147" w:type="dxa"/>
            <w:tcBorders>
              <w:bottom w:val="nil"/>
            </w:tcBorders>
            <w:shd w:val="clear" w:color="auto" w:fill="22789A" w:themeFill="accent1"/>
            <w:noWrap/>
            <w:hideMark/>
          </w:tcPr>
          <w:p w:rsidR="008B5E68" w:rsidRPr="00885151" w:rsidRDefault="008B5E68" w:rsidP="00EF3556">
            <w:pPr>
              <w:pStyle w:val="Tabletext"/>
              <w:jc w:val="right"/>
              <w:rPr>
                <w:i/>
                <w:color w:val="FFFFFF" w:themeColor="background1"/>
                <w:lang w:eastAsia="en-AU"/>
              </w:rPr>
            </w:pPr>
            <w:r w:rsidRPr="00885151">
              <w:rPr>
                <w:i/>
                <w:color w:val="FFFFFF" w:themeColor="background1"/>
                <w:lang w:eastAsia="en-AU"/>
              </w:rPr>
              <w:t>Medium (20–199 employees)</w:t>
            </w:r>
          </w:p>
        </w:tc>
        <w:tc>
          <w:tcPr>
            <w:tcW w:w="1204" w:type="dxa"/>
            <w:tcBorders>
              <w:bottom w:val="nil"/>
              <w:right w:val="single" w:sz="4" w:space="0" w:color="595A5B" w:themeColor="text1"/>
            </w:tcBorders>
            <w:shd w:val="clear" w:color="auto" w:fill="22789A" w:themeFill="accent1"/>
            <w:noWrap/>
            <w:hideMark/>
          </w:tcPr>
          <w:p w:rsidR="008B5E68" w:rsidRPr="00885151" w:rsidRDefault="008B5E68" w:rsidP="00EF3556">
            <w:pPr>
              <w:pStyle w:val="Tabletext"/>
              <w:jc w:val="right"/>
              <w:rPr>
                <w:i/>
                <w:color w:val="FFFFFF" w:themeColor="background1"/>
                <w:lang w:eastAsia="en-AU"/>
              </w:rPr>
            </w:pPr>
            <w:r w:rsidRPr="00885151">
              <w:rPr>
                <w:i/>
                <w:color w:val="FFFFFF" w:themeColor="background1"/>
                <w:lang w:eastAsia="en-AU"/>
              </w:rPr>
              <w:t>Large (200+ employees)</w:t>
            </w:r>
          </w:p>
        </w:tc>
        <w:tc>
          <w:tcPr>
            <w:tcW w:w="1206" w:type="dxa"/>
            <w:tcBorders>
              <w:left w:val="single" w:sz="4" w:space="0" w:color="595A5B" w:themeColor="text1"/>
              <w:bottom w:val="nil"/>
            </w:tcBorders>
            <w:shd w:val="clear" w:color="auto" w:fill="22789A" w:themeFill="accent1"/>
            <w:noWrap/>
            <w:hideMark/>
          </w:tcPr>
          <w:p w:rsidR="008B5E68" w:rsidRPr="00885151" w:rsidRDefault="008B5E68" w:rsidP="00EF3556">
            <w:pPr>
              <w:pStyle w:val="Tabletext"/>
              <w:jc w:val="right"/>
              <w:rPr>
                <w:i/>
                <w:color w:val="FFFFFF" w:themeColor="background1"/>
                <w:lang w:eastAsia="en-AU"/>
              </w:rPr>
            </w:pPr>
            <w:r w:rsidRPr="00885151">
              <w:rPr>
                <w:i/>
                <w:color w:val="FFFFFF" w:themeColor="background1"/>
                <w:lang w:eastAsia="en-AU"/>
              </w:rPr>
              <w:t>Small firms (1–19 employees)</w:t>
            </w:r>
          </w:p>
        </w:tc>
        <w:tc>
          <w:tcPr>
            <w:tcW w:w="1336" w:type="dxa"/>
            <w:tcBorders>
              <w:bottom w:val="nil"/>
            </w:tcBorders>
            <w:shd w:val="clear" w:color="auto" w:fill="22789A" w:themeFill="accent1"/>
            <w:noWrap/>
            <w:hideMark/>
          </w:tcPr>
          <w:p w:rsidR="008B5E68" w:rsidRPr="00885151" w:rsidRDefault="008B5E68" w:rsidP="00EF3556">
            <w:pPr>
              <w:pStyle w:val="Tabletext"/>
              <w:jc w:val="right"/>
              <w:rPr>
                <w:i/>
                <w:color w:val="FFFFFF" w:themeColor="background1"/>
                <w:lang w:eastAsia="en-AU"/>
              </w:rPr>
            </w:pPr>
            <w:r w:rsidRPr="00885151">
              <w:rPr>
                <w:i/>
                <w:color w:val="FFFFFF" w:themeColor="background1"/>
                <w:lang w:eastAsia="en-AU"/>
              </w:rPr>
              <w:t>Medium firms (20–199 employees)</w:t>
            </w:r>
          </w:p>
        </w:tc>
        <w:tc>
          <w:tcPr>
            <w:tcW w:w="1204" w:type="dxa"/>
            <w:tcBorders>
              <w:bottom w:val="nil"/>
              <w:right w:val="single" w:sz="4" w:space="0" w:color="595A5B" w:themeColor="text1"/>
            </w:tcBorders>
            <w:shd w:val="clear" w:color="auto" w:fill="22789A" w:themeFill="accent1"/>
            <w:noWrap/>
            <w:hideMark/>
          </w:tcPr>
          <w:p w:rsidR="008B5E68" w:rsidRPr="00885151" w:rsidRDefault="008B5E68" w:rsidP="00EF3556">
            <w:pPr>
              <w:pStyle w:val="Tabletext"/>
              <w:jc w:val="right"/>
              <w:rPr>
                <w:i/>
                <w:color w:val="FFFFFF" w:themeColor="background1"/>
                <w:lang w:eastAsia="en-AU"/>
              </w:rPr>
            </w:pPr>
            <w:r w:rsidRPr="00885151">
              <w:rPr>
                <w:i/>
                <w:color w:val="FFFFFF" w:themeColor="background1"/>
                <w:lang w:eastAsia="en-AU"/>
              </w:rPr>
              <w:t>Large firms (200+ employees)</w:t>
            </w:r>
          </w:p>
        </w:tc>
        <w:tc>
          <w:tcPr>
            <w:tcW w:w="1204" w:type="dxa"/>
            <w:tcBorders>
              <w:left w:val="single" w:sz="4" w:space="0" w:color="595A5B" w:themeColor="text1"/>
              <w:bottom w:val="nil"/>
            </w:tcBorders>
            <w:shd w:val="clear" w:color="auto" w:fill="22789A" w:themeFill="accent1"/>
            <w:noWrap/>
            <w:hideMark/>
          </w:tcPr>
          <w:p w:rsidR="008B5E68" w:rsidRPr="00885151" w:rsidRDefault="008B5E68" w:rsidP="00EF3556">
            <w:pPr>
              <w:pStyle w:val="Tabletext"/>
              <w:jc w:val="right"/>
              <w:rPr>
                <w:i/>
                <w:color w:val="FFFFFF" w:themeColor="background1"/>
                <w:lang w:eastAsia="en-AU"/>
              </w:rPr>
            </w:pPr>
            <w:r w:rsidRPr="00885151">
              <w:rPr>
                <w:i/>
                <w:color w:val="FFFFFF" w:themeColor="background1"/>
                <w:lang w:eastAsia="en-AU"/>
              </w:rPr>
              <w:t>Small firms (1–19 employees)</w:t>
            </w:r>
          </w:p>
        </w:tc>
        <w:tc>
          <w:tcPr>
            <w:tcW w:w="1455" w:type="dxa"/>
            <w:tcBorders>
              <w:bottom w:val="nil"/>
            </w:tcBorders>
            <w:shd w:val="clear" w:color="auto" w:fill="22789A" w:themeFill="accent1"/>
            <w:noWrap/>
            <w:hideMark/>
          </w:tcPr>
          <w:p w:rsidR="008B5E68" w:rsidRPr="00885151" w:rsidRDefault="008B5E68" w:rsidP="00EF3556">
            <w:pPr>
              <w:pStyle w:val="Tabletext"/>
              <w:jc w:val="right"/>
              <w:rPr>
                <w:i/>
                <w:color w:val="FFFFFF" w:themeColor="background1"/>
                <w:lang w:eastAsia="en-AU"/>
              </w:rPr>
            </w:pPr>
            <w:r w:rsidRPr="00885151">
              <w:rPr>
                <w:i/>
                <w:color w:val="FFFFFF" w:themeColor="background1"/>
                <w:lang w:eastAsia="en-AU"/>
              </w:rPr>
              <w:t>Medium firms (20–199 employees)</w:t>
            </w:r>
          </w:p>
        </w:tc>
        <w:tc>
          <w:tcPr>
            <w:tcW w:w="1269" w:type="dxa"/>
            <w:tcBorders>
              <w:bottom w:val="nil"/>
              <w:right w:val="single" w:sz="4" w:space="0" w:color="595A5B" w:themeColor="text1"/>
            </w:tcBorders>
            <w:shd w:val="clear" w:color="auto" w:fill="22789A" w:themeFill="accent1"/>
            <w:noWrap/>
            <w:hideMark/>
          </w:tcPr>
          <w:p w:rsidR="008B5E68" w:rsidRPr="00885151" w:rsidRDefault="008B5E68" w:rsidP="00EF3556">
            <w:pPr>
              <w:pStyle w:val="Tabletext"/>
              <w:jc w:val="right"/>
              <w:rPr>
                <w:i/>
                <w:color w:val="FFFFFF" w:themeColor="background1"/>
                <w:lang w:eastAsia="en-AU"/>
              </w:rPr>
            </w:pPr>
            <w:r w:rsidRPr="00885151">
              <w:rPr>
                <w:i/>
                <w:color w:val="FFFFFF" w:themeColor="background1"/>
                <w:lang w:eastAsia="en-AU"/>
              </w:rPr>
              <w:t>Large firms (200+ employees)</w:t>
            </w:r>
          </w:p>
        </w:tc>
        <w:tc>
          <w:tcPr>
            <w:tcW w:w="1153" w:type="dxa"/>
            <w:tcBorders>
              <w:left w:val="single" w:sz="4" w:space="0" w:color="595A5B" w:themeColor="text1"/>
              <w:bottom w:val="nil"/>
              <w:right w:val="nil"/>
            </w:tcBorders>
            <w:shd w:val="clear" w:color="auto" w:fill="22789A" w:themeFill="accent1"/>
          </w:tcPr>
          <w:p w:rsidR="008B5E68" w:rsidRPr="00885151" w:rsidRDefault="008B5E68" w:rsidP="00EF3556">
            <w:pPr>
              <w:pStyle w:val="Tabletext"/>
              <w:jc w:val="right"/>
              <w:rPr>
                <w:i/>
                <w:color w:val="FFFFFF" w:themeColor="background1"/>
                <w:lang w:eastAsia="en-AU"/>
              </w:rPr>
            </w:pPr>
          </w:p>
        </w:tc>
      </w:tr>
      <w:tr w:rsidR="006B209A" w:rsidRPr="00B943AB" w:rsidTr="006B209A">
        <w:trPr>
          <w:trHeight w:val="264"/>
        </w:trPr>
        <w:tc>
          <w:tcPr>
            <w:tcW w:w="4586" w:type="dxa"/>
            <w:gridSpan w:val="4"/>
            <w:tcBorders>
              <w:right w:val="single" w:sz="4" w:space="0" w:color="595A5B" w:themeColor="text1"/>
            </w:tcBorders>
            <w:noWrap/>
          </w:tcPr>
          <w:p w:rsidR="006B209A" w:rsidRPr="00997D7E" w:rsidRDefault="006B209A" w:rsidP="00EF3556">
            <w:pPr>
              <w:pStyle w:val="Tabletext"/>
              <w:rPr>
                <w:lang w:eastAsia="en-AU"/>
              </w:rPr>
            </w:pPr>
            <w:r w:rsidRPr="00997D7E">
              <w:rPr>
                <w:lang w:eastAsia="en-AU"/>
              </w:rPr>
              <w:t>Total number of firms</w:t>
            </w:r>
          </w:p>
        </w:tc>
        <w:tc>
          <w:tcPr>
            <w:tcW w:w="3746" w:type="dxa"/>
            <w:gridSpan w:val="3"/>
            <w:tcBorders>
              <w:left w:val="single" w:sz="4" w:space="0" w:color="595A5B" w:themeColor="text1"/>
              <w:right w:val="single" w:sz="4" w:space="0" w:color="595A5B" w:themeColor="text1"/>
            </w:tcBorders>
          </w:tcPr>
          <w:p w:rsidR="006B209A" w:rsidRPr="00997D7E" w:rsidRDefault="006B209A" w:rsidP="00EF3556">
            <w:pPr>
              <w:pStyle w:val="Tabletext"/>
              <w:rPr>
                <w:lang w:eastAsia="en-AU"/>
              </w:rPr>
            </w:pPr>
          </w:p>
        </w:tc>
        <w:tc>
          <w:tcPr>
            <w:tcW w:w="3928" w:type="dxa"/>
            <w:gridSpan w:val="3"/>
            <w:tcBorders>
              <w:left w:val="single" w:sz="4" w:space="0" w:color="595A5B" w:themeColor="text1"/>
              <w:right w:val="single" w:sz="4" w:space="0" w:color="595A5B" w:themeColor="text1"/>
            </w:tcBorders>
          </w:tcPr>
          <w:p w:rsidR="006B209A" w:rsidRPr="00997D7E" w:rsidRDefault="006B209A" w:rsidP="00EF3556">
            <w:pPr>
              <w:pStyle w:val="Tabletext"/>
              <w:rPr>
                <w:lang w:eastAsia="en-AU"/>
              </w:rPr>
            </w:pPr>
          </w:p>
        </w:tc>
        <w:tc>
          <w:tcPr>
            <w:tcW w:w="1153" w:type="dxa"/>
            <w:tcBorders>
              <w:left w:val="single" w:sz="4" w:space="0" w:color="595A5B" w:themeColor="text1"/>
              <w:bottom w:val="nil"/>
              <w:right w:val="nil"/>
            </w:tcBorders>
          </w:tcPr>
          <w:p w:rsidR="006B209A" w:rsidRPr="00997D7E" w:rsidRDefault="006B209A" w:rsidP="00EF3556">
            <w:pPr>
              <w:pStyle w:val="Tabletext"/>
              <w:rPr>
                <w:lang w:eastAsia="en-AU"/>
              </w:rPr>
            </w:pPr>
          </w:p>
        </w:tc>
      </w:tr>
      <w:tr w:rsidR="006B209A" w:rsidRPr="00B943AB" w:rsidTr="006B209A">
        <w:trPr>
          <w:trHeight w:val="264"/>
        </w:trPr>
        <w:tc>
          <w:tcPr>
            <w:tcW w:w="1042" w:type="dxa"/>
            <w:noWrap/>
            <w:hideMark/>
          </w:tcPr>
          <w:p w:rsidR="008B5E68" w:rsidRPr="00997D7E" w:rsidRDefault="008B5E68" w:rsidP="00EF3556">
            <w:pPr>
              <w:pStyle w:val="Tabletext"/>
              <w:rPr>
                <w:lang w:eastAsia="en-AU"/>
              </w:rPr>
            </w:pPr>
            <w:r w:rsidRPr="00997D7E">
              <w:rPr>
                <w:lang w:eastAsia="en-AU"/>
              </w:rPr>
              <w:t>2006</w:t>
            </w:r>
          </w:p>
        </w:tc>
        <w:tc>
          <w:tcPr>
            <w:tcW w:w="1193" w:type="dxa"/>
            <w:noWrap/>
            <w:hideMark/>
          </w:tcPr>
          <w:p w:rsidR="008B5E68" w:rsidRPr="00997D7E" w:rsidRDefault="008B5E68" w:rsidP="00EF3556">
            <w:pPr>
              <w:pStyle w:val="Tabletext"/>
              <w:jc w:val="right"/>
              <w:rPr>
                <w:lang w:eastAsia="en-AU"/>
              </w:rPr>
            </w:pPr>
            <w:r w:rsidRPr="00997D7E">
              <w:rPr>
                <w:lang w:eastAsia="en-AU"/>
              </w:rPr>
              <w:t>149,643</w:t>
            </w:r>
          </w:p>
        </w:tc>
        <w:tc>
          <w:tcPr>
            <w:tcW w:w="1147" w:type="dxa"/>
            <w:noWrap/>
            <w:hideMark/>
          </w:tcPr>
          <w:p w:rsidR="008B5E68" w:rsidRPr="00997D7E" w:rsidRDefault="008B5E68" w:rsidP="00EF3556">
            <w:pPr>
              <w:pStyle w:val="Tabletext"/>
              <w:jc w:val="right"/>
              <w:rPr>
                <w:lang w:eastAsia="en-AU"/>
              </w:rPr>
            </w:pPr>
            <w:r w:rsidRPr="00997D7E">
              <w:rPr>
                <w:lang w:eastAsia="en-AU"/>
              </w:rPr>
              <w:t>2,631</w:t>
            </w:r>
          </w:p>
        </w:tc>
        <w:tc>
          <w:tcPr>
            <w:tcW w:w="1204" w:type="dxa"/>
            <w:tcBorders>
              <w:right w:val="single" w:sz="4" w:space="0" w:color="595A5B" w:themeColor="text1"/>
            </w:tcBorders>
            <w:noWrap/>
            <w:hideMark/>
          </w:tcPr>
          <w:p w:rsidR="008B5E68" w:rsidRPr="00997D7E" w:rsidRDefault="008B5E68" w:rsidP="00EF3556">
            <w:pPr>
              <w:pStyle w:val="Tabletext"/>
              <w:jc w:val="right"/>
              <w:rPr>
                <w:lang w:eastAsia="en-AU"/>
              </w:rPr>
            </w:pPr>
            <w:r w:rsidRPr="00997D7E">
              <w:rPr>
                <w:lang w:eastAsia="en-AU"/>
              </w:rPr>
              <w:t>69</w:t>
            </w:r>
          </w:p>
        </w:tc>
        <w:tc>
          <w:tcPr>
            <w:tcW w:w="1206" w:type="dxa"/>
            <w:tcBorders>
              <w:left w:val="single" w:sz="4" w:space="0" w:color="595A5B" w:themeColor="text1"/>
            </w:tcBorders>
            <w:noWrap/>
            <w:hideMark/>
          </w:tcPr>
          <w:p w:rsidR="008B5E68" w:rsidRPr="00997D7E" w:rsidRDefault="008B5E68" w:rsidP="00EF3556">
            <w:pPr>
              <w:pStyle w:val="Tabletext"/>
              <w:jc w:val="right"/>
              <w:rPr>
                <w:lang w:eastAsia="en-AU"/>
              </w:rPr>
            </w:pPr>
            <w:r w:rsidRPr="00997D7E">
              <w:rPr>
                <w:lang w:eastAsia="en-AU"/>
              </w:rPr>
              <w:t>179,704</w:t>
            </w:r>
          </w:p>
        </w:tc>
        <w:tc>
          <w:tcPr>
            <w:tcW w:w="1336" w:type="dxa"/>
            <w:noWrap/>
            <w:hideMark/>
          </w:tcPr>
          <w:p w:rsidR="008B5E68" w:rsidRPr="00997D7E" w:rsidRDefault="008B5E68" w:rsidP="00EF3556">
            <w:pPr>
              <w:pStyle w:val="Tabletext"/>
              <w:jc w:val="right"/>
              <w:rPr>
                <w:lang w:eastAsia="en-AU"/>
              </w:rPr>
            </w:pPr>
            <w:r w:rsidRPr="00997D7E">
              <w:rPr>
                <w:lang w:eastAsia="en-AU"/>
              </w:rPr>
              <w:t>5,018</w:t>
            </w:r>
          </w:p>
        </w:tc>
        <w:tc>
          <w:tcPr>
            <w:tcW w:w="1204" w:type="dxa"/>
            <w:tcBorders>
              <w:right w:val="single" w:sz="4" w:space="0" w:color="595A5B" w:themeColor="text1"/>
            </w:tcBorders>
            <w:noWrap/>
            <w:hideMark/>
          </w:tcPr>
          <w:p w:rsidR="008B5E68" w:rsidRPr="00997D7E" w:rsidRDefault="008B5E68" w:rsidP="00EF3556">
            <w:pPr>
              <w:pStyle w:val="Tabletext"/>
              <w:jc w:val="right"/>
              <w:rPr>
                <w:lang w:eastAsia="en-AU"/>
              </w:rPr>
            </w:pPr>
            <w:r w:rsidRPr="00997D7E">
              <w:rPr>
                <w:lang w:eastAsia="en-AU"/>
              </w:rPr>
              <w:t>178</w:t>
            </w:r>
          </w:p>
        </w:tc>
        <w:tc>
          <w:tcPr>
            <w:tcW w:w="1204" w:type="dxa"/>
            <w:tcBorders>
              <w:left w:val="single" w:sz="4" w:space="0" w:color="595A5B" w:themeColor="text1"/>
            </w:tcBorders>
            <w:noWrap/>
            <w:hideMark/>
          </w:tcPr>
          <w:p w:rsidR="008B5E68" w:rsidRPr="00997D7E" w:rsidRDefault="008B5E68" w:rsidP="00EF3556">
            <w:pPr>
              <w:pStyle w:val="Tabletext"/>
              <w:jc w:val="right"/>
              <w:rPr>
                <w:lang w:eastAsia="en-AU"/>
              </w:rPr>
            </w:pPr>
            <w:r w:rsidRPr="00997D7E">
              <w:rPr>
                <w:lang w:eastAsia="en-AU"/>
              </w:rPr>
              <w:t>429,528</w:t>
            </w:r>
          </w:p>
        </w:tc>
        <w:tc>
          <w:tcPr>
            <w:tcW w:w="1455" w:type="dxa"/>
            <w:noWrap/>
            <w:hideMark/>
          </w:tcPr>
          <w:p w:rsidR="008B5E68" w:rsidRPr="00997D7E" w:rsidRDefault="008B5E68" w:rsidP="00EF3556">
            <w:pPr>
              <w:pStyle w:val="Tabletext"/>
              <w:jc w:val="right"/>
              <w:rPr>
                <w:lang w:eastAsia="en-AU"/>
              </w:rPr>
            </w:pPr>
            <w:r w:rsidRPr="00997D7E">
              <w:rPr>
                <w:lang w:eastAsia="en-AU"/>
              </w:rPr>
              <w:t>25,973</w:t>
            </w:r>
          </w:p>
        </w:tc>
        <w:tc>
          <w:tcPr>
            <w:tcW w:w="1269" w:type="dxa"/>
            <w:tcBorders>
              <w:right w:val="single" w:sz="4" w:space="0" w:color="595A5B" w:themeColor="text1"/>
            </w:tcBorders>
            <w:noWrap/>
            <w:hideMark/>
          </w:tcPr>
          <w:p w:rsidR="008B5E68" w:rsidRPr="00997D7E" w:rsidRDefault="008B5E68" w:rsidP="00EF3556">
            <w:pPr>
              <w:pStyle w:val="Tabletext"/>
              <w:jc w:val="right"/>
              <w:rPr>
                <w:lang w:eastAsia="en-AU"/>
              </w:rPr>
            </w:pPr>
            <w:r w:rsidRPr="00997D7E">
              <w:rPr>
                <w:lang w:eastAsia="en-AU"/>
              </w:rPr>
              <w:t>2,532</w:t>
            </w:r>
          </w:p>
        </w:tc>
        <w:tc>
          <w:tcPr>
            <w:tcW w:w="1153" w:type="dxa"/>
            <w:tcBorders>
              <w:left w:val="single" w:sz="4" w:space="0" w:color="595A5B" w:themeColor="text1"/>
              <w:right w:val="nil"/>
            </w:tcBorders>
            <w:vAlign w:val="bottom"/>
          </w:tcPr>
          <w:p w:rsidR="008B5E68" w:rsidRPr="00997D7E" w:rsidRDefault="008B5E68" w:rsidP="008B5E68">
            <w:pPr>
              <w:pStyle w:val="Tabletext"/>
              <w:jc w:val="right"/>
              <w:rPr>
                <w:lang w:eastAsia="en-AU"/>
              </w:rPr>
            </w:pPr>
            <w:r w:rsidRPr="00997D7E">
              <w:rPr>
                <w:lang w:eastAsia="en-AU"/>
              </w:rPr>
              <w:t>795,276</w:t>
            </w:r>
          </w:p>
        </w:tc>
      </w:tr>
      <w:tr w:rsidR="006B209A" w:rsidRPr="00B943AB" w:rsidTr="006B209A">
        <w:trPr>
          <w:trHeight w:val="264"/>
        </w:trPr>
        <w:tc>
          <w:tcPr>
            <w:tcW w:w="1042" w:type="dxa"/>
            <w:noWrap/>
            <w:hideMark/>
          </w:tcPr>
          <w:p w:rsidR="008B5E68" w:rsidRPr="00997D7E" w:rsidRDefault="008B5E68" w:rsidP="00EF3556">
            <w:pPr>
              <w:pStyle w:val="Tabletext"/>
              <w:rPr>
                <w:lang w:eastAsia="en-AU"/>
              </w:rPr>
            </w:pPr>
            <w:r w:rsidRPr="00997D7E">
              <w:rPr>
                <w:lang w:eastAsia="en-AU"/>
              </w:rPr>
              <w:t>2007</w:t>
            </w:r>
          </w:p>
        </w:tc>
        <w:tc>
          <w:tcPr>
            <w:tcW w:w="1193" w:type="dxa"/>
            <w:noWrap/>
            <w:hideMark/>
          </w:tcPr>
          <w:p w:rsidR="008B5E68" w:rsidRPr="00997D7E" w:rsidRDefault="008B5E68" w:rsidP="00EF3556">
            <w:pPr>
              <w:pStyle w:val="Tabletext"/>
              <w:jc w:val="right"/>
              <w:rPr>
                <w:lang w:eastAsia="en-AU"/>
              </w:rPr>
            </w:pPr>
            <w:r w:rsidRPr="00997D7E">
              <w:rPr>
                <w:lang w:eastAsia="en-AU"/>
              </w:rPr>
              <w:t>139,731</w:t>
            </w:r>
          </w:p>
        </w:tc>
        <w:tc>
          <w:tcPr>
            <w:tcW w:w="1147" w:type="dxa"/>
            <w:noWrap/>
            <w:hideMark/>
          </w:tcPr>
          <w:p w:rsidR="008B5E68" w:rsidRPr="00997D7E" w:rsidRDefault="008B5E68" w:rsidP="00EF3556">
            <w:pPr>
              <w:pStyle w:val="Tabletext"/>
              <w:jc w:val="right"/>
              <w:rPr>
                <w:lang w:eastAsia="en-AU"/>
              </w:rPr>
            </w:pPr>
            <w:r w:rsidRPr="00997D7E">
              <w:rPr>
                <w:lang w:eastAsia="en-AU"/>
              </w:rPr>
              <w:t>2,784</w:t>
            </w:r>
          </w:p>
        </w:tc>
        <w:tc>
          <w:tcPr>
            <w:tcW w:w="1204" w:type="dxa"/>
            <w:tcBorders>
              <w:right w:val="single" w:sz="4" w:space="0" w:color="595A5B" w:themeColor="text1"/>
            </w:tcBorders>
            <w:noWrap/>
            <w:hideMark/>
          </w:tcPr>
          <w:p w:rsidR="008B5E68" w:rsidRPr="00997D7E" w:rsidRDefault="008B5E68" w:rsidP="00EF3556">
            <w:pPr>
              <w:pStyle w:val="Tabletext"/>
              <w:jc w:val="right"/>
              <w:rPr>
                <w:lang w:eastAsia="en-AU"/>
              </w:rPr>
            </w:pPr>
            <w:r w:rsidRPr="00997D7E">
              <w:rPr>
                <w:lang w:eastAsia="en-AU"/>
              </w:rPr>
              <w:t>70</w:t>
            </w:r>
          </w:p>
        </w:tc>
        <w:tc>
          <w:tcPr>
            <w:tcW w:w="1206" w:type="dxa"/>
            <w:tcBorders>
              <w:left w:val="single" w:sz="4" w:space="0" w:color="595A5B" w:themeColor="text1"/>
            </w:tcBorders>
            <w:noWrap/>
            <w:hideMark/>
          </w:tcPr>
          <w:p w:rsidR="008B5E68" w:rsidRPr="00997D7E" w:rsidRDefault="008B5E68" w:rsidP="00EF3556">
            <w:pPr>
              <w:pStyle w:val="Tabletext"/>
              <w:jc w:val="right"/>
              <w:rPr>
                <w:lang w:eastAsia="en-AU"/>
              </w:rPr>
            </w:pPr>
            <w:r w:rsidRPr="00997D7E">
              <w:rPr>
                <w:lang w:eastAsia="en-AU"/>
              </w:rPr>
              <w:t>173,297</w:t>
            </w:r>
          </w:p>
        </w:tc>
        <w:tc>
          <w:tcPr>
            <w:tcW w:w="1336" w:type="dxa"/>
            <w:noWrap/>
            <w:hideMark/>
          </w:tcPr>
          <w:p w:rsidR="008B5E68" w:rsidRPr="00997D7E" w:rsidRDefault="008B5E68" w:rsidP="00EF3556">
            <w:pPr>
              <w:pStyle w:val="Tabletext"/>
              <w:jc w:val="right"/>
              <w:rPr>
                <w:lang w:eastAsia="en-AU"/>
              </w:rPr>
            </w:pPr>
            <w:r w:rsidRPr="00997D7E">
              <w:rPr>
                <w:lang w:eastAsia="en-AU"/>
              </w:rPr>
              <w:t>5,375</w:t>
            </w:r>
          </w:p>
        </w:tc>
        <w:tc>
          <w:tcPr>
            <w:tcW w:w="1204" w:type="dxa"/>
            <w:tcBorders>
              <w:right w:val="single" w:sz="4" w:space="0" w:color="595A5B" w:themeColor="text1"/>
            </w:tcBorders>
            <w:noWrap/>
            <w:hideMark/>
          </w:tcPr>
          <w:p w:rsidR="008B5E68" w:rsidRPr="00997D7E" w:rsidRDefault="008B5E68" w:rsidP="00EF3556">
            <w:pPr>
              <w:pStyle w:val="Tabletext"/>
              <w:jc w:val="right"/>
              <w:rPr>
                <w:lang w:eastAsia="en-AU"/>
              </w:rPr>
            </w:pPr>
            <w:r w:rsidRPr="00997D7E">
              <w:rPr>
                <w:lang w:eastAsia="en-AU"/>
              </w:rPr>
              <w:t>187</w:t>
            </w:r>
          </w:p>
        </w:tc>
        <w:tc>
          <w:tcPr>
            <w:tcW w:w="1204" w:type="dxa"/>
            <w:tcBorders>
              <w:left w:val="single" w:sz="4" w:space="0" w:color="595A5B" w:themeColor="text1"/>
            </w:tcBorders>
            <w:noWrap/>
            <w:hideMark/>
          </w:tcPr>
          <w:p w:rsidR="008B5E68" w:rsidRPr="00997D7E" w:rsidRDefault="008B5E68" w:rsidP="00EF3556">
            <w:pPr>
              <w:pStyle w:val="Tabletext"/>
              <w:jc w:val="right"/>
              <w:rPr>
                <w:lang w:eastAsia="en-AU"/>
              </w:rPr>
            </w:pPr>
            <w:r w:rsidRPr="00997D7E">
              <w:rPr>
                <w:lang w:eastAsia="en-AU"/>
              </w:rPr>
              <w:t>434,037</w:t>
            </w:r>
          </w:p>
        </w:tc>
        <w:tc>
          <w:tcPr>
            <w:tcW w:w="1455" w:type="dxa"/>
            <w:noWrap/>
            <w:hideMark/>
          </w:tcPr>
          <w:p w:rsidR="008B5E68" w:rsidRPr="00997D7E" w:rsidRDefault="008B5E68" w:rsidP="00EF3556">
            <w:pPr>
              <w:pStyle w:val="Tabletext"/>
              <w:jc w:val="right"/>
              <w:rPr>
                <w:lang w:eastAsia="en-AU"/>
              </w:rPr>
            </w:pPr>
            <w:r w:rsidRPr="00997D7E">
              <w:rPr>
                <w:lang w:eastAsia="en-AU"/>
              </w:rPr>
              <w:t>27,520</w:t>
            </w:r>
          </w:p>
        </w:tc>
        <w:tc>
          <w:tcPr>
            <w:tcW w:w="1269" w:type="dxa"/>
            <w:tcBorders>
              <w:right w:val="single" w:sz="4" w:space="0" w:color="595A5B" w:themeColor="text1"/>
            </w:tcBorders>
            <w:noWrap/>
            <w:hideMark/>
          </w:tcPr>
          <w:p w:rsidR="008B5E68" w:rsidRPr="00997D7E" w:rsidRDefault="008B5E68" w:rsidP="00EF3556">
            <w:pPr>
              <w:pStyle w:val="Tabletext"/>
              <w:jc w:val="right"/>
              <w:rPr>
                <w:lang w:eastAsia="en-AU"/>
              </w:rPr>
            </w:pPr>
            <w:r w:rsidRPr="00997D7E">
              <w:rPr>
                <w:lang w:eastAsia="en-AU"/>
              </w:rPr>
              <w:t>2,689</w:t>
            </w:r>
          </w:p>
        </w:tc>
        <w:tc>
          <w:tcPr>
            <w:tcW w:w="1153" w:type="dxa"/>
            <w:tcBorders>
              <w:left w:val="single" w:sz="4" w:space="0" w:color="595A5B" w:themeColor="text1"/>
              <w:right w:val="nil"/>
            </w:tcBorders>
            <w:vAlign w:val="bottom"/>
          </w:tcPr>
          <w:p w:rsidR="008B5E68" w:rsidRPr="00997D7E" w:rsidRDefault="008B5E68" w:rsidP="008B5E68">
            <w:pPr>
              <w:pStyle w:val="Tabletext"/>
              <w:jc w:val="right"/>
              <w:rPr>
                <w:lang w:eastAsia="en-AU"/>
              </w:rPr>
            </w:pPr>
            <w:r w:rsidRPr="00997D7E">
              <w:rPr>
                <w:lang w:eastAsia="en-AU"/>
              </w:rPr>
              <w:t>785,690</w:t>
            </w:r>
          </w:p>
        </w:tc>
      </w:tr>
      <w:tr w:rsidR="006B209A" w:rsidRPr="00B943AB" w:rsidTr="006B209A">
        <w:trPr>
          <w:trHeight w:val="264"/>
        </w:trPr>
        <w:tc>
          <w:tcPr>
            <w:tcW w:w="1042" w:type="dxa"/>
            <w:noWrap/>
            <w:hideMark/>
          </w:tcPr>
          <w:p w:rsidR="008B5E68" w:rsidRPr="00997D7E" w:rsidRDefault="008B5E68" w:rsidP="00EF3556">
            <w:pPr>
              <w:pStyle w:val="Tabletext"/>
              <w:rPr>
                <w:lang w:eastAsia="en-AU"/>
              </w:rPr>
            </w:pPr>
            <w:r w:rsidRPr="00997D7E">
              <w:rPr>
                <w:lang w:eastAsia="en-AU"/>
              </w:rPr>
              <w:t>2008</w:t>
            </w:r>
          </w:p>
        </w:tc>
        <w:tc>
          <w:tcPr>
            <w:tcW w:w="1193" w:type="dxa"/>
            <w:noWrap/>
            <w:hideMark/>
          </w:tcPr>
          <w:p w:rsidR="008B5E68" w:rsidRPr="00997D7E" w:rsidRDefault="008B5E68" w:rsidP="00EF3556">
            <w:pPr>
              <w:pStyle w:val="Tabletext"/>
              <w:jc w:val="right"/>
              <w:rPr>
                <w:lang w:eastAsia="en-AU"/>
              </w:rPr>
            </w:pPr>
            <w:r w:rsidRPr="00997D7E">
              <w:rPr>
                <w:lang w:eastAsia="en-AU"/>
              </w:rPr>
              <w:t>125,403</w:t>
            </w:r>
          </w:p>
        </w:tc>
        <w:tc>
          <w:tcPr>
            <w:tcW w:w="1147" w:type="dxa"/>
            <w:noWrap/>
            <w:hideMark/>
          </w:tcPr>
          <w:p w:rsidR="008B5E68" w:rsidRPr="00997D7E" w:rsidRDefault="008B5E68" w:rsidP="00EF3556">
            <w:pPr>
              <w:pStyle w:val="Tabletext"/>
              <w:jc w:val="right"/>
              <w:rPr>
                <w:lang w:eastAsia="en-AU"/>
              </w:rPr>
            </w:pPr>
            <w:r w:rsidRPr="00997D7E">
              <w:rPr>
                <w:lang w:eastAsia="en-AU"/>
              </w:rPr>
              <w:t>2,538</w:t>
            </w:r>
          </w:p>
        </w:tc>
        <w:tc>
          <w:tcPr>
            <w:tcW w:w="1204" w:type="dxa"/>
            <w:tcBorders>
              <w:right w:val="single" w:sz="4" w:space="0" w:color="595A5B" w:themeColor="text1"/>
            </w:tcBorders>
            <w:noWrap/>
            <w:hideMark/>
          </w:tcPr>
          <w:p w:rsidR="008B5E68" w:rsidRPr="00997D7E" w:rsidRDefault="008B5E68" w:rsidP="00EF3556">
            <w:pPr>
              <w:pStyle w:val="Tabletext"/>
              <w:jc w:val="right"/>
              <w:rPr>
                <w:lang w:eastAsia="en-AU"/>
              </w:rPr>
            </w:pPr>
            <w:r w:rsidRPr="00997D7E">
              <w:rPr>
                <w:lang w:eastAsia="en-AU"/>
              </w:rPr>
              <w:t>63</w:t>
            </w:r>
          </w:p>
        </w:tc>
        <w:tc>
          <w:tcPr>
            <w:tcW w:w="1206" w:type="dxa"/>
            <w:tcBorders>
              <w:left w:val="single" w:sz="4" w:space="0" w:color="595A5B" w:themeColor="text1"/>
            </w:tcBorders>
            <w:noWrap/>
            <w:hideMark/>
          </w:tcPr>
          <w:p w:rsidR="008B5E68" w:rsidRPr="00997D7E" w:rsidRDefault="008B5E68" w:rsidP="00EF3556">
            <w:pPr>
              <w:pStyle w:val="Tabletext"/>
              <w:jc w:val="right"/>
              <w:rPr>
                <w:lang w:eastAsia="en-AU"/>
              </w:rPr>
            </w:pPr>
            <w:r w:rsidRPr="00997D7E">
              <w:rPr>
                <w:lang w:eastAsia="en-AU"/>
              </w:rPr>
              <w:t>169,240</w:t>
            </w:r>
          </w:p>
        </w:tc>
        <w:tc>
          <w:tcPr>
            <w:tcW w:w="1336" w:type="dxa"/>
            <w:noWrap/>
            <w:hideMark/>
          </w:tcPr>
          <w:p w:rsidR="008B5E68" w:rsidRPr="00997D7E" w:rsidRDefault="008B5E68" w:rsidP="00EF3556">
            <w:pPr>
              <w:pStyle w:val="Tabletext"/>
              <w:jc w:val="right"/>
              <w:rPr>
                <w:lang w:eastAsia="en-AU"/>
              </w:rPr>
            </w:pPr>
            <w:r w:rsidRPr="00997D7E">
              <w:rPr>
                <w:lang w:eastAsia="en-AU"/>
              </w:rPr>
              <w:t>5,322</w:t>
            </w:r>
          </w:p>
        </w:tc>
        <w:tc>
          <w:tcPr>
            <w:tcW w:w="1204" w:type="dxa"/>
            <w:tcBorders>
              <w:right w:val="single" w:sz="4" w:space="0" w:color="595A5B" w:themeColor="text1"/>
            </w:tcBorders>
            <w:noWrap/>
            <w:hideMark/>
          </w:tcPr>
          <w:p w:rsidR="008B5E68" w:rsidRPr="00997D7E" w:rsidRDefault="008B5E68" w:rsidP="00EF3556">
            <w:pPr>
              <w:pStyle w:val="Tabletext"/>
              <w:jc w:val="right"/>
              <w:rPr>
                <w:lang w:eastAsia="en-AU"/>
              </w:rPr>
            </w:pPr>
            <w:r w:rsidRPr="00997D7E">
              <w:rPr>
                <w:lang w:eastAsia="en-AU"/>
              </w:rPr>
              <w:t>169</w:t>
            </w:r>
          </w:p>
        </w:tc>
        <w:tc>
          <w:tcPr>
            <w:tcW w:w="1204" w:type="dxa"/>
            <w:tcBorders>
              <w:left w:val="single" w:sz="4" w:space="0" w:color="595A5B" w:themeColor="text1"/>
            </w:tcBorders>
            <w:noWrap/>
            <w:hideMark/>
          </w:tcPr>
          <w:p w:rsidR="008B5E68" w:rsidRPr="00997D7E" w:rsidRDefault="008B5E68" w:rsidP="00EF3556">
            <w:pPr>
              <w:pStyle w:val="Tabletext"/>
              <w:jc w:val="right"/>
              <w:rPr>
                <w:lang w:eastAsia="en-AU"/>
              </w:rPr>
            </w:pPr>
            <w:r w:rsidRPr="00997D7E">
              <w:rPr>
                <w:lang w:eastAsia="en-AU"/>
              </w:rPr>
              <w:t>443,822</w:t>
            </w:r>
          </w:p>
        </w:tc>
        <w:tc>
          <w:tcPr>
            <w:tcW w:w="1455" w:type="dxa"/>
            <w:noWrap/>
            <w:hideMark/>
          </w:tcPr>
          <w:p w:rsidR="008B5E68" w:rsidRPr="00997D7E" w:rsidRDefault="008B5E68" w:rsidP="00EF3556">
            <w:pPr>
              <w:pStyle w:val="Tabletext"/>
              <w:jc w:val="right"/>
              <w:rPr>
                <w:lang w:eastAsia="en-AU"/>
              </w:rPr>
            </w:pPr>
            <w:r w:rsidRPr="00997D7E">
              <w:rPr>
                <w:lang w:eastAsia="en-AU"/>
              </w:rPr>
              <w:t>28,151</w:t>
            </w:r>
          </w:p>
        </w:tc>
        <w:tc>
          <w:tcPr>
            <w:tcW w:w="1269" w:type="dxa"/>
            <w:tcBorders>
              <w:right w:val="single" w:sz="4" w:space="0" w:color="595A5B" w:themeColor="text1"/>
            </w:tcBorders>
            <w:noWrap/>
            <w:hideMark/>
          </w:tcPr>
          <w:p w:rsidR="008B5E68" w:rsidRPr="00997D7E" w:rsidRDefault="008B5E68" w:rsidP="00EF3556">
            <w:pPr>
              <w:pStyle w:val="Tabletext"/>
              <w:jc w:val="right"/>
              <w:rPr>
                <w:lang w:eastAsia="en-AU"/>
              </w:rPr>
            </w:pPr>
            <w:r w:rsidRPr="00997D7E">
              <w:rPr>
                <w:lang w:eastAsia="en-AU"/>
              </w:rPr>
              <w:t>2,756</w:t>
            </w:r>
          </w:p>
        </w:tc>
        <w:tc>
          <w:tcPr>
            <w:tcW w:w="1153" w:type="dxa"/>
            <w:tcBorders>
              <w:left w:val="single" w:sz="4" w:space="0" w:color="595A5B" w:themeColor="text1"/>
              <w:right w:val="nil"/>
            </w:tcBorders>
            <w:vAlign w:val="bottom"/>
          </w:tcPr>
          <w:p w:rsidR="008B5E68" w:rsidRPr="00997D7E" w:rsidRDefault="008B5E68" w:rsidP="008B5E68">
            <w:pPr>
              <w:pStyle w:val="Tabletext"/>
              <w:jc w:val="right"/>
              <w:rPr>
                <w:lang w:eastAsia="en-AU"/>
              </w:rPr>
            </w:pPr>
            <w:r w:rsidRPr="00997D7E">
              <w:rPr>
                <w:lang w:eastAsia="en-AU"/>
              </w:rPr>
              <w:t>777,464</w:t>
            </w:r>
          </w:p>
        </w:tc>
      </w:tr>
      <w:tr w:rsidR="006B209A" w:rsidRPr="00B943AB" w:rsidTr="006B209A">
        <w:trPr>
          <w:trHeight w:val="264"/>
        </w:trPr>
        <w:tc>
          <w:tcPr>
            <w:tcW w:w="1042" w:type="dxa"/>
            <w:noWrap/>
            <w:hideMark/>
          </w:tcPr>
          <w:p w:rsidR="008B5E68" w:rsidRPr="00997D7E" w:rsidRDefault="008B5E68" w:rsidP="00EF3556">
            <w:pPr>
              <w:pStyle w:val="Tabletext"/>
              <w:rPr>
                <w:lang w:eastAsia="en-AU"/>
              </w:rPr>
            </w:pPr>
            <w:r w:rsidRPr="00997D7E">
              <w:rPr>
                <w:lang w:eastAsia="en-AU"/>
              </w:rPr>
              <w:t>2009</w:t>
            </w:r>
          </w:p>
        </w:tc>
        <w:tc>
          <w:tcPr>
            <w:tcW w:w="1193" w:type="dxa"/>
            <w:noWrap/>
            <w:hideMark/>
          </w:tcPr>
          <w:p w:rsidR="008B5E68" w:rsidRPr="00997D7E" w:rsidRDefault="008B5E68" w:rsidP="00EF3556">
            <w:pPr>
              <w:pStyle w:val="Tabletext"/>
              <w:jc w:val="right"/>
              <w:rPr>
                <w:lang w:eastAsia="en-AU"/>
              </w:rPr>
            </w:pPr>
            <w:r w:rsidRPr="00997D7E">
              <w:rPr>
                <w:lang w:eastAsia="en-AU"/>
              </w:rPr>
              <w:t>129,167</w:t>
            </w:r>
          </w:p>
        </w:tc>
        <w:tc>
          <w:tcPr>
            <w:tcW w:w="1147" w:type="dxa"/>
            <w:noWrap/>
            <w:hideMark/>
          </w:tcPr>
          <w:p w:rsidR="008B5E68" w:rsidRPr="00997D7E" w:rsidRDefault="008B5E68" w:rsidP="00EF3556">
            <w:pPr>
              <w:pStyle w:val="Tabletext"/>
              <w:jc w:val="right"/>
              <w:rPr>
                <w:lang w:eastAsia="en-AU"/>
              </w:rPr>
            </w:pPr>
            <w:r w:rsidRPr="00997D7E">
              <w:rPr>
                <w:lang w:eastAsia="en-AU"/>
              </w:rPr>
              <w:t>2,050</w:t>
            </w:r>
          </w:p>
        </w:tc>
        <w:tc>
          <w:tcPr>
            <w:tcW w:w="1204" w:type="dxa"/>
            <w:tcBorders>
              <w:right w:val="single" w:sz="4" w:space="0" w:color="595A5B" w:themeColor="text1"/>
            </w:tcBorders>
            <w:noWrap/>
            <w:hideMark/>
          </w:tcPr>
          <w:p w:rsidR="008B5E68" w:rsidRPr="00997D7E" w:rsidRDefault="008B5E68" w:rsidP="00EF3556">
            <w:pPr>
              <w:pStyle w:val="Tabletext"/>
              <w:jc w:val="right"/>
              <w:rPr>
                <w:lang w:eastAsia="en-AU"/>
              </w:rPr>
            </w:pPr>
            <w:r w:rsidRPr="00997D7E">
              <w:rPr>
                <w:lang w:eastAsia="en-AU"/>
              </w:rPr>
              <w:t>61</w:t>
            </w:r>
          </w:p>
        </w:tc>
        <w:tc>
          <w:tcPr>
            <w:tcW w:w="1206" w:type="dxa"/>
            <w:tcBorders>
              <w:left w:val="single" w:sz="4" w:space="0" w:color="595A5B" w:themeColor="text1"/>
            </w:tcBorders>
            <w:noWrap/>
            <w:hideMark/>
          </w:tcPr>
          <w:p w:rsidR="008B5E68" w:rsidRPr="00997D7E" w:rsidRDefault="008B5E68" w:rsidP="00EF3556">
            <w:pPr>
              <w:pStyle w:val="Tabletext"/>
              <w:jc w:val="right"/>
              <w:rPr>
                <w:lang w:eastAsia="en-AU"/>
              </w:rPr>
            </w:pPr>
            <w:r w:rsidRPr="00997D7E">
              <w:rPr>
                <w:lang w:eastAsia="en-AU"/>
              </w:rPr>
              <w:t>169,851</w:t>
            </w:r>
          </w:p>
        </w:tc>
        <w:tc>
          <w:tcPr>
            <w:tcW w:w="1336" w:type="dxa"/>
            <w:noWrap/>
            <w:hideMark/>
          </w:tcPr>
          <w:p w:rsidR="008B5E68" w:rsidRPr="00997D7E" w:rsidRDefault="008B5E68" w:rsidP="00EF3556">
            <w:pPr>
              <w:pStyle w:val="Tabletext"/>
              <w:jc w:val="right"/>
              <w:rPr>
                <w:lang w:eastAsia="en-AU"/>
              </w:rPr>
            </w:pPr>
            <w:r w:rsidRPr="00997D7E">
              <w:rPr>
                <w:lang w:eastAsia="en-AU"/>
              </w:rPr>
              <w:t>4,577</w:t>
            </w:r>
          </w:p>
        </w:tc>
        <w:tc>
          <w:tcPr>
            <w:tcW w:w="1204" w:type="dxa"/>
            <w:tcBorders>
              <w:right w:val="single" w:sz="4" w:space="0" w:color="595A5B" w:themeColor="text1"/>
            </w:tcBorders>
            <w:noWrap/>
            <w:hideMark/>
          </w:tcPr>
          <w:p w:rsidR="008B5E68" w:rsidRPr="00997D7E" w:rsidRDefault="008B5E68" w:rsidP="00EF3556">
            <w:pPr>
              <w:pStyle w:val="Tabletext"/>
              <w:jc w:val="right"/>
              <w:rPr>
                <w:lang w:eastAsia="en-AU"/>
              </w:rPr>
            </w:pPr>
            <w:r w:rsidRPr="00997D7E">
              <w:rPr>
                <w:lang w:eastAsia="en-AU"/>
              </w:rPr>
              <w:t>125</w:t>
            </w:r>
          </w:p>
        </w:tc>
        <w:tc>
          <w:tcPr>
            <w:tcW w:w="1204" w:type="dxa"/>
            <w:tcBorders>
              <w:left w:val="single" w:sz="4" w:space="0" w:color="595A5B" w:themeColor="text1"/>
            </w:tcBorders>
            <w:noWrap/>
            <w:hideMark/>
          </w:tcPr>
          <w:p w:rsidR="008B5E68" w:rsidRPr="00997D7E" w:rsidRDefault="008B5E68" w:rsidP="00EF3556">
            <w:pPr>
              <w:pStyle w:val="Tabletext"/>
              <w:jc w:val="right"/>
              <w:rPr>
                <w:lang w:eastAsia="en-AU"/>
              </w:rPr>
            </w:pPr>
            <w:r w:rsidRPr="00997D7E">
              <w:rPr>
                <w:lang w:eastAsia="en-AU"/>
              </w:rPr>
              <w:t>470,373</w:t>
            </w:r>
          </w:p>
        </w:tc>
        <w:tc>
          <w:tcPr>
            <w:tcW w:w="1455" w:type="dxa"/>
            <w:noWrap/>
            <w:hideMark/>
          </w:tcPr>
          <w:p w:rsidR="008B5E68" w:rsidRPr="00997D7E" w:rsidRDefault="008B5E68" w:rsidP="00EF3556">
            <w:pPr>
              <w:pStyle w:val="Tabletext"/>
              <w:jc w:val="right"/>
              <w:rPr>
                <w:lang w:eastAsia="en-AU"/>
              </w:rPr>
            </w:pPr>
            <w:r w:rsidRPr="00997D7E">
              <w:rPr>
                <w:lang w:eastAsia="en-AU"/>
              </w:rPr>
              <w:t>26,569</w:t>
            </w:r>
          </w:p>
        </w:tc>
        <w:tc>
          <w:tcPr>
            <w:tcW w:w="1269" w:type="dxa"/>
            <w:tcBorders>
              <w:right w:val="single" w:sz="4" w:space="0" w:color="595A5B" w:themeColor="text1"/>
            </w:tcBorders>
            <w:noWrap/>
            <w:hideMark/>
          </w:tcPr>
          <w:p w:rsidR="008B5E68" w:rsidRPr="00997D7E" w:rsidRDefault="008B5E68" w:rsidP="00EF3556">
            <w:pPr>
              <w:pStyle w:val="Tabletext"/>
              <w:jc w:val="right"/>
              <w:rPr>
                <w:lang w:eastAsia="en-AU"/>
              </w:rPr>
            </w:pPr>
            <w:r w:rsidRPr="00997D7E">
              <w:rPr>
                <w:lang w:eastAsia="en-AU"/>
              </w:rPr>
              <w:t>2,650</w:t>
            </w:r>
          </w:p>
        </w:tc>
        <w:tc>
          <w:tcPr>
            <w:tcW w:w="1153" w:type="dxa"/>
            <w:tcBorders>
              <w:left w:val="single" w:sz="4" w:space="0" w:color="595A5B" w:themeColor="text1"/>
              <w:right w:val="nil"/>
            </w:tcBorders>
            <w:vAlign w:val="bottom"/>
          </w:tcPr>
          <w:p w:rsidR="008B5E68" w:rsidRPr="00997D7E" w:rsidRDefault="008B5E68" w:rsidP="008B5E68">
            <w:pPr>
              <w:pStyle w:val="Tabletext"/>
              <w:jc w:val="right"/>
              <w:rPr>
                <w:lang w:eastAsia="en-AU"/>
              </w:rPr>
            </w:pPr>
            <w:r w:rsidRPr="00997D7E">
              <w:rPr>
                <w:lang w:eastAsia="en-AU"/>
              </w:rPr>
              <w:t>805,423</w:t>
            </w:r>
          </w:p>
        </w:tc>
      </w:tr>
      <w:tr w:rsidR="006B209A" w:rsidRPr="00B943AB" w:rsidTr="006B209A">
        <w:trPr>
          <w:trHeight w:val="264"/>
        </w:trPr>
        <w:tc>
          <w:tcPr>
            <w:tcW w:w="1042" w:type="dxa"/>
            <w:noWrap/>
            <w:hideMark/>
          </w:tcPr>
          <w:p w:rsidR="008B5E68" w:rsidRPr="00997D7E" w:rsidRDefault="008B5E68" w:rsidP="00EF3556">
            <w:pPr>
              <w:pStyle w:val="Tabletext"/>
              <w:rPr>
                <w:lang w:eastAsia="en-AU"/>
              </w:rPr>
            </w:pPr>
            <w:r w:rsidRPr="00997D7E">
              <w:rPr>
                <w:lang w:eastAsia="en-AU"/>
              </w:rPr>
              <w:t>2010</w:t>
            </w:r>
          </w:p>
        </w:tc>
        <w:tc>
          <w:tcPr>
            <w:tcW w:w="1193" w:type="dxa"/>
            <w:noWrap/>
            <w:hideMark/>
          </w:tcPr>
          <w:p w:rsidR="008B5E68" w:rsidRPr="00997D7E" w:rsidRDefault="008B5E68" w:rsidP="00EF3556">
            <w:pPr>
              <w:pStyle w:val="Tabletext"/>
              <w:jc w:val="right"/>
              <w:rPr>
                <w:lang w:eastAsia="en-AU"/>
              </w:rPr>
            </w:pPr>
            <w:r w:rsidRPr="00997D7E">
              <w:rPr>
                <w:lang w:eastAsia="en-AU"/>
              </w:rPr>
              <w:t>132,784</w:t>
            </w:r>
          </w:p>
        </w:tc>
        <w:tc>
          <w:tcPr>
            <w:tcW w:w="1147" w:type="dxa"/>
            <w:noWrap/>
            <w:hideMark/>
          </w:tcPr>
          <w:p w:rsidR="008B5E68" w:rsidRPr="00997D7E" w:rsidRDefault="008B5E68" w:rsidP="00EF3556">
            <w:pPr>
              <w:pStyle w:val="Tabletext"/>
              <w:jc w:val="right"/>
              <w:rPr>
                <w:lang w:eastAsia="en-AU"/>
              </w:rPr>
            </w:pPr>
            <w:r w:rsidRPr="00997D7E">
              <w:rPr>
                <w:lang w:eastAsia="en-AU"/>
              </w:rPr>
              <w:t>2,179</w:t>
            </w:r>
          </w:p>
        </w:tc>
        <w:tc>
          <w:tcPr>
            <w:tcW w:w="1204" w:type="dxa"/>
            <w:tcBorders>
              <w:right w:val="single" w:sz="4" w:space="0" w:color="595A5B" w:themeColor="text1"/>
            </w:tcBorders>
            <w:noWrap/>
            <w:hideMark/>
          </w:tcPr>
          <w:p w:rsidR="008B5E68" w:rsidRPr="00997D7E" w:rsidRDefault="008B5E68" w:rsidP="00EF3556">
            <w:pPr>
              <w:pStyle w:val="Tabletext"/>
              <w:jc w:val="right"/>
              <w:rPr>
                <w:lang w:eastAsia="en-AU"/>
              </w:rPr>
            </w:pPr>
            <w:r w:rsidRPr="00997D7E">
              <w:rPr>
                <w:lang w:eastAsia="en-AU"/>
              </w:rPr>
              <w:t>86</w:t>
            </w:r>
          </w:p>
        </w:tc>
        <w:tc>
          <w:tcPr>
            <w:tcW w:w="1206" w:type="dxa"/>
            <w:tcBorders>
              <w:left w:val="single" w:sz="4" w:space="0" w:color="595A5B" w:themeColor="text1"/>
            </w:tcBorders>
            <w:noWrap/>
            <w:hideMark/>
          </w:tcPr>
          <w:p w:rsidR="008B5E68" w:rsidRPr="00997D7E" w:rsidRDefault="008B5E68" w:rsidP="00EF3556">
            <w:pPr>
              <w:pStyle w:val="Tabletext"/>
              <w:jc w:val="right"/>
              <w:rPr>
                <w:lang w:eastAsia="en-AU"/>
              </w:rPr>
            </w:pPr>
            <w:r w:rsidRPr="00997D7E">
              <w:rPr>
                <w:lang w:eastAsia="en-AU"/>
              </w:rPr>
              <w:t>158,966</w:t>
            </w:r>
          </w:p>
        </w:tc>
        <w:tc>
          <w:tcPr>
            <w:tcW w:w="1336" w:type="dxa"/>
            <w:noWrap/>
            <w:hideMark/>
          </w:tcPr>
          <w:p w:rsidR="008B5E68" w:rsidRPr="00997D7E" w:rsidRDefault="008B5E68" w:rsidP="00EF3556">
            <w:pPr>
              <w:pStyle w:val="Tabletext"/>
              <w:jc w:val="right"/>
              <w:rPr>
                <w:lang w:eastAsia="en-AU"/>
              </w:rPr>
            </w:pPr>
            <w:r w:rsidRPr="00997D7E">
              <w:rPr>
                <w:lang w:eastAsia="en-AU"/>
              </w:rPr>
              <w:t>4,508</w:t>
            </w:r>
          </w:p>
        </w:tc>
        <w:tc>
          <w:tcPr>
            <w:tcW w:w="1204" w:type="dxa"/>
            <w:tcBorders>
              <w:right w:val="single" w:sz="4" w:space="0" w:color="595A5B" w:themeColor="text1"/>
            </w:tcBorders>
            <w:noWrap/>
            <w:hideMark/>
          </w:tcPr>
          <w:p w:rsidR="008B5E68" w:rsidRPr="00997D7E" w:rsidRDefault="008B5E68" w:rsidP="00EF3556">
            <w:pPr>
              <w:pStyle w:val="Tabletext"/>
              <w:jc w:val="right"/>
              <w:rPr>
                <w:lang w:eastAsia="en-AU"/>
              </w:rPr>
            </w:pPr>
            <w:r w:rsidRPr="00997D7E">
              <w:rPr>
                <w:lang w:eastAsia="en-AU"/>
              </w:rPr>
              <w:t>126</w:t>
            </w:r>
          </w:p>
        </w:tc>
        <w:tc>
          <w:tcPr>
            <w:tcW w:w="1204" w:type="dxa"/>
            <w:tcBorders>
              <w:left w:val="single" w:sz="4" w:space="0" w:color="595A5B" w:themeColor="text1"/>
            </w:tcBorders>
            <w:noWrap/>
            <w:hideMark/>
          </w:tcPr>
          <w:p w:rsidR="008B5E68" w:rsidRPr="00997D7E" w:rsidRDefault="008B5E68" w:rsidP="00EF3556">
            <w:pPr>
              <w:pStyle w:val="Tabletext"/>
              <w:jc w:val="right"/>
              <w:rPr>
                <w:lang w:eastAsia="en-AU"/>
              </w:rPr>
            </w:pPr>
            <w:r w:rsidRPr="00997D7E">
              <w:rPr>
                <w:lang w:eastAsia="en-AU"/>
              </w:rPr>
              <w:t>483,184</w:t>
            </w:r>
          </w:p>
        </w:tc>
        <w:tc>
          <w:tcPr>
            <w:tcW w:w="1455" w:type="dxa"/>
            <w:noWrap/>
            <w:hideMark/>
          </w:tcPr>
          <w:p w:rsidR="008B5E68" w:rsidRPr="00997D7E" w:rsidRDefault="008B5E68" w:rsidP="00EF3556">
            <w:pPr>
              <w:pStyle w:val="Tabletext"/>
              <w:jc w:val="right"/>
              <w:rPr>
                <w:lang w:eastAsia="en-AU"/>
              </w:rPr>
            </w:pPr>
            <w:r w:rsidRPr="00997D7E">
              <w:rPr>
                <w:lang w:eastAsia="en-AU"/>
              </w:rPr>
              <w:t>27,756</w:t>
            </w:r>
          </w:p>
        </w:tc>
        <w:tc>
          <w:tcPr>
            <w:tcW w:w="1269" w:type="dxa"/>
            <w:tcBorders>
              <w:right w:val="single" w:sz="4" w:space="0" w:color="595A5B" w:themeColor="text1"/>
            </w:tcBorders>
            <w:noWrap/>
            <w:hideMark/>
          </w:tcPr>
          <w:p w:rsidR="008B5E68" w:rsidRPr="00997D7E" w:rsidRDefault="008B5E68" w:rsidP="00EF3556">
            <w:pPr>
              <w:pStyle w:val="Tabletext"/>
              <w:jc w:val="right"/>
              <w:rPr>
                <w:lang w:eastAsia="en-AU"/>
              </w:rPr>
            </w:pPr>
            <w:r w:rsidRPr="00997D7E">
              <w:rPr>
                <w:lang w:eastAsia="en-AU"/>
              </w:rPr>
              <w:t>2,750</w:t>
            </w:r>
          </w:p>
        </w:tc>
        <w:tc>
          <w:tcPr>
            <w:tcW w:w="1153" w:type="dxa"/>
            <w:tcBorders>
              <w:left w:val="single" w:sz="4" w:space="0" w:color="595A5B" w:themeColor="text1"/>
              <w:bottom w:val="nil"/>
              <w:right w:val="nil"/>
            </w:tcBorders>
            <w:vAlign w:val="bottom"/>
          </w:tcPr>
          <w:p w:rsidR="008B5E68" w:rsidRPr="00997D7E" w:rsidRDefault="008B5E68" w:rsidP="008B5E68">
            <w:pPr>
              <w:pStyle w:val="Tabletext"/>
              <w:jc w:val="right"/>
              <w:rPr>
                <w:lang w:eastAsia="en-AU"/>
              </w:rPr>
            </w:pPr>
            <w:r w:rsidRPr="00997D7E">
              <w:rPr>
                <w:lang w:eastAsia="en-AU"/>
              </w:rPr>
              <w:t>812,339</w:t>
            </w:r>
          </w:p>
        </w:tc>
      </w:tr>
      <w:tr w:rsidR="006B209A" w:rsidRPr="00B943AB" w:rsidTr="006B209A">
        <w:trPr>
          <w:trHeight w:val="264"/>
        </w:trPr>
        <w:tc>
          <w:tcPr>
            <w:tcW w:w="1042" w:type="dxa"/>
            <w:tcBorders>
              <w:bottom w:val="nil"/>
            </w:tcBorders>
            <w:noWrap/>
            <w:hideMark/>
          </w:tcPr>
          <w:p w:rsidR="008B5E68" w:rsidRPr="00997D7E" w:rsidRDefault="008B5E68" w:rsidP="00EF3556">
            <w:pPr>
              <w:pStyle w:val="Tabletext"/>
              <w:rPr>
                <w:lang w:eastAsia="en-AU"/>
              </w:rPr>
            </w:pPr>
            <w:r w:rsidRPr="00997D7E">
              <w:rPr>
                <w:lang w:eastAsia="en-AU"/>
              </w:rPr>
              <w:t>2011</w:t>
            </w:r>
          </w:p>
        </w:tc>
        <w:tc>
          <w:tcPr>
            <w:tcW w:w="1193" w:type="dxa"/>
            <w:tcBorders>
              <w:bottom w:val="nil"/>
            </w:tcBorders>
            <w:noWrap/>
            <w:hideMark/>
          </w:tcPr>
          <w:p w:rsidR="008B5E68" w:rsidRPr="00997D7E" w:rsidRDefault="008B5E68" w:rsidP="00EF3556">
            <w:pPr>
              <w:pStyle w:val="Tabletext"/>
              <w:jc w:val="right"/>
              <w:rPr>
                <w:lang w:eastAsia="en-AU"/>
              </w:rPr>
            </w:pPr>
            <w:r w:rsidRPr="00997D7E">
              <w:rPr>
                <w:lang w:eastAsia="en-AU"/>
              </w:rPr>
              <w:t>129,069</w:t>
            </w:r>
          </w:p>
        </w:tc>
        <w:tc>
          <w:tcPr>
            <w:tcW w:w="1147" w:type="dxa"/>
            <w:tcBorders>
              <w:bottom w:val="nil"/>
            </w:tcBorders>
            <w:noWrap/>
            <w:hideMark/>
          </w:tcPr>
          <w:p w:rsidR="008B5E68" w:rsidRPr="00997D7E" w:rsidRDefault="008B5E68" w:rsidP="00EF3556">
            <w:pPr>
              <w:pStyle w:val="Tabletext"/>
              <w:jc w:val="right"/>
              <w:rPr>
                <w:lang w:eastAsia="en-AU"/>
              </w:rPr>
            </w:pPr>
            <w:r w:rsidRPr="00997D7E">
              <w:rPr>
                <w:lang w:eastAsia="en-AU"/>
              </w:rPr>
              <w:t>2,544</w:t>
            </w:r>
          </w:p>
        </w:tc>
        <w:tc>
          <w:tcPr>
            <w:tcW w:w="1204" w:type="dxa"/>
            <w:tcBorders>
              <w:bottom w:val="nil"/>
              <w:right w:val="single" w:sz="4" w:space="0" w:color="595A5B" w:themeColor="text1"/>
            </w:tcBorders>
            <w:noWrap/>
            <w:hideMark/>
          </w:tcPr>
          <w:p w:rsidR="008B5E68" w:rsidRPr="00997D7E" w:rsidRDefault="008B5E68" w:rsidP="00EF3556">
            <w:pPr>
              <w:pStyle w:val="Tabletext"/>
              <w:jc w:val="right"/>
              <w:rPr>
                <w:lang w:eastAsia="en-AU"/>
              </w:rPr>
            </w:pPr>
            <w:r w:rsidRPr="00997D7E">
              <w:rPr>
                <w:lang w:eastAsia="en-AU"/>
              </w:rPr>
              <w:t>106</w:t>
            </w:r>
          </w:p>
        </w:tc>
        <w:tc>
          <w:tcPr>
            <w:tcW w:w="1206" w:type="dxa"/>
            <w:tcBorders>
              <w:left w:val="single" w:sz="4" w:space="0" w:color="595A5B" w:themeColor="text1"/>
              <w:bottom w:val="nil"/>
            </w:tcBorders>
            <w:noWrap/>
            <w:hideMark/>
          </w:tcPr>
          <w:p w:rsidR="008B5E68" w:rsidRPr="00997D7E" w:rsidRDefault="008B5E68" w:rsidP="00EF3556">
            <w:pPr>
              <w:pStyle w:val="Tabletext"/>
              <w:jc w:val="right"/>
              <w:rPr>
                <w:lang w:eastAsia="en-AU"/>
              </w:rPr>
            </w:pPr>
            <w:r w:rsidRPr="00997D7E">
              <w:rPr>
                <w:lang w:eastAsia="en-AU"/>
              </w:rPr>
              <w:t>151,584</w:t>
            </w:r>
          </w:p>
        </w:tc>
        <w:tc>
          <w:tcPr>
            <w:tcW w:w="1336" w:type="dxa"/>
            <w:tcBorders>
              <w:bottom w:val="nil"/>
            </w:tcBorders>
            <w:noWrap/>
            <w:hideMark/>
          </w:tcPr>
          <w:p w:rsidR="008B5E68" w:rsidRPr="00997D7E" w:rsidRDefault="008B5E68" w:rsidP="00EF3556">
            <w:pPr>
              <w:pStyle w:val="Tabletext"/>
              <w:jc w:val="right"/>
              <w:rPr>
                <w:lang w:eastAsia="en-AU"/>
              </w:rPr>
            </w:pPr>
            <w:r w:rsidRPr="00997D7E">
              <w:rPr>
                <w:lang w:eastAsia="en-AU"/>
              </w:rPr>
              <w:t>4,619</w:t>
            </w:r>
          </w:p>
        </w:tc>
        <w:tc>
          <w:tcPr>
            <w:tcW w:w="1204" w:type="dxa"/>
            <w:tcBorders>
              <w:bottom w:val="nil"/>
              <w:right w:val="single" w:sz="4" w:space="0" w:color="595A5B" w:themeColor="text1"/>
            </w:tcBorders>
            <w:noWrap/>
            <w:hideMark/>
          </w:tcPr>
          <w:p w:rsidR="008B5E68" w:rsidRPr="00997D7E" w:rsidRDefault="008B5E68" w:rsidP="00EF3556">
            <w:pPr>
              <w:pStyle w:val="Tabletext"/>
              <w:jc w:val="right"/>
              <w:rPr>
                <w:lang w:eastAsia="en-AU"/>
              </w:rPr>
            </w:pPr>
            <w:r w:rsidRPr="00997D7E">
              <w:rPr>
                <w:lang w:eastAsia="en-AU"/>
              </w:rPr>
              <w:t>160</w:t>
            </w:r>
          </w:p>
        </w:tc>
        <w:tc>
          <w:tcPr>
            <w:tcW w:w="1204" w:type="dxa"/>
            <w:tcBorders>
              <w:left w:val="single" w:sz="4" w:space="0" w:color="595A5B" w:themeColor="text1"/>
              <w:bottom w:val="nil"/>
            </w:tcBorders>
            <w:noWrap/>
            <w:hideMark/>
          </w:tcPr>
          <w:p w:rsidR="008B5E68" w:rsidRPr="00997D7E" w:rsidRDefault="008B5E68" w:rsidP="00EF3556">
            <w:pPr>
              <w:pStyle w:val="Tabletext"/>
              <w:jc w:val="right"/>
              <w:rPr>
                <w:lang w:eastAsia="en-AU"/>
              </w:rPr>
            </w:pPr>
            <w:r w:rsidRPr="00997D7E">
              <w:rPr>
                <w:lang w:eastAsia="en-AU"/>
              </w:rPr>
              <w:t>490,684</w:t>
            </w:r>
          </w:p>
        </w:tc>
        <w:tc>
          <w:tcPr>
            <w:tcW w:w="1455" w:type="dxa"/>
            <w:tcBorders>
              <w:bottom w:val="nil"/>
            </w:tcBorders>
            <w:noWrap/>
            <w:hideMark/>
          </w:tcPr>
          <w:p w:rsidR="008B5E68" w:rsidRPr="00997D7E" w:rsidRDefault="008B5E68" w:rsidP="00EF3556">
            <w:pPr>
              <w:pStyle w:val="Tabletext"/>
              <w:jc w:val="right"/>
              <w:rPr>
                <w:lang w:eastAsia="en-AU"/>
              </w:rPr>
            </w:pPr>
            <w:r w:rsidRPr="00997D7E">
              <w:rPr>
                <w:lang w:eastAsia="en-AU"/>
              </w:rPr>
              <w:t>29,493</w:t>
            </w:r>
          </w:p>
        </w:tc>
        <w:tc>
          <w:tcPr>
            <w:tcW w:w="1269" w:type="dxa"/>
            <w:tcBorders>
              <w:bottom w:val="nil"/>
              <w:right w:val="single" w:sz="4" w:space="0" w:color="595A5B" w:themeColor="text1"/>
            </w:tcBorders>
            <w:noWrap/>
            <w:hideMark/>
          </w:tcPr>
          <w:p w:rsidR="008B5E68" w:rsidRPr="00997D7E" w:rsidRDefault="008B5E68" w:rsidP="00EF3556">
            <w:pPr>
              <w:pStyle w:val="Tabletext"/>
              <w:jc w:val="right"/>
              <w:rPr>
                <w:lang w:eastAsia="en-AU"/>
              </w:rPr>
            </w:pPr>
            <w:r w:rsidRPr="00997D7E">
              <w:rPr>
                <w:lang w:eastAsia="en-AU"/>
              </w:rPr>
              <w:t>2,892</w:t>
            </w:r>
          </w:p>
        </w:tc>
        <w:tc>
          <w:tcPr>
            <w:tcW w:w="1153" w:type="dxa"/>
            <w:tcBorders>
              <w:left w:val="single" w:sz="4" w:space="0" w:color="595A5B" w:themeColor="text1"/>
              <w:bottom w:val="nil"/>
              <w:right w:val="nil"/>
            </w:tcBorders>
            <w:vAlign w:val="bottom"/>
          </w:tcPr>
          <w:p w:rsidR="008B5E68" w:rsidRPr="00997D7E" w:rsidRDefault="008B5E68" w:rsidP="008B5E68">
            <w:pPr>
              <w:pStyle w:val="Tabletext"/>
              <w:jc w:val="right"/>
              <w:rPr>
                <w:lang w:eastAsia="en-AU"/>
              </w:rPr>
            </w:pPr>
            <w:r w:rsidRPr="00997D7E">
              <w:rPr>
                <w:lang w:eastAsia="en-AU"/>
              </w:rPr>
              <w:t>811,151</w:t>
            </w:r>
          </w:p>
        </w:tc>
      </w:tr>
      <w:tr w:rsidR="006B209A" w:rsidRPr="00B943AB" w:rsidTr="006B209A">
        <w:trPr>
          <w:trHeight w:val="264"/>
        </w:trPr>
        <w:tc>
          <w:tcPr>
            <w:tcW w:w="4586" w:type="dxa"/>
            <w:gridSpan w:val="4"/>
            <w:tcBorders>
              <w:right w:val="single" w:sz="4" w:space="0" w:color="595A5B" w:themeColor="text1"/>
            </w:tcBorders>
            <w:noWrap/>
            <w:hideMark/>
          </w:tcPr>
          <w:p w:rsidR="006B209A" w:rsidRPr="00997D7E" w:rsidRDefault="006B209A" w:rsidP="00EF3556">
            <w:pPr>
              <w:pStyle w:val="Tabletext"/>
              <w:rPr>
                <w:lang w:eastAsia="en-AU"/>
              </w:rPr>
            </w:pPr>
            <w:r w:rsidRPr="00997D7E">
              <w:rPr>
                <w:lang w:eastAsia="en-AU"/>
              </w:rPr>
              <w:t>Total employment (FTE)</w:t>
            </w:r>
          </w:p>
        </w:tc>
        <w:tc>
          <w:tcPr>
            <w:tcW w:w="3746" w:type="dxa"/>
            <w:gridSpan w:val="3"/>
            <w:tcBorders>
              <w:left w:val="single" w:sz="4" w:space="0" w:color="595A5B" w:themeColor="text1"/>
              <w:right w:val="single" w:sz="4" w:space="0" w:color="595A5B" w:themeColor="text1"/>
            </w:tcBorders>
          </w:tcPr>
          <w:p w:rsidR="006B209A" w:rsidRPr="00997D7E" w:rsidRDefault="006B209A" w:rsidP="00EF3556">
            <w:pPr>
              <w:pStyle w:val="Tabletext"/>
              <w:rPr>
                <w:lang w:eastAsia="en-AU"/>
              </w:rPr>
            </w:pPr>
          </w:p>
        </w:tc>
        <w:tc>
          <w:tcPr>
            <w:tcW w:w="3928" w:type="dxa"/>
            <w:gridSpan w:val="3"/>
            <w:tcBorders>
              <w:left w:val="single" w:sz="4" w:space="0" w:color="595A5B" w:themeColor="text1"/>
              <w:right w:val="single" w:sz="4" w:space="0" w:color="595A5B" w:themeColor="text1"/>
            </w:tcBorders>
          </w:tcPr>
          <w:p w:rsidR="006B209A" w:rsidRPr="00997D7E" w:rsidRDefault="006B209A" w:rsidP="00EF3556">
            <w:pPr>
              <w:pStyle w:val="Tabletext"/>
              <w:rPr>
                <w:lang w:eastAsia="en-AU"/>
              </w:rPr>
            </w:pPr>
          </w:p>
        </w:tc>
        <w:tc>
          <w:tcPr>
            <w:tcW w:w="1153" w:type="dxa"/>
            <w:tcBorders>
              <w:left w:val="single" w:sz="4" w:space="0" w:color="595A5B" w:themeColor="text1"/>
              <w:bottom w:val="nil"/>
              <w:right w:val="nil"/>
            </w:tcBorders>
          </w:tcPr>
          <w:p w:rsidR="006B209A" w:rsidRPr="00997D7E" w:rsidRDefault="006B209A" w:rsidP="008B5E68">
            <w:pPr>
              <w:pStyle w:val="Tabletext"/>
              <w:jc w:val="right"/>
              <w:rPr>
                <w:lang w:eastAsia="en-AU"/>
              </w:rPr>
            </w:pPr>
          </w:p>
        </w:tc>
      </w:tr>
      <w:tr w:rsidR="006B209A" w:rsidRPr="00B943AB" w:rsidTr="006B209A">
        <w:trPr>
          <w:trHeight w:val="264"/>
        </w:trPr>
        <w:tc>
          <w:tcPr>
            <w:tcW w:w="1042" w:type="dxa"/>
            <w:noWrap/>
            <w:hideMark/>
          </w:tcPr>
          <w:p w:rsidR="008B5E68" w:rsidRPr="00997D7E" w:rsidRDefault="008B5E68" w:rsidP="00EF3556">
            <w:pPr>
              <w:pStyle w:val="Tabletext"/>
              <w:rPr>
                <w:lang w:eastAsia="en-AU"/>
              </w:rPr>
            </w:pPr>
            <w:r w:rsidRPr="00997D7E">
              <w:rPr>
                <w:lang w:eastAsia="en-AU"/>
              </w:rPr>
              <w:t>2006</w:t>
            </w:r>
          </w:p>
        </w:tc>
        <w:tc>
          <w:tcPr>
            <w:tcW w:w="1193" w:type="dxa"/>
            <w:noWrap/>
            <w:hideMark/>
          </w:tcPr>
          <w:p w:rsidR="008B5E68" w:rsidRPr="00997D7E" w:rsidRDefault="008B5E68" w:rsidP="00EF3556">
            <w:pPr>
              <w:pStyle w:val="Tabletext"/>
              <w:jc w:val="right"/>
              <w:rPr>
                <w:lang w:eastAsia="en-AU"/>
              </w:rPr>
            </w:pPr>
            <w:r w:rsidRPr="00997D7E">
              <w:rPr>
                <w:lang w:eastAsia="en-AU"/>
              </w:rPr>
              <w:t>315,608</w:t>
            </w:r>
          </w:p>
        </w:tc>
        <w:tc>
          <w:tcPr>
            <w:tcW w:w="1147" w:type="dxa"/>
            <w:noWrap/>
            <w:hideMark/>
          </w:tcPr>
          <w:p w:rsidR="008B5E68" w:rsidRPr="00997D7E" w:rsidRDefault="008B5E68" w:rsidP="00EF3556">
            <w:pPr>
              <w:pStyle w:val="Tabletext"/>
              <w:jc w:val="right"/>
              <w:rPr>
                <w:lang w:eastAsia="en-AU"/>
              </w:rPr>
            </w:pPr>
            <w:r w:rsidRPr="00997D7E">
              <w:rPr>
                <w:lang w:eastAsia="en-AU"/>
              </w:rPr>
              <w:t>108,758</w:t>
            </w:r>
          </w:p>
        </w:tc>
        <w:tc>
          <w:tcPr>
            <w:tcW w:w="1204" w:type="dxa"/>
            <w:tcBorders>
              <w:right w:val="single" w:sz="4" w:space="0" w:color="595A5B" w:themeColor="text1"/>
            </w:tcBorders>
            <w:noWrap/>
            <w:hideMark/>
          </w:tcPr>
          <w:p w:rsidR="008B5E68" w:rsidRPr="00997D7E" w:rsidRDefault="008B5E68" w:rsidP="00EF3556">
            <w:pPr>
              <w:pStyle w:val="Tabletext"/>
              <w:jc w:val="right"/>
              <w:rPr>
                <w:lang w:eastAsia="en-AU"/>
              </w:rPr>
            </w:pPr>
            <w:r w:rsidRPr="00997D7E">
              <w:rPr>
                <w:lang w:eastAsia="en-AU"/>
              </w:rPr>
              <w:t>43,929</w:t>
            </w:r>
          </w:p>
        </w:tc>
        <w:tc>
          <w:tcPr>
            <w:tcW w:w="1206" w:type="dxa"/>
            <w:tcBorders>
              <w:left w:val="single" w:sz="4" w:space="0" w:color="595A5B" w:themeColor="text1"/>
            </w:tcBorders>
            <w:noWrap/>
            <w:hideMark/>
          </w:tcPr>
          <w:p w:rsidR="008B5E68" w:rsidRPr="00997D7E" w:rsidRDefault="008B5E68" w:rsidP="00EF3556">
            <w:pPr>
              <w:pStyle w:val="Tabletext"/>
              <w:jc w:val="right"/>
              <w:rPr>
                <w:lang w:eastAsia="en-AU"/>
              </w:rPr>
            </w:pPr>
            <w:r w:rsidRPr="00997D7E">
              <w:rPr>
                <w:lang w:eastAsia="en-AU"/>
              </w:rPr>
              <w:t>480,226</w:t>
            </w:r>
          </w:p>
        </w:tc>
        <w:tc>
          <w:tcPr>
            <w:tcW w:w="1336" w:type="dxa"/>
            <w:noWrap/>
            <w:hideMark/>
          </w:tcPr>
          <w:p w:rsidR="008B5E68" w:rsidRPr="00997D7E" w:rsidRDefault="008B5E68" w:rsidP="00EF3556">
            <w:pPr>
              <w:pStyle w:val="Tabletext"/>
              <w:jc w:val="right"/>
              <w:rPr>
                <w:lang w:eastAsia="en-AU"/>
              </w:rPr>
            </w:pPr>
            <w:r w:rsidRPr="00997D7E">
              <w:rPr>
                <w:lang w:eastAsia="en-AU"/>
              </w:rPr>
              <w:t>208,009</w:t>
            </w:r>
          </w:p>
        </w:tc>
        <w:tc>
          <w:tcPr>
            <w:tcW w:w="1204" w:type="dxa"/>
            <w:tcBorders>
              <w:right w:val="single" w:sz="4" w:space="0" w:color="595A5B" w:themeColor="text1"/>
            </w:tcBorders>
            <w:noWrap/>
            <w:hideMark/>
          </w:tcPr>
          <w:p w:rsidR="008B5E68" w:rsidRPr="00997D7E" w:rsidRDefault="008B5E68" w:rsidP="00EF3556">
            <w:pPr>
              <w:pStyle w:val="Tabletext"/>
              <w:jc w:val="right"/>
              <w:rPr>
                <w:lang w:eastAsia="en-AU"/>
              </w:rPr>
            </w:pPr>
            <w:r w:rsidRPr="00997D7E">
              <w:rPr>
                <w:lang w:eastAsia="en-AU"/>
              </w:rPr>
              <w:t>123,430</w:t>
            </w:r>
          </w:p>
        </w:tc>
        <w:tc>
          <w:tcPr>
            <w:tcW w:w="1204" w:type="dxa"/>
            <w:tcBorders>
              <w:left w:val="single" w:sz="4" w:space="0" w:color="595A5B" w:themeColor="text1"/>
            </w:tcBorders>
            <w:noWrap/>
            <w:hideMark/>
          </w:tcPr>
          <w:p w:rsidR="008B5E68" w:rsidRPr="00997D7E" w:rsidRDefault="008B5E68" w:rsidP="00EF3556">
            <w:pPr>
              <w:pStyle w:val="Tabletext"/>
              <w:jc w:val="right"/>
              <w:rPr>
                <w:lang w:eastAsia="en-AU"/>
              </w:rPr>
            </w:pPr>
            <w:r w:rsidRPr="00997D7E">
              <w:rPr>
                <w:lang w:eastAsia="en-AU"/>
              </w:rPr>
              <w:t>1,366,960</w:t>
            </w:r>
          </w:p>
        </w:tc>
        <w:tc>
          <w:tcPr>
            <w:tcW w:w="1455" w:type="dxa"/>
            <w:noWrap/>
            <w:hideMark/>
          </w:tcPr>
          <w:p w:rsidR="008B5E68" w:rsidRPr="00997D7E" w:rsidRDefault="008B5E68" w:rsidP="00EF3556">
            <w:pPr>
              <w:pStyle w:val="Tabletext"/>
              <w:jc w:val="right"/>
              <w:rPr>
                <w:lang w:eastAsia="en-AU"/>
              </w:rPr>
            </w:pPr>
            <w:r w:rsidRPr="00997D7E">
              <w:rPr>
                <w:lang w:eastAsia="en-AU"/>
              </w:rPr>
              <w:t>1,239,591</w:t>
            </w:r>
          </w:p>
        </w:tc>
        <w:tc>
          <w:tcPr>
            <w:tcW w:w="1269" w:type="dxa"/>
            <w:tcBorders>
              <w:right w:val="single" w:sz="4" w:space="0" w:color="595A5B" w:themeColor="text1"/>
            </w:tcBorders>
            <w:noWrap/>
            <w:hideMark/>
          </w:tcPr>
          <w:p w:rsidR="008B5E68" w:rsidRPr="00997D7E" w:rsidRDefault="008B5E68" w:rsidP="00EF3556">
            <w:pPr>
              <w:pStyle w:val="Tabletext"/>
              <w:jc w:val="right"/>
              <w:rPr>
                <w:lang w:eastAsia="en-AU"/>
              </w:rPr>
            </w:pPr>
            <w:r w:rsidRPr="00997D7E">
              <w:rPr>
                <w:lang w:eastAsia="en-AU"/>
              </w:rPr>
              <w:t>2,671,885</w:t>
            </w:r>
          </w:p>
        </w:tc>
        <w:tc>
          <w:tcPr>
            <w:tcW w:w="1153" w:type="dxa"/>
            <w:tcBorders>
              <w:left w:val="single" w:sz="4" w:space="0" w:color="595A5B" w:themeColor="text1"/>
              <w:right w:val="nil"/>
            </w:tcBorders>
            <w:vAlign w:val="bottom"/>
          </w:tcPr>
          <w:p w:rsidR="008B5E68" w:rsidRPr="00997D7E" w:rsidRDefault="008B5E68" w:rsidP="008B5E68">
            <w:pPr>
              <w:pStyle w:val="Tabletext"/>
              <w:jc w:val="right"/>
              <w:rPr>
                <w:lang w:eastAsia="en-AU"/>
              </w:rPr>
            </w:pPr>
            <w:r w:rsidRPr="00997D7E">
              <w:rPr>
                <w:lang w:eastAsia="en-AU"/>
              </w:rPr>
              <w:t>6,558,396</w:t>
            </w:r>
          </w:p>
        </w:tc>
      </w:tr>
      <w:tr w:rsidR="006B209A" w:rsidRPr="00B943AB" w:rsidTr="006B209A">
        <w:trPr>
          <w:trHeight w:val="264"/>
        </w:trPr>
        <w:tc>
          <w:tcPr>
            <w:tcW w:w="1042" w:type="dxa"/>
            <w:noWrap/>
            <w:hideMark/>
          </w:tcPr>
          <w:p w:rsidR="008B5E68" w:rsidRPr="00997D7E" w:rsidRDefault="008B5E68" w:rsidP="00EF3556">
            <w:pPr>
              <w:pStyle w:val="Tabletext"/>
              <w:rPr>
                <w:lang w:eastAsia="en-AU"/>
              </w:rPr>
            </w:pPr>
            <w:r w:rsidRPr="00997D7E">
              <w:rPr>
                <w:lang w:eastAsia="en-AU"/>
              </w:rPr>
              <w:t>2007</w:t>
            </w:r>
          </w:p>
        </w:tc>
        <w:tc>
          <w:tcPr>
            <w:tcW w:w="1193" w:type="dxa"/>
            <w:noWrap/>
            <w:hideMark/>
          </w:tcPr>
          <w:p w:rsidR="008B5E68" w:rsidRPr="00997D7E" w:rsidRDefault="008B5E68" w:rsidP="00EF3556">
            <w:pPr>
              <w:pStyle w:val="Tabletext"/>
              <w:jc w:val="right"/>
              <w:rPr>
                <w:lang w:eastAsia="en-AU"/>
              </w:rPr>
            </w:pPr>
            <w:r w:rsidRPr="00997D7E">
              <w:rPr>
                <w:lang w:eastAsia="en-AU"/>
              </w:rPr>
              <w:t>313,641</w:t>
            </w:r>
          </w:p>
        </w:tc>
        <w:tc>
          <w:tcPr>
            <w:tcW w:w="1147" w:type="dxa"/>
            <w:noWrap/>
            <w:hideMark/>
          </w:tcPr>
          <w:p w:rsidR="008B5E68" w:rsidRPr="00997D7E" w:rsidRDefault="008B5E68" w:rsidP="00EF3556">
            <w:pPr>
              <w:pStyle w:val="Tabletext"/>
              <w:jc w:val="right"/>
              <w:rPr>
                <w:lang w:eastAsia="en-AU"/>
              </w:rPr>
            </w:pPr>
            <w:r w:rsidRPr="00997D7E">
              <w:rPr>
                <w:lang w:eastAsia="en-AU"/>
              </w:rPr>
              <w:t>115,861</w:t>
            </w:r>
          </w:p>
        </w:tc>
        <w:tc>
          <w:tcPr>
            <w:tcW w:w="1204" w:type="dxa"/>
            <w:tcBorders>
              <w:right w:val="single" w:sz="4" w:space="0" w:color="595A5B" w:themeColor="text1"/>
            </w:tcBorders>
            <w:noWrap/>
            <w:hideMark/>
          </w:tcPr>
          <w:p w:rsidR="008B5E68" w:rsidRPr="00997D7E" w:rsidRDefault="008B5E68" w:rsidP="00EF3556">
            <w:pPr>
              <w:pStyle w:val="Tabletext"/>
              <w:jc w:val="right"/>
              <w:rPr>
                <w:lang w:eastAsia="en-AU"/>
              </w:rPr>
            </w:pPr>
            <w:r w:rsidRPr="00997D7E">
              <w:rPr>
                <w:lang w:eastAsia="en-AU"/>
              </w:rPr>
              <w:t>31,717</w:t>
            </w:r>
          </w:p>
        </w:tc>
        <w:tc>
          <w:tcPr>
            <w:tcW w:w="1206" w:type="dxa"/>
            <w:tcBorders>
              <w:left w:val="single" w:sz="4" w:space="0" w:color="595A5B" w:themeColor="text1"/>
            </w:tcBorders>
            <w:noWrap/>
            <w:hideMark/>
          </w:tcPr>
          <w:p w:rsidR="008B5E68" w:rsidRPr="00997D7E" w:rsidRDefault="008B5E68" w:rsidP="00EF3556">
            <w:pPr>
              <w:pStyle w:val="Tabletext"/>
              <w:jc w:val="right"/>
              <w:rPr>
                <w:lang w:eastAsia="en-AU"/>
              </w:rPr>
            </w:pPr>
            <w:r w:rsidRPr="00997D7E">
              <w:rPr>
                <w:lang w:eastAsia="en-AU"/>
              </w:rPr>
              <w:t>494,420</w:t>
            </w:r>
          </w:p>
        </w:tc>
        <w:tc>
          <w:tcPr>
            <w:tcW w:w="1336" w:type="dxa"/>
            <w:noWrap/>
            <w:hideMark/>
          </w:tcPr>
          <w:p w:rsidR="008B5E68" w:rsidRPr="00997D7E" w:rsidRDefault="008B5E68" w:rsidP="00EF3556">
            <w:pPr>
              <w:pStyle w:val="Tabletext"/>
              <w:jc w:val="right"/>
              <w:rPr>
                <w:lang w:eastAsia="en-AU"/>
              </w:rPr>
            </w:pPr>
            <w:r w:rsidRPr="00997D7E">
              <w:rPr>
                <w:lang w:eastAsia="en-AU"/>
              </w:rPr>
              <w:t>224,420</w:t>
            </w:r>
          </w:p>
        </w:tc>
        <w:tc>
          <w:tcPr>
            <w:tcW w:w="1204" w:type="dxa"/>
            <w:tcBorders>
              <w:right w:val="single" w:sz="4" w:space="0" w:color="595A5B" w:themeColor="text1"/>
            </w:tcBorders>
            <w:noWrap/>
            <w:hideMark/>
          </w:tcPr>
          <w:p w:rsidR="008B5E68" w:rsidRPr="00997D7E" w:rsidRDefault="008B5E68" w:rsidP="00EF3556">
            <w:pPr>
              <w:pStyle w:val="Tabletext"/>
              <w:jc w:val="right"/>
              <w:rPr>
                <w:lang w:eastAsia="en-AU"/>
              </w:rPr>
            </w:pPr>
            <w:r w:rsidRPr="00997D7E">
              <w:rPr>
                <w:lang w:eastAsia="en-AU"/>
              </w:rPr>
              <w:t>123,541</w:t>
            </w:r>
          </w:p>
        </w:tc>
        <w:tc>
          <w:tcPr>
            <w:tcW w:w="1204" w:type="dxa"/>
            <w:tcBorders>
              <w:left w:val="single" w:sz="4" w:space="0" w:color="595A5B" w:themeColor="text1"/>
            </w:tcBorders>
            <w:noWrap/>
            <w:hideMark/>
          </w:tcPr>
          <w:p w:rsidR="008B5E68" w:rsidRPr="00997D7E" w:rsidRDefault="008B5E68" w:rsidP="00EF3556">
            <w:pPr>
              <w:pStyle w:val="Tabletext"/>
              <w:jc w:val="right"/>
              <w:rPr>
                <w:lang w:eastAsia="en-AU"/>
              </w:rPr>
            </w:pPr>
            <w:r w:rsidRPr="00997D7E">
              <w:rPr>
                <w:lang w:eastAsia="en-AU"/>
              </w:rPr>
              <w:t>1,427,851</w:t>
            </w:r>
          </w:p>
        </w:tc>
        <w:tc>
          <w:tcPr>
            <w:tcW w:w="1455" w:type="dxa"/>
            <w:noWrap/>
            <w:hideMark/>
          </w:tcPr>
          <w:p w:rsidR="008B5E68" w:rsidRPr="00997D7E" w:rsidRDefault="008B5E68" w:rsidP="00EF3556">
            <w:pPr>
              <w:pStyle w:val="Tabletext"/>
              <w:jc w:val="right"/>
              <w:rPr>
                <w:lang w:eastAsia="en-AU"/>
              </w:rPr>
            </w:pPr>
            <w:r w:rsidRPr="00997D7E">
              <w:rPr>
                <w:lang w:eastAsia="en-AU"/>
              </w:rPr>
              <w:t>1,318,897</w:t>
            </w:r>
          </w:p>
        </w:tc>
        <w:tc>
          <w:tcPr>
            <w:tcW w:w="1269" w:type="dxa"/>
            <w:tcBorders>
              <w:right w:val="single" w:sz="4" w:space="0" w:color="595A5B" w:themeColor="text1"/>
            </w:tcBorders>
            <w:noWrap/>
            <w:hideMark/>
          </w:tcPr>
          <w:p w:rsidR="008B5E68" w:rsidRPr="00997D7E" w:rsidRDefault="008B5E68" w:rsidP="00EF3556">
            <w:pPr>
              <w:pStyle w:val="Tabletext"/>
              <w:jc w:val="right"/>
              <w:rPr>
                <w:lang w:eastAsia="en-AU"/>
              </w:rPr>
            </w:pPr>
            <w:r w:rsidRPr="00997D7E">
              <w:rPr>
                <w:lang w:eastAsia="en-AU"/>
              </w:rPr>
              <w:t>2,865,600</w:t>
            </w:r>
          </w:p>
        </w:tc>
        <w:tc>
          <w:tcPr>
            <w:tcW w:w="1153" w:type="dxa"/>
            <w:tcBorders>
              <w:left w:val="single" w:sz="4" w:space="0" w:color="595A5B" w:themeColor="text1"/>
              <w:right w:val="nil"/>
            </w:tcBorders>
            <w:vAlign w:val="bottom"/>
          </w:tcPr>
          <w:p w:rsidR="008B5E68" w:rsidRPr="00997D7E" w:rsidRDefault="008B5E68" w:rsidP="008B5E68">
            <w:pPr>
              <w:pStyle w:val="Tabletext"/>
              <w:jc w:val="right"/>
              <w:rPr>
                <w:lang w:eastAsia="en-AU"/>
              </w:rPr>
            </w:pPr>
            <w:r w:rsidRPr="00997D7E">
              <w:rPr>
                <w:lang w:eastAsia="en-AU"/>
              </w:rPr>
              <w:t>6,915,950</w:t>
            </w:r>
          </w:p>
        </w:tc>
      </w:tr>
      <w:tr w:rsidR="006B209A" w:rsidRPr="00B943AB" w:rsidTr="006B209A">
        <w:trPr>
          <w:trHeight w:val="264"/>
        </w:trPr>
        <w:tc>
          <w:tcPr>
            <w:tcW w:w="1042" w:type="dxa"/>
            <w:noWrap/>
            <w:hideMark/>
          </w:tcPr>
          <w:p w:rsidR="008B5E68" w:rsidRPr="00997D7E" w:rsidRDefault="008B5E68" w:rsidP="00EF3556">
            <w:pPr>
              <w:pStyle w:val="Tabletext"/>
              <w:rPr>
                <w:lang w:eastAsia="en-AU"/>
              </w:rPr>
            </w:pPr>
            <w:r w:rsidRPr="00997D7E">
              <w:rPr>
                <w:lang w:eastAsia="en-AU"/>
              </w:rPr>
              <w:t>2008</w:t>
            </w:r>
          </w:p>
        </w:tc>
        <w:tc>
          <w:tcPr>
            <w:tcW w:w="1193" w:type="dxa"/>
            <w:noWrap/>
            <w:hideMark/>
          </w:tcPr>
          <w:p w:rsidR="008B5E68" w:rsidRPr="00997D7E" w:rsidRDefault="008B5E68" w:rsidP="00EF3556">
            <w:pPr>
              <w:pStyle w:val="Tabletext"/>
              <w:jc w:val="right"/>
              <w:rPr>
                <w:lang w:eastAsia="en-AU"/>
              </w:rPr>
            </w:pPr>
            <w:r w:rsidRPr="00997D7E">
              <w:rPr>
                <w:lang w:eastAsia="en-AU"/>
              </w:rPr>
              <w:t>280,855</w:t>
            </w:r>
          </w:p>
        </w:tc>
        <w:tc>
          <w:tcPr>
            <w:tcW w:w="1147" w:type="dxa"/>
            <w:noWrap/>
            <w:hideMark/>
          </w:tcPr>
          <w:p w:rsidR="008B5E68" w:rsidRPr="00997D7E" w:rsidRDefault="008B5E68" w:rsidP="00EF3556">
            <w:pPr>
              <w:pStyle w:val="Tabletext"/>
              <w:jc w:val="right"/>
              <w:rPr>
                <w:lang w:eastAsia="en-AU"/>
              </w:rPr>
            </w:pPr>
            <w:r w:rsidRPr="00997D7E">
              <w:rPr>
                <w:lang w:eastAsia="en-AU"/>
              </w:rPr>
              <w:t>103,993</w:t>
            </w:r>
          </w:p>
        </w:tc>
        <w:tc>
          <w:tcPr>
            <w:tcW w:w="1204" w:type="dxa"/>
            <w:tcBorders>
              <w:right w:val="single" w:sz="4" w:space="0" w:color="595A5B" w:themeColor="text1"/>
            </w:tcBorders>
            <w:noWrap/>
            <w:hideMark/>
          </w:tcPr>
          <w:p w:rsidR="008B5E68" w:rsidRPr="00997D7E" w:rsidRDefault="008B5E68" w:rsidP="00EF3556">
            <w:pPr>
              <w:pStyle w:val="Tabletext"/>
              <w:jc w:val="right"/>
              <w:rPr>
                <w:lang w:eastAsia="en-AU"/>
              </w:rPr>
            </w:pPr>
            <w:r w:rsidRPr="00997D7E">
              <w:rPr>
                <w:lang w:eastAsia="en-AU"/>
              </w:rPr>
              <w:t>31,108</w:t>
            </w:r>
          </w:p>
        </w:tc>
        <w:tc>
          <w:tcPr>
            <w:tcW w:w="1206" w:type="dxa"/>
            <w:tcBorders>
              <w:left w:val="single" w:sz="4" w:space="0" w:color="595A5B" w:themeColor="text1"/>
            </w:tcBorders>
            <w:noWrap/>
            <w:hideMark/>
          </w:tcPr>
          <w:p w:rsidR="008B5E68" w:rsidRPr="00997D7E" w:rsidRDefault="008B5E68" w:rsidP="00EF3556">
            <w:pPr>
              <w:pStyle w:val="Tabletext"/>
              <w:jc w:val="right"/>
              <w:rPr>
                <w:lang w:eastAsia="en-AU"/>
              </w:rPr>
            </w:pPr>
            <w:r w:rsidRPr="00997D7E">
              <w:rPr>
                <w:lang w:eastAsia="en-AU"/>
              </w:rPr>
              <w:t>488,317</w:t>
            </w:r>
          </w:p>
        </w:tc>
        <w:tc>
          <w:tcPr>
            <w:tcW w:w="1336" w:type="dxa"/>
            <w:noWrap/>
            <w:hideMark/>
          </w:tcPr>
          <w:p w:rsidR="008B5E68" w:rsidRPr="00997D7E" w:rsidRDefault="008B5E68" w:rsidP="00EF3556">
            <w:pPr>
              <w:pStyle w:val="Tabletext"/>
              <w:jc w:val="right"/>
              <w:rPr>
                <w:lang w:eastAsia="en-AU"/>
              </w:rPr>
            </w:pPr>
            <w:r w:rsidRPr="00997D7E">
              <w:rPr>
                <w:lang w:eastAsia="en-AU"/>
              </w:rPr>
              <w:t>223,094</w:t>
            </w:r>
          </w:p>
        </w:tc>
        <w:tc>
          <w:tcPr>
            <w:tcW w:w="1204" w:type="dxa"/>
            <w:tcBorders>
              <w:right w:val="single" w:sz="4" w:space="0" w:color="595A5B" w:themeColor="text1"/>
            </w:tcBorders>
            <w:noWrap/>
            <w:hideMark/>
          </w:tcPr>
          <w:p w:rsidR="008B5E68" w:rsidRPr="00997D7E" w:rsidRDefault="008B5E68" w:rsidP="00EF3556">
            <w:pPr>
              <w:pStyle w:val="Tabletext"/>
              <w:jc w:val="right"/>
              <w:rPr>
                <w:lang w:eastAsia="en-AU"/>
              </w:rPr>
            </w:pPr>
            <w:r w:rsidRPr="00997D7E">
              <w:rPr>
                <w:lang w:eastAsia="en-AU"/>
              </w:rPr>
              <w:t>89,768</w:t>
            </w:r>
          </w:p>
        </w:tc>
        <w:tc>
          <w:tcPr>
            <w:tcW w:w="1204" w:type="dxa"/>
            <w:tcBorders>
              <w:left w:val="single" w:sz="4" w:space="0" w:color="595A5B" w:themeColor="text1"/>
            </w:tcBorders>
            <w:noWrap/>
            <w:hideMark/>
          </w:tcPr>
          <w:p w:rsidR="008B5E68" w:rsidRPr="00997D7E" w:rsidRDefault="008B5E68" w:rsidP="00EF3556">
            <w:pPr>
              <w:pStyle w:val="Tabletext"/>
              <w:jc w:val="right"/>
              <w:rPr>
                <w:lang w:eastAsia="en-AU"/>
              </w:rPr>
            </w:pPr>
            <w:r w:rsidRPr="00997D7E">
              <w:rPr>
                <w:lang w:eastAsia="en-AU"/>
              </w:rPr>
              <w:t>1,466,359</w:t>
            </w:r>
          </w:p>
        </w:tc>
        <w:tc>
          <w:tcPr>
            <w:tcW w:w="1455" w:type="dxa"/>
            <w:noWrap/>
            <w:hideMark/>
          </w:tcPr>
          <w:p w:rsidR="008B5E68" w:rsidRPr="00997D7E" w:rsidRDefault="008B5E68" w:rsidP="00EF3556">
            <w:pPr>
              <w:pStyle w:val="Tabletext"/>
              <w:jc w:val="right"/>
              <w:rPr>
                <w:lang w:eastAsia="en-AU"/>
              </w:rPr>
            </w:pPr>
            <w:r w:rsidRPr="00997D7E">
              <w:rPr>
                <w:lang w:eastAsia="en-AU"/>
              </w:rPr>
              <w:t>1,348,839</w:t>
            </w:r>
          </w:p>
        </w:tc>
        <w:tc>
          <w:tcPr>
            <w:tcW w:w="1269" w:type="dxa"/>
            <w:tcBorders>
              <w:right w:val="single" w:sz="4" w:space="0" w:color="595A5B" w:themeColor="text1"/>
            </w:tcBorders>
            <w:noWrap/>
            <w:hideMark/>
          </w:tcPr>
          <w:p w:rsidR="008B5E68" w:rsidRPr="00997D7E" w:rsidRDefault="008B5E68" w:rsidP="00EF3556">
            <w:pPr>
              <w:pStyle w:val="Tabletext"/>
              <w:jc w:val="right"/>
              <w:rPr>
                <w:lang w:eastAsia="en-AU"/>
              </w:rPr>
            </w:pPr>
            <w:r w:rsidRPr="00997D7E">
              <w:rPr>
                <w:lang w:eastAsia="en-AU"/>
              </w:rPr>
              <w:t>2,928,300</w:t>
            </w:r>
          </w:p>
        </w:tc>
        <w:tc>
          <w:tcPr>
            <w:tcW w:w="1153" w:type="dxa"/>
            <w:tcBorders>
              <w:left w:val="single" w:sz="4" w:space="0" w:color="595A5B" w:themeColor="text1"/>
              <w:right w:val="nil"/>
            </w:tcBorders>
            <w:vAlign w:val="bottom"/>
          </w:tcPr>
          <w:p w:rsidR="008B5E68" w:rsidRPr="00997D7E" w:rsidRDefault="008B5E68" w:rsidP="008B5E68">
            <w:pPr>
              <w:pStyle w:val="Tabletext"/>
              <w:jc w:val="right"/>
              <w:rPr>
                <w:lang w:eastAsia="en-AU"/>
              </w:rPr>
            </w:pPr>
            <w:r w:rsidRPr="00997D7E">
              <w:rPr>
                <w:lang w:eastAsia="en-AU"/>
              </w:rPr>
              <w:t>6,960,632</w:t>
            </w:r>
          </w:p>
        </w:tc>
      </w:tr>
      <w:tr w:rsidR="006B209A" w:rsidRPr="00B943AB" w:rsidTr="006B209A">
        <w:trPr>
          <w:trHeight w:val="264"/>
        </w:trPr>
        <w:tc>
          <w:tcPr>
            <w:tcW w:w="1042" w:type="dxa"/>
            <w:noWrap/>
            <w:hideMark/>
          </w:tcPr>
          <w:p w:rsidR="008B5E68" w:rsidRPr="00997D7E" w:rsidRDefault="008B5E68" w:rsidP="00EF3556">
            <w:pPr>
              <w:pStyle w:val="Tabletext"/>
              <w:rPr>
                <w:lang w:eastAsia="en-AU"/>
              </w:rPr>
            </w:pPr>
            <w:r w:rsidRPr="00997D7E">
              <w:rPr>
                <w:lang w:eastAsia="en-AU"/>
              </w:rPr>
              <w:t>2009</w:t>
            </w:r>
          </w:p>
        </w:tc>
        <w:tc>
          <w:tcPr>
            <w:tcW w:w="1193" w:type="dxa"/>
            <w:noWrap/>
            <w:hideMark/>
          </w:tcPr>
          <w:p w:rsidR="008B5E68" w:rsidRPr="00997D7E" w:rsidRDefault="008B5E68" w:rsidP="00EF3556">
            <w:pPr>
              <w:pStyle w:val="Tabletext"/>
              <w:jc w:val="right"/>
              <w:rPr>
                <w:lang w:eastAsia="en-AU"/>
              </w:rPr>
            </w:pPr>
            <w:r w:rsidRPr="00997D7E">
              <w:rPr>
                <w:lang w:eastAsia="en-AU"/>
              </w:rPr>
              <w:t>246,980</w:t>
            </w:r>
          </w:p>
        </w:tc>
        <w:tc>
          <w:tcPr>
            <w:tcW w:w="1147" w:type="dxa"/>
            <w:noWrap/>
            <w:hideMark/>
          </w:tcPr>
          <w:p w:rsidR="008B5E68" w:rsidRPr="00997D7E" w:rsidRDefault="008B5E68" w:rsidP="00EF3556">
            <w:pPr>
              <w:pStyle w:val="Tabletext"/>
              <w:jc w:val="right"/>
              <w:rPr>
                <w:lang w:eastAsia="en-AU"/>
              </w:rPr>
            </w:pPr>
            <w:r w:rsidRPr="00997D7E">
              <w:rPr>
                <w:lang w:eastAsia="en-AU"/>
              </w:rPr>
              <w:t>85,853</w:t>
            </w:r>
          </w:p>
        </w:tc>
        <w:tc>
          <w:tcPr>
            <w:tcW w:w="1204" w:type="dxa"/>
            <w:tcBorders>
              <w:right w:val="single" w:sz="4" w:space="0" w:color="595A5B" w:themeColor="text1"/>
            </w:tcBorders>
            <w:noWrap/>
            <w:hideMark/>
          </w:tcPr>
          <w:p w:rsidR="008B5E68" w:rsidRPr="00997D7E" w:rsidRDefault="008B5E68" w:rsidP="00EF3556">
            <w:pPr>
              <w:pStyle w:val="Tabletext"/>
              <w:jc w:val="right"/>
              <w:rPr>
                <w:lang w:eastAsia="en-AU"/>
              </w:rPr>
            </w:pPr>
            <w:r w:rsidRPr="00997D7E">
              <w:rPr>
                <w:lang w:eastAsia="en-AU"/>
              </w:rPr>
              <w:t>32,372</w:t>
            </w:r>
          </w:p>
        </w:tc>
        <w:tc>
          <w:tcPr>
            <w:tcW w:w="1206" w:type="dxa"/>
            <w:tcBorders>
              <w:left w:val="single" w:sz="4" w:space="0" w:color="595A5B" w:themeColor="text1"/>
            </w:tcBorders>
            <w:noWrap/>
            <w:hideMark/>
          </w:tcPr>
          <w:p w:rsidR="008B5E68" w:rsidRPr="00997D7E" w:rsidRDefault="008B5E68" w:rsidP="00EF3556">
            <w:pPr>
              <w:pStyle w:val="Tabletext"/>
              <w:jc w:val="right"/>
              <w:rPr>
                <w:lang w:eastAsia="en-AU"/>
              </w:rPr>
            </w:pPr>
            <w:r w:rsidRPr="00997D7E">
              <w:rPr>
                <w:lang w:eastAsia="en-AU"/>
              </w:rPr>
              <w:t>456,172</w:t>
            </w:r>
          </w:p>
        </w:tc>
        <w:tc>
          <w:tcPr>
            <w:tcW w:w="1336" w:type="dxa"/>
            <w:noWrap/>
            <w:hideMark/>
          </w:tcPr>
          <w:p w:rsidR="008B5E68" w:rsidRPr="00997D7E" w:rsidRDefault="008B5E68" w:rsidP="00EF3556">
            <w:pPr>
              <w:pStyle w:val="Tabletext"/>
              <w:jc w:val="right"/>
              <w:rPr>
                <w:lang w:eastAsia="en-AU"/>
              </w:rPr>
            </w:pPr>
            <w:r w:rsidRPr="00997D7E">
              <w:rPr>
                <w:lang w:eastAsia="en-AU"/>
              </w:rPr>
              <w:t>191,954</w:t>
            </w:r>
          </w:p>
        </w:tc>
        <w:tc>
          <w:tcPr>
            <w:tcW w:w="1204" w:type="dxa"/>
            <w:tcBorders>
              <w:right w:val="single" w:sz="4" w:space="0" w:color="595A5B" w:themeColor="text1"/>
            </w:tcBorders>
            <w:noWrap/>
            <w:hideMark/>
          </w:tcPr>
          <w:p w:rsidR="008B5E68" w:rsidRPr="00997D7E" w:rsidRDefault="008B5E68" w:rsidP="00EF3556">
            <w:pPr>
              <w:pStyle w:val="Tabletext"/>
              <w:jc w:val="right"/>
              <w:rPr>
                <w:lang w:eastAsia="en-AU"/>
              </w:rPr>
            </w:pPr>
            <w:r w:rsidRPr="00997D7E">
              <w:rPr>
                <w:lang w:eastAsia="en-AU"/>
              </w:rPr>
              <w:t>64,589</w:t>
            </w:r>
          </w:p>
        </w:tc>
        <w:tc>
          <w:tcPr>
            <w:tcW w:w="1204" w:type="dxa"/>
            <w:tcBorders>
              <w:left w:val="single" w:sz="4" w:space="0" w:color="595A5B" w:themeColor="text1"/>
            </w:tcBorders>
            <w:noWrap/>
            <w:hideMark/>
          </w:tcPr>
          <w:p w:rsidR="008B5E68" w:rsidRPr="00997D7E" w:rsidRDefault="008B5E68" w:rsidP="00EF3556">
            <w:pPr>
              <w:pStyle w:val="Tabletext"/>
              <w:jc w:val="right"/>
              <w:rPr>
                <w:lang w:eastAsia="en-AU"/>
              </w:rPr>
            </w:pPr>
            <w:r w:rsidRPr="00997D7E">
              <w:rPr>
                <w:lang w:eastAsia="en-AU"/>
              </w:rPr>
              <w:t>1,485,599</w:t>
            </w:r>
          </w:p>
        </w:tc>
        <w:tc>
          <w:tcPr>
            <w:tcW w:w="1455" w:type="dxa"/>
            <w:noWrap/>
            <w:hideMark/>
          </w:tcPr>
          <w:p w:rsidR="008B5E68" w:rsidRPr="00997D7E" w:rsidRDefault="008B5E68" w:rsidP="00EF3556">
            <w:pPr>
              <w:pStyle w:val="Tabletext"/>
              <w:jc w:val="right"/>
              <w:rPr>
                <w:lang w:eastAsia="en-AU"/>
              </w:rPr>
            </w:pPr>
            <w:r w:rsidRPr="00997D7E">
              <w:rPr>
                <w:lang w:eastAsia="en-AU"/>
              </w:rPr>
              <w:t>1,265,961</w:t>
            </w:r>
          </w:p>
        </w:tc>
        <w:tc>
          <w:tcPr>
            <w:tcW w:w="1269" w:type="dxa"/>
            <w:tcBorders>
              <w:right w:val="single" w:sz="4" w:space="0" w:color="595A5B" w:themeColor="text1"/>
            </w:tcBorders>
            <w:noWrap/>
            <w:hideMark/>
          </w:tcPr>
          <w:p w:rsidR="008B5E68" w:rsidRPr="00997D7E" w:rsidRDefault="008B5E68" w:rsidP="00EF3556">
            <w:pPr>
              <w:pStyle w:val="Tabletext"/>
              <w:jc w:val="right"/>
              <w:rPr>
                <w:lang w:eastAsia="en-AU"/>
              </w:rPr>
            </w:pPr>
            <w:r w:rsidRPr="00997D7E">
              <w:rPr>
                <w:lang w:eastAsia="en-AU"/>
              </w:rPr>
              <w:t>2,727,128</w:t>
            </w:r>
          </w:p>
        </w:tc>
        <w:tc>
          <w:tcPr>
            <w:tcW w:w="1153" w:type="dxa"/>
            <w:tcBorders>
              <w:left w:val="single" w:sz="4" w:space="0" w:color="595A5B" w:themeColor="text1"/>
              <w:right w:val="nil"/>
            </w:tcBorders>
            <w:vAlign w:val="bottom"/>
          </w:tcPr>
          <w:p w:rsidR="008B5E68" w:rsidRPr="00997D7E" w:rsidRDefault="008B5E68" w:rsidP="008B5E68">
            <w:pPr>
              <w:pStyle w:val="Tabletext"/>
              <w:jc w:val="right"/>
              <w:rPr>
                <w:lang w:eastAsia="en-AU"/>
              </w:rPr>
            </w:pPr>
            <w:r w:rsidRPr="00997D7E">
              <w:rPr>
                <w:lang w:eastAsia="en-AU"/>
              </w:rPr>
              <w:t>6,556,607</w:t>
            </w:r>
          </w:p>
        </w:tc>
      </w:tr>
      <w:tr w:rsidR="006B209A" w:rsidRPr="00B943AB" w:rsidTr="006B209A">
        <w:trPr>
          <w:trHeight w:val="264"/>
        </w:trPr>
        <w:tc>
          <w:tcPr>
            <w:tcW w:w="1042" w:type="dxa"/>
            <w:noWrap/>
            <w:hideMark/>
          </w:tcPr>
          <w:p w:rsidR="008B5E68" w:rsidRPr="00997D7E" w:rsidRDefault="008B5E68" w:rsidP="00EF3556">
            <w:pPr>
              <w:pStyle w:val="Tabletext"/>
              <w:rPr>
                <w:lang w:eastAsia="en-AU"/>
              </w:rPr>
            </w:pPr>
            <w:r w:rsidRPr="00997D7E">
              <w:rPr>
                <w:lang w:eastAsia="en-AU"/>
              </w:rPr>
              <w:t>2010</w:t>
            </w:r>
          </w:p>
        </w:tc>
        <w:tc>
          <w:tcPr>
            <w:tcW w:w="1193" w:type="dxa"/>
            <w:noWrap/>
            <w:hideMark/>
          </w:tcPr>
          <w:p w:rsidR="008B5E68" w:rsidRPr="00997D7E" w:rsidRDefault="008B5E68" w:rsidP="00EF3556">
            <w:pPr>
              <w:pStyle w:val="Tabletext"/>
              <w:jc w:val="right"/>
              <w:rPr>
                <w:lang w:eastAsia="en-AU"/>
              </w:rPr>
            </w:pPr>
            <w:r w:rsidRPr="00997D7E">
              <w:rPr>
                <w:lang w:eastAsia="en-AU"/>
              </w:rPr>
              <w:t>255,420</w:t>
            </w:r>
          </w:p>
        </w:tc>
        <w:tc>
          <w:tcPr>
            <w:tcW w:w="1147" w:type="dxa"/>
            <w:noWrap/>
            <w:hideMark/>
          </w:tcPr>
          <w:p w:rsidR="008B5E68" w:rsidRPr="00997D7E" w:rsidRDefault="008B5E68" w:rsidP="00EF3556">
            <w:pPr>
              <w:pStyle w:val="Tabletext"/>
              <w:jc w:val="right"/>
              <w:rPr>
                <w:lang w:eastAsia="en-AU"/>
              </w:rPr>
            </w:pPr>
            <w:r w:rsidRPr="00997D7E">
              <w:rPr>
                <w:lang w:eastAsia="en-AU"/>
              </w:rPr>
              <w:t>93,545</w:t>
            </w:r>
          </w:p>
        </w:tc>
        <w:tc>
          <w:tcPr>
            <w:tcW w:w="1204" w:type="dxa"/>
            <w:tcBorders>
              <w:right w:val="single" w:sz="4" w:space="0" w:color="595A5B" w:themeColor="text1"/>
            </w:tcBorders>
            <w:noWrap/>
            <w:hideMark/>
          </w:tcPr>
          <w:p w:rsidR="008B5E68" w:rsidRPr="00997D7E" w:rsidRDefault="008B5E68" w:rsidP="00EF3556">
            <w:pPr>
              <w:pStyle w:val="Tabletext"/>
              <w:jc w:val="right"/>
              <w:rPr>
                <w:lang w:eastAsia="en-AU"/>
              </w:rPr>
            </w:pPr>
            <w:r w:rsidRPr="00997D7E">
              <w:rPr>
                <w:lang w:eastAsia="en-AU"/>
              </w:rPr>
              <w:t>52,125</w:t>
            </w:r>
          </w:p>
        </w:tc>
        <w:tc>
          <w:tcPr>
            <w:tcW w:w="1206" w:type="dxa"/>
            <w:tcBorders>
              <w:left w:val="single" w:sz="4" w:space="0" w:color="595A5B" w:themeColor="text1"/>
            </w:tcBorders>
            <w:noWrap/>
            <w:hideMark/>
          </w:tcPr>
          <w:p w:rsidR="008B5E68" w:rsidRPr="00997D7E" w:rsidRDefault="008B5E68" w:rsidP="00EF3556">
            <w:pPr>
              <w:pStyle w:val="Tabletext"/>
              <w:jc w:val="right"/>
              <w:rPr>
                <w:lang w:eastAsia="en-AU"/>
              </w:rPr>
            </w:pPr>
            <w:r w:rsidRPr="00997D7E">
              <w:rPr>
                <w:lang w:eastAsia="en-AU"/>
              </w:rPr>
              <w:t>426,507</w:t>
            </w:r>
          </w:p>
        </w:tc>
        <w:tc>
          <w:tcPr>
            <w:tcW w:w="1336" w:type="dxa"/>
            <w:noWrap/>
            <w:hideMark/>
          </w:tcPr>
          <w:p w:rsidR="008B5E68" w:rsidRPr="00997D7E" w:rsidRDefault="008B5E68" w:rsidP="00EF3556">
            <w:pPr>
              <w:pStyle w:val="Tabletext"/>
              <w:jc w:val="right"/>
              <w:rPr>
                <w:lang w:eastAsia="en-AU"/>
              </w:rPr>
            </w:pPr>
            <w:r w:rsidRPr="00997D7E">
              <w:rPr>
                <w:lang w:eastAsia="en-AU"/>
              </w:rPr>
              <w:t>191,488</w:t>
            </w:r>
          </w:p>
        </w:tc>
        <w:tc>
          <w:tcPr>
            <w:tcW w:w="1204" w:type="dxa"/>
            <w:tcBorders>
              <w:right w:val="single" w:sz="4" w:space="0" w:color="595A5B" w:themeColor="text1"/>
            </w:tcBorders>
            <w:noWrap/>
            <w:hideMark/>
          </w:tcPr>
          <w:p w:rsidR="008B5E68" w:rsidRPr="00997D7E" w:rsidRDefault="008B5E68" w:rsidP="00EF3556">
            <w:pPr>
              <w:pStyle w:val="Tabletext"/>
              <w:jc w:val="right"/>
              <w:rPr>
                <w:lang w:eastAsia="en-AU"/>
              </w:rPr>
            </w:pPr>
            <w:r w:rsidRPr="00997D7E">
              <w:rPr>
                <w:lang w:eastAsia="en-AU"/>
              </w:rPr>
              <w:t>56,049</w:t>
            </w:r>
          </w:p>
        </w:tc>
        <w:tc>
          <w:tcPr>
            <w:tcW w:w="1204" w:type="dxa"/>
            <w:tcBorders>
              <w:left w:val="single" w:sz="4" w:space="0" w:color="595A5B" w:themeColor="text1"/>
            </w:tcBorders>
            <w:noWrap/>
            <w:hideMark/>
          </w:tcPr>
          <w:p w:rsidR="008B5E68" w:rsidRPr="00997D7E" w:rsidRDefault="008B5E68" w:rsidP="00EF3556">
            <w:pPr>
              <w:pStyle w:val="Tabletext"/>
              <w:jc w:val="right"/>
              <w:rPr>
                <w:lang w:eastAsia="en-AU"/>
              </w:rPr>
            </w:pPr>
            <w:r w:rsidRPr="00997D7E">
              <w:rPr>
                <w:lang w:eastAsia="en-AU"/>
              </w:rPr>
              <w:t>1,523,508</w:t>
            </w:r>
          </w:p>
        </w:tc>
        <w:tc>
          <w:tcPr>
            <w:tcW w:w="1455" w:type="dxa"/>
            <w:noWrap/>
            <w:hideMark/>
          </w:tcPr>
          <w:p w:rsidR="008B5E68" w:rsidRPr="00997D7E" w:rsidRDefault="008B5E68" w:rsidP="00EF3556">
            <w:pPr>
              <w:pStyle w:val="Tabletext"/>
              <w:jc w:val="right"/>
              <w:rPr>
                <w:lang w:eastAsia="en-AU"/>
              </w:rPr>
            </w:pPr>
            <w:r w:rsidRPr="00997D7E">
              <w:rPr>
                <w:lang w:eastAsia="en-AU"/>
              </w:rPr>
              <w:t>1,328,061</w:t>
            </w:r>
          </w:p>
        </w:tc>
        <w:tc>
          <w:tcPr>
            <w:tcW w:w="1269" w:type="dxa"/>
            <w:tcBorders>
              <w:right w:val="single" w:sz="4" w:space="0" w:color="595A5B" w:themeColor="text1"/>
            </w:tcBorders>
            <w:noWrap/>
            <w:hideMark/>
          </w:tcPr>
          <w:p w:rsidR="008B5E68" w:rsidRPr="00997D7E" w:rsidRDefault="008B5E68" w:rsidP="00EF3556">
            <w:pPr>
              <w:pStyle w:val="Tabletext"/>
              <w:jc w:val="right"/>
              <w:rPr>
                <w:lang w:eastAsia="en-AU"/>
              </w:rPr>
            </w:pPr>
            <w:r w:rsidRPr="00997D7E">
              <w:rPr>
                <w:lang w:eastAsia="en-AU"/>
              </w:rPr>
              <w:t>2,836,713</w:t>
            </w:r>
          </w:p>
        </w:tc>
        <w:tc>
          <w:tcPr>
            <w:tcW w:w="1153" w:type="dxa"/>
            <w:tcBorders>
              <w:left w:val="single" w:sz="4" w:space="0" w:color="595A5B" w:themeColor="text1"/>
              <w:right w:val="nil"/>
            </w:tcBorders>
            <w:vAlign w:val="bottom"/>
          </w:tcPr>
          <w:p w:rsidR="008B5E68" w:rsidRPr="00997D7E" w:rsidRDefault="008B5E68" w:rsidP="008B5E68">
            <w:pPr>
              <w:pStyle w:val="Tabletext"/>
              <w:jc w:val="right"/>
              <w:rPr>
                <w:lang w:eastAsia="en-AU"/>
              </w:rPr>
            </w:pPr>
            <w:r w:rsidRPr="00997D7E">
              <w:rPr>
                <w:lang w:eastAsia="en-AU"/>
              </w:rPr>
              <w:t>6,763,414</w:t>
            </w:r>
          </w:p>
        </w:tc>
      </w:tr>
      <w:tr w:rsidR="006B209A" w:rsidRPr="00B943AB" w:rsidTr="006B209A">
        <w:trPr>
          <w:trHeight w:val="264"/>
        </w:trPr>
        <w:tc>
          <w:tcPr>
            <w:tcW w:w="1042" w:type="dxa"/>
            <w:tcBorders>
              <w:bottom w:val="nil"/>
            </w:tcBorders>
            <w:noWrap/>
            <w:hideMark/>
          </w:tcPr>
          <w:p w:rsidR="008B5E68" w:rsidRPr="00997D7E" w:rsidRDefault="008B5E68" w:rsidP="00EF3556">
            <w:pPr>
              <w:pStyle w:val="Tabletext"/>
              <w:rPr>
                <w:lang w:eastAsia="en-AU"/>
              </w:rPr>
            </w:pPr>
            <w:r w:rsidRPr="00997D7E">
              <w:rPr>
                <w:lang w:eastAsia="en-AU"/>
              </w:rPr>
              <w:t>2011</w:t>
            </w:r>
          </w:p>
        </w:tc>
        <w:tc>
          <w:tcPr>
            <w:tcW w:w="1193" w:type="dxa"/>
            <w:tcBorders>
              <w:bottom w:val="nil"/>
            </w:tcBorders>
            <w:noWrap/>
            <w:hideMark/>
          </w:tcPr>
          <w:p w:rsidR="008B5E68" w:rsidRPr="00997D7E" w:rsidRDefault="008B5E68" w:rsidP="00EF3556">
            <w:pPr>
              <w:pStyle w:val="Tabletext"/>
              <w:jc w:val="right"/>
              <w:rPr>
                <w:lang w:eastAsia="en-AU"/>
              </w:rPr>
            </w:pPr>
            <w:r w:rsidRPr="00997D7E">
              <w:rPr>
                <w:lang w:eastAsia="en-AU"/>
              </w:rPr>
              <w:t>257,034</w:t>
            </w:r>
          </w:p>
        </w:tc>
        <w:tc>
          <w:tcPr>
            <w:tcW w:w="1147" w:type="dxa"/>
            <w:tcBorders>
              <w:bottom w:val="nil"/>
            </w:tcBorders>
            <w:noWrap/>
            <w:hideMark/>
          </w:tcPr>
          <w:p w:rsidR="008B5E68" w:rsidRPr="00997D7E" w:rsidRDefault="008B5E68" w:rsidP="00EF3556">
            <w:pPr>
              <w:pStyle w:val="Tabletext"/>
              <w:jc w:val="right"/>
              <w:rPr>
                <w:lang w:eastAsia="en-AU"/>
              </w:rPr>
            </w:pPr>
            <w:r w:rsidRPr="00997D7E">
              <w:rPr>
                <w:lang w:eastAsia="en-AU"/>
              </w:rPr>
              <w:t>113,564</w:t>
            </w:r>
          </w:p>
        </w:tc>
        <w:tc>
          <w:tcPr>
            <w:tcW w:w="1204" w:type="dxa"/>
            <w:tcBorders>
              <w:bottom w:val="nil"/>
              <w:right w:val="single" w:sz="4" w:space="0" w:color="595A5B" w:themeColor="text1"/>
            </w:tcBorders>
            <w:noWrap/>
            <w:hideMark/>
          </w:tcPr>
          <w:p w:rsidR="008B5E68" w:rsidRPr="00997D7E" w:rsidRDefault="008B5E68" w:rsidP="00EF3556">
            <w:pPr>
              <w:pStyle w:val="Tabletext"/>
              <w:jc w:val="right"/>
              <w:rPr>
                <w:lang w:eastAsia="en-AU"/>
              </w:rPr>
            </w:pPr>
            <w:r w:rsidRPr="00997D7E">
              <w:rPr>
                <w:lang w:eastAsia="en-AU"/>
              </w:rPr>
              <w:t>51,895</w:t>
            </w:r>
          </w:p>
        </w:tc>
        <w:tc>
          <w:tcPr>
            <w:tcW w:w="1206" w:type="dxa"/>
            <w:tcBorders>
              <w:left w:val="single" w:sz="4" w:space="0" w:color="595A5B" w:themeColor="text1"/>
              <w:bottom w:val="nil"/>
            </w:tcBorders>
            <w:noWrap/>
            <w:hideMark/>
          </w:tcPr>
          <w:p w:rsidR="008B5E68" w:rsidRPr="00997D7E" w:rsidRDefault="008B5E68" w:rsidP="00EF3556">
            <w:pPr>
              <w:pStyle w:val="Tabletext"/>
              <w:jc w:val="right"/>
              <w:rPr>
                <w:lang w:eastAsia="en-AU"/>
              </w:rPr>
            </w:pPr>
            <w:r w:rsidRPr="00997D7E">
              <w:rPr>
                <w:lang w:eastAsia="en-AU"/>
              </w:rPr>
              <w:t>409,854</w:t>
            </w:r>
          </w:p>
        </w:tc>
        <w:tc>
          <w:tcPr>
            <w:tcW w:w="1336" w:type="dxa"/>
            <w:tcBorders>
              <w:bottom w:val="nil"/>
            </w:tcBorders>
            <w:noWrap/>
            <w:hideMark/>
          </w:tcPr>
          <w:p w:rsidR="008B5E68" w:rsidRPr="00997D7E" w:rsidRDefault="008B5E68" w:rsidP="00EF3556">
            <w:pPr>
              <w:pStyle w:val="Tabletext"/>
              <w:jc w:val="right"/>
              <w:rPr>
                <w:lang w:eastAsia="en-AU"/>
              </w:rPr>
            </w:pPr>
            <w:r w:rsidRPr="00997D7E">
              <w:rPr>
                <w:lang w:eastAsia="en-AU"/>
              </w:rPr>
              <w:t>197,862</w:t>
            </w:r>
          </w:p>
        </w:tc>
        <w:tc>
          <w:tcPr>
            <w:tcW w:w="1204" w:type="dxa"/>
            <w:tcBorders>
              <w:bottom w:val="nil"/>
              <w:right w:val="single" w:sz="4" w:space="0" w:color="595A5B" w:themeColor="text1"/>
            </w:tcBorders>
            <w:noWrap/>
            <w:hideMark/>
          </w:tcPr>
          <w:p w:rsidR="008B5E68" w:rsidRPr="00997D7E" w:rsidRDefault="008B5E68" w:rsidP="00EF3556">
            <w:pPr>
              <w:pStyle w:val="Tabletext"/>
              <w:jc w:val="right"/>
              <w:rPr>
                <w:lang w:eastAsia="en-AU"/>
              </w:rPr>
            </w:pPr>
            <w:r w:rsidRPr="00997D7E">
              <w:rPr>
                <w:lang w:eastAsia="en-AU"/>
              </w:rPr>
              <w:t>86,253</w:t>
            </w:r>
          </w:p>
        </w:tc>
        <w:tc>
          <w:tcPr>
            <w:tcW w:w="1204" w:type="dxa"/>
            <w:tcBorders>
              <w:left w:val="single" w:sz="4" w:space="0" w:color="595A5B" w:themeColor="text1"/>
              <w:bottom w:val="nil"/>
            </w:tcBorders>
            <w:noWrap/>
            <w:hideMark/>
          </w:tcPr>
          <w:p w:rsidR="008B5E68" w:rsidRPr="00997D7E" w:rsidRDefault="008B5E68" w:rsidP="00EF3556">
            <w:pPr>
              <w:pStyle w:val="Tabletext"/>
              <w:jc w:val="right"/>
              <w:rPr>
                <w:lang w:eastAsia="en-AU"/>
              </w:rPr>
            </w:pPr>
            <w:r w:rsidRPr="00997D7E">
              <w:rPr>
                <w:lang w:eastAsia="en-AU"/>
              </w:rPr>
              <w:t>1,568,846</w:t>
            </w:r>
          </w:p>
        </w:tc>
        <w:tc>
          <w:tcPr>
            <w:tcW w:w="1455" w:type="dxa"/>
            <w:tcBorders>
              <w:bottom w:val="nil"/>
            </w:tcBorders>
            <w:noWrap/>
            <w:hideMark/>
          </w:tcPr>
          <w:p w:rsidR="008B5E68" w:rsidRPr="00997D7E" w:rsidRDefault="008B5E68" w:rsidP="00EF3556">
            <w:pPr>
              <w:pStyle w:val="Tabletext"/>
              <w:jc w:val="right"/>
              <w:rPr>
                <w:lang w:eastAsia="en-AU"/>
              </w:rPr>
            </w:pPr>
            <w:r w:rsidRPr="00997D7E">
              <w:rPr>
                <w:lang w:eastAsia="en-AU"/>
              </w:rPr>
              <w:t>1,423,130</w:t>
            </w:r>
          </w:p>
        </w:tc>
        <w:tc>
          <w:tcPr>
            <w:tcW w:w="1269" w:type="dxa"/>
            <w:tcBorders>
              <w:bottom w:val="nil"/>
              <w:right w:val="single" w:sz="4" w:space="0" w:color="595A5B" w:themeColor="text1"/>
            </w:tcBorders>
            <w:noWrap/>
            <w:hideMark/>
          </w:tcPr>
          <w:p w:rsidR="008B5E68" w:rsidRPr="00997D7E" w:rsidRDefault="008B5E68" w:rsidP="00EF3556">
            <w:pPr>
              <w:pStyle w:val="Tabletext"/>
              <w:jc w:val="right"/>
              <w:rPr>
                <w:lang w:eastAsia="en-AU"/>
              </w:rPr>
            </w:pPr>
            <w:r w:rsidRPr="00997D7E">
              <w:rPr>
                <w:lang w:eastAsia="en-AU"/>
              </w:rPr>
              <w:t>2,975,631</w:t>
            </w:r>
          </w:p>
        </w:tc>
        <w:tc>
          <w:tcPr>
            <w:tcW w:w="1153" w:type="dxa"/>
            <w:tcBorders>
              <w:left w:val="single" w:sz="4" w:space="0" w:color="595A5B" w:themeColor="text1"/>
              <w:bottom w:val="nil"/>
              <w:right w:val="nil"/>
            </w:tcBorders>
            <w:vAlign w:val="bottom"/>
          </w:tcPr>
          <w:p w:rsidR="008B5E68" w:rsidRPr="00997D7E" w:rsidRDefault="008B5E68" w:rsidP="008B5E68">
            <w:pPr>
              <w:pStyle w:val="Tabletext"/>
              <w:jc w:val="right"/>
              <w:rPr>
                <w:lang w:eastAsia="en-AU"/>
              </w:rPr>
            </w:pPr>
            <w:r w:rsidRPr="00997D7E">
              <w:rPr>
                <w:lang w:eastAsia="en-AU"/>
              </w:rPr>
              <w:t>7,084,067</w:t>
            </w:r>
          </w:p>
        </w:tc>
      </w:tr>
      <w:tr w:rsidR="006B209A" w:rsidRPr="00B943AB" w:rsidTr="006B209A">
        <w:trPr>
          <w:trHeight w:val="264"/>
        </w:trPr>
        <w:tc>
          <w:tcPr>
            <w:tcW w:w="4586" w:type="dxa"/>
            <w:gridSpan w:val="4"/>
            <w:tcBorders>
              <w:right w:val="single" w:sz="4" w:space="0" w:color="595A5B" w:themeColor="text1"/>
            </w:tcBorders>
            <w:noWrap/>
            <w:hideMark/>
          </w:tcPr>
          <w:p w:rsidR="006B209A" w:rsidRPr="00997D7E" w:rsidRDefault="006B209A" w:rsidP="00EF3556">
            <w:pPr>
              <w:pStyle w:val="Tabletext"/>
              <w:rPr>
                <w:lang w:eastAsia="en-AU"/>
              </w:rPr>
            </w:pPr>
            <w:r w:rsidRPr="00997D7E">
              <w:rPr>
                <w:lang w:eastAsia="en-AU"/>
              </w:rPr>
              <w:t>Net employment (FTE) growth</w:t>
            </w:r>
          </w:p>
        </w:tc>
        <w:tc>
          <w:tcPr>
            <w:tcW w:w="3746" w:type="dxa"/>
            <w:gridSpan w:val="3"/>
            <w:tcBorders>
              <w:left w:val="single" w:sz="4" w:space="0" w:color="595A5B" w:themeColor="text1"/>
              <w:right w:val="single" w:sz="4" w:space="0" w:color="595A5B" w:themeColor="text1"/>
            </w:tcBorders>
          </w:tcPr>
          <w:p w:rsidR="006B209A" w:rsidRPr="00997D7E" w:rsidRDefault="006B209A" w:rsidP="00EF3556">
            <w:pPr>
              <w:pStyle w:val="Tabletext"/>
              <w:rPr>
                <w:lang w:eastAsia="en-AU"/>
              </w:rPr>
            </w:pPr>
          </w:p>
        </w:tc>
        <w:tc>
          <w:tcPr>
            <w:tcW w:w="3928" w:type="dxa"/>
            <w:gridSpan w:val="3"/>
            <w:tcBorders>
              <w:left w:val="single" w:sz="4" w:space="0" w:color="595A5B" w:themeColor="text1"/>
              <w:right w:val="single" w:sz="4" w:space="0" w:color="595A5B" w:themeColor="text1"/>
            </w:tcBorders>
          </w:tcPr>
          <w:p w:rsidR="006B209A" w:rsidRPr="00997D7E" w:rsidRDefault="006B209A" w:rsidP="00EF3556">
            <w:pPr>
              <w:pStyle w:val="Tabletext"/>
              <w:rPr>
                <w:lang w:eastAsia="en-AU"/>
              </w:rPr>
            </w:pPr>
          </w:p>
        </w:tc>
        <w:tc>
          <w:tcPr>
            <w:tcW w:w="1153" w:type="dxa"/>
            <w:tcBorders>
              <w:left w:val="single" w:sz="4" w:space="0" w:color="595A5B" w:themeColor="text1"/>
              <w:bottom w:val="nil"/>
              <w:right w:val="nil"/>
            </w:tcBorders>
          </w:tcPr>
          <w:p w:rsidR="006B209A" w:rsidRPr="00997D7E" w:rsidRDefault="006B209A" w:rsidP="008B5E68">
            <w:pPr>
              <w:pStyle w:val="Tabletext"/>
              <w:jc w:val="right"/>
              <w:rPr>
                <w:lang w:eastAsia="en-AU"/>
              </w:rPr>
            </w:pPr>
          </w:p>
        </w:tc>
      </w:tr>
      <w:tr w:rsidR="006B209A" w:rsidRPr="00B943AB" w:rsidTr="006B209A">
        <w:trPr>
          <w:trHeight w:val="264"/>
        </w:trPr>
        <w:tc>
          <w:tcPr>
            <w:tcW w:w="1042" w:type="dxa"/>
            <w:noWrap/>
            <w:hideMark/>
          </w:tcPr>
          <w:p w:rsidR="008B5E68" w:rsidRPr="00997D7E" w:rsidRDefault="008B5E68" w:rsidP="00EF3556">
            <w:pPr>
              <w:pStyle w:val="Tabletext"/>
              <w:rPr>
                <w:lang w:eastAsia="en-AU"/>
              </w:rPr>
            </w:pPr>
            <w:r w:rsidRPr="00997D7E">
              <w:rPr>
                <w:lang w:eastAsia="en-AU"/>
              </w:rPr>
              <w:t>2006</w:t>
            </w:r>
          </w:p>
        </w:tc>
        <w:tc>
          <w:tcPr>
            <w:tcW w:w="1193" w:type="dxa"/>
            <w:noWrap/>
            <w:hideMark/>
          </w:tcPr>
          <w:p w:rsidR="008B5E68" w:rsidRPr="00997D7E" w:rsidRDefault="008B5E68" w:rsidP="00EF3556">
            <w:pPr>
              <w:pStyle w:val="Tabletext"/>
              <w:jc w:val="right"/>
              <w:rPr>
                <w:lang w:eastAsia="en-AU"/>
              </w:rPr>
            </w:pPr>
            <w:r w:rsidRPr="00997D7E">
              <w:rPr>
                <w:lang w:eastAsia="en-AU"/>
              </w:rPr>
              <w:t>177,380</w:t>
            </w:r>
          </w:p>
        </w:tc>
        <w:tc>
          <w:tcPr>
            <w:tcW w:w="1147" w:type="dxa"/>
            <w:noWrap/>
            <w:hideMark/>
          </w:tcPr>
          <w:p w:rsidR="008B5E68" w:rsidRPr="00997D7E" w:rsidRDefault="008B5E68" w:rsidP="00EF3556">
            <w:pPr>
              <w:pStyle w:val="Tabletext"/>
              <w:jc w:val="right"/>
              <w:rPr>
                <w:lang w:eastAsia="en-AU"/>
              </w:rPr>
            </w:pPr>
            <w:r w:rsidRPr="00997D7E">
              <w:rPr>
                <w:lang w:eastAsia="en-AU"/>
              </w:rPr>
              <w:t>61,675</w:t>
            </w:r>
          </w:p>
        </w:tc>
        <w:tc>
          <w:tcPr>
            <w:tcW w:w="1204" w:type="dxa"/>
            <w:tcBorders>
              <w:right w:val="single" w:sz="4" w:space="0" w:color="595A5B" w:themeColor="text1"/>
            </w:tcBorders>
            <w:noWrap/>
            <w:hideMark/>
          </w:tcPr>
          <w:p w:rsidR="008B5E68" w:rsidRPr="00997D7E" w:rsidRDefault="008B5E68" w:rsidP="00EF3556">
            <w:pPr>
              <w:pStyle w:val="Tabletext"/>
              <w:jc w:val="right"/>
              <w:rPr>
                <w:lang w:eastAsia="en-AU"/>
              </w:rPr>
            </w:pPr>
            <w:r w:rsidRPr="00997D7E">
              <w:rPr>
                <w:lang w:eastAsia="en-AU"/>
              </w:rPr>
              <w:t>26,892</w:t>
            </w:r>
          </w:p>
        </w:tc>
        <w:tc>
          <w:tcPr>
            <w:tcW w:w="1206" w:type="dxa"/>
            <w:tcBorders>
              <w:left w:val="single" w:sz="4" w:space="0" w:color="595A5B" w:themeColor="text1"/>
            </w:tcBorders>
            <w:noWrap/>
            <w:hideMark/>
          </w:tcPr>
          <w:p w:rsidR="008B5E68" w:rsidRPr="00997D7E" w:rsidRDefault="008B5E68" w:rsidP="00EF3556">
            <w:pPr>
              <w:pStyle w:val="Tabletext"/>
              <w:jc w:val="right"/>
              <w:rPr>
                <w:lang w:eastAsia="en-AU"/>
              </w:rPr>
            </w:pPr>
            <w:r w:rsidRPr="00997D7E">
              <w:rPr>
                <w:lang w:eastAsia="en-AU"/>
              </w:rPr>
              <w:t>-70,340</w:t>
            </w:r>
          </w:p>
        </w:tc>
        <w:tc>
          <w:tcPr>
            <w:tcW w:w="1336" w:type="dxa"/>
            <w:noWrap/>
            <w:hideMark/>
          </w:tcPr>
          <w:p w:rsidR="008B5E68" w:rsidRPr="00997D7E" w:rsidRDefault="008B5E68" w:rsidP="00EF3556">
            <w:pPr>
              <w:pStyle w:val="Tabletext"/>
              <w:jc w:val="right"/>
              <w:rPr>
                <w:lang w:eastAsia="en-AU"/>
              </w:rPr>
            </w:pPr>
            <w:r w:rsidRPr="00997D7E">
              <w:rPr>
                <w:lang w:eastAsia="en-AU"/>
              </w:rPr>
              <w:t>2,063</w:t>
            </w:r>
          </w:p>
        </w:tc>
        <w:tc>
          <w:tcPr>
            <w:tcW w:w="1204" w:type="dxa"/>
            <w:tcBorders>
              <w:right w:val="single" w:sz="4" w:space="0" w:color="595A5B" w:themeColor="text1"/>
            </w:tcBorders>
            <w:noWrap/>
            <w:hideMark/>
          </w:tcPr>
          <w:p w:rsidR="008B5E68" w:rsidRPr="00997D7E" w:rsidRDefault="008B5E68" w:rsidP="00EF3556">
            <w:pPr>
              <w:pStyle w:val="Tabletext"/>
              <w:jc w:val="right"/>
              <w:rPr>
                <w:lang w:eastAsia="en-AU"/>
              </w:rPr>
            </w:pPr>
            <w:r w:rsidRPr="00997D7E">
              <w:rPr>
                <w:lang w:eastAsia="en-AU"/>
              </w:rPr>
              <w:t>-15,880</w:t>
            </w:r>
          </w:p>
        </w:tc>
        <w:tc>
          <w:tcPr>
            <w:tcW w:w="1204" w:type="dxa"/>
            <w:tcBorders>
              <w:left w:val="single" w:sz="4" w:space="0" w:color="595A5B" w:themeColor="text1"/>
            </w:tcBorders>
            <w:noWrap/>
            <w:hideMark/>
          </w:tcPr>
          <w:p w:rsidR="008B5E68" w:rsidRPr="00997D7E" w:rsidRDefault="008B5E68" w:rsidP="00EF3556">
            <w:pPr>
              <w:pStyle w:val="Tabletext"/>
              <w:jc w:val="right"/>
              <w:rPr>
                <w:lang w:eastAsia="en-AU"/>
              </w:rPr>
            </w:pPr>
            <w:r w:rsidRPr="00997D7E">
              <w:rPr>
                <w:lang w:eastAsia="en-AU"/>
              </w:rPr>
              <w:t>-77,634</w:t>
            </w:r>
          </w:p>
        </w:tc>
        <w:tc>
          <w:tcPr>
            <w:tcW w:w="1455" w:type="dxa"/>
            <w:noWrap/>
            <w:hideMark/>
          </w:tcPr>
          <w:p w:rsidR="008B5E68" w:rsidRPr="00997D7E" w:rsidRDefault="008B5E68" w:rsidP="00EF3556">
            <w:pPr>
              <w:pStyle w:val="Tabletext"/>
              <w:jc w:val="right"/>
              <w:rPr>
                <w:lang w:eastAsia="en-AU"/>
              </w:rPr>
            </w:pPr>
            <w:r w:rsidRPr="00997D7E">
              <w:rPr>
                <w:lang w:eastAsia="en-AU"/>
              </w:rPr>
              <w:t>70,144</w:t>
            </w:r>
          </w:p>
        </w:tc>
        <w:tc>
          <w:tcPr>
            <w:tcW w:w="1269" w:type="dxa"/>
            <w:tcBorders>
              <w:right w:val="single" w:sz="4" w:space="0" w:color="595A5B" w:themeColor="text1"/>
            </w:tcBorders>
            <w:noWrap/>
            <w:hideMark/>
          </w:tcPr>
          <w:p w:rsidR="008B5E68" w:rsidRPr="00997D7E" w:rsidRDefault="008B5E68" w:rsidP="00EF3556">
            <w:pPr>
              <w:pStyle w:val="Tabletext"/>
              <w:jc w:val="right"/>
              <w:rPr>
                <w:lang w:eastAsia="en-AU"/>
              </w:rPr>
            </w:pPr>
            <w:r w:rsidRPr="00997D7E">
              <w:rPr>
                <w:lang w:eastAsia="en-AU"/>
              </w:rPr>
              <w:t>129,710</w:t>
            </w:r>
          </w:p>
        </w:tc>
        <w:tc>
          <w:tcPr>
            <w:tcW w:w="1153" w:type="dxa"/>
            <w:tcBorders>
              <w:left w:val="single" w:sz="4" w:space="0" w:color="595A5B" w:themeColor="text1"/>
              <w:right w:val="nil"/>
            </w:tcBorders>
            <w:vAlign w:val="bottom"/>
          </w:tcPr>
          <w:p w:rsidR="008B5E68" w:rsidRPr="00997D7E" w:rsidRDefault="008B5E68" w:rsidP="008B5E68">
            <w:pPr>
              <w:pStyle w:val="Tabletext"/>
              <w:jc w:val="right"/>
              <w:rPr>
                <w:lang w:eastAsia="en-AU"/>
              </w:rPr>
            </w:pPr>
            <w:r w:rsidRPr="00997D7E">
              <w:rPr>
                <w:lang w:eastAsia="en-AU"/>
              </w:rPr>
              <w:t>304,011</w:t>
            </w:r>
          </w:p>
        </w:tc>
      </w:tr>
      <w:tr w:rsidR="006B209A" w:rsidRPr="00B943AB" w:rsidTr="006B209A">
        <w:trPr>
          <w:trHeight w:val="264"/>
        </w:trPr>
        <w:tc>
          <w:tcPr>
            <w:tcW w:w="1042" w:type="dxa"/>
            <w:noWrap/>
            <w:hideMark/>
          </w:tcPr>
          <w:p w:rsidR="008B5E68" w:rsidRPr="00997D7E" w:rsidRDefault="008B5E68" w:rsidP="00EF3556">
            <w:pPr>
              <w:pStyle w:val="Tabletext"/>
              <w:rPr>
                <w:lang w:eastAsia="en-AU"/>
              </w:rPr>
            </w:pPr>
            <w:r w:rsidRPr="00997D7E">
              <w:rPr>
                <w:lang w:eastAsia="en-AU"/>
              </w:rPr>
              <w:t>2007</w:t>
            </w:r>
          </w:p>
        </w:tc>
        <w:tc>
          <w:tcPr>
            <w:tcW w:w="1193" w:type="dxa"/>
            <w:noWrap/>
            <w:hideMark/>
          </w:tcPr>
          <w:p w:rsidR="008B5E68" w:rsidRPr="00997D7E" w:rsidRDefault="008B5E68" w:rsidP="00EF3556">
            <w:pPr>
              <w:pStyle w:val="Tabletext"/>
              <w:jc w:val="right"/>
              <w:rPr>
                <w:lang w:eastAsia="en-AU"/>
              </w:rPr>
            </w:pPr>
            <w:r w:rsidRPr="00997D7E">
              <w:rPr>
                <w:lang w:eastAsia="en-AU"/>
              </w:rPr>
              <w:t>173,665</w:t>
            </w:r>
          </w:p>
        </w:tc>
        <w:tc>
          <w:tcPr>
            <w:tcW w:w="1147" w:type="dxa"/>
            <w:noWrap/>
            <w:hideMark/>
          </w:tcPr>
          <w:p w:rsidR="008B5E68" w:rsidRPr="00997D7E" w:rsidRDefault="008B5E68" w:rsidP="00EF3556">
            <w:pPr>
              <w:pStyle w:val="Tabletext"/>
              <w:jc w:val="right"/>
              <w:rPr>
                <w:lang w:eastAsia="en-AU"/>
              </w:rPr>
            </w:pPr>
            <w:r w:rsidRPr="00997D7E">
              <w:rPr>
                <w:lang w:eastAsia="en-AU"/>
              </w:rPr>
              <w:t>68,896</w:t>
            </w:r>
          </w:p>
        </w:tc>
        <w:tc>
          <w:tcPr>
            <w:tcW w:w="1204" w:type="dxa"/>
            <w:tcBorders>
              <w:right w:val="single" w:sz="4" w:space="0" w:color="595A5B" w:themeColor="text1"/>
            </w:tcBorders>
            <w:noWrap/>
            <w:hideMark/>
          </w:tcPr>
          <w:p w:rsidR="008B5E68" w:rsidRPr="00997D7E" w:rsidRDefault="008B5E68" w:rsidP="00EF3556">
            <w:pPr>
              <w:pStyle w:val="Tabletext"/>
              <w:jc w:val="right"/>
              <w:rPr>
                <w:lang w:eastAsia="en-AU"/>
              </w:rPr>
            </w:pPr>
            <w:r w:rsidRPr="00997D7E">
              <w:rPr>
                <w:lang w:eastAsia="en-AU"/>
              </w:rPr>
              <w:t>16,220</w:t>
            </w:r>
          </w:p>
        </w:tc>
        <w:tc>
          <w:tcPr>
            <w:tcW w:w="1206" w:type="dxa"/>
            <w:tcBorders>
              <w:left w:val="single" w:sz="4" w:space="0" w:color="595A5B" w:themeColor="text1"/>
            </w:tcBorders>
            <w:noWrap/>
            <w:hideMark/>
          </w:tcPr>
          <w:p w:rsidR="008B5E68" w:rsidRPr="00997D7E" w:rsidRDefault="008B5E68" w:rsidP="00EF3556">
            <w:pPr>
              <w:pStyle w:val="Tabletext"/>
              <w:jc w:val="right"/>
              <w:rPr>
                <w:lang w:eastAsia="en-AU"/>
              </w:rPr>
            </w:pPr>
            <w:r w:rsidRPr="00997D7E">
              <w:rPr>
                <w:lang w:eastAsia="en-AU"/>
              </w:rPr>
              <w:t>-21,018</w:t>
            </w:r>
          </w:p>
        </w:tc>
        <w:tc>
          <w:tcPr>
            <w:tcW w:w="1336" w:type="dxa"/>
            <w:noWrap/>
            <w:hideMark/>
          </w:tcPr>
          <w:p w:rsidR="008B5E68" w:rsidRPr="00997D7E" w:rsidRDefault="008B5E68" w:rsidP="00EF3556">
            <w:pPr>
              <w:pStyle w:val="Tabletext"/>
              <w:jc w:val="right"/>
              <w:rPr>
                <w:lang w:eastAsia="en-AU"/>
              </w:rPr>
            </w:pPr>
            <w:r w:rsidRPr="00997D7E">
              <w:rPr>
                <w:lang w:eastAsia="en-AU"/>
              </w:rPr>
              <w:t>27,227</w:t>
            </w:r>
          </w:p>
        </w:tc>
        <w:tc>
          <w:tcPr>
            <w:tcW w:w="1204" w:type="dxa"/>
            <w:tcBorders>
              <w:right w:val="single" w:sz="4" w:space="0" w:color="595A5B" w:themeColor="text1"/>
            </w:tcBorders>
            <w:noWrap/>
            <w:hideMark/>
          </w:tcPr>
          <w:p w:rsidR="008B5E68" w:rsidRPr="00997D7E" w:rsidRDefault="008B5E68" w:rsidP="00EF3556">
            <w:pPr>
              <w:pStyle w:val="Tabletext"/>
              <w:jc w:val="right"/>
              <w:rPr>
                <w:lang w:eastAsia="en-AU"/>
              </w:rPr>
            </w:pPr>
            <w:r w:rsidRPr="00997D7E">
              <w:rPr>
                <w:lang w:eastAsia="en-AU"/>
              </w:rPr>
              <w:t>3,485</w:t>
            </w:r>
          </w:p>
        </w:tc>
        <w:tc>
          <w:tcPr>
            <w:tcW w:w="1204" w:type="dxa"/>
            <w:tcBorders>
              <w:left w:val="single" w:sz="4" w:space="0" w:color="595A5B" w:themeColor="text1"/>
            </w:tcBorders>
            <w:noWrap/>
            <w:hideMark/>
          </w:tcPr>
          <w:p w:rsidR="008B5E68" w:rsidRPr="00997D7E" w:rsidRDefault="008B5E68" w:rsidP="00EF3556">
            <w:pPr>
              <w:pStyle w:val="Tabletext"/>
              <w:jc w:val="right"/>
              <w:rPr>
                <w:lang w:eastAsia="en-AU"/>
              </w:rPr>
            </w:pPr>
            <w:r w:rsidRPr="00997D7E">
              <w:rPr>
                <w:lang w:eastAsia="en-AU"/>
              </w:rPr>
              <w:t>-87,858</w:t>
            </w:r>
          </w:p>
        </w:tc>
        <w:tc>
          <w:tcPr>
            <w:tcW w:w="1455" w:type="dxa"/>
            <w:noWrap/>
            <w:hideMark/>
          </w:tcPr>
          <w:p w:rsidR="008B5E68" w:rsidRPr="00997D7E" w:rsidRDefault="008B5E68" w:rsidP="00EF3556">
            <w:pPr>
              <w:pStyle w:val="Tabletext"/>
              <w:jc w:val="right"/>
              <w:rPr>
                <w:lang w:eastAsia="en-AU"/>
              </w:rPr>
            </w:pPr>
            <w:r w:rsidRPr="00997D7E">
              <w:rPr>
                <w:lang w:eastAsia="en-AU"/>
              </w:rPr>
              <w:t>64,210</w:t>
            </w:r>
          </w:p>
        </w:tc>
        <w:tc>
          <w:tcPr>
            <w:tcW w:w="1269" w:type="dxa"/>
            <w:tcBorders>
              <w:right w:val="single" w:sz="4" w:space="0" w:color="595A5B" w:themeColor="text1"/>
            </w:tcBorders>
            <w:noWrap/>
            <w:hideMark/>
          </w:tcPr>
          <w:p w:rsidR="008B5E68" w:rsidRPr="00997D7E" w:rsidRDefault="008B5E68" w:rsidP="00EF3556">
            <w:pPr>
              <w:pStyle w:val="Tabletext"/>
              <w:jc w:val="right"/>
              <w:rPr>
                <w:lang w:eastAsia="en-AU"/>
              </w:rPr>
            </w:pPr>
            <w:r w:rsidRPr="00997D7E">
              <w:rPr>
                <w:lang w:eastAsia="en-AU"/>
              </w:rPr>
              <w:t>178,228</w:t>
            </w:r>
          </w:p>
        </w:tc>
        <w:tc>
          <w:tcPr>
            <w:tcW w:w="1153" w:type="dxa"/>
            <w:tcBorders>
              <w:left w:val="single" w:sz="4" w:space="0" w:color="595A5B" w:themeColor="text1"/>
              <w:right w:val="nil"/>
            </w:tcBorders>
            <w:vAlign w:val="bottom"/>
          </w:tcPr>
          <w:p w:rsidR="008B5E68" w:rsidRPr="00997D7E" w:rsidRDefault="008B5E68" w:rsidP="008B5E68">
            <w:pPr>
              <w:pStyle w:val="Tabletext"/>
              <w:jc w:val="right"/>
              <w:rPr>
                <w:lang w:eastAsia="en-AU"/>
              </w:rPr>
            </w:pPr>
            <w:r w:rsidRPr="00997D7E">
              <w:rPr>
                <w:lang w:eastAsia="en-AU"/>
              </w:rPr>
              <w:t>423,055</w:t>
            </w:r>
          </w:p>
        </w:tc>
      </w:tr>
      <w:tr w:rsidR="006B209A" w:rsidRPr="00B943AB" w:rsidTr="006B209A">
        <w:trPr>
          <w:trHeight w:val="264"/>
        </w:trPr>
        <w:tc>
          <w:tcPr>
            <w:tcW w:w="1042" w:type="dxa"/>
            <w:noWrap/>
            <w:hideMark/>
          </w:tcPr>
          <w:p w:rsidR="008B5E68" w:rsidRPr="00997D7E" w:rsidRDefault="008B5E68" w:rsidP="00EF3556">
            <w:pPr>
              <w:pStyle w:val="Tabletext"/>
              <w:rPr>
                <w:lang w:eastAsia="en-AU"/>
              </w:rPr>
            </w:pPr>
            <w:r w:rsidRPr="00997D7E">
              <w:rPr>
                <w:lang w:eastAsia="en-AU"/>
              </w:rPr>
              <w:t>2008</w:t>
            </w:r>
          </w:p>
        </w:tc>
        <w:tc>
          <w:tcPr>
            <w:tcW w:w="1193" w:type="dxa"/>
            <w:noWrap/>
            <w:hideMark/>
          </w:tcPr>
          <w:p w:rsidR="008B5E68" w:rsidRPr="00997D7E" w:rsidRDefault="008B5E68" w:rsidP="00EF3556">
            <w:pPr>
              <w:pStyle w:val="Tabletext"/>
              <w:jc w:val="right"/>
              <w:rPr>
                <w:lang w:eastAsia="en-AU"/>
              </w:rPr>
            </w:pPr>
            <w:r w:rsidRPr="00997D7E">
              <w:rPr>
                <w:lang w:eastAsia="en-AU"/>
              </w:rPr>
              <w:t>147,737</w:t>
            </w:r>
          </w:p>
        </w:tc>
        <w:tc>
          <w:tcPr>
            <w:tcW w:w="1147" w:type="dxa"/>
            <w:noWrap/>
            <w:hideMark/>
          </w:tcPr>
          <w:p w:rsidR="008B5E68" w:rsidRPr="00997D7E" w:rsidRDefault="008B5E68" w:rsidP="00EF3556">
            <w:pPr>
              <w:pStyle w:val="Tabletext"/>
              <w:jc w:val="right"/>
              <w:rPr>
                <w:lang w:eastAsia="en-AU"/>
              </w:rPr>
            </w:pPr>
            <w:r w:rsidRPr="00997D7E">
              <w:rPr>
                <w:lang w:eastAsia="en-AU"/>
              </w:rPr>
              <w:t>56,040</w:t>
            </w:r>
          </w:p>
        </w:tc>
        <w:tc>
          <w:tcPr>
            <w:tcW w:w="1204" w:type="dxa"/>
            <w:tcBorders>
              <w:right w:val="single" w:sz="4" w:space="0" w:color="595A5B" w:themeColor="text1"/>
            </w:tcBorders>
            <w:noWrap/>
            <w:hideMark/>
          </w:tcPr>
          <w:p w:rsidR="008B5E68" w:rsidRPr="00997D7E" w:rsidRDefault="008B5E68" w:rsidP="00EF3556">
            <w:pPr>
              <w:pStyle w:val="Tabletext"/>
              <w:jc w:val="right"/>
              <w:rPr>
                <w:lang w:eastAsia="en-AU"/>
              </w:rPr>
            </w:pPr>
            <w:r w:rsidRPr="00997D7E">
              <w:rPr>
                <w:lang w:eastAsia="en-AU"/>
              </w:rPr>
              <w:t>19,845</w:t>
            </w:r>
          </w:p>
        </w:tc>
        <w:tc>
          <w:tcPr>
            <w:tcW w:w="1206" w:type="dxa"/>
            <w:tcBorders>
              <w:left w:val="single" w:sz="4" w:space="0" w:color="595A5B" w:themeColor="text1"/>
            </w:tcBorders>
            <w:noWrap/>
            <w:hideMark/>
          </w:tcPr>
          <w:p w:rsidR="008B5E68" w:rsidRPr="00997D7E" w:rsidRDefault="008B5E68" w:rsidP="00EF3556">
            <w:pPr>
              <w:pStyle w:val="Tabletext"/>
              <w:jc w:val="right"/>
              <w:rPr>
                <w:lang w:eastAsia="en-AU"/>
              </w:rPr>
            </w:pPr>
            <w:r w:rsidRPr="00997D7E">
              <w:rPr>
                <w:lang w:eastAsia="en-AU"/>
              </w:rPr>
              <w:t>-42,225</w:t>
            </w:r>
          </w:p>
        </w:tc>
        <w:tc>
          <w:tcPr>
            <w:tcW w:w="1336" w:type="dxa"/>
            <w:noWrap/>
            <w:hideMark/>
          </w:tcPr>
          <w:p w:rsidR="008B5E68" w:rsidRPr="00997D7E" w:rsidRDefault="008B5E68" w:rsidP="00EF3556">
            <w:pPr>
              <w:pStyle w:val="Tabletext"/>
              <w:jc w:val="right"/>
              <w:rPr>
                <w:lang w:eastAsia="en-AU"/>
              </w:rPr>
            </w:pPr>
            <w:r w:rsidRPr="00997D7E">
              <w:rPr>
                <w:lang w:eastAsia="en-AU"/>
              </w:rPr>
              <w:t>13,383</w:t>
            </w:r>
          </w:p>
        </w:tc>
        <w:tc>
          <w:tcPr>
            <w:tcW w:w="1204" w:type="dxa"/>
            <w:tcBorders>
              <w:right w:val="single" w:sz="4" w:space="0" w:color="595A5B" w:themeColor="text1"/>
            </w:tcBorders>
            <w:noWrap/>
            <w:hideMark/>
          </w:tcPr>
          <w:p w:rsidR="008B5E68" w:rsidRPr="00997D7E" w:rsidRDefault="008B5E68" w:rsidP="00EF3556">
            <w:pPr>
              <w:pStyle w:val="Tabletext"/>
              <w:jc w:val="right"/>
              <w:rPr>
                <w:lang w:eastAsia="en-AU"/>
              </w:rPr>
            </w:pPr>
            <w:r w:rsidRPr="00997D7E">
              <w:rPr>
                <w:lang w:eastAsia="en-AU"/>
              </w:rPr>
              <w:t>6,009</w:t>
            </w:r>
          </w:p>
        </w:tc>
        <w:tc>
          <w:tcPr>
            <w:tcW w:w="1204" w:type="dxa"/>
            <w:tcBorders>
              <w:left w:val="single" w:sz="4" w:space="0" w:color="595A5B" w:themeColor="text1"/>
            </w:tcBorders>
            <w:noWrap/>
            <w:hideMark/>
          </w:tcPr>
          <w:p w:rsidR="008B5E68" w:rsidRPr="00997D7E" w:rsidRDefault="008B5E68" w:rsidP="00EF3556">
            <w:pPr>
              <w:pStyle w:val="Tabletext"/>
              <w:jc w:val="right"/>
              <w:rPr>
                <w:lang w:eastAsia="en-AU"/>
              </w:rPr>
            </w:pPr>
            <w:r w:rsidRPr="00997D7E">
              <w:rPr>
                <w:lang w:eastAsia="en-AU"/>
              </w:rPr>
              <w:t>-139,789</w:t>
            </w:r>
          </w:p>
        </w:tc>
        <w:tc>
          <w:tcPr>
            <w:tcW w:w="1455" w:type="dxa"/>
            <w:noWrap/>
            <w:hideMark/>
          </w:tcPr>
          <w:p w:rsidR="008B5E68" w:rsidRPr="00997D7E" w:rsidRDefault="008B5E68" w:rsidP="00EF3556">
            <w:pPr>
              <w:pStyle w:val="Tabletext"/>
              <w:jc w:val="right"/>
              <w:rPr>
                <w:lang w:eastAsia="en-AU"/>
              </w:rPr>
            </w:pPr>
            <w:r w:rsidRPr="00997D7E">
              <w:rPr>
                <w:lang w:eastAsia="en-AU"/>
              </w:rPr>
              <w:t>12,114</w:t>
            </w:r>
          </w:p>
        </w:tc>
        <w:tc>
          <w:tcPr>
            <w:tcW w:w="1269" w:type="dxa"/>
            <w:tcBorders>
              <w:right w:val="single" w:sz="4" w:space="0" w:color="595A5B" w:themeColor="text1"/>
            </w:tcBorders>
            <w:noWrap/>
            <w:hideMark/>
          </w:tcPr>
          <w:p w:rsidR="008B5E68" w:rsidRPr="00997D7E" w:rsidRDefault="008B5E68" w:rsidP="00EF3556">
            <w:pPr>
              <w:pStyle w:val="Tabletext"/>
              <w:jc w:val="right"/>
              <w:rPr>
                <w:lang w:eastAsia="en-AU"/>
              </w:rPr>
            </w:pPr>
            <w:r w:rsidRPr="00997D7E">
              <w:rPr>
                <w:lang w:eastAsia="en-AU"/>
              </w:rPr>
              <w:t>36,789</w:t>
            </w:r>
          </w:p>
        </w:tc>
        <w:tc>
          <w:tcPr>
            <w:tcW w:w="1153" w:type="dxa"/>
            <w:tcBorders>
              <w:left w:val="single" w:sz="4" w:space="0" w:color="595A5B" w:themeColor="text1"/>
              <w:right w:val="nil"/>
            </w:tcBorders>
            <w:vAlign w:val="bottom"/>
          </w:tcPr>
          <w:p w:rsidR="008B5E68" w:rsidRPr="00997D7E" w:rsidRDefault="008B5E68" w:rsidP="008B5E68">
            <w:pPr>
              <w:pStyle w:val="Tabletext"/>
              <w:jc w:val="right"/>
              <w:rPr>
                <w:lang w:eastAsia="en-AU"/>
              </w:rPr>
            </w:pPr>
            <w:r w:rsidRPr="00997D7E">
              <w:rPr>
                <w:lang w:eastAsia="en-AU"/>
              </w:rPr>
              <w:t>109,903</w:t>
            </w:r>
          </w:p>
        </w:tc>
      </w:tr>
      <w:tr w:rsidR="006B209A" w:rsidRPr="00B943AB" w:rsidTr="006B209A">
        <w:trPr>
          <w:trHeight w:val="264"/>
        </w:trPr>
        <w:tc>
          <w:tcPr>
            <w:tcW w:w="1042" w:type="dxa"/>
            <w:noWrap/>
            <w:hideMark/>
          </w:tcPr>
          <w:p w:rsidR="008B5E68" w:rsidRPr="00997D7E" w:rsidRDefault="008B5E68" w:rsidP="00EF3556">
            <w:pPr>
              <w:pStyle w:val="Tabletext"/>
              <w:rPr>
                <w:lang w:eastAsia="en-AU"/>
              </w:rPr>
            </w:pPr>
            <w:r w:rsidRPr="00997D7E">
              <w:rPr>
                <w:lang w:eastAsia="en-AU"/>
              </w:rPr>
              <w:t>2009</w:t>
            </w:r>
          </w:p>
        </w:tc>
        <w:tc>
          <w:tcPr>
            <w:tcW w:w="1193" w:type="dxa"/>
            <w:noWrap/>
            <w:hideMark/>
          </w:tcPr>
          <w:p w:rsidR="008B5E68" w:rsidRPr="00997D7E" w:rsidRDefault="008B5E68" w:rsidP="00EF3556">
            <w:pPr>
              <w:pStyle w:val="Tabletext"/>
              <w:jc w:val="right"/>
              <w:rPr>
                <w:lang w:eastAsia="en-AU"/>
              </w:rPr>
            </w:pPr>
            <w:r w:rsidRPr="00997D7E">
              <w:rPr>
                <w:lang w:eastAsia="en-AU"/>
              </w:rPr>
              <w:t>130,092</w:t>
            </w:r>
          </w:p>
        </w:tc>
        <w:tc>
          <w:tcPr>
            <w:tcW w:w="1147" w:type="dxa"/>
            <w:noWrap/>
            <w:hideMark/>
          </w:tcPr>
          <w:p w:rsidR="008B5E68" w:rsidRPr="00997D7E" w:rsidRDefault="008B5E68" w:rsidP="00EF3556">
            <w:pPr>
              <w:pStyle w:val="Tabletext"/>
              <w:jc w:val="right"/>
              <w:rPr>
                <w:lang w:eastAsia="en-AU"/>
              </w:rPr>
            </w:pPr>
            <w:r w:rsidRPr="00997D7E">
              <w:rPr>
                <w:lang w:eastAsia="en-AU"/>
              </w:rPr>
              <w:t>49,592</w:t>
            </w:r>
          </w:p>
        </w:tc>
        <w:tc>
          <w:tcPr>
            <w:tcW w:w="1204" w:type="dxa"/>
            <w:tcBorders>
              <w:right w:val="single" w:sz="4" w:space="0" w:color="595A5B" w:themeColor="text1"/>
            </w:tcBorders>
            <w:noWrap/>
            <w:hideMark/>
          </w:tcPr>
          <w:p w:rsidR="008B5E68" w:rsidRPr="00997D7E" w:rsidRDefault="008B5E68" w:rsidP="00EF3556">
            <w:pPr>
              <w:pStyle w:val="Tabletext"/>
              <w:jc w:val="right"/>
              <w:rPr>
                <w:lang w:eastAsia="en-AU"/>
              </w:rPr>
            </w:pPr>
            <w:r w:rsidRPr="00997D7E">
              <w:rPr>
                <w:lang w:eastAsia="en-AU"/>
              </w:rPr>
              <w:t>16,036</w:t>
            </w:r>
          </w:p>
        </w:tc>
        <w:tc>
          <w:tcPr>
            <w:tcW w:w="1206" w:type="dxa"/>
            <w:tcBorders>
              <w:left w:val="single" w:sz="4" w:space="0" w:color="595A5B" w:themeColor="text1"/>
            </w:tcBorders>
            <w:noWrap/>
            <w:hideMark/>
          </w:tcPr>
          <w:p w:rsidR="008B5E68" w:rsidRPr="00997D7E" w:rsidRDefault="008B5E68" w:rsidP="00EF3556">
            <w:pPr>
              <w:pStyle w:val="Tabletext"/>
              <w:jc w:val="right"/>
              <w:rPr>
                <w:lang w:eastAsia="en-AU"/>
              </w:rPr>
            </w:pPr>
            <w:r w:rsidRPr="00997D7E">
              <w:rPr>
                <w:lang w:eastAsia="en-AU"/>
              </w:rPr>
              <w:t>-76,173</w:t>
            </w:r>
          </w:p>
        </w:tc>
        <w:tc>
          <w:tcPr>
            <w:tcW w:w="1336" w:type="dxa"/>
            <w:noWrap/>
            <w:hideMark/>
          </w:tcPr>
          <w:p w:rsidR="008B5E68" w:rsidRPr="00997D7E" w:rsidRDefault="008B5E68" w:rsidP="00EF3556">
            <w:pPr>
              <w:pStyle w:val="Tabletext"/>
              <w:jc w:val="right"/>
              <w:rPr>
                <w:lang w:eastAsia="en-AU"/>
              </w:rPr>
            </w:pPr>
            <w:r w:rsidRPr="00997D7E">
              <w:rPr>
                <w:lang w:eastAsia="en-AU"/>
              </w:rPr>
              <w:t>-1,291</w:t>
            </w:r>
          </w:p>
        </w:tc>
        <w:tc>
          <w:tcPr>
            <w:tcW w:w="1204" w:type="dxa"/>
            <w:tcBorders>
              <w:right w:val="single" w:sz="4" w:space="0" w:color="595A5B" w:themeColor="text1"/>
            </w:tcBorders>
            <w:noWrap/>
            <w:hideMark/>
          </w:tcPr>
          <w:p w:rsidR="008B5E68" w:rsidRPr="00997D7E" w:rsidRDefault="008B5E68" w:rsidP="00EF3556">
            <w:pPr>
              <w:pStyle w:val="Tabletext"/>
              <w:jc w:val="right"/>
              <w:rPr>
                <w:lang w:eastAsia="en-AU"/>
              </w:rPr>
            </w:pPr>
            <w:r w:rsidRPr="00997D7E">
              <w:rPr>
                <w:lang w:eastAsia="en-AU"/>
              </w:rPr>
              <w:t>1,203</w:t>
            </w:r>
          </w:p>
        </w:tc>
        <w:tc>
          <w:tcPr>
            <w:tcW w:w="1204" w:type="dxa"/>
            <w:tcBorders>
              <w:left w:val="single" w:sz="4" w:space="0" w:color="595A5B" w:themeColor="text1"/>
            </w:tcBorders>
            <w:noWrap/>
            <w:hideMark/>
          </w:tcPr>
          <w:p w:rsidR="008B5E68" w:rsidRPr="00997D7E" w:rsidRDefault="008B5E68" w:rsidP="00EF3556">
            <w:pPr>
              <w:pStyle w:val="Tabletext"/>
              <w:jc w:val="right"/>
              <w:rPr>
                <w:lang w:eastAsia="en-AU"/>
              </w:rPr>
            </w:pPr>
            <w:r w:rsidRPr="00997D7E">
              <w:rPr>
                <w:lang w:eastAsia="en-AU"/>
              </w:rPr>
              <w:t>-242,409</w:t>
            </w:r>
          </w:p>
        </w:tc>
        <w:tc>
          <w:tcPr>
            <w:tcW w:w="1455" w:type="dxa"/>
            <w:noWrap/>
            <w:hideMark/>
          </w:tcPr>
          <w:p w:rsidR="008B5E68" w:rsidRPr="00997D7E" w:rsidRDefault="008B5E68" w:rsidP="00EF3556">
            <w:pPr>
              <w:pStyle w:val="Tabletext"/>
              <w:jc w:val="right"/>
              <w:rPr>
                <w:lang w:eastAsia="en-AU"/>
              </w:rPr>
            </w:pPr>
            <w:r w:rsidRPr="00997D7E">
              <w:rPr>
                <w:lang w:eastAsia="en-AU"/>
              </w:rPr>
              <w:t>-100,601</w:t>
            </w:r>
          </w:p>
        </w:tc>
        <w:tc>
          <w:tcPr>
            <w:tcW w:w="1269" w:type="dxa"/>
            <w:tcBorders>
              <w:right w:val="single" w:sz="4" w:space="0" w:color="595A5B" w:themeColor="text1"/>
            </w:tcBorders>
            <w:noWrap/>
            <w:hideMark/>
          </w:tcPr>
          <w:p w:rsidR="008B5E68" w:rsidRPr="00997D7E" w:rsidRDefault="008B5E68" w:rsidP="00EF3556">
            <w:pPr>
              <w:pStyle w:val="Tabletext"/>
              <w:jc w:val="right"/>
              <w:rPr>
                <w:lang w:eastAsia="en-AU"/>
              </w:rPr>
            </w:pPr>
            <w:r w:rsidRPr="00997D7E">
              <w:rPr>
                <w:lang w:eastAsia="en-AU"/>
              </w:rPr>
              <w:t>-155,245</w:t>
            </w:r>
          </w:p>
        </w:tc>
        <w:tc>
          <w:tcPr>
            <w:tcW w:w="1153" w:type="dxa"/>
            <w:tcBorders>
              <w:left w:val="single" w:sz="4" w:space="0" w:color="595A5B" w:themeColor="text1"/>
              <w:right w:val="nil"/>
            </w:tcBorders>
            <w:vAlign w:val="bottom"/>
          </w:tcPr>
          <w:p w:rsidR="008B5E68" w:rsidRPr="00997D7E" w:rsidRDefault="008B5E68" w:rsidP="008B5E68">
            <w:pPr>
              <w:pStyle w:val="Tabletext"/>
              <w:jc w:val="right"/>
              <w:rPr>
                <w:lang w:eastAsia="en-AU"/>
              </w:rPr>
            </w:pPr>
            <w:r w:rsidRPr="00997D7E">
              <w:rPr>
                <w:lang w:eastAsia="en-AU"/>
              </w:rPr>
              <w:t>-378,795</w:t>
            </w:r>
          </w:p>
        </w:tc>
      </w:tr>
      <w:tr w:rsidR="006B209A" w:rsidRPr="00B943AB" w:rsidTr="006B209A">
        <w:trPr>
          <w:trHeight w:val="264"/>
        </w:trPr>
        <w:tc>
          <w:tcPr>
            <w:tcW w:w="1042" w:type="dxa"/>
            <w:noWrap/>
            <w:hideMark/>
          </w:tcPr>
          <w:p w:rsidR="008B5E68" w:rsidRPr="00997D7E" w:rsidRDefault="008B5E68" w:rsidP="00EF3556">
            <w:pPr>
              <w:pStyle w:val="Tabletext"/>
              <w:rPr>
                <w:lang w:eastAsia="en-AU"/>
              </w:rPr>
            </w:pPr>
            <w:r w:rsidRPr="00997D7E">
              <w:rPr>
                <w:lang w:eastAsia="en-AU"/>
              </w:rPr>
              <w:t>2010</w:t>
            </w:r>
          </w:p>
        </w:tc>
        <w:tc>
          <w:tcPr>
            <w:tcW w:w="1193" w:type="dxa"/>
            <w:noWrap/>
            <w:hideMark/>
          </w:tcPr>
          <w:p w:rsidR="008B5E68" w:rsidRPr="00997D7E" w:rsidRDefault="008B5E68" w:rsidP="00EF3556">
            <w:pPr>
              <w:pStyle w:val="Tabletext"/>
              <w:jc w:val="right"/>
              <w:rPr>
                <w:lang w:eastAsia="en-AU"/>
              </w:rPr>
            </w:pPr>
            <w:r w:rsidRPr="00997D7E">
              <w:rPr>
                <w:lang w:eastAsia="en-AU"/>
              </w:rPr>
              <w:t>144,810</w:t>
            </w:r>
          </w:p>
        </w:tc>
        <w:tc>
          <w:tcPr>
            <w:tcW w:w="1147" w:type="dxa"/>
            <w:noWrap/>
            <w:hideMark/>
          </w:tcPr>
          <w:p w:rsidR="008B5E68" w:rsidRPr="00997D7E" w:rsidRDefault="008B5E68" w:rsidP="00EF3556">
            <w:pPr>
              <w:pStyle w:val="Tabletext"/>
              <w:jc w:val="right"/>
              <w:rPr>
                <w:lang w:eastAsia="en-AU"/>
              </w:rPr>
            </w:pPr>
            <w:r w:rsidRPr="00997D7E">
              <w:rPr>
                <w:lang w:eastAsia="en-AU"/>
              </w:rPr>
              <w:t>57,843</w:t>
            </w:r>
          </w:p>
        </w:tc>
        <w:tc>
          <w:tcPr>
            <w:tcW w:w="1204" w:type="dxa"/>
            <w:tcBorders>
              <w:bottom w:val="nil"/>
              <w:right w:val="single" w:sz="4" w:space="0" w:color="595A5B" w:themeColor="text1"/>
            </w:tcBorders>
            <w:noWrap/>
            <w:hideMark/>
          </w:tcPr>
          <w:p w:rsidR="008B5E68" w:rsidRPr="00997D7E" w:rsidRDefault="008B5E68" w:rsidP="00EF3556">
            <w:pPr>
              <w:pStyle w:val="Tabletext"/>
              <w:jc w:val="right"/>
              <w:rPr>
                <w:lang w:eastAsia="en-AU"/>
              </w:rPr>
            </w:pPr>
            <w:r w:rsidRPr="00997D7E">
              <w:rPr>
                <w:lang w:eastAsia="en-AU"/>
              </w:rPr>
              <w:t>36,791</w:t>
            </w:r>
          </w:p>
        </w:tc>
        <w:tc>
          <w:tcPr>
            <w:tcW w:w="1206" w:type="dxa"/>
            <w:tcBorders>
              <w:left w:val="single" w:sz="4" w:space="0" w:color="595A5B" w:themeColor="text1"/>
            </w:tcBorders>
            <w:noWrap/>
            <w:hideMark/>
          </w:tcPr>
          <w:p w:rsidR="008B5E68" w:rsidRPr="00997D7E" w:rsidRDefault="008B5E68" w:rsidP="00EF3556">
            <w:pPr>
              <w:pStyle w:val="Tabletext"/>
              <w:jc w:val="right"/>
              <w:rPr>
                <w:lang w:eastAsia="en-AU"/>
              </w:rPr>
            </w:pPr>
            <w:r w:rsidRPr="00997D7E">
              <w:rPr>
                <w:lang w:eastAsia="en-AU"/>
              </w:rPr>
              <w:t>-29,397</w:t>
            </w:r>
          </w:p>
        </w:tc>
        <w:tc>
          <w:tcPr>
            <w:tcW w:w="1336" w:type="dxa"/>
            <w:noWrap/>
            <w:hideMark/>
          </w:tcPr>
          <w:p w:rsidR="008B5E68" w:rsidRPr="00997D7E" w:rsidRDefault="008B5E68" w:rsidP="00EF3556">
            <w:pPr>
              <w:pStyle w:val="Tabletext"/>
              <w:jc w:val="right"/>
              <w:rPr>
                <w:lang w:eastAsia="en-AU"/>
              </w:rPr>
            </w:pPr>
            <w:r w:rsidRPr="00997D7E">
              <w:rPr>
                <w:lang w:eastAsia="en-AU"/>
              </w:rPr>
              <w:t>22,126</w:t>
            </w:r>
          </w:p>
        </w:tc>
        <w:tc>
          <w:tcPr>
            <w:tcW w:w="1204" w:type="dxa"/>
            <w:tcBorders>
              <w:bottom w:val="nil"/>
              <w:right w:val="single" w:sz="4" w:space="0" w:color="595A5B" w:themeColor="text1"/>
            </w:tcBorders>
            <w:noWrap/>
            <w:hideMark/>
          </w:tcPr>
          <w:p w:rsidR="008B5E68" w:rsidRPr="00997D7E" w:rsidRDefault="008B5E68" w:rsidP="00EF3556">
            <w:pPr>
              <w:pStyle w:val="Tabletext"/>
              <w:jc w:val="right"/>
              <w:rPr>
                <w:lang w:eastAsia="en-AU"/>
              </w:rPr>
            </w:pPr>
            <w:r w:rsidRPr="00997D7E">
              <w:rPr>
                <w:lang w:eastAsia="en-AU"/>
              </w:rPr>
              <w:t>3,717</w:t>
            </w:r>
          </w:p>
        </w:tc>
        <w:tc>
          <w:tcPr>
            <w:tcW w:w="1204" w:type="dxa"/>
            <w:tcBorders>
              <w:left w:val="single" w:sz="4" w:space="0" w:color="595A5B" w:themeColor="text1"/>
            </w:tcBorders>
            <w:noWrap/>
            <w:hideMark/>
          </w:tcPr>
          <w:p w:rsidR="008B5E68" w:rsidRPr="00997D7E" w:rsidRDefault="008B5E68" w:rsidP="00EF3556">
            <w:pPr>
              <w:pStyle w:val="Tabletext"/>
              <w:jc w:val="right"/>
              <w:rPr>
                <w:lang w:eastAsia="en-AU"/>
              </w:rPr>
            </w:pPr>
            <w:r w:rsidRPr="00997D7E">
              <w:rPr>
                <w:lang w:eastAsia="en-AU"/>
              </w:rPr>
              <w:t>-125,758</w:t>
            </w:r>
          </w:p>
        </w:tc>
        <w:tc>
          <w:tcPr>
            <w:tcW w:w="1455" w:type="dxa"/>
            <w:noWrap/>
            <w:hideMark/>
          </w:tcPr>
          <w:p w:rsidR="008B5E68" w:rsidRPr="00997D7E" w:rsidRDefault="008B5E68" w:rsidP="00EF3556">
            <w:pPr>
              <w:pStyle w:val="Tabletext"/>
              <w:jc w:val="right"/>
              <w:rPr>
                <w:lang w:eastAsia="en-AU"/>
              </w:rPr>
            </w:pPr>
            <w:r w:rsidRPr="00997D7E">
              <w:rPr>
                <w:lang w:eastAsia="en-AU"/>
              </w:rPr>
              <w:t>33,555</w:t>
            </w:r>
          </w:p>
        </w:tc>
        <w:tc>
          <w:tcPr>
            <w:tcW w:w="1269" w:type="dxa"/>
            <w:tcBorders>
              <w:bottom w:val="nil"/>
              <w:right w:val="single" w:sz="4" w:space="0" w:color="595A5B" w:themeColor="text1"/>
            </w:tcBorders>
            <w:noWrap/>
            <w:hideMark/>
          </w:tcPr>
          <w:p w:rsidR="008B5E68" w:rsidRPr="00997D7E" w:rsidRDefault="008B5E68" w:rsidP="00EF3556">
            <w:pPr>
              <w:pStyle w:val="Tabletext"/>
              <w:jc w:val="right"/>
              <w:rPr>
                <w:lang w:eastAsia="en-AU"/>
              </w:rPr>
            </w:pPr>
            <w:r w:rsidRPr="00997D7E">
              <w:rPr>
                <w:lang w:eastAsia="en-AU"/>
              </w:rPr>
              <w:t>88,456</w:t>
            </w:r>
          </w:p>
        </w:tc>
        <w:tc>
          <w:tcPr>
            <w:tcW w:w="1153" w:type="dxa"/>
            <w:tcBorders>
              <w:left w:val="single" w:sz="4" w:space="0" w:color="595A5B" w:themeColor="text1"/>
              <w:bottom w:val="nil"/>
              <w:right w:val="nil"/>
            </w:tcBorders>
            <w:vAlign w:val="bottom"/>
          </w:tcPr>
          <w:p w:rsidR="008B5E68" w:rsidRPr="00997D7E" w:rsidRDefault="008B5E68" w:rsidP="008B5E68">
            <w:pPr>
              <w:pStyle w:val="Tabletext"/>
              <w:jc w:val="right"/>
              <w:rPr>
                <w:lang w:eastAsia="en-AU"/>
              </w:rPr>
            </w:pPr>
            <w:r w:rsidRPr="00997D7E">
              <w:rPr>
                <w:lang w:eastAsia="en-AU"/>
              </w:rPr>
              <w:t>232,144</w:t>
            </w:r>
          </w:p>
        </w:tc>
      </w:tr>
      <w:tr w:rsidR="006B209A" w:rsidRPr="00B943AB" w:rsidTr="006B209A">
        <w:trPr>
          <w:trHeight w:val="264"/>
        </w:trPr>
        <w:tc>
          <w:tcPr>
            <w:tcW w:w="1042" w:type="dxa"/>
            <w:noWrap/>
            <w:hideMark/>
          </w:tcPr>
          <w:p w:rsidR="008B5E68" w:rsidRPr="00997D7E" w:rsidRDefault="008B5E68" w:rsidP="00EF3556">
            <w:pPr>
              <w:pStyle w:val="Tabletext"/>
              <w:rPr>
                <w:lang w:eastAsia="en-AU"/>
              </w:rPr>
            </w:pPr>
            <w:r w:rsidRPr="00997D7E">
              <w:rPr>
                <w:lang w:eastAsia="en-AU"/>
              </w:rPr>
              <w:t>2011</w:t>
            </w:r>
          </w:p>
        </w:tc>
        <w:tc>
          <w:tcPr>
            <w:tcW w:w="1193" w:type="dxa"/>
            <w:noWrap/>
            <w:hideMark/>
          </w:tcPr>
          <w:p w:rsidR="008B5E68" w:rsidRPr="00997D7E" w:rsidRDefault="008B5E68" w:rsidP="00EF3556">
            <w:pPr>
              <w:pStyle w:val="Tabletext"/>
              <w:jc w:val="right"/>
              <w:rPr>
                <w:lang w:eastAsia="en-AU"/>
              </w:rPr>
            </w:pPr>
            <w:r w:rsidRPr="00997D7E">
              <w:rPr>
                <w:lang w:eastAsia="en-AU"/>
              </w:rPr>
              <w:t>147,249</w:t>
            </w:r>
          </w:p>
        </w:tc>
        <w:tc>
          <w:tcPr>
            <w:tcW w:w="1147" w:type="dxa"/>
            <w:noWrap/>
            <w:hideMark/>
          </w:tcPr>
          <w:p w:rsidR="008B5E68" w:rsidRPr="00997D7E" w:rsidRDefault="008B5E68" w:rsidP="00EF3556">
            <w:pPr>
              <w:pStyle w:val="Tabletext"/>
              <w:jc w:val="right"/>
              <w:rPr>
                <w:lang w:eastAsia="en-AU"/>
              </w:rPr>
            </w:pPr>
            <w:r w:rsidRPr="00997D7E">
              <w:rPr>
                <w:lang w:eastAsia="en-AU"/>
              </w:rPr>
              <w:t>73,922</w:t>
            </w:r>
          </w:p>
        </w:tc>
        <w:tc>
          <w:tcPr>
            <w:tcW w:w="1204" w:type="dxa"/>
            <w:tcBorders>
              <w:right w:val="single" w:sz="4" w:space="0" w:color="595A5B" w:themeColor="text1"/>
            </w:tcBorders>
            <w:noWrap/>
            <w:hideMark/>
          </w:tcPr>
          <w:p w:rsidR="008B5E68" w:rsidRPr="00997D7E" w:rsidRDefault="008B5E68" w:rsidP="00EF3556">
            <w:pPr>
              <w:pStyle w:val="Tabletext"/>
              <w:jc w:val="right"/>
              <w:rPr>
                <w:lang w:eastAsia="en-AU"/>
              </w:rPr>
            </w:pPr>
            <w:r w:rsidRPr="00997D7E">
              <w:rPr>
                <w:lang w:eastAsia="en-AU"/>
              </w:rPr>
              <w:t>31,499</w:t>
            </w:r>
          </w:p>
        </w:tc>
        <w:tc>
          <w:tcPr>
            <w:tcW w:w="1206" w:type="dxa"/>
            <w:tcBorders>
              <w:left w:val="single" w:sz="4" w:space="0" w:color="595A5B" w:themeColor="text1"/>
            </w:tcBorders>
            <w:noWrap/>
            <w:hideMark/>
          </w:tcPr>
          <w:p w:rsidR="008B5E68" w:rsidRPr="00997D7E" w:rsidRDefault="008B5E68" w:rsidP="00EF3556">
            <w:pPr>
              <w:pStyle w:val="Tabletext"/>
              <w:jc w:val="right"/>
              <w:rPr>
                <w:lang w:eastAsia="en-AU"/>
              </w:rPr>
            </w:pPr>
            <w:r w:rsidRPr="00997D7E">
              <w:rPr>
                <w:lang w:eastAsia="en-AU"/>
              </w:rPr>
              <w:t>-19,730</w:t>
            </w:r>
          </w:p>
        </w:tc>
        <w:tc>
          <w:tcPr>
            <w:tcW w:w="1336" w:type="dxa"/>
            <w:noWrap/>
            <w:hideMark/>
          </w:tcPr>
          <w:p w:rsidR="008B5E68" w:rsidRPr="00997D7E" w:rsidRDefault="008B5E68" w:rsidP="00EF3556">
            <w:pPr>
              <w:pStyle w:val="Tabletext"/>
              <w:jc w:val="right"/>
              <w:rPr>
                <w:lang w:eastAsia="en-AU"/>
              </w:rPr>
            </w:pPr>
            <w:r w:rsidRPr="00997D7E">
              <w:rPr>
                <w:lang w:eastAsia="en-AU"/>
              </w:rPr>
              <w:t>28,762</w:t>
            </w:r>
          </w:p>
        </w:tc>
        <w:tc>
          <w:tcPr>
            <w:tcW w:w="1204" w:type="dxa"/>
            <w:tcBorders>
              <w:right w:val="single" w:sz="4" w:space="0" w:color="595A5B" w:themeColor="text1"/>
            </w:tcBorders>
            <w:noWrap/>
            <w:hideMark/>
          </w:tcPr>
          <w:p w:rsidR="008B5E68" w:rsidRPr="00997D7E" w:rsidRDefault="008B5E68" w:rsidP="00EF3556">
            <w:pPr>
              <w:pStyle w:val="Tabletext"/>
              <w:jc w:val="right"/>
              <w:rPr>
                <w:lang w:eastAsia="en-AU"/>
              </w:rPr>
            </w:pPr>
            <w:r w:rsidRPr="00997D7E">
              <w:rPr>
                <w:lang w:eastAsia="en-AU"/>
              </w:rPr>
              <w:t>13,410</w:t>
            </w:r>
          </w:p>
        </w:tc>
        <w:tc>
          <w:tcPr>
            <w:tcW w:w="1204" w:type="dxa"/>
            <w:tcBorders>
              <w:left w:val="single" w:sz="4" w:space="0" w:color="595A5B" w:themeColor="text1"/>
            </w:tcBorders>
            <w:noWrap/>
            <w:hideMark/>
          </w:tcPr>
          <w:p w:rsidR="008B5E68" w:rsidRPr="00997D7E" w:rsidRDefault="008B5E68" w:rsidP="00EF3556">
            <w:pPr>
              <w:pStyle w:val="Tabletext"/>
              <w:jc w:val="right"/>
              <w:rPr>
                <w:lang w:eastAsia="en-AU"/>
              </w:rPr>
            </w:pPr>
            <w:r w:rsidRPr="00997D7E">
              <w:rPr>
                <w:lang w:eastAsia="en-AU"/>
              </w:rPr>
              <w:t>-110,771</w:t>
            </w:r>
          </w:p>
        </w:tc>
        <w:tc>
          <w:tcPr>
            <w:tcW w:w="1455" w:type="dxa"/>
            <w:noWrap/>
            <w:hideMark/>
          </w:tcPr>
          <w:p w:rsidR="008B5E68" w:rsidRPr="00997D7E" w:rsidRDefault="008B5E68" w:rsidP="00EF3556">
            <w:pPr>
              <w:pStyle w:val="Tabletext"/>
              <w:jc w:val="right"/>
              <w:rPr>
                <w:lang w:eastAsia="en-AU"/>
              </w:rPr>
            </w:pPr>
            <w:r w:rsidRPr="00997D7E">
              <w:rPr>
                <w:lang w:eastAsia="en-AU"/>
              </w:rPr>
              <w:t>60,607</w:t>
            </w:r>
          </w:p>
        </w:tc>
        <w:tc>
          <w:tcPr>
            <w:tcW w:w="1269" w:type="dxa"/>
            <w:tcBorders>
              <w:right w:val="single" w:sz="4" w:space="0" w:color="595A5B" w:themeColor="text1"/>
            </w:tcBorders>
            <w:noWrap/>
            <w:hideMark/>
          </w:tcPr>
          <w:p w:rsidR="008B5E68" w:rsidRPr="00997D7E" w:rsidRDefault="008B5E68" w:rsidP="00EF3556">
            <w:pPr>
              <w:pStyle w:val="Tabletext"/>
              <w:jc w:val="right"/>
              <w:rPr>
                <w:lang w:eastAsia="en-AU"/>
              </w:rPr>
            </w:pPr>
            <w:r w:rsidRPr="00997D7E">
              <w:rPr>
                <w:lang w:eastAsia="en-AU"/>
              </w:rPr>
              <w:t>120,603</w:t>
            </w:r>
          </w:p>
        </w:tc>
        <w:tc>
          <w:tcPr>
            <w:tcW w:w="1153" w:type="dxa"/>
            <w:tcBorders>
              <w:left w:val="single" w:sz="4" w:space="0" w:color="595A5B" w:themeColor="text1"/>
              <w:right w:val="nil"/>
            </w:tcBorders>
            <w:vAlign w:val="bottom"/>
          </w:tcPr>
          <w:p w:rsidR="008B5E68" w:rsidRPr="00997D7E" w:rsidRDefault="008B5E68" w:rsidP="008B5E68">
            <w:pPr>
              <w:pStyle w:val="Tabletext"/>
              <w:jc w:val="right"/>
              <w:rPr>
                <w:lang w:eastAsia="en-AU"/>
              </w:rPr>
            </w:pPr>
            <w:r w:rsidRPr="00997D7E">
              <w:rPr>
                <w:lang w:eastAsia="en-AU"/>
              </w:rPr>
              <w:t>345,552</w:t>
            </w:r>
          </w:p>
        </w:tc>
      </w:tr>
    </w:tbl>
    <w:p w:rsidR="000E0FB8" w:rsidRPr="00A30089" w:rsidRDefault="000E0FB8" w:rsidP="000E0FB8">
      <w:pPr>
        <w:pStyle w:val="NoteWide"/>
      </w:pPr>
      <w:r w:rsidRPr="00A30089">
        <w:t>Note</w:t>
      </w:r>
      <w:r>
        <w:t xml:space="preserve">s: Non-employing firms are excluded from this analysis. All </w:t>
      </w:r>
      <w:r w:rsidRPr="00891D19">
        <w:t>figures are for private sector businesses (</w:t>
      </w:r>
      <w:r>
        <w:t>government businesses</w:t>
      </w:r>
      <w:r w:rsidRPr="00891D19">
        <w:t xml:space="preserve"> </w:t>
      </w:r>
      <w:r>
        <w:t xml:space="preserve">are </w:t>
      </w:r>
      <w:r w:rsidRPr="00891D19">
        <w:t>excluded) with a valid ANZSIC code</w:t>
      </w:r>
      <w:r>
        <w:t>. Australian standard size classes are used in this table.</w:t>
      </w:r>
    </w:p>
    <w:p w:rsidR="000E0FB8" w:rsidRDefault="000E0FB8" w:rsidP="000E0FB8">
      <w:pPr>
        <w:pStyle w:val="SourceWide"/>
      </w:pPr>
      <w:r>
        <w:t xml:space="preserve">Source: </w:t>
      </w:r>
      <w:r w:rsidRPr="00683EED">
        <w:t xml:space="preserve">ABS (2015) </w:t>
      </w:r>
      <w:r>
        <w:t>Expanded</w:t>
      </w:r>
      <w:r w:rsidRPr="00683EED">
        <w:t xml:space="preserve"> Analytical </w:t>
      </w:r>
      <w:r>
        <w:t xml:space="preserve">Business </w:t>
      </w:r>
      <w:r w:rsidRPr="00683EED">
        <w:t>Longitudinal Database</w:t>
      </w:r>
      <w:r>
        <w:t xml:space="preserve"> 2001–02 to 2012–13 </w:t>
      </w:r>
    </w:p>
    <w:p w:rsidR="000E0FB8" w:rsidRDefault="000E0FB8" w:rsidP="000E0FB8">
      <w:pPr>
        <w:pStyle w:val="BodyText"/>
      </w:pPr>
    </w:p>
    <w:p w:rsidR="000E0FB8" w:rsidRDefault="000E0FB8" w:rsidP="00AA3A65">
      <w:pPr>
        <w:pStyle w:val="BodyText"/>
        <w:sectPr w:rsidR="000E0FB8" w:rsidSect="000E0FB8">
          <w:pgSz w:w="16838" w:h="11906" w:orient="landscape" w:code="9"/>
          <w:pgMar w:top="1440" w:right="1440" w:bottom="1440" w:left="1440" w:header="709" w:footer="709" w:gutter="0"/>
          <w:cols w:space="708"/>
          <w:docGrid w:linePitch="360"/>
        </w:sectPr>
      </w:pPr>
    </w:p>
    <w:p w:rsidR="000E0FB8" w:rsidRPr="00CC3AE0" w:rsidRDefault="000E0FB8" w:rsidP="00AA3A65">
      <w:pPr>
        <w:pStyle w:val="BodyText"/>
      </w:pPr>
    </w:p>
    <w:p w:rsidR="00AC6642" w:rsidRPr="00AC6642" w:rsidRDefault="00AC6642" w:rsidP="000E0FB8">
      <w:pPr>
        <w:pStyle w:val="Heading6"/>
        <w:numPr>
          <w:ilvl w:val="0"/>
          <w:numId w:val="0"/>
        </w:numPr>
        <w:sectPr w:rsidR="00AC6642" w:rsidRPr="00AC6642" w:rsidSect="000E0FB8">
          <w:type w:val="continuous"/>
          <w:pgSz w:w="16838" w:h="11906" w:orient="landscape" w:code="9"/>
          <w:pgMar w:top="1440" w:right="1440" w:bottom="1440" w:left="1440" w:header="709" w:footer="709" w:gutter="0"/>
          <w:cols w:space="708"/>
          <w:docGrid w:linePitch="360"/>
        </w:sectPr>
      </w:pPr>
    </w:p>
    <w:p w:rsidR="00AC6642" w:rsidRDefault="00AC6642" w:rsidP="00DB555F">
      <w:pPr>
        <w:pStyle w:val="CaptionWide"/>
      </w:pPr>
      <w:r>
        <w:t>Figure</w:t>
      </w:r>
      <w:r w:rsidRPr="000618FB">
        <w:t xml:space="preserve"> </w:t>
      </w:r>
      <w:r w:rsidR="00E76CB0">
        <w:t>B</w:t>
      </w:r>
      <w:r w:rsidR="00B77A63" w:rsidRPr="000618FB">
        <w:fldChar w:fldCharType="begin"/>
      </w:r>
      <w:r w:rsidRPr="000618FB">
        <w:instrText xml:space="preserve"> SEQ </w:instrText>
      </w:r>
      <w:r>
        <w:instrText>Figure</w:instrText>
      </w:r>
      <w:r w:rsidRPr="000618FB">
        <w:instrText xml:space="preserve"> \* ARABIC \s </w:instrText>
      </w:r>
      <w:r>
        <w:instrText>6</w:instrText>
      </w:r>
      <w:r w:rsidRPr="000618FB">
        <w:instrText xml:space="preserve"> </w:instrText>
      </w:r>
      <w:r w:rsidR="00B77A63" w:rsidRPr="000618FB">
        <w:fldChar w:fldCharType="separate"/>
      </w:r>
      <w:r w:rsidR="00A13942">
        <w:rPr>
          <w:noProof/>
        </w:rPr>
        <w:t>1</w:t>
      </w:r>
      <w:r w:rsidR="00B77A63" w:rsidRPr="000618FB">
        <w:fldChar w:fldCharType="end"/>
      </w:r>
      <w:r>
        <w:t>: Age composition of small businesses, by country, 2001</w:t>
      </w:r>
      <w:r>
        <w:rPr>
          <w:rFonts w:cs="Arial"/>
        </w:rPr>
        <w:t>–</w:t>
      </w:r>
      <w:r>
        <w:t>2011</w:t>
      </w:r>
    </w:p>
    <w:p w:rsidR="00306B80" w:rsidRPr="00306B80" w:rsidRDefault="00306B80" w:rsidP="00306B80">
      <w:pPr>
        <w:pStyle w:val="PlaceholderWide"/>
      </w:pPr>
      <w:r>
        <w:rPr>
          <w:noProof/>
          <w:lang w:eastAsia="en-AU"/>
        </w:rPr>
        <w:drawing>
          <wp:inline distT="0" distB="0" distL="0" distR="0" wp14:anchorId="2848B7F5" wp14:editId="08C5FA50">
            <wp:extent cx="5662930" cy="3535045"/>
            <wp:effectExtent l="0" t="0" r="0" b="8255"/>
            <wp:docPr id="25" name="Picture 25" descr="Based on OECD DynEmp Database and ABS ABS Expanded Analytical Business Longitudinal Database, figure B1 is a bar chart showing the age composition of small businesses in Australia in comparison with 18 other OECD countries over the 10-year period 2001-2011. The 18 OECD countries under consideration are Brazil, Netherlands, Hungary, Spain, France, New Zealand, Austria, Portugal, Luxembourg, UK, Sweden, Belgium, Italy, Norway, Canada, Japan, Finland and the USA. Figure B1 shows that by international standards, Australia has a relatively high proportion of start-ups within its ‘small business’ cohort (with less than 50 employees). The figure shows that some 33 per cent of Australian firms with less than 50 employees were start-up firms (0-2 years old). Within the sample, this is second only to Brazil, where the fraction of start-ups in within the same business size category was about 40 per cent. The figure also shows that 21 per cent of Australia’s small businesses are 3-5 years old, also second to Brazil with 26 per cent. The figure further shows the proportion of mature small businesses (more than 6 years old) in Australia (46 per cent) which (with the exception of Brazil) is lower than other OECD countries under consideration." title="Figure B1: Age composition of small businesses, by country, 2001–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B1.png"/>
                    <pic:cNvPicPr/>
                  </pic:nvPicPr>
                  <pic:blipFill>
                    <a:blip r:embed="rId38">
                      <a:extLst>
                        <a:ext uri="{28A0092B-C50C-407E-A947-70E740481C1C}">
                          <a14:useLocalDpi xmlns:a14="http://schemas.microsoft.com/office/drawing/2010/main" val="0"/>
                        </a:ext>
                      </a:extLst>
                    </a:blip>
                    <a:stretch>
                      <a:fillRect/>
                    </a:stretch>
                  </pic:blipFill>
                  <pic:spPr>
                    <a:xfrm>
                      <a:off x="0" y="0"/>
                      <a:ext cx="5662930" cy="3535045"/>
                    </a:xfrm>
                    <a:prstGeom prst="rect">
                      <a:avLst/>
                    </a:prstGeom>
                  </pic:spPr>
                </pic:pic>
              </a:graphicData>
            </a:graphic>
          </wp:inline>
        </w:drawing>
      </w:r>
    </w:p>
    <w:p w:rsidR="00AC6642" w:rsidRPr="00C62F3A" w:rsidRDefault="00AC6642" w:rsidP="00DB555F">
      <w:pPr>
        <w:pStyle w:val="NoteWide"/>
      </w:pPr>
      <w:r w:rsidRPr="00C62F3A">
        <w:t>Note</w:t>
      </w:r>
      <w:r>
        <w:t>s: The graph shows the share of firms by different age groups in the total number of micro and small firms (below 50 employees) in each economy on average over the available years. The period covered is 2001–2011 for Australia, Belgium, Canada, Finland, Hungary, the Netherlands, the United Kingdom and the United States; 2001–2010 for Austria, Brazil, Spain, Italy, Luxembourg, Norway and Sweden; 2001–2009 for Japan and New Zealand; 2001–2007 for France; and 2006–2011 for Portugal. Sectors covered are: manufacturing, construction, and non-financial business services. Owing to methodological differences, figures may deviate from officially published national statistics. For Japan data are at the establishment level, for other countries at the firm level. Data for Canada refer only to organic employment changes and exclude merger and acquisition activity.</w:t>
      </w:r>
    </w:p>
    <w:p w:rsidR="00AC6642" w:rsidRDefault="00AC6642" w:rsidP="00DB555F">
      <w:pPr>
        <w:pStyle w:val="SourceWide"/>
      </w:pPr>
      <w:r>
        <w:t xml:space="preserve">Source: Criscuolo </w:t>
      </w:r>
      <w:r w:rsidRPr="0084781B">
        <w:rPr>
          <w:i/>
        </w:rPr>
        <w:t xml:space="preserve">et al. </w:t>
      </w:r>
      <w:r>
        <w:t xml:space="preserve">(2014) and </w:t>
      </w:r>
      <w:r w:rsidRPr="00683EED">
        <w:t xml:space="preserve">ABS (2015) </w:t>
      </w:r>
      <w:r>
        <w:t>Expanded</w:t>
      </w:r>
      <w:r w:rsidRPr="00683EED">
        <w:t xml:space="preserve"> Analytical </w:t>
      </w:r>
      <w:r>
        <w:t xml:space="preserve">Business </w:t>
      </w:r>
      <w:r w:rsidRPr="00683EED">
        <w:t>Longitudinal Database</w:t>
      </w:r>
      <w:r>
        <w:t xml:space="preserve"> 2001–02 to 2012–13</w:t>
      </w:r>
    </w:p>
    <w:p w:rsidR="00AC6642" w:rsidRDefault="00AC6642" w:rsidP="00DB555F">
      <w:pPr>
        <w:pStyle w:val="CaptionWide"/>
      </w:pPr>
      <w:r>
        <w:t>Figure</w:t>
      </w:r>
      <w:r w:rsidRPr="000618FB">
        <w:t xml:space="preserve"> </w:t>
      </w:r>
      <w:r w:rsidR="00E76CB0">
        <w:t>B</w:t>
      </w:r>
      <w:r w:rsidR="00B77A63" w:rsidRPr="000618FB">
        <w:fldChar w:fldCharType="begin"/>
      </w:r>
      <w:r w:rsidRPr="000618FB">
        <w:instrText xml:space="preserve"> SEQ </w:instrText>
      </w:r>
      <w:r>
        <w:instrText>Figure</w:instrText>
      </w:r>
      <w:r w:rsidRPr="000618FB">
        <w:instrText xml:space="preserve"> \* ARABIC \s </w:instrText>
      </w:r>
      <w:r>
        <w:instrText>6</w:instrText>
      </w:r>
      <w:r w:rsidRPr="000618FB">
        <w:instrText xml:space="preserve"> </w:instrText>
      </w:r>
      <w:r w:rsidR="00B77A63" w:rsidRPr="000618FB">
        <w:fldChar w:fldCharType="separate"/>
      </w:r>
      <w:r w:rsidR="00A13942">
        <w:rPr>
          <w:noProof/>
        </w:rPr>
        <w:t>2</w:t>
      </w:r>
      <w:r w:rsidR="00B77A63" w:rsidRPr="000618FB">
        <w:fldChar w:fldCharType="end"/>
      </w:r>
      <w:r>
        <w:t xml:space="preserve">: </w:t>
      </w:r>
      <w:r w:rsidRPr="00684AE5">
        <w:t xml:space="preserve">Size of start-up manufacturing (panel A) and services (panel B) </w:t>
      </w:r>
      <w:r>
        <w:t xml:space="preserve">firms </w:t>
      </w:r>
      <w:r w:rsidRPr="00684AE5">
        <w:t xml:space="preserve">and their share of total </w:t>
      </w:r>
      <w:r>
        <w:t>firms by country, 2001</w:t>
      </w:r>
      <w:r>
        <w:rPr>
          <w:rFonts w:cs="Arial"/>
        </w:rPr>
        <w:t>–</w:t>
      </w:r>
      <w:r w:rsidRPr="00684AE5">
        <w:t>2011</w:t>
      </w:r>
    </w:p>
    <w:p w:rsidR="00306B80" w:rsidRPr="00306B80" w:rsidRDefault="00306B80" w:rsidP="00306B80">
      <w:pPr>
        <w:pStyle w:val="PlaceholderWide"/>
      </w:pPr>
      <w:r>
        <w:rPr>
          <w:noProof/>
          <w:lang w:eastAsia="en-AU"/>
        </w:rPr>
        <w:drawing>
          <wp:inline distT="0" distB="0" distL="0" distR="0" wp14:anchorId="433975E6" wp14:editId="0E6CD2FF">
            <wp:extent cx="5662930" cy="6154420"/>
            <wp:effectExtent l="0" t="0" r="0" b="0"/>
            <wp:docPr id="32" name="Picture 32" descr="Based on the OECD and ABS data, figure B2 (panels A and B) shows the size of start-up firms in the manufacturing (panel A) and services (panel B) sectors by the number of employees in Australia and 18 other OECD countries in the 10-year period 2001-2011. The figure also shows the share of start-up manufacturing (panel A) and services (panel B) firms in Australia as a percentage of total firms compared with 18 other OECD countries. The 18 OECD countries studied are Brazil, Netherlands, Hungary, Spain, France, New Zealand, Austria, Portugal, Luxembourg, UK, Sweden, Belgium, Italy, Norway, Canada, Japan, Finland and the USA.&#10;Panel A is a bar chart showing a relatively high share of start-ups among Australian firms in both the manufacturing and services sectors (second only to Brazil). The share of manufacturing firms aged 0-2 years was around 24 per cent, which is relatively high compared to most other countries over the 10-year period.  Similarly, the services sector exhibits a relatively high share of start-ups, where some 33 per cent of firms could be classified as start-ups, aged 0-2 years.&#10;Panel B indicates a considerable diversity among countries in terms of the average number of people employed by manufacturing start-ups, with Australian manufacturing start-ups tending to employ fewer staff during the 10-year period compared to other countries. The average number of staff employed in Australian manufacturing start-ups was 5.5 employees. The size of Australian services start-ups was closer to the middle of the country range. The average number of staff employed in Australian services start-ups was 4.3 employees.&#10;" title="Figure B2:Size of start-up manufacturing (panel A) and services (panel B) firms and their share of total firms by country, 2001–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B2.png"/>
                    <pic:cNvPicPr/>
                  </pic:nvPicPr>
                  <pic:blipFill>
                    <a:blip r:embed="rId39">
                      <a:extLst>
                        <a:ext uri="{28A0092B-C50C-407E-A947-70E740481C1C}">
                          <a14:useLocalDpi xmlns:a14="http://schemas.microsoft.com/office/drawing/2010/main" val="0"/>
                        </a:ext>
                      </a:extLst>
                    </a:blip>
                    <a:stretch>
                      <a:fillRect/>
                    </a:stretch>
                  </pic:blipFill>
                  <pic:spPr>
                    <a:xfrm>
                      <a:off x="0" y="0"/>
                      <a:ext cx="5662930" cy="6154420"/>
                    </a:xfrm>
                    <a:prstGeom prst="rect">
                      <a:avLst/>
                    </a:prstGeom>
                  </pic:spPr>
                </pic:pic>
              </a:graphicData>
            </a:graphic>
          </wp:inline>
        </w:drawing>
      </w:r>
    </w:p>
    <w:p w:rsidR="00AC6642" w:rsidRPr="00C62F3A" w:rsidRDefault="00AC6642" w:rsidP="00DB555F">
      <w:pPr>
        <w:pStyle w:val="NoteWide"/>
      </w:pPr>
      <w:r w:rsidRPr="00C62F3A">
        <w:t>Note</w:t>
      </w:r>
      <w:r>
        <w:t xml:space="preserve">s: The graph reports the average size of start-up firms (from 0 to 2 years old) and the share of start-up firms in the total number of firms by sector. </w:t>
      </w:r>
      <w:r w:rsidR="00771851">
        <w:t xml:space="preserve">For the purposes of OECD comparisons headcount measures are used rather than Full Time Equivalents. </w:t>
      </w:r>
      <w:r>
        <w:t xml:space="preserve">The period covered is 2001–2011 for Australia, Belgium, Canada, Finland, Hungary, the Netherlands, the United Kingdom and the United States; 2001–2010 for </w:t>
      </w:r>
      <w:r w:rsidRPr="00EB1BB4">
        <w:t>Austria, Brazil, Spain, Italy, Luxembourg, Norway and Sweden; 2001–2009 for Japan and New Zealand; 2001–2007 for France; and 2006–2011 for Portugal. Services exclude the financial business sector. Owing to methodological differences, figures may deviate from officially published national statistics. For Japan data are at the establishment level, for other countries at the firm level. Data for Canada refer only to organic employment changes and don’t include merger and acquisition activity.</w:t>
      </w:r>
    </w:p>
    <w:p w:rsidR="00AC6642" w:rsidRDefault="00AC6642" w:rsidP="00DB555F">
      <w:pPr>
        <w:pStyle w:val="SourceWide"/>
      </w:pPr>
      <w:r>
        <w:t xml:space="preserve">Source: </w:t>
      </w:r>
      <w:r w:rsidRPr="00EB1BB4">
        <w:t xml:space="preserve">Criscuolo </w:t>
      </w:r>
      <w:r w:rsidRPr="00EB1BB4">
        <w:rPr>
          <w:i/>
        </w:rPr>
        <w:t xml:space="preserve">et al. </w:t>
      </w:r>
      <w:r w:rsidRPr="00EB1BB4">
        <w:t>(2014) and ABS (2015) Expanded Analytical Business Longitudinal Database 2001–02 to 2012–13</w:t>
      </w:r>
    </w:p>
    <w:p w:rsidR="00AC6642" w:rsidRDefault="00AC6642" w:rsidP="00DB555F">
      <w:pPr>
        <w:pStyle w:val="CaptionWide"/>
      </w:pPr>
      <w:r>
        <w:t>Figure</w:t>
      </w:r>
      <w:r w:rsidRPr="000618FB">
        <w:t xml:space="preserve"> </w:t>
      </w:r>
      <w:r w:rsidR="00E76CB0">
        <w:t>B</w:t>
      </w:r>
      <w:r w:rsidR="00B77A63" w:rsidRPr="000618FB">
        <w:fldChar w:fldCharType="begin"/>
      </w:r>
      <w:r w:rsidRPr="000618FB">
        <w:instrText xml:space="preserve"> SEQ </w:instrText>
      </w:r>
      <w:r>
        <w:instrText>Figure</w:instrText>
      </w:r>
      <w:r w:rsidRPr="000618FB">
        <w:instrText xml:space="preserve"> \* ARABIC \s </w:instrText>
      </w:r>
      <w:r>
        <w:instrText>6</w:instrText>
      </w:r>
      <w:r w:rsidRPr="000618FB">
        <w:instrText xml:space="preserve"> </w:instrText>
      </w:r>
      <w:r w:rsidR="00B77A63" w:rsidRPr="000618FB">
        <w:fldChar w:fldCharType="separate"/>
      </w:r>
      <w:r w:rsidR="00A13942">
        <w:rPr>
          <w:noProof/>
        </w:rPr>
        <w:t>3</w:t>
      </w:r>
      <w:r w:rsidR="00B77A63" w:rsidRPr="000618FB">
        <w:fldChar w:fldCharType="end"/>
      </w:r>
      <w:r>
        <w:t xml:space="preserve">: </w:t>
      </w:r>
      <w:r w:rsidR="00A07392">
        <w:t>Share of start-ups in the business population, 2001</w:t>
      </w:r>
      <w:r w:rsidR="00655A02">
        <w:t>–</w:t>
      </w:r>
      <w:r w:rsidR="00A07392">
        <w:t>03 to 2010</w:t>
      </w:r>
      <w:r w:rsidR="00655A02">
        <w:t>–</w:t>
      </w:r>
      <w:r w:rsidR="00A07392">
        <w:t>11</w:t>
      </w:r>
    </w:p>
    <w:p w:rsidR="00306B80" w:rsidRPr="00306B80" w:rsidRDefault="00306B80" w:rsidP="00306B80">
      <w:pPr>
        <w:pStyle w:val="PlaceholderWide"/>
      </w:pPr>
      <w:r>
        <w:rPr>
          <w:noProof/>
          <w:lang w:eastAsia="en-AU"/>
        </w:rPr>
        <w:drawing>
          <wp:inline distT="0" distB="0" distL="0" distR="0" wp14:anchorId="369DEA3C" wp14:editId="632FDB48">
            <wp:extent cx="5662930" cy="3535045"/>
            <wp:effectExtent l="0" t="0" r="0" b="8255"/>
            <wp:docPr id="33" name="Picture 33" descr="Based on the OECD and ABS data, figure B3 shows the share of start-ups as a percentage of all firms in Australia and 18 other OECD countries over the 10-year period 2001-2011 in selected sectors. The 18 OECD countries under consideration are Brazil, Netherlands, Hungary, Spain, France, New Zealand, Austria, Portugal, Luxembourg, UK, Sweden, Belgium, Italy, Norway, Canada, Japan, Finland and the USA. The sectors covered are manufacturing, construction; and non-financial services. &#10;Figure B3 is a bar chart compares start-up rates (i.e. the fraction of start-ups among all firms) by country, averaged across four episodes: 2001-03, 2004-06, 2007-09 and 2010-11. The figure indicates that the share of start-ups have declined in most countries over time. Notwithstanding the relatively high proportion of start-ups in Australia there has been a decline in Australia, too. The share of Australian start-ups against all firms has been declining since the three-year period 2004-2006. &#10;" title="Figure B3: Share of start-ups in the business population, 2001–03 to 20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B3.png"/>
                    <pic:cNvPicPr/>
                  </pic:nvPicPr>
                  <pic:blipFill>
                    <a:blip r:embed="rId40">
                      <a:extLst>
                        <a:ext uri="{28A0092B-C50C-407E-A947-70E740481C1C}">
                          <a14:useLocalDpi xmlns:a14="http://schemas.microsoft.com/office/drawing/2010/main" val="0"/>
                        </a:ext>
                      </a:extLst>
                    </a:blip>
                    <a:stretch>
                      <a:fillRect/>
                    </a:stretch>
                  </pic:blipFill>
                  <pic:spPr>
                    <a:xfrm>
                      <a:off x="0" y="0"/>
                      <a:ext cx="5662930" cy="3535045"/>
                    </a:xfrm>
                    <a:prstGeom prst="rect">
                      <a:avLst/>
                    </a:prstGeom>
                  </pic:spPr>
                </pic:pic>
              </a:graphicData>
            </a:graphic>
          </wp:inline>
        </w:drawing>
      </w:r>
    </w:p>
    <w:p w:rsidR="00AC6642" w:rsidRPr="00C62F3A" w:rsidRDefault="00AC6642" w:rsidP="00DB555F">
      <w:pPr>
        <w:pStyle w:val="NoteWide"/>
      </w:pPr>
      <w:r w:rsidRPr="00C62F3A">
        <w:t>Note</w:t>
      </w:r>
      <w:r>
        <w:t>s: The graph reports start-up rates (defined as the fraction of start-ups among all firms) by countries, averaged across the indicated three-year periods. Start-up firms are those firms which are from 0 to 2 years old. The period covered is 2001–2011 for Australia, Belgium, Canada, Finland, Hungary, the Netherlands, the United Kingdom and the United States; 2001–2010 for Austria, Brazil, Italy, Luxembourg, Norway, Spain and Sweden; 2001–2009 for Japan and New Zealand; 2001–2007 for France; and 2006–2011 for Portugal. Sectors covered are: manufacturing, construction, and non-financial business services. Owing to methodological differences, figures may deviate from officially published national statistics. For Japan data are at the establishment level, for other countries at the firm level. Data for Canada refer only to organic employment changes and don’t include merger and acquisition activity.</w:t>
      </w:r>
    </w:p>
    <w:p w:rsidR="00AC6642" w:rsidRDefault="00AC6642" w:rsidP="00DB555F">
      <w:pPr>
        <w:pStyle w:val="SourceWide"/>
      </w:pPr>
      <w:r>
        <w:t xml:space="preserve">Source: Criscuolo </w:t>
      </w:r>
      <w:r w:rsidRPr="0084781B">
        <w:rPr>
          <w:i/>
        </w:rPr>
        <w:t xml:space="preserve">et al. </w:t>
      </w:r>
      <w:r>
        <w:t xml:space="preserve">(2014) and </w:t>
      </w:r>
      <w:r w:rsidRPr="00683EED">
        <w:t xml:space="preserve">ABS (2015) </w:t>
      </w:r>
      <w:r>
        <w:t>Expanded</w:t>
      </w:r>
      <w:r w:rsidRPr="00683EED">
        <w:t xml:space="preserve"> Analytical </w:t>
      </w:r>
      <w:r>
        <w:t xml:space="preserve">Business </w:t>
      </w:r>
      <w:r w:rsidRPr="00683EED">
        <w:t>Longitudinal Database</w:t>
      </w:r>
      <w:r>
        <w:t xml:space="preserve"> 2001–02 to 2012–13</w:t>
      </w:r>
    </w:p>
    <w:p w:rsidR="00AC6642" w:rsidRDefault="00AC6642" w:rsidP="00DB555F">
      <w:pPr>
        <w:pStyle w:val="CaptionWide"/>
      </w:pPr>
      <w:r>
        <w:t>Figure</w:t>
      </w:r>
      <w:r w:rsidRPr="000618FB">
        <w:t xml:space="preserve"> </w:t>
      </w:r>
      <w:r w:rsidR="00E76CB0">
        <w:t>B</w:t>
      </w:r>
      <w:r w:rsidR="00B77A63" w:rsidRPr="000618FB">
        <w:fldChar w:fldCharType="begin"/>
      </w:r>
      <w:r w:rsidRPr="000618FB">
        <w:instrText xml:space="preserve"> SEQ </w:instrText>
      </w:r>
      <w:r>
        <w:instrText>Figure</w:instrText>
      </w:r>
      <w:r w:rsidRPr="000618FB">
        <w:instrText xml:space="preserve"> \* ARABIC \s </w:instrText>
      </w:r>
      <w:r>
        <w:instrText>6</w:instrText>
      </w:r>
      <w:r w:rsidRPr="000618FB">
        <w:instrText xml:space="preserve"> </w:instrText>
      </w:r>
      <w:r w:rsidR="00B77A63" w:rsidRPr="000618FB">
        <w:fldChar w:fldCharType="separate"/>
      </w:r>
      <w:r w:rsidR="00A13942">
        <w:rPr>
          <w:noProof/>
        </w:rPr>
        <w:t>4</w:t>
      </w:r>
      <w:r w:rsidR="00B77A63" w:rsidRPr="000618FB">
        <w:fldChar w:fldCharType="end"/>
      </w:r>
      <w:r>
        <w:t>: Employment share by firm age, OECD vs. Australia, 2001</w:t>
      </w:r>
      <w:r>
        <w:rPr>
          <w:rFonts w:cs="Arial"/>
        </w:rPr>
        <w:t>–</w:t>
      </w:r>
      <w:r>
        <w:t>2011</w:t>
      </w:r>
    </w:p>
    <w:p w:rsidR="00306B80" w:rsidRPr="00306B80" w:rsidRDefault="00306B80" w:rsidP="00306B80">
      <w:pPr>
        <w:pStyle w:val="PlaceholderWide"/>
      </w:pPr>
      <w:r>
        <w:rPr>
          <w:noProof/>
          <w:lang w:eastAsia="en-AU"/>
        </w:rPr>
        <w:drawing>
          <wp:inline distT="0" distB="0" distL="0" distR="0" wp14:anchorId="0079CB19" wp14:editId="5B7130BB">
            <wp:extent cx="5662930" cy="3535045"/>
            <wp:effectExtent l="0" t="0" r="0" b="8255"/>
            <wp:docPr id="34" name="Picture 34" descr="Based on the OECD and ABS data, figure B4 shows (in the form of a bar chart) employment share, by firm age, in selected sectors in Australia as against the average of 18 other OECD countries in the 10-year period 2001-2011. The 18 OECD countries under consideration are Brazil, Netherlands, Hungary, Spain, France, New Zealand, Austria, Portugal, Luxembourg, UK, Sweden, Belgium, Italy, Norway, Canada, Japan, Finland and the USA. The sectors covered are manufacturing, construction and non-financial services. &#10;Figure C4 shows that across all countries examined, around 63 per cent of firms in the sectors considered were mature (aged 6 years or more), and these accounted for nearly 80 per cent of total employment for those sectors. Based on this figure, Australian mature firms (aged 6 years or more) show relatively smaller shares of overall firms (48 per cent) and employment (71 per cent) than other countries, respectively, but the pattern is broadly consistent with other participating countries. The share of young firms (0-5 years old) in the total number of all firms was lower, compared to mature firms, as was their share of employment. This pattern is similar both in Australia and across other countries examined by the OECD. However, differences between countries do exist in the relative magnitudes. Australian start-ups (firms aged 0-2 years) accounted for 34 per cent of all firms in the subpopulation over the period under consideration, which is relatively higher than the average of other 18 countries in the OECD database (20 per cent).&#10;" title="Figure B4: Employment share by firm age, OECD vs. Australia, 2001–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B4.png"/>
                    <pic:cNvPicPr/>
                  </pic:nvPicPr>
                  <pic:blipFill>
                    <a:blip r:embed="rId41">
                      <a:extLst>
                        <a:ext uri="{28A0092B-C50C-407E-A947-70E740481C1C}">
                          <a14:useLocalDpi xmlns:a14="http://schemas.microsoft.com/office/drawing/2010/main" val="0"/>
                        </a:ext>
                      </a:extLst>
                    </a:blip>
                    <a:stretch>
                      <a:fillRect/>
                    </a:stretch>
                  </pic:blipFill>
                  <pic:spPr>
                    <a:xfrm>
                      <a:off x="0" y="0"/>
                      <a:ext cx="5662930" cy="3535045"/>
                    </a:xfrm>
                    <a:prstGeom prst="rect">
                      <a:avLst/>
                    </a:prstGeom>
                  </pic:spPr>
                </pic:pic>
              </a:graphicData>
            </a:graphic>
          </wp:inline>
        </w:drawing>
      </w:r>
    </w:p>
    <w:p w:rsidR="00AC6642" w:rsidRPr="00C62F3A" w:rsidRDefault="00AC6642" w:rsidP="00DB555F">
      <w:pPr>
        <w:pStyle w:val="NoteWide"/>
      </w:pPr>
      <w:r w:rsidRPr="00C62F3A">
        <w:t>Note</w:t>
      </w:r>
      <w:r>
        <w:t xml:space="preserve">s: </w:t>
      </w:r>
      <w:r w:rsidRPr="00551FCF">
        <w:t xml:space="preserve">The graph reports the share of firms and employment, respectively, by firms of different age classes in average across all available years and countries. </w:t>
      </w:r>
      <w:r w:rsidR="00771851">
        <w:t xml:space="preserve">For the purposes of OECD comparisons headcount measures are used rather than Full Time Equivalents. </w:t>
      </w:r>
      <w:r>
        <w:t>Start-ups are split into firm births and 1–2 year old firms. The period covered is 2001–</w:t>
      </w:r>
      <w:r w:rsidRPr="00551FCF">
        <w:t xml:space="preserve">2011 for </w:t>
      </w:r>
      <w:r>
        <w:t xml:space="preserve">Australia, </w:t>
      </w:r>
      <w:r w:rsidRPr="00551FCF">
        <w:t>Belgium, Finland, Hungary, the Netherlands, the United King</w:t>
      </w:r>
      <w:r>
        <w:t>dom and the United States; 2001–</w:t>
      </w:r>
      <w:r w:rsidRPr="00551FCF">
        <w:t>2010 for Austria, Brazil, Spain, Italy, Luxe</w:t>
      </w:r>
      <w:r>
        <w:t>mbourg, Norway and Sweden; 2001–</w:t>
      </w:r>
      <w:r w:rsidRPr="00551FCF">
        <w:t xml:space="preserve">2009 </w:t>
      </w:r>
      <w:r>
        <w:t>for Japan and New Zealand; 2001–2007 for France; and 2006–</w:t>
      </w:r>
      <w:r w:rsidRPr="00551FCF">
        <w:t xml:space="preserve">2011 for Portugal. Sectors covered are: manufacturing, construction, and non-financial </w:t>
      </w:r>
      <w:r>
        <w:t xml:space="preserve">business </w:t>
      </w:r>
      <w:r w:rsidRPr="00551FCF">
        <w:t>services. Owing to methodological differences, figures may deviate from officially published national statistics. For Japan data are at the establishment level, for other countries at the firm level.</w:t>
      </w:r>
    </w:p>
    <w:p w:rsidR="00AC6642" w:rsidRDefault="00AC6642" w:rsidP="00DB555F">
      <w:pPr>
        <w:pStyle w:val="SourceWide"/>
      </w:pPr>
      <w:r>
        <w:t xml:space="preserve">Source: Criscuolo </w:t>
      </w:r>
      <w:r w:rsidRPr="0084781B">
        <w:rPr>
          <w:i/>
        </w:rPr>
        <w:t xml:space="preserve">et al. </w:t>
      </w:r>
      <w:r>
        <w:t xml:space="preserve">(2014) and </w:t>
      </w:r>
      <w:r w:rsidRPr="00683EED">
        <w:t xml:space="preserve">ABS (2015) </w:t>
      </w:r>
      <w:r>
        <w:t>Expanded</w:t>
      </w:r>
      <w:r w:rsidRPr="00683EED">
        <w:t xml:space="preserve"> Analytical </w:t>
      </w:r>
      <w:r>
        <w:t xml:space="preserve">Business </w:t>
      </w:r>
      <w:r w:rsidRPr="00683EED">
        <w:t>Longitudinal Database</w:t>
      </w:r>
      <w:r>
        <w:t xml:space="preserve"> 2001–02 to 2012–13</w:t>
      </w:r>
    </w:p>
    <w:p w:rsidR="00AC6642" w:rsidRPr="00AC6642" w:rsidRDefault="00AC6642" w:rsidP="00AC6642"/>
    <w:p w:rsidR="00AC6642" w:rsidRDefault="00AC6642" w:rsidP="00997D7E">
      <w:pPr>
        <w:ind w:left="0"/>
      </w:pPr>
    </w:p>
    <w:p w:rsidR="00AC6642" w:rsidRDefault="00AC6642" w:rsidP="00DB555F">
      <w:pPr>
        <w:pStyle w:val="CaptionWide"/>
      </w:pPr>
      <w:r>
        <w:t>Figure</w:t>
      </w:r>
      <w:r w:rsidRPr="000618FB">
        <w:t xml:space="preserve"> </w:t>
      </w:r>
      <w:r w:rsidR="00E76CB0">
        <w:t>B</w:t>
      </w:r>
      <w:r w:rsidR="00B77A63" w:rsidRPr="000618FB">
        <w:fldChar w:fldCharType="begin"/>
      </w:r>
      <w:r w:rsidRPr="000618FB">
        <w:instrText xml:space="preserve"> SEQ </w:instrText>
      </w:r>
      <w:r>
        <w:instrText>Figure</w:instrText>
      </w:r>
      <w:r w:rsidRPr="000618FB">
        <w:instrText xml:space="preserve"> \* ARABIC \s </w:instrText>
      </w:r>
      <w:r>
        <w:instrText>6</w:instrText>
      </w:r>
      <w:r w:rsidRPr="000618FB">
        <w:instrText xml:space="preserve"> </w:instrText>
      </w:r>
      <w:r w:rsidR="00B77A63" w:rsidRPr="000618FB">
        <w:fldChar w:fldCharType="separate"/>
      </w:r>
      <w:r w:rsidR="00A13942">
        <w:rPr>
          <w:noProof/>
        </w:rPr>
        <w:t>5</w:t>
      </w:r>
      <w:r w:rsidR="00B77A63" w:rsidRPr="000618FB">
        <w:fldChar w:fldCharType="end"/>
      </w:r>
      <w:r>
        <w:t xml:space="preserve">: </w:t>
      </w:r>
      <w:r w:rsidRPr="00A37AFD">
        <w:t>Gross employment creation and d</w:t>
      </w:r>
      <w:r>
        <w:t>estruction by firm age, 2007</w:t>
      </w:r>
      <w:r>
        <w:rPr>
          <w:rFonts w:cs="Arial"/>
        </w:rPr>
        <w:t>–</w:t>
      </w:r>
      <w:r w:rsidRPr="00A37AFD">
        <w:t>2011</w:t>
      </w:r>
    </w:p>
    <w:p w:rsidR="00306B80" w:rsidRPr="00306B80" w:rsidRDefault="00306B80" w:rsidP="00306B80">
      <w:pPr>
        <w:pStyle w:val="PlaceholderWide"/>
      </w:pPr>
      <w:r>
        <w:rPr>
          <w:noProof/>
          <w:lang w:eastAsia="en-AU"/>
        </w:rPr>
        <w:drawing>
          <wp:inline distT="0" distB="0" distL="0" distR="0" wp14:anchorId="05C5B6D3" wp14:editId="0D036C29">
            <wp:extent cx="5662930" cy="3535045"/>
            <wp:effectExtent l="0" t="0" r="0" b="8255"/>
            <wp:docPr id="35" name="Picture 35" descr="Based on the ABS Expanded Analytical Business Longitudinal Database, figure B5 shows (in the form of a bar chart) gross employment creation and destruction by firm age in Australia in the period 2007-2011. The figure shows that most of the job creation in the period was undertaken by young incumbents and young entrants. It also shows that through the global financial crisis young entrants created positive gross employment change leading to employment growth whereas older firms (mature incumbents) contributed to negative gross employment change leading to job destruction. The figure shows that gross employment loss during this period was driven mostly by incumbent firms shedding jobs and to a much lesser extent by young firms exiting. The figure also shows that even outside of the global financial crisis, start-ups have a large share of job creation. Firm entry and immediate post-entry growth dominate gross job creation. (For example, in 2011, young firms added ~275,000 jobs to the economy; firm entry added ~154,000 jobs; while by contrast, mature firms added ~53,000 jobs.)" title="Figure B5: Gross employment creation and destruction by firm age, 2007–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B6.png"/>
                    <pic:cNvPicPr/>
                  </pic:nvPicPr>
                  <pic:blipFill>
                    <a:blip r:embed="rId42">
                      <a:extLst>
                        <a:ext uri="{28A0092B-C50C-407E-A947-70E740481C1C}">
                          <a14:useLocalDpi xmlns:a14="http://schemas.microsoft.com/office/drawing/2010/main" val="0"/>
                        </a:ext>
                      </a:extLst>
                    </a:blip>
                    <a:stretch>
                      <a:fillRect/>
                    </a:stretch>
                  </pic:blipFill>
                  <pic:spPr>
                    <a:xfrm>
                      <a:off x="0" y="0"/>
                      <a:ext cx="5662930" cy="3535045"/>
                    </a:xfrm>
                    <a:prstGeom prst="rect">
                      <a:avLst/>
                    </a:prstGeom>
                  </pic:spPr>
                </pic:pic>
              </a:graphicData>
            </a:graphic>
          </wp:inline>
        </w:drawing>
      </w:r>
    </w:p>
    <w:p w:rsidR="00AC6642" w:rsidRPr="00C62F3A" w:rsidRDefault="00AC6642" w:rsidP="00DB555F">
      <w:pPr>
        <w:pStyle w:val="NoteWide"/>
      </w:pPr>
      <w:r w:rsidRPr="00C62F3A">
        <w:t>Note</w:t>
      </w:r>
      <w:r>
        <w:t xml:space="preserve">s: </w:t>
      </w:r>
      <w:r w:rsidRPr="008B48F9">
        <w:t>Mature firms are those</w:t>
      </w:r>
      <w:r>
        <w:t xml:space="preserve"> that are 6+ years, young firms are 0–5 years old. Start-ups that enter and exit in the same year are excluded from the analysis. Employee numbers are by Full Time Equivalent measures. Contributions are from all sectors of the economy.</w:t>
      </w:r>
    </w:p>
    <w:p w:rsidR="00AC6642" w:rsidRDefault="00AC6642" w:rsidP="00DB555F">
      <w:pPr>
        <w:pStyle w:val="SourceWide"/>
      </w:pPr>
      <w:r>
        <w:t xml:space="preserve">Source: </w:t>
      </w:r>
      <w:r w:rsidRPr="00683EED">
        <w:t xml:space="preserve">ABS (2015) </w:t>
      </w:r>
      <w:r>
        <w:t>Expanded</w:t>
      </w:r>
      <w:r w:rsidRPr="00683EED">
        <w:t xml:space="preserve"> Analytical </w:t>
      </w:r>
      <w:r>
        <w:t xml:space="preserve">Business </w:t>
      </w:r>
      <w:r w:rsidRPr="00683EED">
        <w:t>Longitudinal Database</w:t>
      </w:r>
      <w:r>
        <w:t xml:space="preserve"> 2001–02 to 2012–13</w:t>
      </w:r>
    </w:p>
    <w:p w:rsidR="00AC6642" w:rsidRDefault="00AC6642" w:rsidP="00DB555F">
      <w:pPr>
        <w:pStyle w:val="CaptionWide"/>
        <w:rPr>
          <w:noProof/>
        </w:rPr>
      </w:pPr>
      <w:r>
        <w:t>Figure</w:t>
      </w:r>
      <w:r w:rsidRPr="000618FB">
        <w:t xml:space="preserve"> </w:t>
      </w:r>
      <w:r w:rsidR="00E76CB0">
        <w:t>B</w:t>
      </w:r>
      <w:r w:rsidR="00B77A63" w:rsidRPr="000618FB">
        <w:fldChar w:fldCharType="begin"/>
      </w:r>
      <w:r w:rsidRPr="000618FB">
        <w:instrText xml:space="preserve"> SEQ </w:instrText>
      </w:r>
      <w:r>
        <w:instrText>Figure</w:instrText>
      </w:r>
      <w:r w:rsidRPr="000618FB">
        <w:instrText xml:space="preserve"> \* ARABIC \s </w:instrText>
      </w:r>
      <w:r>
        <w:instrText>6</w:instrText>
      </w:r>
      <w:r w:rsidRPr="000618FB">
        <w:instrText xml:space="preserve"> </w:instrText>
      </w:r>
      <w:r w:rsidR="00B77A63" w:rsidRPr="000618FB">
        <w:fldChar w:fldCharType="separate"/>
      </w:r>
      <w:r w:rsidR="00A13942">
        <w:rPr>
          <w:noProof/>
        </w:rPr>
        <w:t>6</w:t>
      </w:r>
      <w:r w:rsidR="00B77A63" w:rsidRPr="000618FB">
        <w:fldChar w:fldCharType="end"/>
      </w:r>
      <w:r>
        <w:t xml:space="preserve">: </w:t>
      </w:r>
      <w:r w:rsidRPr="00E659FD">
        <w:rPr>
          <w:noProof/>
        </w:rPr>
        <w:t xml:space="preserve">Employment, job creation and job destruction </w:t>
      </w:r>
      <w:r>
        <w:rPr>
          <w:noProof/>
        </w:rPr>
        <w:t xml:space="preserve">for SME (panel A) and Large firms (panel B) </w:t>
      </w:r>
      <w:r w:rsidRPr="00E659FD">
        <w:rPr>
          <w:noProof/>
        </w:rPr>
        <w:t xml:space="preserve">by firm age, OECD </w:t>
      </w:r>
      <w:r w:rsidRPr="001266DA">
        <w:rPr>
          <w:i/>
          <w:noProof/>
        </w:rPr>
        <w:t>vs</w:t>
      </w:r>
      <w:r>
        <w:rPr>
          <w:noProof/>
        </w:rPr>
        <w:t>. Australia, 2001</w:t>
      </w:r>
      <w:r>
        <w:rPr>
          <w:rFonts w:cs="Arial"/>
          <w:noProof/>
        </w:rPr>
        <w:t>–</w:t>
      </w:r>
      <w:r w:rsidRPr="00E659FD">
        <w:rPr>
          <w:noProof/>
        </w:rPr>
        <w:t>2011</w:t>
      </w:r>
    </w:p>
    <w:p w:rsidR="00091F93" w:rsidRPr="00091F93" w:rsidRDefault="00091F93" w:rsidP="00091F93">
      <w:pPr>
        <w:pStyle w:val="PlaceholderWide"/>
      </w:pPr>
      <w:r>
        <w:rPr>
          <w:noProof/>
          <w:lang w:eastAsia="en-AU"/>
        </w:rPr>
        <w:drawing>
          <wp:inline distT="0" distB="0" distL="0" distR="0">
            <wp:extent cx="5731510" cy="5683250"/>
            <wp:effectExtent l="0" t="0" r="2540" b="0"/>
            <wp:docPr id="5" name="Picture 5" descr="Based on the OECD and ABS data, figure B6 (panels A and B) shows (in the forms of two bar charts) employment, job creation and job destruction for SMEs (panel A) and large firms (panel B) in selected sectors in Australia compared to 18 other OECD countries in the 10-year period 2001-2011. The 18 OECD countries under consideration are Brazil, Netherlands, Hungary, Spain, France, New Zealand, Austria, Portugal, Luxembourg, UK, Sweden, Belgium, Italy, Norway, Canada, Japan, Finland and the USA. The sectors covered are manufacturing, construction and non-financial services. &#10;Comparing Australia to other countries - using different size classes: SMEs (1-249 employees) and large firms (250+ employees) - figure B6 (panels A and B) shows that while Australia’s employment dynamics are consistent with other countries examined over the ten year period, Australia is comparatively more reliant on young SMEs for gross job creation than the average of the other 18 OECD countries. Young SMEs contribution to gross job creation in Australia was 50 per cent compared to the OECD average of 41 per cent.&#10;" title="Figure B6: Employment, job creation and job destruction for SME (panel A) and Large firms (panel B) by firm age, OECD vs. Australia, 2001–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B6.png"/>
                    <pic:cNvPicPr/>
                  </pic:nvPicPr>
                  <pic:blipFill>
                    <a:blip r:embed="rId43">
                      <a:extLst>
                        <a:ext uri="{28A0092B-C50C-407E-A947-70E740481C1C}">
                          <a14:useLocalDpi xmlns:a14="http://schemas.microsoft.com/office/drawing/2010/main" val="0"/>
                        </a:ext>
                      </a:extLst>
                    </a:blip>
                    <a:stretch>
                      <a:fillRect/>
                    </a:stretch>
                  </pic:blipFill>
                  <pic:spPr>
                    <a:xfrm>
                      <a:off x="0" y="0"/>
                      <a:ext cx="5731510" cy="5683250"/>
                    </a:xfrm>
                    <a:prstGeom prst="rect">
                      <a:avLst/>
                    </a:prstGeom>
                  </pic:spPr>
                </pic:pic>
              </a:graphicData>
            </a:graphic>
          </wp:inline>
        </w:drawing>
      </w:r>
    </w:p>
    <w:p w:rsidR="00091F93" w:rsidRPr="00091F93" w:rsidRDefault="00091F93" w:rsidP="00091F93">
      <w:pPr>
        <w:pStyle w:val="PlaceholderWide"/>
      </w:pPr>
    </w:p>
    <w:p w:rsidR="00AC6642" w:rsidRPr="00C62F3A" w:rsidRDefault="00AC6642" w:rsidP="00DB555F">
      <w:pPr>
        <w:pStyle w:val="NoteWide"/>
      </w:pPr>
      <w:r w:rsidRPr="00C62F3A">
        <w:t>Note</w:t>
      </w:r>
      <w:r>
        <w:t>s: The graph reports the contribution to total employment, gross job creation and job destruction by firms in the reported age-size groups on average across all available years and countries.</w:t>
      </w:r>
      <w:r w:rsidR="00771851">
        <w:t xml:space="preserve"> For the purposes of OECD comparisons headcount measures are used rather than Full Time Equivalents.</w:t>
      </w:r>
      <w:r>
        <w:t xml:space="preserve"> Size classes are Small to Medium (1–249 employees) and Large (250+ employees). Age classes are Young (1–5 years old) and Mature (6+ years old). The period covered is 2001–2011 for Australia, Belgium, Finland, Hungary, the Netherlands, the United Kingdom and the United States; 2001–2010 for Austria, Brazil, Spain, Italy, Luxembourg, Norway and Sweden; 2001–2009 for Canada, Japan and New Zealand; 2001–2007 for France; and 2006–2011 for Portugal. Sectors covered are: manufacturing, construction, and non-financial business services. Owing to methodological differences, figures may deviate from officially published national statistics. For Japan data are at the establishment level, for other countries at the firm level. Data for Canada refer only to organic employment changes and exclude merger and acquisition activity.</w:t>
      </w:r>
    </w:p>
    <w:p w:rsidR="00AC6642" w:rsidRDefault="00AC6642" w:rsidP="00DB555F">
      <w:pPr>
        <w:pStyle w:val="SourceWide"/>
      </w:pPr>
      <w:r>
        <w:t xml:space="preserve">Source: Criscuolo </w:t>
      </w:r>
      <w:r w:rsidRPr="0084781B">
        <w:rPr>
          <w:i/>
        </w:rPr>
        <w:t xml:space="preserve">et al. </w:t>
      </w:r>
      <w:r>
        <w:t xml:space="preserve">(2014) and </w:t>
      </w:r>
      <w:r w:rsidRPr="00683EED">
        <w:t xml:space="preserve">ABS (2015) </w:t>
      </w:r>
      <w:r>
        <w:t>Expanded</w:t>
      </w:r>
      <w:r w:rsidRPr="00683EED">
        <w:t xml:space="preserve"> Analytical </w:t>
      </w:r>
      <w:r>
        <w:t xml:space="preserve">Business </w:t>
      </w:r>
      <w:r w:rsidRPr="00683EED">
        <w:t>Longitudinal Database</w:t>
      </w:r>
      <w:r>
        <w:t xml:space="preserve"> 2001–02 to 2012–13</w:t>
      </w:r>
    </w:p>
    <w:p w:rsidR="00AC6642" w:rsidRDefault="00AC6642" w:rsidP="00AC6642">
      <w:pPr>
        <w:pStyle w:val="CaptionWide"/>
      </w:pPr>
      <w:r w:rsidRPr="000618FB">
        <w:t xml:space="preserve">Table </w:t>
      </w:r>
      <w:r w:rsidR="00E76CB0">
        <w:t>B</w:t>
      </w:r>
      <w:r w:rsidR="00CD045A">
        <w:t>2</w:t>
      </w:r>
      <w:r>
        <w:t>: OLS regressions of gross job creation and destruction and net growth rate of firms by firm size and age group fixed effects</w:t>
      </w:r>
    </w:p>
    <w:tbl>
      <w:tblPr>
        <w:tblStyle w:val="TableGrid"/>
        <w:tblW w:w="924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AE7F3" w:themeFill="accent1" w:themeFillTint="33"/>
        <w:tblLook w:val="04A0" w:firstRow="1" w:lastRow="0" w:firstColumn="1" w:lastColumn="0" w:noHBand="0" w:noVBand="1"/>
        <w:tblCaption w:val="Table B2: OLS regressions of gross job creation and destruction and net growth by firm size and age group fixed effects"/>
        <w:tblDescription w:val="This table examines gross job creation ration, gross job destruction ration and net growth rate across young-small, young-medium, mature-small, mature-medium and constant variables. "/>
      </w:tblPr>
      <w:tblGrid>
        <w:gridCol w:w="2310"/>
        <w:gridCol w:w="2310"/>
        <w:gridCol w:w="2311"/>
        <w:gridCol w:w="2310"/>
      </w:tblGrid>
      <w:tr w:rsidR="00AC6642" w:rsidRPr="00F73F7E" w:rsidTr="002A6334">
        <w:trPr>
          <w:trHeight w:val="295"/>
          <w:tblHeader/>
        </w:trPr>
        <w:tc>
          <w:tcPr>
            <w:tcW w:w="2310" w:type="dxa"/>
            <w:shd w:val="clear" w:color="auto" w:fill="22789A" w:themeFill="accent1"/>
          </w:tcPr>
          <w:p w:rsidR="00AC6642" w:rsidRPr="00F73F7E" w:rsidRDefault="00AC6642" w:rsidP="00DB555F">
            <w:pPr>
              <w:pStyle w:val="Tableheader"/>
            </w:pPr>
            <w:r w:rsidRPr="00F73F7E">
              <w:t>Dependent variable</w:t>
            </w:r>
          </w:p>
        </w:tc>
        <w:tc>
          <w:tcPr>
            <w:tcW w:w="2310" w:type="dxa"/>
            <w:shd w:val="clear" w:color="auto" w:fill="22789A" w:themeFill="accent1"/>
          </w:tcPr>
          <w:p w:rsidR="00AC6642" w:rsidRPr="00F73F7E" w:rsidRDefault="00AC6642" w:rsidP="004619D1">
            <w:pPr>
              <w:pStyle w:val="Tableheader"/>
              <w:jc w:val="right"/>
            </w:pPr>
            <w:r w:rsidRPr="00F73F7E">
              <w:t>Gross job</w:t>
            </w:r>
            <w:r w:rsidR="004619D1">
              <w:br/>
            </w:r>
            <w:r w:rsidRPr="00F73F7E">
              <w:t>creation ratio</w:t>
            </w:r>
          </w:p>
        </w:tc>
        <w:tc>
          <w:tcPr>
            <w:tcW w:w="2311" w:type="dxa"/>
            <w:shd w:val="clear" w:color="auto" w:fill="22789A" w:themeFill="accent1"/>
          </w:tcPr>
          <w:p w:rsidR="00AC6642" w:rsidRPr="00F73F7E" w:rsidRDefault="00AC6642" w:rsidP="004619D1">
            <w:pPr>
              <w:pStyle w:val="Tableheader"/>
              <w:jc w:val="right"/>
            </w:pPr>
            <w:r w:rsidRPr="00F73F7E">
              <w:t>Gross job</w:t>
            </w:r>
            <w:r w:rsidR="004619D1">
              <w:br/>
            </w:r>
            <w:r w:rsidRPr="00F73F7E">
              <w:t>destruction ratio</w:t>
            </w:r>
          </w:p>
        </w:tc>
        <w:tc>
          <w:tcPr>
            <w:tcW w:w="2310" w:type="dxa"/>
            <w:shd w:val="clear" w:color="auto" w:fill="22789A" w:themeFill="accent1"/>
          </w:tcPr>
          <w:p w:rsidR="00AC6642" w:rsidRPr="00F73F7E" w:rsidRDefault="00AC6642" w:rsidP="004619D1">
            <w:pPr>
              <w:pStyle w:val="Tableheader"/>
              <w:jc w:val="right"/>
            </w:pPr>
            <w:r w:rsidRPr="00F73F7E">
              <w:t>Net</w:t>
            </w:r>
            <w:r w:rsidR="004619D1">
              <w:br/>
            </w:r>
            <w:r w:rsidRPr="00F73F7E">
              <w:t>growth rate</w:t>
            </w:r>
          </w:p>
        </w:tc>
      </w:tr>
      <w:tr w:rsidR="00AC6642" w:rsidRPr="00F73F7E" w:rsidTr="00DB55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4"/>
        </w:trPr>
        <w:tc>
          <w:tcPr>
            <w:tcW w:w="2310" w:type="dxa"/>
            <w:tcBorders>
              <w:top w:val="nil"/>
              <w:left w:val="nil"/>
              <w:bottom w:val="nil"/>
              <w:right w:val="nil"/>
            </w:tcBorders>
            <w:shd w:val="clear" w:color="auto" w:fill="CAE7F3" w:themeFill="accent1" w:themeFillTint="33"/>
            <w:noWrap/>
            <w:hideMark/>
          </w:tcPr>
          <w:p w:rsidR="00AC6642" w:rsidRPr="00F73F7E" w:rsidRDefault="00AC6642" w:rsidP="00DB555F">
            <w:pPr>
              <w:pStyle w:val="Tabletext"/>
            </w:pPr>
            <w:r>
              <w:t>Young-small</w:t>
            </w:r>
          </w:p>
        </w:tc>
        <w:tc>
          <w:tcPr>
            <w:tcW w:w="2310" w:type="dxa"/>
            <w:tcBorders>
              <w:top w:val="nil"/>
              <w:left w:val="nil"/>
              <w:bottom w:val="nil"/>
              <w:right w:val="nil"/>
            </w:tcBorders>
            <w:shd w:val="clear" w:color="auto" w:fill="CAE7F3" w:themeFill="accent1" w:themeFillTint="33"/>
            <w:noWrap/>
            <w:hideMark/>
          </w:tcPr>
          <w:p w:rsidR="00AC6642" w:rsidRPr="00F73F7E" w:rsidRDefault="00AC6642" w:rsidP="004619D1">
            <w:pPr>
              <w:pStyle w:val="Tabletext"/>
              <w:jc w:val="right"/>
            </w:pPr>
            <w:r w:rsidRPr="00F73F7E">
              <w:t>0.246***</w:t>
            </w:r>
          </w:p>
        </w:tc>
        <w:tc>
          <w:tcPr>
            <w:tcW w:w="2311" w:type="dxa"/>
            <w:tcBorders>
              <w:top w:val="nil"/>
              <w:left w:val="nil"/>
              <w:bottom w:val="nil"/>
              <w:right w:val="nil"/>
            </w:tcBorders>
            <w:shd w:val="clear" w:color="auto" w:fill="CAE7F3" w:themeFill="accent1" w:themeFillTint="33"/>
            <w:noWrap/>
            <w:hideMark/>
          </w:tcPr>
          <w:p w:rsidR="00AC6642" w:rsidRPr="00F73F7E" w:rsidRDefault="00AC6642" w:rsidP="004619D1">
            <w:pPr>
              <w:pStyle w:val="Tabletext"/>
              <w:jc w:val="right"/>
            </w:pPr>
            <w:r w:rsidRPr="00F73F7E">
              <w:t>0.106***</w:t>
            </w:r>
          </w:p>
        </w:tc>
        <w:tc>
          <w:tcPr>
            <w:tcW w:w="2310" w:type="dxa"/>
            <w:tcBorders>
              <w:top w:val="nil"/>
              <w:left w:val="nil"/>
              <w:bottom w:val="nil"/>
              <w:right w:val="nil"/>
            </w:tcBorders>
            <w:shd w:val="clear" w:color="auto" w:fill="CAE7F3" w:themeFill="accent1" w:themeFillTint="33"/>
            <w:noWrap/>
            <w:hideMark/>
          </w:tcPr>
          <w:p w:rsidR="00AC6642" w:rsidRPr="00F73F7E" w:rsidRDefault="00AC6642" w:rsidP="004619D1">
            <w:pPr>
              <w:pStyle w:val="Tabletext"/>
              <w:jc w:val="right"/>
            </w:pPr>
            <w:r w:rsidRPr="00F73F7E">
              <w:t>0.140***</w:t>
            </w:r>
          </w:p>
        </w:tc>
      </w:tr>
      <w:tr w:rsidR="00AC6642" w:rsidRPr="00F73F7E" w:rsidTr="00DB55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4"/>
        </w:trPr>
        <w:tc>
          <w:tcPr>
            <w:tcW w:w="2310" w:type="dxa"/>
            <w:tcBorders>
              <w:top w:val="nil"/>
              <w:left w:val="nil"/>
              <w:bottom w:val="nil"/>
              <w:right w:val="nil"/>
            </w:tcBorders>
            <w:shd w:val="clear" w:color="auto" w:fill="CAE7F3" w:themeFill="accent1" w:themeFillTint="33"/>
            <w:noWrap/>
            <w:hideMark/>
          </w:tcPr>
          <w:p w:rsidR="00AC6642" w:rsidRPr="00F73F7E" w:rsidRDefault="00AC6642" w:rsidP="00DB555F">
            <w:pPr>
              <w:pStyle w:val="Tabletext"/>
            </w:pPr>
          </w:p>
        </w:tc>
        <w:tc>
          <w:tcPr>
            <w:tcW w:w="2310" w:type="dxa"/>
            <w:tcBorders>
              <w:top w:val="nil"/>
              <w:left w:val="nil"/>
              <w:bottom w:val="nil"/>
              <w:right w:val="nil"/>
            </w:tcBorders>
            <w:shd w:val="clear" w:color="auto" w:fill="CAE7F3" w:themeFill="accent1" w:themeFillTint="33"/>
            <w:noWrap/>
            <w:hideMark/>
          </w:tcPr>
          <w:p w:rsidR="00AC6642" w:rsidRPr="00F73F7E" w:rsidRDefault="00AC6642" w:rsidP="004619D1">
            <w:pPr>
              <w:pStyle w:val="Tabletext"/>
              <w:jc w:val="right"/>
            </w:pPr>
            <w:r>
              <w:t xml:space="preserve">  </w:t>
            </w:r>
            <w:r w:rsidRPr="00F73F7E">
              <w:t>(0.00585)</w:t>
            </w:r>
          </w:p>
        </w:tc>
        <w:tc>
          <w:tcPr>
            <w:tcW w:w="2311" w:type="dxa"/>
            <w:tcBorders>
              <w:top w:val="nil"/>
              <w:left w:val="nil"/>
              <w:bottom w:val="nil"/>
              <w:right w:val="nil"/>
            </w:tcBorders>
            <w:shd w:val="clear" w:color="auto" w:fill="CAE7F3" w:themeFill="accent1" w:themeFillTint="33"/>
            <w:noWrap/>
            <w:hideMark/>
          </w:tcPr>
          <w:p w:rsidR="00AC6642" w:rsidRPr="00F73F7E" w:rsidRDefault="00AC6642" w:rsidP="004619D1">
            <w:pPr>
              <w:pStyle w:val="Tabletext"/>
              <w:jc w:val="right"/>
            </w:pPr>
            <w:r>
              <w:t xml:space="preserve">  </w:t>
            </w:r>
            <w:r w:rsidRPr="00F73F7E">
              <w:t>(0.00523)</w:t>
            </w:r>
          </w:p>
        </w:tc>
        <w:tc>
          <w:tcPr>
            <w:tcW w:w="2310" w:type="dxa"/>
            <w:tcBorders>
              <w:top w:val="nil"/>
              <w:left w:val="nil"/>
              <w:bottom w:val="nil"/>
              <w:right w:val="nil"/>
            </w:tcBorders>
            <w:shd w:val="clear" w:color="auto" w:fill="CAE7F3" w:themeFill="accent1" w:themeFillTint="33"/>
            <w:noWrap/>
            <w:hideMark/>
          </w:tcPr>
          <w:p w:rsidR="00AC6642" w:rsidRPr="00F73F7E" w:rsidRDefault="00AC6642" w:rsidP="004619D1">
            <w:pPr>
              <w:pStyle w:val="Tabletext"/>
              <w:jc w:val="right"/>
            </w:pPr>
            <w:r>
              <w:t xml:space="preserve">  </w:t>
            </w:r>
            <w:r w:rsidRPr="00F73F7E">
              <w:t>(0.00772)</w:t>
            </w:r>
          </w:p>
        </w:tc>
      </w:tr>
      <w:tr w:rsidR="00885151" w:rsidRPr="00F73F7E" w:rsidTr="00DB55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4"/>
        </w:trPr>
        <w:tc>
          <w:tcPr>
            <w:tcW w:w="2310" w:type="dxa"/>
            <w:tcBorders>
              <w:top w:val="nil"/>
              <w:left w:val="nil"/>
              <w:bottom w:val="nil"/>
              <w:right w:val="nil"/>
            </w:tcBorders>
            <w:shd w:val="clear" w:color="auto" w:fill="CAE7F3" w:themeFill="accent1" w:themeFillTint="33"/>
            <w:noWrap/>
          </w:tcPr>
          <w:p w:rsidR="00885151" w:rsidRPr="00F73F7E" w:rsidRDefault="00885151" w:rsidP="00DB555F">
            <w:pPr>
              <w:pStyle w:val="Tabletext"/>
            </w:pPr>
          </w:p>
        </w:tc>
        <w:tc>
          <w:tcPr>
            <w:tcW w:w="2310" w:type="dxa"/>
            <w:tcBorders>
              <w:top w:val="nil"/>
              <w:left w:val="nil"/>
              <w:bottom w:val="nil"/>
              <w:right w:val="nil"/>
            </w:tcBorders>
            <w:shd w:val="clear" w:color="auto" w:fill="CAE7F3" w:themeFill="accent1" w:themeFillTint="33"/>
            <w:noWrap/>
          </w:tcPr>
          <w:p w:rsidR="00885151" w:rsidRDefault="00885151" w:rsidP="004619D1">
            <w:pPr>
              <w:pStyle w:val="Tabletext"/>
              <w:jc w:val="right"/>
            </w:pPr>
          </w:p>
        </w:tc>
        <w:tc>
          <w:tcPr>
            <w:tcW w:w="2311" w:type="dxa"/>
            <w:tcBorders>
              <w:top w:val="nil"/>
              <w:left w:val="nil"/>
              <w:bottom w:val="nil"/>
              <w:right w:val="nil"/>
            </w:tcBorders>
            <w:shd w:val="clear" w:color="auto" w:fill="CAE7F3" w:themeFill="accent1" w:themeFillTint="33"/>
            <w:noWrap/>
          </w:tcPr>
          <w:p w:rsidR="00885151" w:rsidRDefault="00885151" w:rsidP="004619D1">
            <w:pPr>
              <w:pStyle w:val="Tabletext"/>
              <w:jc w:val="right"/>
            </w:pPr>
          </w:p>
        </w:tc>
        <w:tc>
          <w:tcPr>
            <w:tcW w:w="2310" w:type="dxa"/>
            <w:tcBorders>
              <w:top w:val="nil"/>
              <w:left w:val="nil"/>
              <w:bottom w:val="nil"/>
              <w:right w:val="nil"/>
            </w:tcBorders>
            <w:shd w:val="clear" w:color="auto" w:fill="CAE7F3" w:themeFill="accent1" w:themeFillTint="33"/>
            <w:noWrap/>
          </w:tcPr>
          <w:p w:rsidR="00885151" w:rsidRDefault="00885151" w:rsidP="004619D1">
            <w:pPr>
              <w:pStyle w:val="Tabletext"/>
              <w:jc w:val="right"/>
            </w:pPr>
          </w:p>
        </w:tc>
      </w:tr>
      <w:tr w:rsidR="00AC6642" w:rsidRPr="00F73F7E" w:rsidTr="00DB55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4"/>
        </w:trPr>
        <w:tc>
          <w:tcPr>
            <w:tcW w:w="2310" w:type="dxa"/>
            <w:tcBorders>
              <w:top w:val="nil"/>
              <w:left w:val="nil"/>
              <w:bottom w:val="nil"/>
              <w:right w:val="nil"/>
            </w:tcBorders>
            <w:shd w:val="clear" w:color="auto" w:fill="CAE7F3" w:themeFill="accent1" w:themeFillTint="33"/>
            <w:noWrap/>
            <w:hideMark/>
          </w:tcPr>
          <w:p w:rsidR="00AC6642" w:rsidRPr="00F73F7E" w:rsidRDefault="00AC6642" w:rsidP="00DB555F">
            <w:pPr>
              <w:pStyle w:val="Tabletext"/>
            </w:pPr>
            <w:r>
              <w:t>Young-medium</w:t>
            </w:r>
          </w:p>
        </w:tc>
        <w:tc>
          <w:tcPr>
            <w:tcW w:w="2310" w:type="dxa"/>
            <w:tcBorders>
              <w:top w:val="nil"/>
              <w:left w:val="nil"/>
              <w:bottom w:val="nil"/>
              <w:right w:val="nil"/>
            </w:tcBorders>
            <w:shd w:val="clear" w:color="auto" w:fill="CAE7F3" w:themeFill="accent1" w:themeFillTint="33"/>
            <w:noWrap/>
            <w:hideMark/>
          </w:tcPr>
          <w:p w:rsidR="00AC6642" w:rsidRPr="00F73F7E" w:rsidRDefault="00AC6642" w:rsidP="004619D1">
            <w:pPr>
              <w:pStyle w:val="Tabletext"/>
              <w:jc w:val="right"/>
            </w:pPr>
            <w:r w:rsidRPr="00F73F7E">
              <w:t>0.232***</w:t>
            </w:r>
          </w:p>
        </w:tc>
        <w:tc>
          <w:tcPr>
            <w:tcW w:w="2311" w:type="dxa"/>
            <w:tcBorders>
              <w:top w:val="nil"/>
              <w:left w:val="nil"/>
              <w:bottom w:val="nil"/>
              <w:right w:val="nil"/>
            </w:tcBorders>
            <w:shd w:val="clear" w:color="auto" w:fill="CAE7F3" w:themeFill="accent1" w:themeFillTint="33"/>
            <w:noWrap/>
            <w:hideMark/>
          </w:tcPr>
          <w:p w:rsidR="00AC6642" w:rsidRPr="00F73F7E" w:rsidRDefault="00AC6642" w:rsidP="004619D1">
            <w:pPr>
              <w:pStyle w:val="Tabletext"/>
              <w:jc w:val="right"/>
            </w:pPr>
            <w:r w:rsidRPr="00F73F7E">
              <w:t>0.0747***</w:t>
            </w:r>
          </w:p>
        </w:tc>
        <w:tc>
          <w:tcPr>
            <w:tcW w:w="2310" w:type="dxa"/>
            <w:tcBorders>
              <w:top w:val="nil"/>
              <w:left w:val="nil"/>
              <w:bottom w:val="nil"/>
              <w:right w:val="nil"/>
            </w:tcBorders>
            <w:shd w:val="clear" w:color="auto" w:fill="CAE7F3" w:themeFill="accent1" w:themeFillTint="33"/>
            <w:noWrap/>
            <w:hideMark/>
          </w:tcPr>
          <w:p w:rsidR="00AC6642" w:rsidRPr="00F73F7E" w:rsidRDefault="00AC6642" w:rsidP="004619D1">
            <w:pPr>
              <w:pStyle w:val="Tabletext"/>
              <w:jc w:val="right"/>
            </w:pPr>
            <w:r w:rsidRPr="00F73F7E">
              <w:t>0.157***</w:t>
            </w:r>
          </w:p>
        </w:tc>
      </w:tr>
      <w:tr w:rsidR="00AC6642" w:rsidRPr="00F73F7E" w:rsidTr="00DB55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4"/>
        </w:trPr>
        <w:tc>
          <w:tcPr>
            <w:tcW w:w="2310" w:type="dxa"/>
            <w:tcBorders>
              <w:top w:val="nil"/>
              <w:left w:val="nil"/>
              <w:bottom w:val="nil"/>
              <w:right w:val="nil"/>
            </w:tcBorders>
            <w:shd w:val="clear" w:color="auto" w:fill="CAE7F3" w:themeFill="accent1" w:themeFillTint="33"/>
            <w:noWrap/>
            <w:hideMark/>
          </w:tcPr>
          <w:p w:rsidR="00AC6642" w:rsidRPr="00F73F7E" w:rsidRDefault="00AC6642" w:rsidP="00DB555F">
            <w:pPr>
              <w:pStyle w:val="Tabletext"/>
            </w:pPr>
          </w:p>
        </w:tc>
        <w:tc>
          <w:tcPr>
            <w:tcW w:w="2310" w:type="dxa"/>
            <w:tcBorders>
              <w:top w:val="nil"/>
              <w:left w:val="nil"/>
              <w:bottom w:val="nil"/>
              <w:right w:val="nil"/>
            </w:tcBorders>
            <w:shd w:val="clear" w:color="auto" w:fill="CAE7F3" w:themeFill="accent1" w:themeFillTint="33"/>
            <w:noWrap/>
            <w:hideMark/>
          </w:tcPr>
          <w:p w:rsidR="00AC6642" w:rsidRPr="00F73F7E" w:rsidRDefault="00AC6642" w:rsidP="004619D1">
            <w:pPr>
              <w:pStyle w:val="Tabletext"/>
              <w:jc w:val="right"/>
            </w:pPr>
            <w:r>
              <w:t xml:space="preserve">  </w:t>
            </w:r>
            <w:r w:rsidRPr="00F73F7E">
              <w:t>(0.00585)</w:t>
            </w:r>
          </w:p>
        </w:tc>
        <w:tc>
          <w:tcPr>
            <w:tcW w:w="2311" w:type="dxa"/>
            <w:tcBorders>
              <w:top w:val="nil"/>
              <w:left w:val="nil"/>
              <w:bottom w:val="nil"/>
              <w:right w:val="nil"/>
            </w:tcBorders>
            <w:shd w:val="clear" w:color="auto" w:fill="CAE7F3" w:themeFill="accent1" w:themeFillTint="33"/>
            <w:noWrap/>
            <w:hideMark/>
          </w:tcPr>
          <w:p w:rsidR="00AC6642" w:rsidRPr="00F73F7E" w:rsidRDefault="00AC6642" w:rsidP="004619D1">
            <w:pPr>
              <w:pStyle w:val="Tabletext"/>
              <w:jc w:val="right"/>
            </w:pPr>
            <w:r>
              <w:t xml:space="preserve">  </w:t>
            </w:r>
            <w:r w:rsidRPr="00F73F7E">
              <w:t>(0.00523)</w:t>
            </w:r>
          </w:p>
        </w:tc>
        <w:tc>
          <w:tcPr>
            <w:tcW w:w="2310" w:type="dxa"/>
            <w:tcBorders>
              <w:top w:val="nil"/>
              <w:left w:val="nil"/>
              <w:bottom w:val="nil"/>
              <w:right w:val="nil"/>
            </w:tcBorders>
            <w:shd w:val="clear" w:color="auto" w:fill="CAE7F3" w:themeFill="accent1" w:themeFillTint="33"/>
            <w:noWrap/>
            <w:hideMark/>
          </w:tcPr>
          <w:p w:rsidR="00AC6642" w:rsidRPr="00F73F7E" w:rsidRDefault="00AC6642" w:rsidP="004619D1">
            <w:pPr>
              <w:pStyle w:val="Tabletext"/>
              <w:jc w:val="right"/>
            </w:pPr>
            <w:r>
              <w:t xml:space="preserve">  </w:t>
            </w:r>
            <w:r w:rsidRPr="00F73F7E">
              <w:t>(0.00772)</w:t>
            </w:r>
          </w:p>
        </w:tc>
      </w:tr>
      <w:tr w:rsidR="00885151" w:rsidRPr="00F73F7E" w:rsidTr="00DB55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4"/>
        </w:trPr>
        <w:tc>
          <w:tcPr>
            <w:tcW w:w="2310" w:type="dxa"/>
            <w:tcBorders>
              <w:top w:val="nil"/>
              <w:left w:val="nil"/>
              <w:bottom w:val="nil"/>
              <w:right w:val="nil"/>
            </w:tcBorders>
            <w:shd w:val="clear" w:color="auto" w:fill="CAE7F3" w:themeFill="accent1" w:themeFillTint="33"/>
            <w:noWrap/>
          </w:tcPr>
          <w:p w:rsidR="00885151" w:rsidRPr="00F73F7E" w:rsidRDefault="00885151" w:rsidP="00DB555F">
            <w:pPr>
              <w:pStyle w:val="Tabletext"/>
            </w:pPr>
          </w:p>
        </w:tc>
        <w:tc>
          <w:tcPr>
            <w:tcW w:w="2310" w:type="dxa"/>
            <w:tcBorders>
              <w:top w:val="nil"/>
              <w:left w:val="nil"/>
              <w:bottom w:val="nil"/>
              <w:right w:val="nil"/>
            </w:tcBorders>
            <w:shd w:val="clear" w:color="auto" w:fill="CAE7F3" w:themeFill="accent1" w:themeFillTint="33"/>
            <w:noWrap/>
          </w:tcPr>
          <w:p w:rsidR="00885151" w:rsidRDefault="00885151" w:rsidP="004619D1">
            <w:pPr>
              <w:pStyle w:val="Tabletext"/>
              <w:jc w:val="right"/>
            </w:pPr>
          </w:p>
        </w:tc>
        <w:tc>
          <w:tcPr>
            <w:tcW w:w="2311" w:type="dxa"/>
            <w:tcBorders>
              <w:top w:val="nil"/>
              <w:left w:val="nil"/>
              <w:bottom w:val="nil"/>
              <w:right w:val="nil"/>
            </w:tcBorders>
            <w:shd w:val="clear" w:color="auto" w:fill="CAE7F3" w:themeFill="accent1" w:themeFillTint="33"/>
            <w:noWrap/>
          </w:tcPr>
          <w:p w:rsidR="00885151" w:rsidRDefault="00885151" w:rsidP="004619D1">
            <w:pPr>
              <w:pStyle w:val="Tabletext"/>
              <w:jc w:val="right"/>
            </w:pPr>
          </w:p>
        </w:tc>
        <w:tc>
          <w:tcPr>
            <w:tcW w:w="2310" w:type="dxa"/>
            <w:tcBorders>
              <w:top w:val="nil"/>
              <w:left w:val="nil"/>
              <w:bottom w:val="nil"/>
              <w:right w:val="nil"/>
            </w:tcBorders>
            <w:shd w:val="clear" w:color="auto" w:fill="CAE7F3" w:themeFill="accent1" w:themeFillTint="33"/>
            <w:noWrap/>
          </w:tcPr>
          <w:p w:rsidR="00885151" w:rsidRDefault="00885151" w:rsidP="004619D1">
            <w:pPr>
              <w:pStyle w:val="Tabletext"/>
              <w:jc w:val="right"/>
            </w:pPr>
          </w:p>
        </w:tc>
      </w:tr>
      <w:tr w:rsidR="00AC6642" w:rsidRPr="00F73F7E" w:rsidTr="00DB55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4"/>
        </w:trPr>
        <w:tc>
          <w:tcPr>
            <w:tcW w:w="2310" w:type="dxa"/>
            <w:tcBorders>
              <w:top w:val="nil"/>
              <w:left w:val="nil"/>
              <w:bottom w:val="nil"/>
              <w:right w:val="nil"/>
            </w:tcBorders>
            <w:shd w:val="clear" w:color="auto" w:fill="CAE7F3" w:themeFill="accent1" w:themeFillTint="33"/>
            <w:noWrap/>
            <w:hideMark/>
          </w:tcPr>
          <w:p w:rsidR="00AC6642" w:rsidRPr="00F73F7E" w:rsidRDefault="00AC6642" w:rsidP="00DB555F">
            <w:pPr>
              <w:pStyle w:val="Tabletext"/>
            </w:pPr>
            <w:r>
              <w:t>Mature-small</w:t>
            </w:r>
          </w:p>
        </w:tc>
        <w:tc>
          <w:tcPr>
            <w:tcW w:w="2310" w:type="dxa"/>
            <w:tcBorders>
              <w:top w:val="nil"/>
              <w:left w:val="nil"/>
              <w:bottom w:val="nil"/>
              <w:right w:val="nil"/>
            </w:tcBorders>
            <w:shd w:val="clear" w:color="auto" w:fill="CAE7F3" w:themeFill="accent1" w:themeFillTint="33"/>
            <w:noWrap/>
            <w:hideMark/>
          </w:tcPr>
          <w:p w:rsidR="00AC6642" w:rsidRPr="00F73F7E" w:rsidRDefault="00AC6642" w:rsidP="004619D1">
            <w:pPr>
              <w:pStyle w:val="Tabletext"/>
              <w:jc w:val="right"/>
            </w:pPr>
            <w:r w:rsidRPr="00F73F7E">
              <w:t>0.0369***</w:t>
            </w:r>
          </w:p>
        </w:tc>
        <w:tc>
          <w:tcPr>
            <w:tcW w:w="2311" w:type="dxa"/>
            <w:tcBorders>
              <w:top w:val="nil"/>
              <w:left w:val="nil"/>
              <w:bottom w:val="nil"/>
              <w:right w:val="nil"/>
            </w:tcBorders>
            <w:shd w:val="clear" w:color="auto" w:fill="CAE7F3" w:themeFill="accent1" w:themeFillTint="33"/>
            <w:noWrap/>
            <w:hideMark/>
          </w:tcPr>
          <w:p w:rsidR="00AC6642" w:rsidRPr="00F73F7E" w:rsidRDefault="00AC6642" w:rsidP="004619D1">
            <w:pPr>
              <w:pStyle w:val="Tabletext"/>
              <w:jc w:val="right"/>
            </w:pPr>
            <w:r w:rsidRPr="00F73F7E">
              <w:t>0.118***</w:t>
            </w:r>
          </w:p>
        </w:tc>
        <w:tc>
          <w:tcPr>
            <w:tcW w:w="2310" w:type="dxa"/>
            <w:tcBorders>
              <w:top w:val="nil"/>
              <w:left w:val="nil"/>
              <w:bottom w:val="nil"/>
              <w:right w:val="nil"/>
            </w:tcBorders>
            <w:shd w:val="clear" w:color="auto" w:fill="CAE7F3" w:themeFill="accent1" w:themeFillTint="33"/>
            <w:noWrap/>
            <w:hideMark/>
          </w:tcPr>
          <w:p w:rsidR="00AC6642" w:rsidRPr="00F73F7E" w:rsidRDefault="00AC6642" w:rsidP="004619D1">
            <w:pPr>
              <w:pStyle w:val="Tabletext"/>
              <w:jc w:val="right"/>
            </w:pPr>
            <w:r w:rsidRPr="00F73F7E">
              <w:t>-0.0811***</w:t>
            </w:r>
          </w:p>
        </w:tc>
      </w:tr>
      <w:tr w:rsidR="00AC6642" w:rsidRPr="00F73F7E" w:rsidTr="00DB55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4"/>
        </w:trPr>
        <w:tc>
          <w:tcPr>
            <w:tcW w:w="2310" w:type="dxa"/>
            <w:tcBorders>
              <w:top w:val="nil"/>
              <w:left w:val="nil"/>
              <w:bottom w:val="nil"/>
              <w:right w:val="nil"/>
            </w:tcBorders>
            <w:shd w:val="clear" w:color="auto" w:fill="CAE7F3" w:themeFill="accent1" w:themeFillTint="33"/>
            <w:noWrap/>
            <w:hideMark/>
          </w:tcPr>
          <w:p w:rsidR="00AC6642" w:rsidRPr="00F73F7E" w:rsidRDefault="00AC6642" w:rsidP="00DB555F">
            <w:pPr>
              <w:pStyle w:val="Tabletext"/>
            </w:pPr>
          </w:p>
        </w:tc>
        <w:tc>
          <w:tcPr>
            <w:tcW w:w="2310" w:type="dxa"/>
            <w:tcBorders>
              <w:top w:val="nil"/>
              <w:left w:val="nil"/>
              <w:bottom w:val="nil"/>
              <w:right w:val="nil"/>
            </w:tcBorders>
            <w:shd w:val="clear" w:color="auto" w:fill="CAE7F3" w:themeFill="accent1" w:themeFillTint="33"/>
            <w:noWrap/>
            <w:hideMark/>
          </w:tcPr>
          <w:p w:rsidR="00AC6642" w:rsidRPr="00F73F7E" w:rsidRDefault="00AC6642" w:rsidP="004619D1">
            <w:pPr>
              <w:pStyle w:val="Tabletext"/>
              <w:jc w:val="right"/>
            </w:pPr>
            <w:r>
              <w:t xml:space="preserve">  </w:t>
            </w:r>
            <w:r w:rsidRPr="00F73F7E">
              <w:t>(0.00585)</w:t>
            </w:r>
          </w:p>
        </w:tc>
        <w:tc>
          <w:tcPr>
            <w:tcW w:w="2311" w:type="dxa"/>
            <w:tcBorders>
              <w:top w:val="nil"/>
              <w:left w:val="nil"/>
              <w:bottom w:val="nil"/>
              <w:right w:val="nil"/>
            </w:tcBorders>
            <w:shd w:val="clear" w:color="auto" w:fill="CAE7F3" w:themeFill="accent1" w:themeFillTint="33"/>
            <w:noWrap/>
            <w:hideMark/>
          </w:tcPr>
          <w:p w:rsidR="00AC6642" w:rsidRPr="00F73F7E" w:rsidRDefault="00AC6642" w:rsidP="004619D1">
            <w:pPr>
              <w:pStyle w:val="Tabletext"/>
              <w:jc w:val="right"/>
            </w:pPr>
            <w:r>
              <w:t xml:space="preserve">  </w:t>
            </w:r>
            <w:r w:rsidRPr="00F73F7E">
              <w:t>(0.00523)</w:t>
            </w:r>
          </w:p>
        </w:tc>
        <w:tc>
          <w:tcPr>
            <w:tcW w:w="2310" w:type="dxa"/>
            <w:tcBorders>
              <w:top w:val="nil"/>
              <w:left w:val="nil"/>
              <w:bottom w:val="nil"/>
              <w:right w:val="nil"/>
            </w:tcBorders>
            <w:shd w:val="clear" w:color="auto" w:fill="CAE7F3" w:themeFill="accent1" w:themeFillTint="33"/>
            <w:noWrap/>
            <w:hideMark/>
          </w:tcPr>
          <w:p w:rsidR="00AC6642" w:rsidRPr="00F73F7E" w:rsidRDefault="00AC6642" w:rsidP="004619D1">
            <w:pPr>
              <w:pStyle w:val="Tabletext"/>
              <w:jc w:val="right"/>
            </w:pPr>
            <w:r>
              <w:t xml:space="preserve">  </w:t>
            </w:r>
            <w:r w:rsidRPr="00F73F7E">
              <w:t>(0.00772)</w:t>
            </w:r>
          </w:p>
        </w:tc>
      </w:tr>
      <w:tr w:rsidR="00885151" w:rsidRPr="00F73F7E" w:rsidTr="00DB55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4"/>
        </w:trPr>
        <w:tc>
          <w:tcPr>
            <w:tcW w:w="2310" w:type="dxa"/>
            <w:tcBorders>
              <w:top w:val="nil"/>
              <w:left w:val="nil"/>
              <w:bottom w:val="nil"/>
              <w:right w:val="nil"/>
            </w:tcBorders>
            <w:shd w:val="clear" w:color="auto" w:fill="CAE7F3" w:themeFill="accent1" w:themeFillTint="33"/>
            <w:noWrap/>
          </w:tcPr>
          <w:p w:rsidR="00885151" w:rsidRPr="00F73F7E" w:rsidRDefault="00885151" w:rsidP="00DB555F">
            <w:pPr>
              <w:pStyle w:val="Tabletext"/>
            </w:pPr>
          </w:p>
        </w:tc>
        <w:tc>
          <w:tcPr>
            <w:tcW w:w="2310" w:type="dxa"/>
            <w:tcBorders>
              <w:top w:val="nil"/>
              <w:left w:val="nil"/>
              <w:bottom w:val="nil"/>
              <w:right w:val="nil"/>
            </w:tcBorders>
            <w:shd w:val="clear" w:color="auto" w:fill="CAE7F3" w:themeFill="accent1" w:themeFillTint="33"/>
            <w:noWrap/>
          </w:tcPr>
          <w:p w:rsidR="00885151" w:rsidRDefault="00885151" w:rsidP="004619D1">
            <w:pPr>
              <w:pStyle w:val="Tabletext"/>
              <w:jc w:val="right"/>
            </w:pPr>
          </w:p>
        </w:tc>
        <w:tc>
          <w:tcPr>
            <w:tcW w:w="2311" w:type="dxa"/>
            <w:tcBorders>
              <w:top w:val="nil"/>
              <w:left w:val="nil"/>
              <w:bottom w:val="nil"/>
              <w:right w:val="nil"/>
            </w:tcBorders>
            <w:shd w:val="clear" w:color="auto" w:fill="CAE7F3" w:themeFill="accent1" w:themeFillTint="33"/>
            <w:noWrap/>
          </w:tcPr>
          <w:p w:rsidR="00885151" w:rsidRDefault="00885151" w:rsidP="004619D1">
            <w:pPr>
              <w:pStyle w:val="Tabletext"/>
              <w:jc w:val="right"/>
            </w:pPr>
          </w:p>
        </w:tc>
        <w:tc>
          <w:tcPr>
            <w:tcW w:w="2310" w:type="dxa"/>
            <w:tcBorders>
              <w:top w:val="nil"/>
              <w:left w:val="nil"/>
              <w:bottom w:val="nil"/>
              <w:right w:val="nil"/>
            </w:tcBorders>
            <w:shd w:val="clear" w:color="auto" w:fill="CAE7F3" w:themeFill="accent1" w:themeFillTint="33"/>
            <w:noWrap/>
          </w:tcPr>
          <w:p w:rsidR="00885151" w:rsidRDefault="00885151" w:rsidP="004619D1">
            <w:pPr>
              <w:pStyle w:val="Tabletext"/>
              <w:jc w:val="right"/>
            </w:pPr>
          </w:p>
        </w:tc>
      </w:tr>
      <w:tr w:rsidR="00AC6642" w:rsidRPr="00F73F7E" w:rsidTr="00DB55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4"/>
        </w:trPr>
        <w:tc>
          <w:tcPr>
            <w:tcW w:w="2310" w:type="dxa"/>
            <w:tcBorders>
              <w:top w:val="nil"/>
              <w:left w:val="nil"/>
              <w:bottom w:val="nil"/>
              <w:right w:val="nil"/>
            </w:tcBorders>
            <w:shd w:val="clear" w:color="auto" w:fill="CAE7F3" w:themeFill="accent1" w:themeFillTint="33"/>
            <w:noWrap/>
            <w:hideMark/>
          </w:tcPr>
          <w:p w:rsidR="00AC6642" w:rsidRPr="00F73F7E" w:rsidRDefault="00AC6642" w:rsidP="00DB555F">
            <w:pPr>
              <w:pStyle w:val="Tabletext"/>
            </w:pPr>
            <w:r>
              <w:t>Mature-medium</w:t>
            </w:r>
          </w:p>
        </w:tc>
        <w:tc>
          <w:tcPr>
            <w:tcW w:w="2310" w:type="dxa"/>
            <w:tcBorders>
              <w:top w:val="nil"/>
              <w:left w:val="nil"/>
              <w:bottom w:val="nil"/>
              <w:right w:val="nil"/>
            </w:tcBorders>
            <w:shd w:val="clear" w:color="auto" w:fill="CAE7F3" w:themeFill="accent1" w:themeFillTint="33"/>
            <w:noWrap/>
            <w:hideMark/>
          </w:tcPr>
          <w:p w:rsidR="00AC6642" w:rsidRPr="00F73F7E" w:rsidRDefault="00AC6642" w:rsidP="004619D1">
            <w:pPr>
              <w:pStyle w:val="Tabletext"/>
              <w:jc w:val="right"/>
            </w:pPr>
            <w:r w:rsidRPr="00F73F7E">
              <w:t>0.0204***</w:t>
            </w:r>
          </w:p>
        </w:tc>
        <w:tc>
          <w:tcPr>
            <w:tcW w:w="2311" w:type="dxa"/>
            <w:tcBorders>
              <w:top w:val="nil"/>
              <w:left w:val="nil"/>
              <w:bottom w:val="nil"/>
              <w:right w:val="nil"/>
            </w:tcBorders>
            <w:shd w:val="clear" w:color="auto" w:fill="CAE7F3" w:themeFill="accent1" w:themeFillTint="33"/>
            <w:noWrap/>
            <w:hideMark/>
          </w:tcPr>
          <w:p w:rsidR="00AC6642" w:rsidRPr="00F73F7E" w:rsidRDefault="00AC6642" w:rsidP="004619D1">
            <w:pPr>
              <w:pStyle w:val="Tabletext"/>
              <w:jc w:val="right"/>
            </w:pPr>
            <w:r w:rsidRPr="00F73F7E">
              <w:t>0.0501***</w:t>
            </w:r>
          </w:p>
        </w:tc>
        <w:tc>
          <w:tcPr>
            <w:tcW w:w="2310" w:type="dxa"/>
            <w:tcBorders>
              <w:top w:val="nil"/>
              <w:left w:val="nil"/>
              <w:bottom w:val="nil"/>
              <w:right w:val="nil"/>
            </w:tcBorders>
            <w:shd w:val="clear" w:color="auto" w:fill="CAE7F3" w:themeFill="accent1" w:themeFillTint="33"/>
            <w:noWrap/>
            <w:hideMark/>
          </w:tcPr>
          <w:p w:rsidR="00AC6642" w:rsidRPr="00F73F7E" w:rsidRDefault="00AC6642" w:rsidP="004619D1">
            <w:pPr>
              <w:pStyle w:val="Tabletext"/>
              <w:jc w:val="right"/>
            </w:pPr>
            <w:r w:rsidRPr="00F73F7E">
              <w:t>-0.0297***</w:t>
            </w:r>
          </w:p>
        </w:tc>
      </w:tr>
      <w:tr w:rsidR="00AC6642" w:rsidRPr="00F73F7E" w:rsidTr="00DB55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4"/>
        </w:trPr>
        <w:tc>
          <w:tcPr>
            <w:tcW w:w="2310" w:type="dxa"/>
            <w:tcBorders>
              <w:top w:val="nil"/>
              <w:left w:val="nil"/>
              <w:bottom w:val="nil"/>
              <w:right w:val="nil"/>
            </w:tcBorders>
            <w:shd w:val="clear" w:color="auto" w:fill="CAE7F3" w:themeFill="accent1" w:themeFillTint="33"/>
            <w:noWrap/>
            <w:hideMark/>
          </w:tcPr>
          <w:p w:rsidR="00AC6642" w:rsidRPr="00F73F7E" w:rsidRDefault="00AC6642" w:rsidP="00DB555F">
            <w:pPr>
              <w:pStyle w:val="Tabletext"/>
            </w:pPr>
          </w:p>
        </w:tc>
        <w:tc>
          <w:tcPr>
            <w:tcW w:w="2310" w:type="dxa"/>
            <w:tcBorders>
              <w:top w:val="nil"/>
              <w:left w:val="nil"/>
              <w:bottom w:val="nil"/>
              <w:right w:val="nil"/>
            </w:tcBorders>
            <w:shd w:val="clear" w:color="auto" w:fill="CAE7F3" w:themeFill="accent1" w:themeFillTint="33"/>
            <w:noWrap/>
            <w:hideMark/>
          </w:tcPr>
          <w:p w:rsidR="00AC6642" w:rsidRPr="00F73F7E" w:rsidRDefault="00AC6642" w:rsidP="004619D1">
            <w:pPr>
              <w:pStyle w:val="Tabletext"/>
              <w:jc w:val="right"/>
            </w:pPr>
            <w:r>
              <w:t xml:space="preserve">  </w:t>
            </w:r>
            <w:r w:rsidRPr="00F73F7E">
              <w:t>(0.00585)</w:t>
            </w:r>
          </w:p>
        </w:tc>
        <w:tc>
          <w:tcPr>
            <w:tcW w:w="2311" w:type="dxa"/>
            <w:tcBorders>
              <w:top w:val="nil"/>
              <w:left w:val="nil"/>
              <w:bottom w:val="nil"/>
              <w:right w:val="nil"/>
            </w:tcBorders>
            <w:shd w:val="clear" w:color="auto" w:fill="CAE7F3" w:themeFill="accent1" w:themeFillTint="33"/>
            <w:noWrap/>
            <w:hideMark/>
          </w:tcPr>
          <w:p w:rsidR="00AC6642" w:rsidRPr="00F73F7E" w:rsidRDefault="00AC6642" w:rsidP="004619D1">
            <w:pPr>
              <w:pStyle w:val="Tabletext"/>
              <w:jc w:val="right"/>
            </w:pPr>
            <w:r>
              <w:t xml:space="preserve">  </w:t>
            </w:r>
            <w:r w:rsidRPr="00F73F7E">
              <w:t>(0.00523)</w:t>
            </w:r>
          </w:p>
        </w:tc>
        <w:tc>
          <w:tcPr>
            <w:tcW w:w="2310" w:type="dxa"/>
            <w:tcBorders>
              <w:top w:val="nil"/>
              <w:left w:val="nil"/>
              <w:bottom w:val="nil"/>
              <w:right w:val="nil"/>
            </w:tcBorders>
            <w:shd w:val="clear" w:color="auto" w:fill="CAE7F3" w:themeFill="accent1" w:themeFillTint="33"/>
            <w:noWrap/>
            <w:hideMark/>
          </w:tcPr>
          <w:p w:rsidR="00AC6642" w:rsidRPr="00F73F7E" w:rsidRDefault="00AC6642" w:rsidP="004619D1">
            <w:pPr>
              <w:pStyle w:val="Tabletext"/>
              <w:jc w:val="right"/>
            </w:pPr>
            <w:r>
              <w:t xml:space="preserve">  </w:t>
            </w:r>
            <w:r w:rsidRPr="00F73F7E">
              <w:t>(0.00772)</w:t>
            </w:r>
          </w:p>
        </w:tc>
      </w:tr>
      <w:tr w:rsidR="00AC6642" w:rsidRPr="00F73F7E" w:rsidTr="00DB55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4"/>
        </w:trPr>
        <w:tc>
          <w:tcPr>
            <w:tcW w:w="2310" w:type="dxa"/>
            <w:tcBorders>
              <w:top w:val="nil"/>
              <w:left w:val="nil"/>
              <w:bottom w:val="nil"/>
              <w:right w:val="nil"/>
            </w:tcBorders>
            <w:shd w:val="clear" w:color="auto" w:fill="CAE7F3" w:themeFill="accent1" w:themeFillTint="33"/>
            <w:noWrap/>
          </w:tcPr>
          <w:p w:rsidR="00AC6642" w:rsidRPr="00F73F7E" w:rsidRDefault="00AC6642" w:rsidP="00DB555F">
            <w:pPr>
              <w:pStyle w:val="Tabletext"/>
            </w:pPr>
          </w:p>
        </w:tc>
        <w:tc>
          <w:tcPr>
            <w:tcW w:w="2310" w:type="dxa"/>
            <w:tcBorders>
              <w:top w:val="nil"/>
              <w:left w:val="nil"/>
              <w:bottom w:val="nil"/>
              <w:right w:val="nil"/>
            </w:tcBorders>
            <w:shd w:val="clear" w:color="auto" w:fill="CAE7F3" w:themeFill="accent1" w:themeFillTint="33"/>
            <w:noWrap/>
          </w:tcPr>
          <w:p w:rsidR="00AC6642" w:rsidRPr="00F73F7E" w:rsidRDefault="00AC6642" w:rsidP="004619D1">
            <w:pPr>
              <w:pStyle w:val="Tabletext"/>
              <w:jc w:val="right"/>
            </w:pPr>
          </w:p>
        </w:tc>
        <w:tc>
          <w:tcPr>
            <w:tcW w:w="2311" w:type="dxa"/>
            <w:tcBorders>
              <w:top w:val="nil"/>
              <w:left w:val="nil"/>
              <w:bottom w:val="nil"/>
              <w:right w:val="nil"/>
            </w:tcBorders>
            <w:shd w:val="clear" w:color="auto" w:fill="CAE7F3" w:themeFill="accent1" w:themeFillTint="33"/>
            <w:noWrap/>
          </w:tcPr>
          <w:p w:rsidR="00AC6642" w:rsidRPr="00F73F7E" w:rsidRDefault="00AC6642" w:rsidP="004619D1">
            <w:pPr>
              <w:pStyle w:val="Tabletext"/>
              <w:jc w:val="right"/>
            </w:pPr>
          </w:p>
        </w:tc>
        <w:tc>
          <w:tcPr>
            <w:tcW w:w="2310" w:type="dxa"/>
            <w:tcBorders>
              <w:top w:val="nil"/>
              <w:left w:val="nil"/>
              <w:bottom w:val="nil"/>
              <w:right w:val="nil"/>
            </w:tcBorders>
            <w:shd w:val="clear" w:color="auto" w:fill="CAE7F3" w:themeFill="accent1" w:themeFillTint="33"/>
            <w:noWrap/>
          </w:tcPr>
          <w:p w:rsidR="00AC6642" w:rsidRPr="00F73F7E" w:rsidRDefault="00AC6642" w:rsidP="004619D1">
            <w:pPr>
              <w:pStyle w:val="Tabletext"/>
              <w:jc w:val="right"/>
            </w:pPr>
          </w:p>
        </w:tc>
      </w:tr>
      <w:tr w:rsidR="00AC6642" w:rsidRPr="00F73F7E" w:rsidTr="00DB55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4"/>
        </w:trPr>
        <w:tc>
          <w:tcPr>
            <w:tcW w:w="2310" w:type="dxa"/>
            <w:tcBorders>
              <w:top w:val="nil"/>
              <w:left w:val="nil"/>
              <w:bottom w:val="nil"/>
              <w:right w:val="nil"/>
            </w:tcBorders>
            <w:shd w:val="clear" w:color="auto" w:fill="CAE7F3" w:themeFill="accent1" w:themeFillTint="33"/>
            <w:noWrap/>
            <w:hideMark/>
          </w:tcPr>
          <w:p w:rsidR="00AC6642" w:rsidRPr="00F73F7E" w:rsidRDefault="00AC6642" w:rsidP="00DB555F">
            <w:pPr>
              <w:pStyle w:val="Tabletext"/>
            </w:pPr>
            <w:r w:rsidRPr="00F73F7E">
              <w:t>Constant</w:t>
            </w:r>
          </w:p>
        </w:tc>
        <w:tc>
          <w:tcPr>
            <w:tcW w:w="2310" w:type="dxa"/>
            <w:tcBorders>
              <w:top w:val="nil"/>
              <w:left w:val="nil"/>
              <w:bottom w:val="nil"/>
              <w:right w:val="nil"/>
            </w:tcBorders>
            <w:shd w:val="clear" w:color="auto" w:fill="CAE7F3" w:themeFill="accent1" w:themeFillTint="33"/>
            <w:noWrap/>
            <w:hideMark/>
          </w:tcPr>
          <w:p w:rsidR="00AC6642" w:rsidRPr="00F73F7E" w:rsidRDefault="00AC6642" w:rsidP="004619D1">
            <w:pPr>
              <w:pStyle w:val="Tabletext"/>
              <w:jc w:val="right"/>
            </w:pPr>
            <w:r w:rsidRPr="00F73F7E">
              <w:t>0.120***</w:t>
            </w:r>
          </w:p>
        </w:tc>
        <w:tc>
          <w:tcPr>
            <w:tcW w:w="2311" w:type="dxa"/>
            <w:tcBorders>
              <w:top w:val="nil"/>
              <w:left w:val="nil"/>
              <w:bottom w:val="nil"/>
              <w:right w:val="nil"/>
            </w:tcBorders>
            <w:shd w:val="clear" w:color="auto" w:fill="CAE7F3" w:themeFill="accent1" w:themeFillTint="33"/>
            <w:noWrap/>
            <w:hideMark/>
          </w:tcPr>
          <w:p w:rsidR="00AC6642" w:rsidRPr="00F73F7E" w:rsidRDefault="00AC6642" w:rsidP="004619D1">
            <w:pPr>
              <w:pStyle w:val="Tabletext"/>
              <w:jc w:val="right"/>
            </w:pPr>
            <w:r w:rsidRPr="00F73F7E">
              <w:t>0.128***</w:t>
            </w:r>
          </w:p>
        </w:tc>
        <w:tc>
          <w:tcPr>
            <w:tcW w:w="2310" w:type="dxa"/>
            <w:tcBorders>
              <w:top w:val="nil"/>
              <w:left w:val="nil"/>
              <w:bottom w:val="nil"/>
              <w:right w:val="nil"/>
            </w:tcBorders>
            <w:shd w:val="clear" w:color="auto" w:fill="CAE7F3" w:themeFill="accent1" w:themeFillTint="33"/>
            <w:noWrap/>
            <w:hideMark/>
          </w:tcPr>
          <w:p w:rsidR="00AC6642" w:rsidRPr="00F73F7E" w:rsidRDefault="00AC6642" w:rsidP="004619D1">
            <w:pPr>
              <w:pStyle w:val="Tabletext"/>
              <w:jc w:val="right"/>
            </w:pPr>
            <w:r w:rsidRPr="00F73F7E">
              <w:t>-0.00753</w:t>
            </w:r>
          </w:p>
        </w:tc>
      </w:tr>
      <w:tr w:rsidR="00AC6642" w:rsidRPr="00F73F7E" w:rsidTr="00DB55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4"/>
        </w:trPr>
        <w:tc>
          <w:tcPr>
            <w:tcW w:w="2310" w:type="dxa"/>
            <w:tcBorders>
              <w:top w:val="nil"/>
              <w:left w:val="nil"/>
              <w:bottom w:val="nil"/>
              <w:right w:val="nil"/>
            </w:tcBorders>
            <w:shd w:val="clear" w:color="auto" w:fill="CAE7F3" w:themeFill="accent1" w:themeFillTint="33"/>
            <w:noWrap/>
            <w:hideMark/>
          </w:tcPr>
          <w:p w:rsidR="00AC6642" w:rsidRPr="00F73F7E" w:rsidRDefault="00AC6642" w:rsidP="00DB555F">
            <w:pPr>
              <w:pStyle w:val="Tabletext"/>
            </w:pPr>
          </w:p>
        </w:tc>
        <w:tc>
          <w:tcPr>
            <w:tcW w:w="2310" w:type="dxa"/>
            <w:tcBorders>
              <w:top w:val="nil"/>
              <w:left w:val="nil"/>
              <w:bottom w:val="nil"/>
              <w:right w:val="nil"/>
            </w:tcBorders>
            <w:shd w:val="clear" w:color="auto" w:fill="CAE7F3" w:themeFill="accent1" w:themeFillTint="33"/>
            <w:noWrap/>
            <w:hideMark/>
          </w:tcPr>
          <w:p w:rsidR="00AC6642" w:rsidRPr="00F73F7E" w:rsidRDefault="00AC6642" w:rsidP="004619D1">
            <w:pPr>
              <w:pStyle w:val="Tabletext"/>
              <w:jc w:val="right"/>
            </w:pPr>
            <w:r>
              <w:t xml:space="preserve">  </w:t>
            </w:r>
            <w:r w:rsidRPr="00F73F7E">
              <w:t>(0.00961)</w:t>
            </w:r>
          </w:p>
        </w:tc>
        <w:tc>
          <w:tcPr>
            <w:tcW w:w="2311" w:type="dxa"/>
            <w:tcBorders>
              <w:top w:val="nil"/>
              <w:left w:val="nil"/>
              <w:bottom w:val="nil"/>
              <w:right w:val="nil"/>
            </w:tcBorders>
            <w:shd w:val="clear" w:color="auto" w:fill="CAE7F3" w:themeFill="accent1" w:themeFillTint="33"/>
            <w:noWrap/>
            <w:hideMark/>
          </w:tcPr>
          <w:p w:rsidR="00AC6642" w:rsidRPr="00F73F7E" w:rsidRDefault="00AC6642" w:rsidP="004619D1">
            <w:pPr>
              <w:pStyle w:val="Tabletext"/>
              <w:jc w:val="right"/>
            </w:pPr>
            <w:r>
              <w:t xml:space="preserve">  </w:t>
            </w:r>
            <w:r w:rsidRPr="00F73F7E">
              <w:t>(0.00859)</w:t>
            </w:r>
          </w:p>
        </w:tc>
        <w:tc>
          <w:tcPr>
            <w:tcW w:w="2310" w:type="dxa"/>
            <w:tcBorders>
              <w:top w:val="nil"/>
              <w:left w:val="nil"/>
              <w:bottom w:val="nil"/>
              <w:right w:val="nil"/>
            </w:tcBorders>
            <w:shd w:val="clear" w:color="auto" w:fill="CAE7F3" w:themeFill="accent1" w:themeFillTint="33"/>
            <w:noWrap/>
            <w:hideMark/>
          </w:tcPr>
          <w:p w:rsidR="00AC6642" w:rsidRPr="00F73F7E" w:rsidRDefault="00AC6642" w:rsidP="004619D1">
            <w:pPr>
              <w:pStyle w:val="Tabletext"/>
              <w:jc w:val="right"/>
            </w:pPr>
            <w:r>
              <w:t xml:space="preserve">  </w:t>
            </w:r>
            <w:r w:rsidRPr="00F73F7E">
              <w:t>(0.0127)</w:t>
            </w:r>
          </w:p>
        </w:tc>
      </w:tr>
      <w:tr w:rsidR="00AC6642" w:rsidRPr="00F73F7E" w:rsidTr="00DB55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4"/>
        </w:trPr>
        <w:tc>
          <w:tcPr>
            <w:tcW w:w="2310" w:type="dxa"/>
            <w:tcBorders>
              <w:top w:val="nil"/>
              <w:left w:val="nil"/>
              <w:bottom w:val="nil"/>
              <w:right w:val="nil"/>
            </w:tcBorders>
            <w:shd w:val="clear" w:color="auto" w:fill="CAE7F3" w:themeFill="accent1" w:themeFillTint="33"/>
            <w:noWrap/>
            <w:hideMark/>
          </w:tcPr>
          <w:p w:rsidR="00AC6642" w:rsidRPr="00F73F7E" w:rsidRDefault="00AC6642" w:rsidP="00DB555F">
            <w:pPr>
              <w:pStyle w:val="Tabletext"/>
            </w:pPr>
          </w:p>
        </w:tc>
        <w:tc>
          <w:tcPr>
            <w:tcW w:w="2310" w:type="dxa"/>
            <w:tcBorders>
              <w:top w:val="nil"/>
              <w:left w:val="nil"/>
              <w:bottom w:val="nil"/>
              <w:right w:val="nil"/>
            </w:tcBorders>
            <w:shd w:val="clear" w:color="auto" w:fill="CAE7F3" w:themeFill="accent1" w:themeFillTint="33"/>
            <w:noWrap/>
            <w:hideMark/>
          </w:tcPr>
          <w:p w:rsidR="00AC6642" w:rsidRPr="00F73F7E" w:rsidRDefault="00AC6642" w:rsidP="004619D1">
            <w:pPr>
              <w:pStyle w:val="Tabletext"/>
              <w:jc w:val="right"/>
            </w:pPr>
          </w:p>
        </w:tc>
        <w:tc>
          <w:tcPr>
            <w:tcW w:w="2311" w:type="dxa"/>
            <w:tcBorders>
              <w:top w:val="nil"/>
              <w:left w:val="nil"/>
              <w:bottom w:val="nil"/>
              <w:right w:val="nil"/>
            </w:tcBorders>
            <w:shd w:val="clear" w:color="auto" w:fill="CAE7F3" w:themeFill="accent1" w:themeFillTint="33"/>
            <w:noWrap/>
            <w:hideMark/>
          </w:tcPr>
          <w:p w:rsidR="00AC6642" w:rsidRPr="00F73F7E" w:rsidRDefault="00AC6642" w:rsidP="004619D1">
            <w:pPr>
              <w:pStyle w:val="Tabletext"/>
              <w:jc w:val="right"/>
            </w:pPr>
          </w:p>
        </w:tc>
        <w:tc>
          <w:tcPr>
            <w:tcW w:w="2310" w:type="dxa"/>
            <w:tcBorders>
              <w:top w:val="nil"/>
              <w:left w:val="nil"/>
              <w:bottom w:val="nil"/>
              <w:right w:val="nil"/>
            </w:tcBorders>
            <w:shd w:val="clear" w:color="auto" w:fill="CAE7F3" w:themeFill="accent1" w:themeFillTint="33"/>
            <w:noWrap/>
            <w:hideMark/>
          </w:tcPr>
          <w:p w:rsidR="00AC6642" w:rsidRPr="00F73F7E" w:rsidRDefault="00AC6642" w:rsidP="004619D1">
            <w:pPr>
              <w:pStyle w:val="Tabletext"/>
              <w:jc w:val="right"/>
            </w:pPr>
          </w:p>
        </w:tc>
      </w:tr>
      <w:tr w:rsidR="00AC6642" w:rsidRPr="00F73F7E" w:rsidTr="00DB55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4"/>
        </w:trPr>
        <w:tc>
          <w:tcPr>
            <w:tcW w:w="2310" w:type="dxa"/>
            <w:tcBorders>
              <w:top w:val="nil"/>
              <w:left w:val="nil"/>
              <w:bottom w:val="nil"/>
              <w:right w:val="nil"/>
            </w:tcBorders>
            <w:shd w:val="clear" w:color="auto" w:fill="CAE7F3" w:themeFill="accent1" w:themeFillTint="33"/>
            <w:noWrap/>
            <w:hideMark/>
          </w:tcPr>
          <w:p w:rsidR="00AC6642" w:rsidRPr="00F73F7E" w:rsidRDefault="00AC6642" w:rsidP="00DB555F">
            <w:pPr>
              <w:pStyle w:val="Tabletext"/>
            </w:pPr>
            <w:r w:rsidRPr="00F73F7E">
              <w:t>Observations</w:t>
            </w:r>
          </w:p>
        </w:tc>
        <w:tc>
          <w:tcPr>
            <w:tcW w:w="2310" w:type="dxa"/>
            <w:tcBorders>
              <w:top w:val="nil"/>
              <w:left w:val="nil"/>
              <w:bottom w:val="nil"/>
              <w:right w:val="nil"/>
            </w:tcBorders>
            <w:shd w:val="clear" w:color="auto" w:fill="CAE7F3" w:themeFill="accent1" w:themeFillTint="33"/>
            <w:noWrap/>
            <w:hideMark/>
          </w:tcPr>
          <w:p w:rsidR="00AC6642" w:rsidRPr="00F73F7E" w:rsidRDefault="00AC6642" w:rsidP="004619D1">
            <w:pPr>
              <w:pStyle w:val="Tabletext"/>
              <w:jc w:val="right"/>
            </w:pPr>
            <w:r w:rsidRPr="00F73F7E">
              <w:t>595</w:t>
            </w:r>
          </w:p>
        </w:tc>
        <w:tc>
          <w:tcPr>
            <w:tcW w:w="2311" w:type="dxa"/>
            <w:tcBorders>
              <w:top w:val="nil"/>
              <w:left w:val="nil"/>
              <w:bottom w:val="nil"/>
              <w:right w:val="nil"/>
            </w:tcBorders>
            <w:shd w:val="clear" w:color="auto" w:fill="CAE7F3" w:themeFill="accent1" w:themeFillTint="33"/>
            <w:noWrap/>
            <w:hideMark/>
          </w:tcPr>
          <w:p w:rsidR="00AC6642" w:rsidRPr="00F73F7E" w:rsidRDefault="00AC6642" w:rsidP="004619D1">
            <w:pPr>
              <w:pStyle w:val="Tabletext"/>
              <w:jc w:val="right"/>
            </w:pPr>
            <w:r w:rsidRPr="00F73F7E">
              <w:t>595</w:t>
            </w:r>
          </w:p>
        </w:tc>
        <w:tc>
          <w:tcPr>
            <w:tcW w:w="2310" w:type="dxa"/>
            <w:tcBorders>
              <w:top w:val="nil"/>
              <w:left w:val="nil"/>
              <w:bottom w:val="nil"/>
              <w:right w:val="nil"/>
            </w:tcBorders>
            <w:shd w:val="clear" w:color="auto" w:fill="CAE7F3" w:themeFill="accent1" w:themeFillTint="33"/>
            <w:noWrap/>
            <w:hideMark/>
          </w:tcPr>
          <w:p w:rsidR="00AC6642" w:rsidRPr="00F73F7E" w:rsidRDefault="00AC6642" w:rsidP="004619D1">
            <w:pPr>
              <w:pStyle w:val="Tabletext"/>
              <w:jc w:val="right"/>
            </w:pPr>
            <w:r w:rsidRPr="00F73F7E">
              <w:t>595</w:t>
            </w:r>
          </w:p>
        </w:tc>
      </w:tr>
      <w:tr w:rsidR="00AC6642" w:rsidRPr="00F73F7E" w:rsidTr="00DB55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4"/>
        </w:trPr>
        <w:tc>
          <w:tcPr>
            <w:tcW w:w="2310" w:type="dxa"/>
            <w:tcBorders>
              <w:top w:val="nil"/>
              <w:left w:val="nil"/>
              <w:bottom w:val="nil"/>
              <w:right w:val="nil"/>
            </w:tcBorders>
            <w:shd w:val="clear" w:color="auto" w:fill="CAE7F3" w:themeFill="accent1" w:themeFillTint="33"/>
            <w:noWrap/>
            <w:hideMark/>
          </w:tcPr>
          <w:p w:rsidR="00AC6642" w:rsidRPr="00F73F7E" w:rsidRDefault="00AC6642" w:rsidP="00DB555F">
            <w:pPr>
              <w:pStyle w:val="Tabletext"/>
            </w:pPr>
            <w:r w:rsidRPr="00F73F7E">
              <w:t>R-squared</w:t>
            </w:r>
          </w:p>
        </w:tc>
        <w:tc>
          <w:tcPr>
            <w:tcW w:w="2310" w:type="dxa"/>
            <w:tcBorders>
              <w:top w:val="nil"/>
              <w:left w:val="nil"/>
              <w:bottom w:val="nil"/>
              <w:right w:val="nil"/>
            </w:tcBorders>
            <w:shd w:val="clear" w:color="auto" w:fill="CAE7F3" w:themeFill="accent1" w:themeFillTint="33"/>
            <w:noWrap/>
            <w:hideMark/>
          </w:tcPr>
          <w:p w:rsidR="00AC6642" w:rsidRPr="00F73F7E" w:rsidRDefault="00AC6642" w:rsidP="004619D1">
            <w:pPr>
              <w:pStyle w:val="Tabletext"/>
              <w:jc w:val="right"/>
            </w:pPr>
            <w:r w:rsidRPr="00F73F7E">
              <w:t>0.882</w:t>
            </w:r>
          </w:p>
        </w:tc>
        <w:tc>
          <w:tcPr>
            <w:tcW w:w="2311" w:type="dxa"/>
            <w:tcBorders>
              <w:top w:val="nil"/>
              <w:left w:val="nil"/>
              <w:bottom w:val="nil"/>
              <w:right w:val="nil"/>
            </w:tcBorders>
            <w:shd w:val="clear" w:color="auto" w:fill="CAE7F3" w:themeFill="accent1" w:themeFillTint="33"/>
            <w:noWrap/>
            <w:hideMark/>
          </w:tcPr>
          <w:p w:rsidR="00AC6642" w:rsidRPr="00F73F7E" w:rsidRDefault="00AC6642" w:rsidP="004619D1">
            <w:pPr>
              <w:pStyle w:val="Tabletext"/>
              <w:jc w:val="right"/>
            </w:pPr>
            <w:r w:rsidRPr="00F73F7E">
              <w:t>0.736</w:t>
            </w:r>
          </w:p>
        </w:tc>
        <w:tc>
          <w:tcPr>
            <w:tcW w:w="2310" w:type="dxa"/>
            <w:tcBorders>
              <w:top w:val="nil"/>
              <w:left w:val="nil"/>
              <w:bottom w:val="nil"/>
              <w:right w:val="nil"/>
            </w:tcBorders>
            <w:shd w:val="clear" w:color="auto" w:fill="CAE7F3" w:themeFill="accent1" w:themeFillTint="33"/>
            <w:noWrap/>
            <w:hideMark/>
          </w:tcPr>
          <w:p w:rsidR="00AC6642" w:rsidRPr="00F73F7E" w:rsidRDefault="00AC6642" w:rsidP="004619D1">
            <w:pPr>
              <w:pStyle w:val="Tabletext"/>
              <w:jc w:val="right"/>
            </w:pPr>
            <w:r w:rsidRPr="00F73F7E">
              <w:t>0.835</w:t>
            </w:r>
          </w:p>
        </w:tc>
      </w:tr>
    </w:tbl>
    <w:p w:rsidR="00AC6642" w:rsidRPr="00AC6642" w:rsidRDefault="00AC6642" w:rsidP="00AC6642">
      <w:pPr>
        <w:pStyle w:val="PlaceholderWide"/>
      </w:pPr>
    </w:p>
    <w:p w:rsidR="00AC6642" w:rsidRPr="00A30089" w:rsidRDefault="00AC6642" w:rsidP="00DB555F">
      <w:pPr>
        <w:pStyle w:val="NoteWide"/>
      </w:pPr>
      <w:r w:rsidRPr="00A30089">
        <w:t>Note</w:t>
      </w:r>
      <w:r>
        <w:t xml:space="preserve">s: The reference category is mature-large firms (age 6+; size 250+). Young-large firms are excluded from the analysis. General divisional dummies were used. Robust standard errors in parentheses </w:t>
      </w:r>
      <w:r w:rsidRPr="00F73F7E">
        <w:t>*** p&lt;0.01, ** p&lt;0.05, * p&lt;0.1</w:t>
      </w:r>
    </w:p>
    <w:p w:rsidR="00AC6642" w:rsidRPr="00A30089" w:rsidRDefault="00AC6642" w:rsidP="00DB555F">
      <w:pPr>
        <w:pStyle w:val="SourceWide"/>
      </w:pPr>
      <w:r>
        <w:t xml:space="preserve">Source: </w:t>
      </w:r>
      <w:r w:rsidRPr="00683EED">
        <w:t xml:space="preserve">ABS (2015) </w:t>
      </w:r>
      <w:r>
        <w:t>Expanded</w:t>
      </w:r>
      <w:r w:rsidRPr="00683EED">
        <w:t xml:space="preserve"> Analytical </w:t>
      </w:r>
      <w:r>
        <w:t xml:space="preserve">Business </w:t>
      </w:r>
      <w:r w:rsidRPr="00683EED">
        <w:t>Longitudinal Database</w:t>
      </w:r>
      <w:r>
        <w:t xml:space="preserve"> 2001–02 to 2012–13</w:t>
      </w:r>
    </w:p>
    <w:p w:rsidR="007F1812" w:rsidRDefault="007F1812" w:rsidP="007F1812">
      <w:pPr>
        <w:pStyle w:val="BodyText"/>
      </w:pPr>
    </w:p>
    <w:p w:rsidR="00CD045A" w:rsidRDefault="00CD045A" w:rsidP="007F1812">
      <w:pPr>
        <w:pStyle w:val="BodyText"/>
      </w:pPr>
    </w:p>
    <w:p w:rsidR="00CD045A" w:rsidRDefault="00CD045A" w:rsidP="007F1812">
      <w:pPr>
        <w:pStyle w:val="BodyText"/>
      </w:pPr>
    </w:p>
    <w:p w:rsidR="00CD045A" w:rsidRDefault="00CD045A" w:rsidP="007F1812">
      <w:pPr>
        <w:pStyle w:val="BodyText"/>
      </w:pPr>
    </w:p>
    <w:p w:rsidR="00CD045A" w:rsidRDefault="00CD045A" w:rsidP="007F1812">
      <w:pPr>
        <w:pStyle w:val="BodyText"/>
      </w:pPr>
    </w:p>
    <w:p w:rsidR="00CD045A" w:rsidRDefault="00CD045A" w:rsidP="007F1812">
      <w:pPr>
        <w:pStyle w:val="BodyText"/>
      </w:pPr>
    </w:p>
    <w:p w:rsidR="00CD045A" w:rsidRDefault="00CD045A" w:rsidP="007F1812">
      <w:pPr>
        <w:pStyle w:val="BodyText"/>
      </w:pPr>
    </w:p>
    <w:p w:rsidR="00CD045A" w:rsidRDefault="00CD045A" w:rsidP="007F1812">
      <w:pPr>
        <w:pStyle w:val="BodyText"/>
      </w:pPr>
    </w:p>
    <w:p w:rsidR="00CD045A" w:rsidRDefault="00CD045A" w:rsidP="007F1812">
      <w:pPr>
        <w:pStyle w:val="BodyText"/>
      </w:pPr>
    </w:p>
    <w:p w:rsidR="00CD045A" w:rsidRDefault="00CD045A" w:rsidP="007F1812">
      <w:pPr>
        <w:pStyle w:val="BodyText"/>
      </w:pPr>
    </w:p>
    <w:p w:rsidR="00CD045A" w:rsidRDefault="00CD045A" w:rsidP="007F1812">
      <w:pPr>
        <w:pStyle w:val="BodyText"/>
      </w:pPr>
    </w:p>
    <w:p w:rsidR="00CD045A" w:rsidRDefault="00CD045A" w:rsidP="007F1812">
      <w:pPr>
        <w:pStyle w:val="BodyText"/>
      </w:pPr>
    </w:p>
    <w:p w:rsidR="00CD045A" w:rsidRDefault="00CD045A" w:rsidP="007F1812">
      <w:pPr>
        <w:pStyle w:val="BodyText"/>
        <w:sectPr w:rsidR="00CD045A" w:rsidSect="00EB1BB4">
          <w:headerReference w:type="even" r:id="rId44"/>
          <w:headerReference w:type="default" r:id="rId45"/>
          <w:footerReference w:type="even" r:id="rId46"/>
          <w:footerReference w:type="default" r:id="rId47"/>
          <w:headerReference w:type="first" r:id="rId48"/>
          <w:footerReference w:type="first" r:id="rId49"/>
          <w:pgSz w:w="11906" w:h="16838" w:code="9"/>
          <w:pgMar w:top="1440" w:right="1440" w:bottom="1440" w:left="1440" w:header="709" w:footer="709" w:gutter="0"/>
          <w:cols w:space="708"/>
          <w:docGrid w:linePitch="360"/>
        </w:sectPr>
      </w:pPr>
    </w:p>
    <w:p w:rsidR="00CD045A" w:rsidRDefault="00CD045A" w:rsidP="00DB555F">
      <w:pPr>
        <w:pStyle w:val="CaptionWide"/>
      </w:pPr>
      <w:r w:rsidRPr="000618FB">
        <w:t xml:space="preserve">Table </w:t>
      </w:r>
      <w:r>
        <w:t>B3: Start-up activity by ANZSIC Sub-division, 2001</w:t>
      </w:r>
      <w:r>
        <w:rPr>
          <w:rFonts w:cs="Arial"/>
        </w:rPr>
        <w:t>–</w:t>
      </w:r>
      <w:r>
        <w:t>2011</w:t>
      </w:r>
    </w:p>
    <w:tbl>
      <w:tblPr>
        <w:tblW w:w="15182" w:type="dxa"/>
        <w:tblInd w:w="93" w:type="dxa"/>
        <w:shd w:val="clear" w:color="auto" w:fill="CAE7F3" w:themeFill="accent1" w:themeFillTint="33"/>
        <w:tblLayout w:type="fixed"/>
        <w:tblLook w:val="04A0" w:firstRow="1" w:lastRow="0" w:firstColumn="1" w:lastColumn="0" w:noHBand="0" w:noVBand="1"/>
      </w:tblPr>
      <w:tblGrid>
        <w:gridCol w:w="4410"/>
        <w:gridCol w:w="15"/>
        <w:gridCol w:w="1260"/>
        <w:gridCol w:w="971"/>
        <w:gridCol w:w="1297"/>
        <w:gridCol w:w="1134"/>
        <w:gridCol w:w="992"/>
        <w:gridCol w:w="1134"/>
        <w:gridCol w:w="1418"/>
        <w:gridCol w:w="1134"/>
        <w:gridCol w:w="1417"/>
      </w:tblGrid>
      <w:tr w:rsidR="00CD045A" w:rsidRPr="00207348" w:rsidTr="00997D7E">
        <w:trPr>
          <w:trHeight w:val="487"/>
          <w:tblHeader/>
        </w:trPr>
        <w:tc>
          <w:tcPr>
            <w:tcW w:w="4410" w:type="dxa"/>
            <w:shd w:val="clear" w:color="auto" w:fill="22789A" w:themeFill="accent1"/>
            <w:noWrap/>
            <w:vAlign w:val="bottom"/>
          </w:tcPr>
          <w:p w:rsidR="00CD045A" w:rsidRPr="00885151" w:rsidRDefault="00CD045A" w:rsidP="00DB555F">
            <w:pPr>
              <w:pStyle w:val="Tabletext"/>
              <w:rPr>
                <w:i/>
                <w:color w:val="FFFFFF" w:themeColor="background1"/>
                <w:lang w:eastAsia="en-AU"/>
              </w:rPr>
            </w:pPr>
          </w:p>
        </w:tc>
        <w:tc>
          <w:tcPr>
            <w:tcW w:w="8221" w:type="dxa"/>
            <w:gridSpan w:val="8"/>
            <w:tcBorders>
              <w:right w:val="single" w:sz="4" w:space="0" w:color="595A5B" w:themeColor="text1"/>
            </w:tcBorders>
            <w:shd w:val="clear" w:color="auto" w:fill="22789A" w:themeFill="accent1"/>
            <w:vAlign w:val="bottom"/>
          </w:tcPr>
          <w:p w:rsidR="00CD045A" w:rsidRPr="004619D1" w:rsidRDefault="00CD045A" w:rsidP="004619D1">
            <w:pPr>
              <w:pStyle w:val="Tabletext"/>
              <w:jc w:val="center"/>
              <w:rPr>
                <w:b/>
                <w:i/>
                <w:color w:val="FFFFFF" w:themeColor="background1"/>
                <w:lang w:eastAsia="en-AU"/>
              </w:rPr>
            </w:pPr>
            <w:r w:rsidRPr="004619D1">
              <w:rPr>
                <w:b/>
                <w:i/>
                <w:color w:val="FFFFFF" w:themeColor="background1"/>
                <w:lang w:eastAsia="en-AU"/>
              </w:rPr>
              <w:t>Start-ups of all sizes</w:t>
            </w:r>
          </w:p>
        </w:tc>
        <w:tc>
          <w:tcPr>
            <w:tcW w:w="2551" w:type="dxa"/>
            <w:gridSpan w:val="2"/>
            <w:tcBorders>
              <w:left w:val="single" w:sz="4" w:space="0" w:color="595A5B" w:themeColor="text1"/>
            </w:tcBorders>
            <w:shd w:val="clear" w:color="auto" w:fill="22789A" w:themeFill="accent1"/>
            <w:vAlign w:val="bottom"/>
          </w:tcPr>
          <w:p w:rsidR="00CD045A" w:rsidRPr="004619D1" w:rsidRDefault="00CD045A" w:rsidP="004619D1">
            <w:pPr>
              <w:pStyle w:val="Tabletext"/>
              <w:jc w:val="center"/>
              <w:rPr>
                <w:b/>
                <w:i/>
                <w:color w:val="FFFFFF" w:themeColor="background1"/>
                <w:lang w:eastAsia="en-AU"/>
              </w:rPr>
            </w:pPr>
            <w:r w:rsidRPr="004619D1">
              <w:rPr>
                <w:b/>
                <w:i/>
                <w:color w:val="FFFFFF" w:themeColor="background1"/>
                <w:lang w:eastAsia="en-AU"/>
              </w:rPr>
              <w:t>Micro-start-ups</w:t>
            </w:r>
          </w:p>
        </w:tc>
      </w:tr>
      <w:tr w:rsidR="00CD045A" w:rsidRPr="00207348" w:rsidTr="00997D7E">
        <w:trPr>
          <w:trHeight w:val="1698"/>
          <w:tblHeader/>
        </w:trPr>
        <w:tc>
          <w:tcPr>
            <w:tcW w:w="4410" w:type="dxa"/>
            <w:shd w:val="clear" w:color="auto" w:fill="22789A" w:themeFill="accent1"/>
            <w:noWrap/>
            <w:vAlign w:val="bottom"/>
            <w:hideMark/>
          </w:tcPr>
          <w:p w:rsidR="00CD045A" w:rsidRPr="00885151" w:rsidRDefault="00CD045A" w:rsidP="00DB555F">
            <w:pPr>
              <w:pStyle w:val="Tabletext"/>
              <w:jc w:val="right"/>
              <w:rPr>
                <w:i/>
                <w:color w:val="FFFFFF" w:themeColor="background1"/>
                <w:lang w:eastAsia="en-AU"/>
              </w:rPr>
            </w:pPr>
            <w:r w:rsidRPr="00885151">
              <w:rPr>
                <w:i/>
                <w:color w:val="FFFFFF" w:themeColor="background1"/>
                <w:lang w:eastAsia="en-AU"/>
              </w:rPr>
              <w:t>Subdivision</w:t>
            </w:r>
          </w:p>
        </w:tc>
        <w:tc>
          <w:tcPr>
            <w:tcW w:w="1275" w:type="dxa"/>
            <w:gridSpan w:val="2"/>
            <w:shd w:val="clear" w:color="auto" w:fill="22789A" w:themeFill="accent1"/>
            <w:vAlign w:val="bottom"/>
            <w:hideMark/>
          </w:tcPr>
          <w:p w:rsidR="00CD045A" w:rsidRPr="00885151" w:rsidRDefault="00CD045A" w:rsidP="00DB555F">
            <w:pPr>
              <w:pStyle w:val="Tabletext"/>
              <w:jc w:val="right"/>
              <w:rPr>
                <w:i/>
                <w:color w:val="FFFFFF" w:themeColor="background1"/>
                <w:lang w:eastAsia="en-AU"/>
              </w:rPr>
            </w:pPr>
            <w:r w:rsidRPr="00885151">
              <w:rPr>
                <w:i/>
                <w:color w:val="FFFFFF" w:themeColor="background1"/>
                <w:lang w:eastAsia="en-AU"/>
              </w:rPr>
              <w:t>Start</w:t>
            </w:r>
            <w:r w:rsidR="00885151">
              <w:rPr>
                <w:i/>
                <w:color w:val="FFFFFF" w:themeColor="background1"/>
                <w:lang w:eastAsia="en-AU"/>
              </w:rPr>
              <w:t>-up share of total employment, per cent</w:t>
            </w:r>
          </w:p>
        </w:tc>
        <w:tc>
          <w:tcPr>
            <w:tcW w:w="971" w:type="dxa"/>
            <w:shd w:val="clear" w:color="auto" w:fill="22789A" w:themeFill="accent1"/>
            <w:vAlign w:val="bottom"/>
            <w:hideMark/>
          </w:tcPr>
          <w:p w:rsidR="00CD045A" w:rsidRPr="00885151" w:rsidRDefault="00CD045A" w:rsidP="00DB555F">
            <w:pPr>
              <w:pStyle w:val="Tabletext"/>
              <w:jc w:val="right"/>
              <w:rPr>
                <w:i/>
                <w:color w:val="FFFFFF" w:themeColor="background1"/>
                <w:lang w:eastAsia="en-AU"/>
              </w:rPr>
            </w:pPr>
            <w:r w:rsidRPr="00885151">
              <w:rPr>
                <w:i/>
                <w:color w:val="FFFFFF" w:themeColor="background1"/>
                <w:lang w:eastAsia="en-AU"/>
              </w:rPr>
              <w:t>Start-u</w:t>
            </w:r>
            <w:r w:rsidR="00885151">
              <w:rPr>
                <w:i/>
                <w:color w:val="FFFFFF" w:themeColor="background1"/>
                <w:lang w:eastAsia="en-AU"/>
              </w:rPr>
              <w:t>p share of gross job creation, per cent</w:t>
            </w:r>
          </w:p>
        </w:tc>
        <w:tc>
          <w:tcPr>
            <w:tcW w:w="1297" w:type="dxa"/>
            <w:shd w:val="clear" w:color="auto" w:fill="22789A" w:themeFill="accent1"/>
            <w:vAlign w:val="bottom"/>
            <w:hideMark/>
          </w:tcPr>
          <w:p w:rsidR="00CD045A" w:rsidRPr="00885151" w:rsidRDefault="00CD045A" w:rsidP="00DB555F">
            <w:pPr>
              <w:pStyle w:val="Tabletext"/>
              <w:jc w:val="right"/>
              <w:rPr>
                <w:i/>
                <w:color w:val="FFFFFF" w:themeColor="background1"/>
                <w:lang w:eastAsia="en-AU"/>
              </w:rPr>
            </w:pPr>
            <w:r w:rsidRPr="00885151">
              <w:rPr>
                <w:i/>
                <w:color w:val="FFFFFF" w:themeColor="background1"/>
                <w:lang w:eastAsia="en-AU"/>
              </w:rPr>
              <w:t>Net job creation by surviving start-ups</w:t>
            </w:r>
            <w:r w:rsidR="00885151">
              <w:rPr>
                <w:i/>
                <w:color w:val="FFFFFF" w:themeColor="background1"/>
                <w:lang w:eastAsia="en-AU"/>
              </w:rPr>
              <w:t xml:space="preserve"> relative to total employment, per cent</w:t>
            </w:r>
          </w:p>
        </w:tc>
        <w:tc>
          <w:tcPr>
            <w:tcW w:w="1134" w:type="dxa"/>
            <w:shd w:val="clear" w:color="auto" w:fill="22789A" w:themeFill="accent1"/>
            <w:vAlign w:val="bottom"/>
            <w:hideMark/>
          </w:tcPr>
          <w:p w:rsidR="00CD045A" w:rsidRPr="00885151" w:rsidRDefault="004619D1" w:rsidP="004619D1">
            <w:pPr>
              <w:pStyle w:val="Tabletext"/>
              <w:jc w:val="right"/>
              <w:rPr>
                <w:i/>
                <w:color w:val="FFFFFF" w:themeColor="background1"/>
                <w:lang w:eastAsia="en-AU"/>
              </w:rPr>
            </w:pPr>
            <w:r>
              <w:rPr>
                <w:i/>
                <w:color w:val="FFFFFF" w:themeColor="background1"/>
                <w:lang w:eastAsia="en-AU"/>
              </w:rPr>
              <w:t>Start-up ratio</w:t>
            </w:r>
            <w:r>
              <w:rPr>
                <w:i/>
                <w:color w:val="FFFFFF" w:themeColor="background1"/>
                <w:lang w:eastAsia="en-AU"/>
              </w:rPr>
              <w:br/>
              <w:t>(s</w:t>
            </w:r>
            <w:r w:rsidR="00CD045A" w:rsidRPr="00885151">
              <w:rPr>
                <w:i/>
                <w:color w:val="FFFFFF" w:themeColor="background1"/>
                <w:lang w:eastAsia="en-AU"/>
              </w:rPr>
              <w:t>tart-ups per 1,000</w:t>
            </w:r>
            <w:r>
              <w:rPr>
                <w:i/>
                <w:color w:val="FFFFFF" w:themeColor="background1"/>
                <w:lang w:eastAsia="en-AU"/>
              </w:rPr>
              <w:br/>
            </w:r>
            <w:r w:rsidR="00CD045A" w:rsidRPr="00885151">
              <w:rPr>
                <w:i/>
                <w:color w:val="FFFFFF" w:themeColor="background1"/>
                <w:lang w:eastAsia="en-AU"/>
              </w:rPr>
              <w:t>employees</w:t>
            </w:r>
            <w:r>
              <w:rPr>
                <w:i/>
                <w:color w:val="FFFFFF" w:themeColor="background1"/>
                <w:lang w:eastAsia="en-AU"/>
              </w:rPr>
              <w:t>)</w:t>
            </w:r>
          </w:p>
        </w:tc>
        <w:tc>
          <w:tcPr>
            <w:tcW w:w="992" w:type="dxa"/>
            <w:shd w:val="clear" w:color="auto" w:fill="22789A" w:themeFill="accent1"/>
            <w:vAlign w:val="bottom"/>
            <w:hideMark/>
          </w:tcPr>
          <w:p w:rsidR="00CD045A" w:rsidRPr="00885151" w:rsidRDefault="00CD045A" w:rsidP="00DB555F">
            <w:pPr>
              <w:pStyle w:val="Tabletext"/>
              <w:jc w:val="right"/>
              <w:rPr>
                <w:i/>
                <w:color w:val="FFFFFF" w:themeColor="background1"/>
                <w:lang w:eastAsia="en-AU"/>
              </w:rPr>
            </w:pPr>
            <w:r w:rsidRPr="00885151">
              <w:rPr>
                <w:i/>
                <w:color w:val="FFFFFF" w:themeColor="background1"/>
                <w:lang w:eastAsia="en-AU"/>
              </w:rPr>
              <w:t>Start-up su</w:t>
            </w:r>
            <w:r w:rsidR="00885151">
              <w:rPr>
                <w:i/>
                <w:color w:val="FFFFFF" w:themeColor="background1"/>
                <w:lang w:eastAsia="en-AU"/>
              </w:rPr>
              <w:t>rvival rate after three years, per cent</w:t>
            </w:r>
          </w:p>
        </w:tc>
        <w:tc>
          <w:tcPr>
            <w:tcW w:w="1134" w:type="dxa"/>
            <w:shd w:val="clear" w:color="auto" w:fill="22789A" w:themeFill="accent1"/>
            <w:vAlign w:val="bottom"/>
            <w:hideMark/>
          </w:tcPr>
          <w:p w:rsidR="00CD045A" w:rsidRPr="00885151" w:rsidRDefault="00CD045A" w:rsidP="00DB555F">
            <w:pPr>
              <w:pStyle w:val="Tabletext"/>
              <w:jc w:val="right"/>
              <w:rPr>
                <w:i/>
                <w:color w:val="FFFFFF" w:themeColor="background1"/>
                <w:lang w:eastAsia="en-AU"/>
              </w:rPr>
            </w:pPr>
            <w:r w:rsidRPr="00885151">
              <w:rPr>
                <w:i/>
                <w:color w:val="FFFFFF" w:themeColor="background1"/>
                <w:lang w:eastAsia="en-AU"/>
              </w:rPr>
              <w:t>Average start-up size, employees</w:t>
            </w:r>
          </w:p>
        </w:tc>
        <w:tc>
          <w:tcPr>
            <w:tcW w:w="1418" w:type="dxa"/>
            <w:tcBorders>
              <w:right w:val="single" w:sz="4" w:space="0" w:color="595A5B" w:themeColor="text1"/>
            </w:tcBorders>
            <w:shd w:val="clear" w:color="auto" w:fill="22789A" w:themeFill="accent1"/>
            <w:vAlign w:val="bottom"/>
            <w:hideMark/>
          </w:tcPr>
          <w:p w:rsidR="00885151" w:rsidRDefault="00CD045A" w:rsidP="00DB555F">
            <w:pPr>
              <w:pStyle w:val="Tabletext"/>
              <w:jc w:val="right"/>
              <w:rPr>
                <w:i/>
                <w:color w:val="FFFFFF" w:themeColor="background1"/>
                <w:lang w:eastAsia="en-AU"/>
              </w:rPr>
            </w:pPr>
            <w:r w:rsidRPr="00885151">
              <w:rPr>
                <w:i/>
                <w:color w:val="FFFFFF" w:themeColor="background1"/>
                <w:lang w:eastAsia="en-AU"/>
              </w:rPr>
              <w:t>Average</w:t>
            </w:r>
            <w:r w:rsidR="00885151">
              <w:rPr>
                <w:i/>
                <w:color w:val="FFFFFF" w:themeColor="background1"/>
                <w:lang w:eastAsia="en-AU"/>
              </w:rPr>
              <w:t xml:space="preserve"> three-year post-entry growth, </w:t>
            </w:r>
          </w:p>
          <w:p w:rsidR="00CD045A" w:rsidRPr="00885151" w:rsidRDefault="00885151" w:rsidP="00DB555F">
            <w:pPr>
              <w:pStyle w:val="Tabletext"/>
              <w:jc w:val="right"/>
              <w:rPr>
                <w:i/>
                <w:color w:val="FFFFFF" w:themeColor="background1"/>
                <w:lang w:eastAsia="en-AU"/>
              </w:rPr>
            </w:pPr>
            <w:r>
              <w:rPr>
                <w:i/>
                <w:color w:val="FFFFFF" w:themeColor="background1"/>
                <w:lang w:eastAsia="en-AU"/>
              </w:rPr>
              <w:t>per cent</w:t>
            </w:r>
          </w:p>
        </w:tc>
        <w:tc>
          <w:tcPr>
            <w:tcW w:w="1134" w:type="dxa"/>
            <w:tcBorders>
              <w:left w:val="single" w:sz="4" w:space="0" w:color="595A5B" w:themeColor="text1"/>
            </w:tcBorders>
            <w:shd w:val="clear" w:color="auto" w:fill="22789A" w:themeFill="accent1"/>
            <w:vAlign w:val="bottom"/>
            <w:hideMark/>
          </w:tcPr>
          <w:p w:rsidR="00CD045A" w:rsidRPr="00885151" w:rsidRDefault="00CD045A" w:rsidP="00DB555F">
            <w:pPr>
              <w:pStyle w:val="Tabletext"/>
              <w:jc w:val="right"/>
              <w:rPr>
                <w:i/>
                <w:color w:val="FFFFFF" w:themeColor="background1"/>
                <w:lang w:eastAsia="en-AU"/>
              </w:rPr>
            </w:pPr>
            <w:r w:rsidRPr="00885151">
              <w:rPr>
                <w:i/>
                <w:color w:val="FFFFFF" w:themeColor="background1"/>
                <w:lang w:eastAsia="en-AU"/>
              </w:rPr>
              <w:t>Micro-start-up s</w:t>
            </w:r>
            <w:r w:rsidR="00885151">
              <w:rPr>
                <w:i/>
                <w:color w:val="FFFFFF" w:themeColor="background1"/>
                <w:lang w:eastAsia="en-AU"/>
              </w:rPr>
              <w:t>urvival rate after five years, per cent</w:t>
            </w:r>
          </w:p>
        </w:tc>
        <w:tc>
          <w:tcPr>
            <w:tcW w:w="1417" w:type="dxa"/>
            <w:shd w:val="clear" w:color="auto" w:fill="22789A" w:themeFill="accent1"/>
            <w:vAlign w:val="bottom"/>
            <w:hideMark/>
          </w:tcPr>
          <w:p w:rsidR="00CD045A" w:rsidRPr="00885151" w:rsidRDefault="00CD045A" w:rsidP="00DB555F">
            <w:pPr>
              <w:pStyle w:val="Tabletext"/>
              <w:jc w:val="right"/>
              <w:rPr>
                <w:i/>
                <w:color w:val="FFFFFF" w:themeColor="background1"/>
                <w:lang w:eastAsia="en-AU"/>
              </w:rPr>
            </w:pPr>
            <w:r w:rsidRPr="00885151">
              <w:rPr>
                <w:i/>
                <w:color w:val="FFFFFF" w:themeColor="background1"/>
                <w:lang w:eastAsia="en-AU"/>
              </w:rPr>
              <w:t>Job creation by mic</w:t>
            </w:r>
            <w:r w:rsidR="00885151">
              <w:rPr>
                <w:i/>
                <w:color w:val="FFFFFF" w:themeColor="background1"/>
                <w:lang w:eastAsia="en-AU"/>
              </w:rPr>
              <w:t>ro-start-ups after five years, per cent</w:t>
            </w:r>
          </w:p>
        </w:tc>
      </w:tr>
      <w:tr w:rsidR="00CD045A" w:rsidRPr="0012621E" w:rsidTr="00997D7E">
        <w:trPr>
          <w:trHeight w:val="420"/>
        </w:trPr>
        <w:tc>
          <w:tcPr>
            <w:tcW w:w="4410" w:type="dxa"/>
            <w:shd w:val="clear" w:color="auto" w:fill="CAE7F3" w:themeFill="accent1" w:themeFillTint="33"/>
            <w:noWrap/>
            <w:vAlign w:val="bottom"/>
            <w:hideMark/>
          </w:tcPr>
          <w:p w:rsidR="00CD045A" w:rsidRPr="0012621E" w:rsidRDefault="00CD045A" w:rsidP="00DB555F">
            <w:pPr>
              <w:pStyle w:val="Tabletext"/>
              <w:jc w:val="right"/>
              <w:rPr>
                <w:i/>
                <w:lang w:eastAsia="en-AU"/>
              </w:rPr>
            </w:pPr>
            <w:r w:rsidRPr="0012621E">
              <w:rPr>
                <w:i/>
                <w:lang w:eastAsia="en-AU"/>
              </w:rPr>
              <w:t>AGRICULTURE, FORESTRY AND FISHING</w:t>
            </w:r>
          </w:p>
        </w:tc>
        <w:tc>
          <w:tcPr>
            <w:tcW w:w="1275" w:type="dxa"/>
            <w:gridSpan w:val="2"/>
            <w:shd w:val="clear" w:color="auto" w:fill="CAE7F3" w:themeFill="accent1" w:themeFillTint="33"/>
            <w:vAlign w:val="bottom"/>
            <w:hideMark/>
          </w:tcPr>
          <w:p w:rsidR="00CD045A" w:rsidRPr="0012621E" w:rsidRDefault="00CD045A" w:rsidP="00DB555F">
            <w:pPr>
              <w:pStyle w:val="Tabletext"/>
              <w:rPr>
                <w:i/>
                <w:lang w:eastAsia="en-AU"/>
              </w:rPr>
            </w:pPr>
          </w:p>
        </w:tc>
        <w:tc>
          <w:tcPr>
            <w:tcW w:w="971" w:type="dxa"/>
            <w:shd w:val="clear" w:color="auto" w:fill="CAE7F3" w:themeFill="accent1" w:themeFillTint="33"/>
            <w:noWrap/>
            <w:vAlign w:val="bottom"/>
            <w:hideMark/>
          </w:tcPr>
          <w:p w:rsidR="00CD045A" w:rsidRPr="0012621E" w:rsidRDefault="00CD045A" w:rsidP="00DB555F">
            <w:pPr>
              <w:pStyle w:val="Tabletext"/>
              <w:rPr>
                <w:i/>
                <w:lang w:eastAsia="en-AU"/>
              </w:rPr>
            </w:pPr>
          </w:p>
        </w:tc>
        <w:tc>
          <w:tcPr>
            <w:tcW w:w="1297" w:type="dxa"/>
            <w:shd w:val="clear" w:color="auto" w:fill="CAE7F3" w:themeFill="accent1" w:themeFillTint="33"/>
            <w:vAlign w:val="bottom"/>
            <w:hideMark/>
          </w:tcPr>
          <w:p w:rsidR="00CD045A" w:rsidRPr="0012621E" w:rsidRDefault="00CD045A" w:rsidP="00DB555F">
            <w:pPr>
              <w:pStyle w:val="Tabletext"/>
              <w:rPr>
                <w:i/>
                <w:lang w:eastAsia="en-AU"/>
              </w:rPr>
            </w:pPr>
          </w:p>
        </w:tc>
        <w:tc>
          <w:tcPr>
            <w:tcW w:w="1134" w:type="dxa"/>
            <w:shd w:val="clear" w:color="auto" w:fill="CAE7F3" w:themeFill="accent1" w:themeFillTint="33"/>
            <w:noWrap/>
            <w:vAlign w:val="bottom"/>
            <w:hideMark/>
          </w:tcPr>
          <w:p w:rsidR="00CD045A" w:rsidRPr="0012621E" w:rsidRDefault="00CD045A" w:rsidP="00DB555F">
            <w:pPr>
              <w:pStyle w:val="Tabletext"/>
              <w:rPr>
                <w:i/>
                <w:lang w:eastAsia="en-AU"/>
              </w:rPr>
            </w:pPr>
          </w:p>
        </w:tc>
        <w:tc>
          <w:tcPr>
            <w:tcW w:w="992" w:type="dxa"/>
            <w:shd w:val="clear" w:color="auto" w:fill="CAE7F3" w:themeFill="accent1" w:themeFillTint="33"/>
            <w:vAlign w:val="bottom"/>
            <w:hideMark/>
          </w:tcPr>
          <w:p w:rsidR="00CD045A" w:rsidRPr="0012621E" w:rsidRDefault="00CD045A" w:rsidP="00DB555F">
            <w:pPr>
              <w:pStyle w:val="Tabletext"/>
              <w:rPr>
                <w:i/>
                <w:lang w:eastAsia="en-AU"/>
              </w:rPr>
            </w:pPr>
          </w:p>
        </w:tc>
        <w:tc>
          <w:tcPr>
            <w:tcW w:w="1134" w:type="dxa"/>
            <w:shd w:val="clear" w:color="auto" w:fill="CAE7F3" w:themeFill="accent1" w:themeFillTint="33"/>
            <w:vAlign w:val="bottom"/>
            <w:hideMark/>
          </w:tcPr>
          <w:p w:rsidR="00CD045A" w:rsidRPr="0012621E" w:rsidRDefault="00CD045A" w:rsidP="00DB555F">
            <w:pPr>
              <w:pStyle w:val="Tabletext"/>
              <w:rPr>
                <w:i/>
                <w:lang w:eastAsia="en-AU"/>
              </w:rPr>
            </w:pPr>
          </w:p>
        </w:tc>
        <w:tc>
          <w:tcPr>
            <w:tcW w:w="1418" w:type="dxa"/>
            <w:tcBorders>
              <w:right w:val="single" w:sz="4" w:space="0" w:color="595A5B" w:themeColor="text1"/>
            </w:tcBorders>
            <w:shd w:val="clear" w:color="auto" w:fill="CAE7F3" w:themeFill="accent1" w:themeFillTint="33"/>
            <w:vAlign w:val="bottom"/>
            <w:hideMark/>
          </w:tcPr>
          <w:p w:rsidR="00CD045A" w:rsidRPr="0012621E" w:rsidRDefault="00CD045A" w:rsidP="00DB555F">
            <w:pPr>
              <w:pStyle w:val="Tabletext"/>
              <w:rPr>
                <w:i/>
                <w:lang w:eastAsia="en-AU"/>
              </w:rPr>
            </w:pPr>
          </w:p>
        </w:tc>
        <w:tc>
          <w:tcPr>
            <w:tcW w:w="1134" w:type="dxa"/>
            <w:tcBorders>
              <w:left w:val="single" w:sz="4" w:space="0" w:color="595A5B" w:themeColor="text1"/>
            </w:tcBorders>
            <w:shd w:val="clear" w:color="auto" w:fill="CAE7F3" w:themeFill="accent1" w:themeFillTint="33"/>
            <w:vAlign w:val="bottom"/>
            <w:hideMark/>
          </w:tcPr>
          <w:p w:rsidR="00CD045A" w:rsidRPr="0012621E" w:rsidRDefault="00CD045A" w:rsidP="00DB555F">
            <w:pPr>
              <w:pStyle w:val="Tabletext"/>
              <w:rPr>
                <w:i/>
                <w:lang w:eastAsia="en-AU"/>
              </w:rPr>
            </w:pPr>
          </w:p>
        </w:tc>
        <w:tc>
          <w:tcPr>
            <w:tcW w:w="1417" w:type="dxa"/>
            <w:shd w:val="clear" w:color="auto" w:fill="CAE7F3" w:themeFill="accent1" w:themeFillTint="33"/>
            <w:vAlign w:val="bottom"/>
            <w:hideMark/>
          </w:tcPr>
          <w:p w:rsidR="00CD045A" w:rsidRPr="0012621E" w:rsidRDefault="00CD045A" w:rsidP="00DB555F">
            <w:pPr>
              <w:pStyle w:val="Tabletext"/>
              <w:rPr>
                <w:i/>
                <w:lang w:eastAsia="en-AU"/>
              </w:rPr>
            </w:pPr>
          </w:p>
        </w:tc>
      </w:tr>
      <w:tr w:rsidR="00CD045A" w:rsidRPr="002157A3" w:rsidTr="00997D7E">
        <w:trPr>
          <w:trHeight w:val="264"/>
        </w:trPr>
        <w:tc>
          <w:tcPr>
            <w:tcW w:w="4410" w:type="dxa"/>
            <w:shd w:val="clear" w:color="auto" w:fill="CAE7F3" w:themeFill="accent1" w:themeFillTint="33"/>
            <w:noWrap/>
            <w:vAlign w:val="bottom"/>
            <w:hideMark/>
          </w:tcPr>
          <w:p w:rsidR="00CD045A" w:rsidRPr="002157A3" w:rsidRDefault="00CD045A" w:rsidP="00DB555F">
            <w:pPr>
              <w:pStyle w:val="Tabletext"/>
              <w:ind w:left="333"/>
              <w:jc w:val="right"/>
              <w:rPr>
                <w:lang w:eastAsia="en-AU"/>
              </w:rPr>
            </w:pPr>
            <w:r w:rsidRPr="002157A3">
              <w:rPr>
                <w:lang w:eastAsia="en-AU"/>
              </w:rPr>
              <w:t xml:space="preserve">Agriculture </w:t>
            </w:r>
          </w:p>
        </w:tc>
        <w:tc>
          <w:tcPr>
            <w:tcW w:w="1275" w:type="dxa"/>
            <w:gridSpan w:val="2"/>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3.54</w:t>
            </w:r>
          </w:p>
        </w:tc>
        <w:tc>
          <w:tcPr>
            <w:tcW w:w="971"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16.4</w:t>
            </w:r>
          </w:p>
        </w:tc>
        <w:tc>
          <w:tcPr>
            <w:tcW w:w="1297"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3.99</w:t>
            </w:r>
          </w:p>
        </w:tc>
        <w:tc>
          <w:tcPr>
            <w:tcW w:w="1134"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20.08</w:t>
            </w:r>
          </w:p>
        </w:tc>
        <w:tc>
          <w:tcPr>
            <w:tcW w:w="992"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59.7</w:t>
            </w:r>
          </w:p>
        </w:tc>
        <w:tc>
          <w:tcPr>
            <w:tcW w:w="1134"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2.69</w:t>
            </w:r>
          </w:p>
        </w:tc>
        <w:tc>
          <w:tcPr>
            <w:tcW w:w="1418" w:type="dxa"/>
            <w:tcBorders>
              <w:right w:val="single" w:sz="4" w:space="0" w:color="595A5B" w:themeColor="text1"/>
            </w:tcBorders>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102.6</w:t>
            </w:r>
          </w:p>
        </w:tc>
        <w:tc>
          <w:tcPr>
            <w:tcW w:w="1134" w:type="dxa"/>
            <w:tcBorders>
              <w:left w:val="single" w:sz="4" w:space="0" w:color="595A5B" w:themeColor="text1"/>
            </w:tcBorders>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49.0</w:t>
            </w:r>
          </w:p>
        </w:tc>
        <w:tc>
          <w:tcPr>
            <w:tcW w:w="1417"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114.6</w:t>
            </w:r>
          </w:p>
        </w:tc>
      </w:tr>
      <w:tr w:rsidR="00CD045A" w:rsidRPr="002157A3" w:rsidTr="00997D7E">
        <w:trPr>
          <w:trHeight w:val="264"/>
        </w:trPr>
        <w:tc>
          <w:tcPr>
            <w:tcW w:w="4410" w:type="dxa"/>
            <w:shd w:val="clear" w:color="auto" w:fill="CAE7F3" w:themeFill="accent1" w:themeFillTint="33"/>
            <w:noWrap/>
            <w:vAlign w:val="bottom"/>
            <w:hideMark/>
          </w:tcPr>
          <w:p w:rsidR="00CD045A" w:rsidRPr="002157A3" w:rsidRDefault="00CD045A" w:rsidP="00DB555F">
            <w:pPr>
              <w:pStyle w:val="Tabletext"/>
              <w:ind w:left="333"/>
              <w:jc w:val="right"/>
              <w:rPr>
                <w:lang w:eastAsia="en-AU"/>
              </w:rPr>
            </w:pPr>
            <w:r w:rsidRPr="002157A3">
              <w:rPr>
                <w:lang w:eastAsia="en-AU"/>
              </w:rPr>
              <w:t xml:space="preserve">Aquaculture </w:t>
            </w:r>
          </w:p>
        </w:tc>
        <w:tc>
          <w:tcPr>
            <w:tcW w:w="1275" w:type="dxa"/>
            <w:gridSpan w:val="2"/>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2.22</w:t>
            </w:r>
          </w:p>
        </w:tc>
        <w:tc>
          <w:tcPr>
            <w:tcW w:w="971"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15.4</w:t>
            </w:r>
          </w:p>
        </w:tc>
        <w:tc>
          <w:tcPr>
            <w:tcW w:w="1297"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2.78</w:t>
            </w:r>
          </w:p>
        </w:tc>
        <w:tc>
          <w:tcPr>
            <w:tcW w:w="1134"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10.68</w:t>
            </w:r>
          </w:p>
        </w:tc>
        <w:tc>
          <w:tcPr>
            <w:tcW w:w="992"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53.4</w:t>
            </w:r>
          </w:p>
        </w:tc>
        <w:tc>
          <w:tcPr>
            <w:tcW w:w="1134"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2.86</w:t>
            </w:r>
          </w:p>
        </w:tc>
        <w:tc>
          <w:tcPr>
            <w:tcW w:w="1418" w:type="dxa"/>
            <w:tcBorders>
              <w:right w:val="single" w:sz="4" w:space="0" w:color="595A5B" w:themeColor="text1"/>
            </w:tcBorders>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109.8</w:t>
            </w:r>
          </w:p>
        </w:tc>
        <w:tc>
          <w:tcPr>
            <w:tcW w:w="1134" w:type="dxa"/>
            <w:tcBorders>
              <w:left w:val="single" w:sz="4" w:space="0" w:color="595A5B" w:themeColor="text1"/>
            </w:tcBorders>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43.7</w:t>
            </w:r>
          </w:p>
        </w:tc>
        <w:tc>
          <w:tcPr>
            <w:tcW w:w="1417"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134.9</w:t>
            </w:r>
          </w:p>
        </w:tc>
      </w:tr>
      <w:tr w:rsidR="00CD045A" w:rsidRPr="002157A3" w:rsidTr="00997D7E">
        <w:trPr>
          <w:trHeight w:val="264"/>
        </w:trPr>
        <w:tc>
          <w:tcPr>
            <w:tcW w:w="4410" w:type="dxa"/>
            <w:shd w:val="clear" w:color="auto" w:fill="CAE7F3" w:themeFill="accent1" w:themeFillTint="33"/>
            <w:noWrap/>
            <w:vAlign w:val="bottom"/>
            <w:hideMark/>
          </w:tcPr>
          <w:p w:rsidR="00CD045A" w:rsidRPr="002157A3" w:rsidRDefault="00CD045A" w:rsidP="00DB555F">
            <w:pPr>
              <w:pStyle w:val="Tabletext"/>
              <w:ind w:left="333"/>
              <w:jc w:val="right"/>
              <w:rPr>
                <w:lang w:eastAsia="en-AU"/>
              </w:rPr>
            </w:pPr>
            <w:r w:rsidRPr="002157A3">
              <w:rPr>
                <w:lang w:eastAsia="en-AU"/>
              </w:rPr>
              <w:t xml:space="preserve">Forestry and Logging </w:t>
            </w:r>
          </w:p>
        </w:tc>
        <w:tc>
          <w:tcPr>
            <w:tcW w:w="1275" w:type="dxa"/>
            <w:gridSpan w:val="2"/>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3.74</w:t>
            </w:r>
          </w:p>
        </w:tc>
        <w:tc>
          <w:tcPr>
            <w:tcW w:w="971"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22.3</w:t>
            </w:r>
          </w:p>
        </w:tc>
        <w:tc>
          <w:tcPr>
            <w:tcW w:w="1297"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5.98</w:t>
            </w:r>
          </w:p>
        </w:tc>
        <w:tc>
          <w:tcPr>
            <w:tcW w:w="1134"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25.20</w:t>
            </w:r>
          </w:p>
        </w:tc>
        <w:tc>
          <w:tcPr>
            <w:tcW w:w="992"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41.6</w:t>
            </w:r>
          </w:p>
        </w:tc>
        <w:tc>
          <w:tcPr>
            <w:tcW w:w="1134"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3.22</w:t>
            </w:r>
          </w:p>
        </w:tc>
        <w:tc>
          <w:tcPr>
            <w:tcW w:w="1418" w:type="dxa"/>
            <w:tcBorders>
              <w:right w:val="single" w:sz="4" w:space="0" w:color="595A5B" w:themeColor="text1"/>
            </w:tcBorders>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144.5</w:t>
            </w:r>
          </w:p>
        </w:tc>
        <w:tc>
          <w:tcPr>
            <w:tcW w:w="1134" w:type="dxa"/>
            <w:tcBorders>
              <w:left w:val="single" w:sz="4" w:space="0" w:color="595A5B" w:themeColor="text1"/>
            </w:tcBorders>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32.3</w:t>
            </w:r>
          </w:p>
        </w:tc>
        <w:tc>
          <w:tcPr>
            <w:tcW w:w="1417"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152.7</w:t>
            </w:r>
          </w:p>
        </w:tc>
      </w:tr>
      <w:tr w:rsidR="00CD045A" w:rsidRPr="002157A3" w:rsidTr="00997D7E">
        <w:trPr>
          <w:trHeight w:val="264"/>
        </w:trPr>
        <w:tc>
          <w:tcPr>
            <w:tcW w:w="4410" w:type="dxa"/>
            <w:shd w:val="clear" w:color="auto" w:fill="CAE7F3" w:themeFill="accent1" w:themeFillTint="33"/>
            <w:noWrap/>
            <w:vAlign w:val="bottom"/>
            <w:hideMark/>
          </w:tcPr>
          <w:p w:rsidR="00CD045A" w:rsidRPr="002157A3" w:rsidRDefault="00CD045A" w:rsidP="00DB555F">
            <w:pPr>
              <w:pStyle w:val="Tabletext"/>
              <w:ind w:left="333"/>
              <w:jc w:val="right"/>
              <w:rPr>
                <w:lang w:eastAsia="en-AU"/>
              </w:rPr>
            </w:pPr>
            <w:r w:rsidRPr="002157A3">
              <w:rPr>
                <w:lang w:eastAsia="en-AU"/>
              </w:rPr>
              <w:t xml:space="preserve">Fishing, Hunting and Trapping </w:t>
            </w:r>
          </w:p>
        </w:tc>
        <w:tc>
          <w:tcPr>
            <w:tcW w:w="1275" w:type="dxa"/>
            <w:gridSpan w:val="2"/>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3.38</w:t>
            </w:r>
          </w:p>
        </w:tc>
        <w:tc>
          <w:tcPr>
            <w:tcW w:w="971"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15.7</w:t>
            </w:r>
          </w:p>
        </w:tc>
        <w:tc>
          <w:tcPr>
            <w:tcW w:w="1297"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3.41</w:t>
            </w:r>
          </w:p>
        </w:tc>
        <w:tc>
          <w:tcPr>
            <w:tcW w:w="1134"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45.73</w:t>
            </w:r>
          </w:p>
        </w:tc>
        <w:tc>
          <w:tcPr>
            <w:tcW w:w="992"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47.0</w:t>
            </w:r>
          </w:p>
        </w:tc>
        <w:tc>
          <w:tcPr>
            <w:tcW w:w="1134"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1.17</w:t>
            </w:r>
          </w:p>
        </w:tc>
        <w:tc>
          <w:tcPr>
            <w:tcW w:w="1418" w:type="dxa"/>
            <w:tcBorders>
              <w:right w:val="single" w:sz="4" w:space="0" w:color="595A5B" w:themeColor="text1"/>
            </w:tcBorders>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92.5</w:t>
            </w:r>
          </w:p>
        </w:tc>
        <w:tc>
          <w:tcPr>
            <w:tcW w:w="1134" w:type="dxa"/>
            <w:tcBorders>
              <w:left w:val="single" w:sz="4" w:space="0" w:color="595A5B" w:themeColor="text1"/>
            </w:tcBorders>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35.2</w:t>
            </w:r>
          </w:p>
        </w:tc>
        <w:tc>
          <w:tcPr>
            <w:tcW w:w="1417"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88.0</w:t>
            </w:r>
          </w:p>
        </w:tc>
      </w:tr>
      <w:tr w:rsidR="00CD045A" w:rsidRPr="002157A3" w:rsidTr="00997D7E">
        <w:trPr>
          <w:trHeight w:val="264"/>
        </w:trPr>
        <w:tc>
          <w:tcPr>
            <w:tcW w:w="4410" w:type="dxa"/>
            <w:shd w:val="clear" w:color="auto" w:fill="CAE7F3" w:themeFill="accent1" w:themeFillTint="33"/>
            <w:noWrap/>
            <w:vAlign w:val="bottom"/>
            <w:hideMark/>
          </w:tcPr>
          <w:p w:rsidR="00CD045A" w:rsidRPr="002157A3" w:rsidRDefault="00CD045A" w:rsidP="00DB555F">
            <w:pPr>
              <w:pStyle w:val="Tabletext"/>
              <w:ind w:left="333"/>
              <w:jc w:val="right"/>
              <w:rPr>
                <w:lang w:eastAsia="en-AU"/>
              </w:rPr>
            </w:pPr>
            <w:r w:rsidRPr="002157A3">
              <w:rPr>
                <w:lang w:eastAsia="en-AU"/>
              </w:rPr>
              <w:t xml:space="preserve">Agriculture, Forestry and Fishing Support Services </w:t>
            </w:r>
          </w:p>
        </w:tc>
        <w:tc>
          <w:tcPr>
            <w:tcW w:w="1275" w:type="dxa"/>
            <w:gridSpan w:val="2"/>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7.73</w:t>
            </w:r>
          </w:p>
        </w:tc>
        <w:tc>
          <w:tcPr>
            <w:tcW w:w="971"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30.8</w:t>
            </w:r>
          </w:p>
        </w:tc>
        <w:tc>
          <w:tcPr>
            <w:tcW w:w="1297"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8.20</w:t>
            </w:r>
          </w:p>
        </w:tc>
        <w:tc>
          <w:tcPr>
            <w:tcW w:w="1134"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18.86</w:t>
            </w:r>
          </w:p>
        </w:tc>
        <w:tc>
          <w:tcPr>
            <w:tcW w:w="992"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57.4</w:t>
            </w:r>
          </w:p>
        </w:tc>
        <w:tc>
          <w:tcPr>
            <w:tcW w:w="1134"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5.45</w:t>
            </w:r>
          </w:p>
        </w:tc>
        <w:tc>
          <w:tcPr>
            <w:tcW w:w="1418" w:type="dxa"/>
            <w:tcBorders>
              <w:right w:val="single" w:sz="4" w:space="0" w:color="595A5B" w:themeColor="text1"/>
            </w:tcBorders>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107.5</w:t>
            </w:r>
          </w:p>
        </w:tc>
        <w:tc>
          <w:tcPr>
            <w:tcW w:w="1134" w:type="dxa"/>
            <w:tcBorders>
              <w:left w:val="single" w:sz="4" w:space="0" w:color="595A5B" w:themeColor="text1"/>
            </w:tcBorders>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44.8</w:t>
            </w:r>
          </w:p>
        </w:tc>
        <w:tc>
          <w:tcPr>
            <w:tcW w:w="1417"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168.8</w:t>
            </w:r>
          </w:p>
        </w:tc>
      </w:tr>
      <w:tr w:rsidR="00CD045A" w:rsidRPr="0012621E" w:rsidTr="00997D7E">
        <w:trPr>
          <w:trHeight w:val="264"/>
        </w:trPr>
        <w:tc>
          <w:tcPr>
            <w:tcW w:w="4410" w:type="dxa"/>
            <w:shd w:val="clear" w:color="auto" w:fill="CAE7F3" w:themeFill="accent1" w:themeFillTint="33"/>
            <w:noWrap/>
            <w:vAlign w:val="bottom"/>
            <w:hideMark/>
          </w:tcPr>
          <w:p w:rsidR="00CD045A" w:rsidRPr="0012621E" w:rsidRDefault="00CD045A" w:rsidP="00DB555F">
            <w:pPr>
              <w:pStyle w:val="Tabletext"/>
              <w:jc w:val="right"/>
              <w:rPr>
                <w:i/>
                <w:lang w:eastAsia="en-AU"/>
              </w:rPr>
            </w:pPr>
            <w:r w:rsidRPr="0012621E">
              <w:rPr>
                <w:i/>
                <w:lang w:eastAsia="en-AU"/>
              </w:rPr>
              <w:t xml:space="preserve">MINING </w:t>
            </w:r>
          </w:p>
        </w:tc>
        <w:tc>
          <w:tcPr>
            <w:tcW w:w="1275" w:type="dxa"/>
            <w:gridSpan w:val="2"/>
            <w:shd w:val="clear" w:color="auto" w:fill="CAE7F3" w:themeFill="accent1" w:themeFillTint="33"/>
            <w:noWrap/>
            <w:vAlign w:val="bottom"/>
            <w:hideMark/>
          </w:tcPr>
          <w:p w:rsidR="00CD045A" w:rsidRPr="0012621E" w:rsidRDefault="00CD045A" w:rsidP="00DB555F">
            <w:pPr>
              <w:pStyle w:val="Tabletext"/>
              <w:jc w:val="right"/>
              <w:rPr>
                <w:i/>
                <w:lang w:eastAsia="en-AU"/>
              </w:rPr>
            </w:pPr>
          </w:p>
        </w:tc>
        <w:tc>
          <w:tcPr>
            <w:tcW w:w="971" w:type="dxa"/>
            <w:shd w:val="clear" w:color="auto" w:fill="CAE7F3" w:themeFill="accent1" w:themeFillTint="33"/>
            <w:noWrap/>
            <w:vAlign w:val="bottom"/>
            <w:hideMark/>
          </w:tcPr>
          <w:p w:rsidR="00CD045A" w:rsidRPr="0012621E" w:rsidRDefault="00CD045A" w:rsidP="00DB555F">
            <w:pPr>
              <w:pStyle w:val="Tabletext"/>
              <w:jc w:val="right"/>
              <w:rPr>
                <w:i/>
                <w:lang w:eastAsia="en-AU"/>
              </w:rPr>
            </w:pPr>
          </w:p>
        </w:tc>
        <w:tc>
          <w:tcPr>
            <w:tcW w:w="1297" w:type="dxa"/>
            <w:shd w:val="clear" w:color="auto" w:fill="CAE7F3" w:themeFill="accent1" w:themeFillTint="33"/>
            <w:noWrap/>
            <w:vAlign w:val="bottom"/>
            <w:hideMark/>
          </w:tcPr>
          <w:p w:rsidR="00CD045A" w:rsidRPr="0012621E" w:rsidRDefault="00CD045A" w:rsidP="00DB555F">
            <w:pPr>
              <w:pStyle w:val="Tabletext"/>
              <w:jc w:val="right"/>
              <w:rPr>
                <w:i/>
                <w:lang w:eastAsia="en-AU"/>
              </w:rPr>
            </w:pPr>
          </w:p>
        </w:tc>
        <w:tc>
          <w:tcPr>
            <w:tcW w:w="1134" w:type="dxa"/>
            <w:shd w:val="clear" w:color="auto" w:fill="CAE7F3" w:themeFill="accent1" w:themeFillTint="33"/>
            <w:noWrap/>
            <w:vAlign w:val="bottom"/>
            <w:hideMark/>
          </w:tcPr>
          <w:p w:rsidR="00CD045A" w:rsidRPr="0012621E" w:rsidRDefault="00CD045A" w:rsidP="00DB555F">
            <w:pPr>
              <w:pStyle w:val="Tabletext"/>
              <w:jc w:val="right"/>
              <w:rPr>
                <w:i/>
                <w:lang w:eastAsia="en-AU"/>
              </w:rPr>
            </w:pPr>
          </w:p>
        </w:tc>
        <w:tc>
          <w:tcPr>
            <w:tcW w:w="992" w:type="dxa"/>
            <w:shd w:val="clear" w:color="auto" w:fill="CAE7F3" w:themeFill="accent1" w:themeFillTint="33"/>
            <w:noWrap/>
            <w:vAlign w:val="bottom"/>
            <w:hideMark/>
          </w:tcPr>
          <w:p w:rsidR="00CD045A" w:rsidRPr="0012621E" w:rsidRDefault="00CD045A" w:rsidP="00DB555F">
            <w:pPr>
              <w:pStyle w:val="Tabletext"/>
              <w:jc w:val="right"/>
              <w:rPr>
                <w:i/>
                <w:lang w:eastAsia="en-AU"/>
              </w:rPr>
            </w:pPr>
          </w:p>
        </w:tc>
        <w:tc>
          <w:tcPr>
            <w:tcW w:w="1134" w:type="dxa"/>
            <w:shd w:val="clear" w:color="auto" w:fill="CAE7F3" w:themeFill="accent1" w:themeFillTint="33"/>
            <w:noWrap/>
            <w:vAlign w:val="bottom"/>
            <w:hideMark/>
          </w:tcPr>
          <w:p w:rsidR="00CD045A" w:rsidRPr="0012621E" w:rsidRDefault="00CD045A" w:rsidP="00DB555F">
            <w:pPr>
              <w:pStyle w:val="Tabletext"/>
              <w:jc w:val="right"/>
              <w:rPr>
                <w:i/>
                <w:lang w:eastAsia="en-AU"/>
              </w:rPr>
            </w:pPr>
          </w:p>
        </w:tc>
        <w:tc>
          <w:tcPr>
            <w:tcW w:w="1418" w:type="dxa"/>
            <w:tcBorders>
              <w:right w:val="single" w:sz="4" w:space="0" w:color="595A5B" w:themeColor="text1"/>
            </w:tcBorders>
            <w:shd w:val="clear" w:color="auto" w:fill="CAE7F3" w:themeFill="accent1" w:themeFillTint="33"/>
            <w:noWrap/>
            <w:vAlign w:val="bottom"/>
            <w:hideMark/>
          </w:tcPr>
          <w:p w:rsidR="00CD045A" w:rsidRPr="0012621E" w:rsidRDefault="00CD045A" w:rsidP="00DB555F">
            <w:pPr>
              <w:pStyle w:val="Tabletext"/>
              <w:jc w:val="right"/>
              <w:rPr>
                <w:i/>
                <w:lang w:eastAsia="en-AU"/>
              </w:rPr>
            </w:pPr>
          </w:p>
        </w:tc>
        <w:tc>
          <w:tcPr>
            <w:tcW w:w="1134" w:type="dxa"/>
            <w:tcBorders>
              <w:left w:val="single" w:sz="4" w:space="0" w:color="595A5B" w:themeColor="text1"/>
            </w:tcBorders>
            <w:shd w:val="clear" w:color="auto" w:fill="CAE7F3" w:themeFill="accent1" w:themeFillTint="33"/>
            <w:noWrap/>
            <w:vAlign w:val="bottom"/>
            <w:hideMark/>
          </w:tcPr>
          <w:p w:rsidR="00CD045A" w:rsidRPr="0012621E" w:rsidRDefault="00CD045A" w:rsidP="00DB555F">
            <w:pPr>
              <w:pStyle w:val="Tabletext"/>
              <w:jc w:val="right"/>
              <w:rPr>
                <w:i/>
                <w:lang w:eastAsia="en-AU"/>
              </w:rPr>
            </w:pPr>
          </w:p>
        </w:tc>
        <w:tc>
          <w:tcPr>
            <w:tcW w:w="1417" w:type="dxa"/>
            <w:shd w:val="clear" w:color="auto" w:fill="CAE7F3" w:themeFill="accent1" w:themeFillTint="33"/>
            <w:noWrap/>
            <w:vAlign w:val="bottom"/>
            <w:hideMark/>
          </w:tcPr>
          <w:p w:rsidR="00CD045A" w:rsidRPr="0012621E" w:rsidRDefault="00CD045A" w:rsidP="00DB555F">
            <w:pPr>
              <w:pStyle w:val="Tabletext"/>
              <w:jc w:val="right"/>
              <w:rPr>
                <w:i/>
                <w:lang w:eastAsia="en-AU"/>
              </w:rPr>
            </w:pPr>
          </w:p>
        </w:tc>
      </w:tr>
      <w:tr w:rsidR="00CD045A" w:rsidRPr="002157A3" w:rsidTr="00997D7E">
        <w:trPr>
          <w:trHeight w:val="264"/>
        </w:trPr>
        <w:tc>
          <w:tcPr>
            <w:tcW w:w="4410" w:type="dxa"/>
            <w:shd w:val="clear" w:color="auto" w:fill="CAE7F3" w:themeFill="accent1" w:themeFillTint="33"/>
            <w:noWrap/>
            <w:vAlign w:val="bottom"/>
            <w:hideMark/>
          </w:tcPr>
          <w:p w:rsidR="00CD045A" w:rsidRPr="002157A3" w:rsidRDefault="00CD045A" w:rsidP="00DB555F">
            <w:pPr>
              <w:pStyle w:val="Tabletext"/>
              <w:ind w:left="333"/>
              <w:jc w:val="right"/>
              <w:rPr>
                <w:lang w:eastAsia="en-AU"/>
              </w:rPr>
            </w:pPr>
            <w:r w:rsidRPr="002157A3">
              <w:rPr>
                <w:lang w:eastAsia="en-AU"/>
              </w:rPr>
              <w:t xml:space="preserve">Metal Ore Mining </w:t>
            </w:r>
          </w:p>
        </w:tc>
        <w:tc>
          <w:tcPr>
            <w:tcW w:w="1275" w:type="dxa"/>
            <w:gridSpan w:val="2"/>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0.74</w:t>
            </w:r>
          </w:p>
        </w:tc>
        <w:tc>
          <w:tcPr>
            <w:tcW w:w="971"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5.5</w:t>
            </w:r>
          </w:p>
        </w:tc>
        <w:tc>
          <w:tcPr>
            <w:tcW w:w="1297"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1.99</w:t>
            </w:r>
          </w:p>
        </w:tc>
        <w:tc>
          <w:tcPr>
            <w:tcW w:w="1134"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1.55</w:t>
            </w:r>
          </w:p>
        </w:tc>
        <w:tc>
          <w:tcPr>
            <w:tcW w:w="992"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59.7</w:t>
            </w:r>
          </w:p>
        </w:tc>
        <w:tc>
          <w:tcPr>
            <w:tcW w:w="1134"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6.23</w:t>
            </w:r>
          </w:p>
        </w:tc>
        <w:tc>
          <w:tcPr>
            <w:tcW w:w="1418" w:type="dxa"/>
            <w:tcBorders>
              <w:right w:val="single" w:sz="4" w:space="0" w:color="595A5B" w:themeColor="text1"/>
            </w:tcBorders>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432.1</w:t>
            </w:r>
          </w:p>
        </w:tc>
        <w:tc>
          <w:tcPr>
            <w:tcW w:w="1134" w:type="dxa"/>
            <w:tcBorders>
              <w:left w:val="single" w:sz="4" w:space="0" w:color="595A5B" w:themeColor="text1"/>
            </w:tcBorders>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47.8</w:t>
            </w:r>
          </w:p>
        </w:tc>
        <w:tc>
          <w:tcPr>
            <w:tcW w:w="1417"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436.4</w:t>
            </w:r>
          </w:p>
        </w:tc>
      </w:tr>
      <w:tr w:rsidR="00CD045A" w:rsidRPr="002157A3" w:rsidTr="00997D7E">
        <w:trPr>
          <w:trHeight w:val="264"/>
        </w:trPr>
        <w:tc>
          <w:tcPr>
            <w:tcW w:w="4410" w:type="dxa"/>
            <w:shd w:val="clear" w:color="auto" w:fill="CAE7F3" w:themeFill="accent1" w:themeFillTint="33"/>
            <w:noWrap/>
            <w:vAlign w:val="bottom"/>
            <w:hideMark/>
          </w:tcPr>
          <w:p w:rsidR="00CD045A" w:rsidRPr="002157A3" w:rsidRDefault="00CD045A" w:rsidP="00DB555F">
            <w:pPr>
              <w:pStyle w:val="Tabletext"/>
              <w:ind w:left="333"/>
              <w:jc w:val="right"/>
              <w:rPr>
                <w:lang w:eastAsia="en-AU"/>
              </w:rPr>
            </w:pPr>
            <w:r w:rsidRPr="002157A3">
              <w:rPr>
                <w:lang w:eastAsia="en-AU"/>
              </w:rPr>
              <w:t xml:space="preserve">Non-Metallic Mineral Mining and Quarrying </w:t>
            </w:r>
          </w:p>
        </w:tc>
        <w:tc>
          <w:tcPr>
            <w:tcW w:w="1275" w:type="dxa"/>
            <w:gridSpan w:val="2"/>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1.90</w:t>
            </w:r>
          </w:p>
        </w:tc>
        <w:tc>
          <w:tcPr>
            <w:tcW w:w="971"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13.1</w:t>
            </w:r>
          </w:p>
        </w:tc>
        <w:tc>
          <w:tcPr>
            <w:tcW w:w="1297"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3.46</w:t>
            </w:r>
          </w:p>
        </w:tc>
        <w:tc>
          <w:tcPr>
            <w:tcW w:w="1134"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8.73</w:t>
            </w:r>
          </w:p>
        </w:tc>
        <w:tc>
          <w:tcPr>
            <w:tcW w:w="992"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53.7</w:t>
            </w:r>
          </w:p>
        </w:tc>
        <w:tc>
          <w:tcPr>
            <w:tcW w:w="1134"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3.43</w:t>
            </w:r>
          </w:p>
        </w:tc>
        <w:tc>
          <w:tcPr>
            <w:tcW w:w="1418" w:type="dxa"/>
            <w:tcBorders>
              <w:right w:val="single" w:sz="4" w:space="0" w:color="595A5B" w:themeColor="text1"/>
            </w:tcBorders>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178.6</w:t>
            </w:r>
          </w:p>
        </w:tc>
        <w:tc>
          <w:tcPr>
            <w:tcW w:w="1134" w:type="dxa"/>
            <w:tcBorders>
              <w:left w:val="single" w:sz="4" w:space="0" w:color="595A5B" w:themeColor="text1"/>
            </w:tcBorders>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41.7</w:t>
            </w:r>
          </w:p>
        </w:tc>
        <w:tc>
          <w:tcPr>
            <w:tcW w:w="1417"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254.5</w:t>
            </w:r>
          </w:p>
        </w:tc>
      </w:tr>
      <w:tr w:rsidR="00CD045A" w:rsidRPr="002157A3" w:rsidTr="00997D7E">
        <w:trPr>
          <w:trHeight w:val="264"/>
        </w:trPr>
        <w:tc>
          <w:tcPr>
            <w:tcW w:w="4410" w:type="dxa"/>
            <w:shd w:val="clear" w:color="auto" w:fill="CAE7F3" w:themeFill="accent1" w:themeFillTint="33"/>
            <w:noWrap/>
            <w:vAlign w:val="bottom"/>
            <w:hideMark/>
          </w:tcPr>
          <w:p w:rsidR="00CD045A" w:rsidRPr="002157A3" w:rsidRDefault="00CD045A" w:rsidP="00DB555F">
            <w:pPr>
              <w:pStyle w:val="Tabletext"/>
              <w:ind w:left="333"/>
              <w:jc w:val="right"/>
              <w:rPr>
                <w:lang w:eastAsia="en-AU"/>
              </w:rPr>
            </w:pPr>
            <w:r w:rsidRPr="002157A3">
              <w:rPr>
                <w:lang w:eastAsia="en-AU"/>
              </w:rPr>
              <w:t xml:space="preserve">Exploration and Other Mining Support Services </w:t>
            </w:r>
          </w:p>
        </w:tc>
        <w:tc>
          <w:tcPr>
            <w:tcW w:w="1275" w:type="dxa"/>
            <w:gridSpan w:val="2"/>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3.14</w:t>
            </w:r>
          </w:p>
        </w:tc>
        <w:tc>
          <w:tcPr>
            <w:tcW w:w="971"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16.3</w:t>
            </w:r>
          </w:p>
        </w:tc>
        <w:tc>
          <w:tcPr>
            <w:tcW w:w="1297"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7.63</w:t>
            </w:r>
          </w:p>
        </w:tc>
        <w:tc>
          <w:tcPr>
            <w:tcW w:w="1134"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8.85</w:t>
            </w:r>
          </w:p>
        </w:tc>
        <w:tc>
          <w:tcPr>
            <w:tcW w:w="992"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62.8</w:t>
            </w:r>
          </w:p>
        </w:tc>
        <w:tc>
          <w:tcPr>
            <w:tcW w:w="1134"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5.07</w:t>
            </w:r>
          </w:p>
        </w:tc>
        <w:tc>
          <w:tcPr>
            <w:tcW w:w="1418" w:type="dxa"/>
            <w:tcBorders>
              <w:right w:val="single" w:sz="4" w:space="0" w:color="595A5B" w:themeColor="text1"/>
            </w:tcBorders>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296.9</w:t>
            </w:r>
          </w:p>
        </w:tc>
        <w:tc>
          <w:tcPr>
            <w:tcW w:w="1134" w:type="dxa"/>
            <w:tcBorders>
              <w:left w:val="single" w:sz="4" w:space="0" w:color="595A5B" w:themeColor="text1"/>
            </w:tcBorders>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51.8</w:t>
            </w:r>
          </w:p>
        </w:tc>
        <w:tc>
          <w:tcPr>
            <w:tcW w:w="1417"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599.9</w:t>
            </w:r>
          </w:p>
        </w:tc>
      </w:tr>
      <w:tr w:rsidR="00CD045A" w:rsidRPr="0012621E" w:rsidTr="00997D7E">
        <w:trPr>
          <w:trHeight w:val="255"/>
        </w:trPr>
        <w:tc>
          <w:tcPr>
            <w:tcW w:w="4410" w:type="dxa"/>
            <w:shd w:val="clear" w:color="auto" w:fill="CAE7F3" w:themeFill="accent1" w:themeFillTint="33"/>
            <w:noWrap/>
            <w:vAlign w:val="bottom"/>
            <w:hideMark/>
          </w:tcPr>
          <w:p w:rsidR="00CD045A" w:rsidRPr="0012621E" w:rsidRDefault="00CD045A" w:rsidP="00DB555F">
            <w:pPr>
              <w:pStyle w:val="Tabletext"/>
              <w:jc w:val="right"/>
              <w:rPr>
                <w:i/>
                <w:lang w:eastAsia="en-AU"/>
              </w:rPr>
            </w:pPr>
            <w:r w:rsidRPr="0012621E">
              <w:rPr>
                <w:i/>
                <w:lang w:eastAsia="en-AU"/>
              </w:rPr>
              <w:t xml:space="preserve">MANUFACTURING </w:t>
            </w:r>
          </w:p>
        </w:tc>
        <w:tc>
          <w:tcPr>
            <w:tcW w:w="1275" w:type="dxa"/>
            <w:gridSpan w:val="2"/>
            <w:shd w:val="clear" w:color="auto" w:fill="CAE7F3" w:themeFill="accent1" w:themeFillTint="33"/>
            <w:noWrap/>
            <w:vAlign w:val="bottom"/>
            <w:hideMark/>
          </w:tcPr>
          <w:p w:rsidR="00CD045A" w:rsidRPr="0012621E" w:rsidRDefault="00CD045A" w:rsidP="00DB555F">
            <w:pPr>
              <w:pStyle w:val="Tabletext"/>
              <w:jc w:val="right"/>
              <w:rPr>
                <w:i/>
                <w:lang w:eastAsia="en-AU"/>
              </w:rPr>
            </w:pPr>
          </w:p>
        </w:tc>
        <w:tc>
          <w:tcPr>
            <w:tcW w:w="971" w:type="dxa"/>
            <w:shd w:val="clear" w:color="auto" w:fill="CAE7F3" w:themeFill="accent1" w:themeFillTint="33"/>
            <w:noWrap/>
            <w:vAlign w:val="bottom"/>
            <w:hideMark/>
          </w:tcPr>
          <w:p w:rsidR="00CD045A" w:rsidRPr="0012621E" w:rsidRDefault="00CD045A" w:rsidP="00DB555F">
            <w:pPr>
              <w:pStyle w:val="Tabletext"/>
              <w:jc w:val="right"/>
              <w:rPr>
                <w:i/>
                <w:lang w:eastAsia="en-AU"/>
              </w:rPr>
            </w:pPr>
          </w:p>
        </w:tc>
        <w:tc>
          <w:tcPr>
            <w:tcW w:w="1297" w:type="dxa"/>
            <w:shd w:val="clear" w:color="auto" w:fill="CAE7F3" w:themeFill="accent1" w:themeFillTint="33"/>
            <w:noWrap/>
            <w:vAlign w:val="bottom"/>
            <w:hideMark/>
          </w:tcPr>
          <w:p w:rsidR="00CD045A" w:rsidRPr="0012621E" w:rsidRDefault="00CD045A" w:rsidP="00DB555F">
            <w:pPr>
              <w:pStyle w:val="Tabletext"/>
              <w:jc w:val="right"/>
              <w:rPr>
                <w:i/>
                <w:lang w:eastAsia="en-AU"/>
              </w:rPr>
            </w:pPr>
          </w:p>
        </w:tc>
        <w:tc>
          <w:tcPr>
            <w:tcW w:w="1134" w:type="dxa"/>
            <w:shd w:val="clear" w:color="auto" w:fill="CAE7F3" w:themeFill="accent1" w:themeFillTint="33"/>
            <w:noWrap/>
            <w:vAlign w:val="bottom"/>
            <w:hideMark/>
          </w:tcPr>
          <w:p w:rsidR="00CD045A" w:rsidRPr="0012621E" w:rsidRDefault="00CD045A" w:rsidP="00DB555F">
            <w:pPr>
              <w:pStyle w:val="Tabletext"/>
              <w:jc w:val="right"/>
              <w:rPr>
                <w:i/>
                <w:lang w:eastAsia="en-AU"/>
              </w:rPr>
            </w:pPr>
          </w:p>
        </w:tc>
        <w:tc>
          <w:tcPr>
            <w:tcW w:w="992" w:type="dxa"/>
            <w:shd w:val="clear" w:color="auto" w:fill="CAE7F3" w:themeFill="accent1" w:themeFillTint="33"/>
            <w:noWrap/>
            <w:vAlign w:val="bottom"/>
            <w:hideMark/>
          </w:tcPr>
          <w:p w:rsidR="00CD045A" w:rsidRPr="0012621E" w:rsidRDefault="00CD045A" w:rsidP="00DB555F">
            <w:pPr>
              <w:pStyle w:val="Tabletext"/>
              <w:jc w:val="right"/>
              <w:rPr>
                <w:i/>
                <w:lang w:eastAsia="en-AU"/>
              </w:rPr>
            </w:pPr>
          </w:p>
        </w:tc>
        <w:tc>
          <w:tcPr>
            <w:tcW w:w="1134" w:type="dxa"/>
            <w:shd w:val="clear" w:color="auto" w:fill="CAE7F3" w:themeFill="accent1" w:themeFillTint="33"/>
            <w:noWrap/>
            <w:vAlign w:val="bottom"/>
            <w:hideMark/>
          </w:tcPr>
          <w:p w:rsidR="00CD045A" w:rsidRPr="0012621E" w:rsidRDefault="00CD045A" w:rsidP="00DB555F">
            <w:pPr>
              <w:pStyle w:val="Tabletext"/>
              <w:jc w:val="right"/>
              <w:rPr>
                <w:i/>
                <w:lang w:eastAsia="en-AU"/>
              </w:rPr>
            </w:pPr>
          </w:p>
        </w:tc>
        <w:tc>
          <w:tcPr>
            <w:tcW w:w="1418" w:type="dxa"/>
            <w:tcBorders>
              <w:right w:val="single" w:sz="4" w:space="0" w:color="595A5B" w:themeColor="text1"/>
            </w:tcBorders>
            <w:shd w:val="clear" w:color="auto" w:fill="CAE7F3" w:themeFill="accent1" w:themeFillTint="33"/>
            <w:noWrap/>
            <w:vAlign w:val="bottom"/>
            <w:hideMark/>
          </w:tcPr>
          <w:p w:rsidR="00CD045A" w:rsidRPr="0012621E" w:rsidRDefault="00CD045A" w:rsidP="00DB555F">
            <w:pPr>
              <w:pStyle w:val="Tabletext"/>
              <w:jc w:val="right"/>
              <w:rPr>
                <w:i/>
                <w:lang w:eastAsia="en-AU"/>
              </w:rPr>
            </w:pPr>
          </w:p>
        </w:tc>
        <w:tc>
          <w:tcPr>
            <w:tcW w:w="1134" w:type="dxa"/>
            <w:tcBorders>
              <w:left w:val="single" w:sz="4" w:space="0" w:color="595A5B" w:themeColor="text1"/>
            </w:tcBorders>
            <w:shd w:val="clear" w:color="auto" w:fill="CAE7F3" w:themeFill="accent1" w:themeFillTint="33"/>
            <w:noWrap/>
            <w:vAlign w:val="bottom"/>
            <w:hideMark/>
          </w:tcPr>
          <w:p w:rsidR="00CD045A" w:rsidRPr="0012621E" w:rsidRDefault="00CD045A" w:rsidP="00DB555F">
            <w:pPr>
              <w:pStyle w:val="Tabletext"/>
              <w:jc w:val="right"/>
              <w:rPr>
                <w:i/>
                <w:lang w:eastAsia="en-AU"/>
              </w:rPr>
            </w:pPr>
          </w:p>
        </w:tc>
        <w:tc>
          <w:tcPr>
            <w:tcW w:w="1417" w:type="dxa"/>
            <w:shd w:val="clear" w:color="auto" w:fill="CAE7F3" w:themeFill="accent1" w:themeFillTint="33"/>
            <w:noWrap/>
            <w:vAlign w:val="bottom"/>
            <w:hideMark/>
          </w:tcPr>
          <w:p w:rsidR="00CD045A" w:rsidRPr="0012621E" w:rsidRDefault="00CD045A" w:rsidP="00DB555F">
            <w:pPr>
              <w:pStyle w:val="Tabletext"/>
              <w:jc w:val="right"/>
              <w:rPr>
                <w:i/>
                <w:lang w:eastAsia="en-AU"/>
              </w:rPr>
            </w:pPr>
          </w:p>
        </w:tc>
      </w:tr>
      <w:tr w:rsidR="00CD045A" w:rsidRPr="002157A3" w:rsidTr="00997D7E">
        <w:trPr>
          <w:trHeight w:val="264"/>
        </w:trPr>
        <w:tc>
          <w:tcPr>
            <w:tcW w:w="4410" w:type="dxa"/>
            <w:shd w:val="clear" w:color="auto" w:fill="CAE7F3" w:themeFill="accent1" w:themeFillTint="33"/>
            <w:noWrap/>
            <w:vAlign w:val="bottom"/>
            <w:hideMark/>
          </w:tcPr>
          <w:p w:rsidR="00CD045A" w:rsidRPr="002157A3" w:rsidRDefault="00CD045A" w:rsidP="00DB555F">
            <w:pPr>
              <w:pStyle w:val="Tabletext"/>
              <w:ind w:left="333"/>
              <w:jc w:val="right"/>
              <w:rPr>
                <w:lang w:eastAsia="en-AU"/>
              </w:rPr>
            </w:pPr>
            <w:r w:rsidRPr="002157A3">
              <w:rPr>
                <w:lang w:eastAsia="en-AU"/>
              </w:rPr>
              <w:t xml:space="preserve">Food Product Manufacturing </w:t>
            </w:r>
          </w:p>
        </w:tc>
        <w:tc>
          <w:tcPr>
            <w:tcW w:w="1275" w:type="dxa"/>
            <w:gridSpan w:val="2"/>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2.73</w:t>
            </w:r>
          </w:p>
        </w:tc>
        <w:tc>
          <w:tcPr>
            <w:tcW w:w="971"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21.5</w:t>
            </w:r>
          </w:p>
        </w:tc>
        <w:tc>
          <w:tcPr>
            <w:tcW w:w="1297"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3.20</w:t>
            </w:r>
          </w:p>
        </w:tc>
        <w:tc>
          <w:tcPr>
            <w:tcW w:w="1134"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3.73</w:t>
            </w:r>
          </w:p>
        </w:tc>
        <w:tc>
          <w:tcPr>
            <w:tcW w:w="992"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66.7</w:t>
            </w:r>
          </w:p>
        </w:tc>
        <w:tc>
          <w:tcPr>
            <w:tcW w:w="1134"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9.10</w:t>
            </w:r>
          </w:p>
        </w:tc>
        <w:tc>
          <w:tcPr>
            <w:tcW w:w="1418" w:type="dxa"/>
            <w:tcBorders>
              <w:right w:val="single" w:sz="4" w:space="0" w:color="595A5B" w:themeColor="text1"/>
            </w:tcBorders>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112.6</w:t>
            </w:r>
          </w:p>
        </w:tc>
        <w:tc>
          <w:tcPr>
            <w:tcW w:w="1134" w:type="dxa"/>
            <w:tcBorders>
              <w:left w:val="single" w:sz="4" w:space="0" w:color="595A5B" w:themeColor="text1"/>
            </w:tcBorders>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47.9</w:t>
            </w:r>
          </w:p>
        </w:tc>
        <w:tc>
          <w:tcPr>
            <w:tcW w:w="1417"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157.1</w:t>
            </w:r>
          </w:p>
        </w:tc>
      </w:tr>
      <w:tr w:rsidR="00CD045A" w:rsidRPr="002157A3" w:rsidTr="00997D7E">
        <w:trPr>
          <w:trHeight w:val="264"/>
        </w:trPr>
        <w:tc>
          <w:tcPr>
            <w:tcW w:w="4410" w:type="dxa"/>
            <w:shd w:val="clear" w:color="auto" w:fill="CAE7F3" w:themeFill="accent1" w:themeFillTint="33"/>
            <w:noWrap/>
            <w:vAlign w:val="bottom"/>
            <w:hideMark/>
          </w:tcPr>
          <w:p w:rsidR="00CD045A" w:rsidRPr="002157A3" w:rsidRDefault="00CD045A" w:rsidP="00DB555F">
            <w:pPr>
              <w:pStyle w:val="Tabletext"/>
              <w:ind w:left="333"/>
              <w:jc w:val="right"/>
              <w:rPr>
                <w:lang w:eastAsia="en-AU"/>
              </w:rPr>
            </w:pPr>
            <w:r w:rsidRPr="002157A3">
              <w:rPr>
                <w:lang w:eastAsia="en-AU"/>
              </w:rPr>
              <w:t xml:space="preserve">Beverage and Tobacco Product Manufacturing </w:t>
            </w:r>
          </w:p>
        </w:tc>
        <w:tc>
          <w:tcPr>
            <w:tcW w:w="1275" w:type="dxa"/>
            <w:gridSpan w:val="2"/>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1.75</w:t>
            </w:r>
          </w:p>
        </w:tc>
        <w:tc>
          <w:tcPr>
            <w:tcW w:w="971"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15.7</w:t>
            </w:r>
          </w:p>
        </w:tc>
        <w:tc>
          <w:tcPr>
            <w:tcW w:w="1297"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2.13</w:t>
            </w:r>
          </w:p>
        </w:tc>
        <w:tc>
          <w:tcPr>
            <w:tcW w:w="1134"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3.67</w:t>
            </w:r>
          </w:p>
        </w:tc>
        <w:tc>
          <w:tcPr>
            <w:tcW w:w="992"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70.4</w:t>
            </w:r>
          </w:p>
        </w:tc>
        <w:tc>
          <w:tcPr>
            <w:tcW w:w="1134"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6.15</w:t>
            </w:r>
          </w:p>
        </w:tc>
        <w:tc>
          <w:tcPr>
            <w:tcW w:w="1418" w:type="dxa"/>
            <w:tcBorders>
              <w:right w:val="single" w:sz="4" w:space="0" w:color="595A5B" w:themeColor="text1"/>
            </w:tcBorders>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118.5</w:t>
            </w:r>
          </w:p>
        </w:tc>
        <w:tc>
          <w:tcPr>
            <w:tcW w:w="1134" w:type="dxa"/>
            <w:tcBorders>
              <w:left w:val="single" w:sz="4" w:space="0" w:color="595A5B" w:themeColor="text1"/>
            </w:tcBorders>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57.6</w:t>
            </w:r>
          </w:p>
        </w:tc>
        <w:tc>
          <w:tcPr>
            <w:tcW w:w="1417"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179.0</w:t>
            </w:r>
          </w:p>
        </w:tc>
      </w:tr>
      <w:tr w:rsidR="00CD045A" w:rsidRPr="002157A3" w:rsidTr="00997D7E">
        <w:trPr>
          <w:trHeight w:val="264"/>
        </w:trPr>
        <w:tc>
          <w:tcPr>
            <w:tcW w:w="4410" w:type="dxa"/>
            <w:shd w:val="clear" w:color="auto" w:fill="CAE7F3" w:themeFill="accent1" w:themeFillTint="33"/>
            <w:noWrap/>
            <w:vAlign w:val="bottom"/>
            <w:hideMark/>
          </w:tcPr>
          <w:p w:rsidR="00CD045A" w:rsidRPr="002157A3" w:rsidRDefault="00CD045A" w:rsidP="00DB555F">
            <w:pPr>
              <w:pStyle w:val="Tabletext"/>
              <w:ind w:left="333"/>
              <w:jc w:val="right"/>
              <w:rPr>
                <w:lang w:eastAsia="en-AU"/>
              </w:rPr>
            </w:pPr>
            <w:r w:rsidRPr="002157A3">
              <w:rPr>
                <w:lang w:eastAsia="en-AU"/>
              </w:rPr>
              <w:t xml:space="preserve">Textile, Leather, Clothing and Footwear Manufacturing </w:t>
            </w:r>
          </w:p>
        </w:tc>
        <w:tc>
          <w:tcPr>
            <w:tcW w:w="1275" w:type="dxa"/>
            <w:gridSpan w:val="2"/>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2.66</w:t>
            </w:r>
          </w:p>
        </w:tc>
        <w:tc>
          <w:tcPr>
            <w:tcW w:w="971"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19.8</w:t>
            </w:r>
          </w:p>
        </w:tc>
        <w:tc>
          <w:tcPr>
            <w:tcW w:w="1297"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2.75</w:t>
            </w:r>
          </w:p>
        </w:tc>
        <w:tc>
          <w:tcPr>
            <w:tcW w:w="1134"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10.97</w:t>
            </w:r>
          </w:p>
        </w:tc>
        <w:tc>
          <w:tcPr>
            <w:tcW w:w="992"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56.6</w:t>
            </w:r>
          </w:p>
        </w:tc>
        <w:tc>
          <w:tcPr>
            <w:tcW w:w="1134"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3.29</w:t>
            </w:r>
          </w:p>
        </w:tc>
        <w:tc>
          <w:tcPr>
            <w:tcW w:w="1418" w:type="dxa"/>
            <w:tcBorders>
              <w:right w:val="single" w:sz="4" w:space="0" w:color="595A5B" w:themeColor="text1"/>
            </w:tcBorders>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90.7</w:t>
            </w:r>
          </w:p>
        </w:tc>
        <w:tc>
          <w:tcPr>
            <w:tcW w:w="1134" w:type="dxa"/>
            <w:tcBorders>
              <w:left w:val="single" w:sz="4" w:space="0" w:color="595A5B" w:themeColor="text1"/>
            </w:tcBorders>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40.9</w:t>
            </w:r>
          </w:p>
        </w:tc>
        <w:tc>
          <w:tcPr>
            <w:tcW w:w="1417"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106.0</w:t>
            </w:r>
          </w:p>
        </w:tc>
      </w:tr>
      <w:tr w:rsidR="00CD045A" w:rsidRPr="002157A3" w:rsidTr="00997D7E">
        <w:trPr>
          <w:trHeight w:val="264"/>
        </w:trPr>
        <w:tc>
          <w:tcPr>
            <w:tcW w:w="4410" w:type="dxa"/>
            <w:shd w:val="clear" w:color="auto" w:fill="CAE7F3" w:themeFill="accent1" w:themeFillTint="33"/>
            <w:noWrap/>
            <w:vAlign w:val="bottom"/>
            <w:hideMark/>
          </w:tcPr>
          <w:p w:rsidR="00CD045A" w:rsidRPr="002157A3" w:rsidRDefault="00CD045A" w:rsidP="00DB555F">
            <w:pPr>
              <w:pStyle w:val="Tabletext"/>
              <w:ind w:left="333"/>
              <w:jc w:val="right"/>
              <w:rPr>
                <w:lang w:eastAsia="en-AU"/>
              </w:rPr>
            </w:pPr>
            <w:r w:rsidRPr="002157A3">
              <w:rPr>
                <w:lang w:eastAsia="en-AU"/>
              </w:rPr>
              <w:t xml:space="preserve">Wood Product Manufacturing </w:t>
            </w:r>
          </w:p>
        </w:tc>
        <w:tc>
          <w:tcPr>
            <w:tcW w:w="1275" w:type="dxa"/>
            <w:gridSpan w:val="2"/>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2.90</w:t>
            </w:r>
          </w:p>
        </w:tc>
        <w:tc>
          <w:tcPr>
            <w:tcW w:w="971"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21.6</w:t>
            </w:r>
          </w:p>
        </w:tc>
        <w:tc>
          <w:tcPr>
            <w:tcW w:w="1297"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3.47</w:t>
            </w:r>
          </w:p>
        </w:tc>
        <w:tc>
          <w:tcPr>
            <w:tcW w:w="1134"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7.90</w:t>
            </w:r>
          </w:p>
        </w:tc>
        <w:tc>
          <w:tcPr>
            <w:tcW w:w="992"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65.0</w:t>
            </w:r>
          </w:p>
        </w:tc>
        <w:tc>
          <w:tcPr>
            <w:tcW w:w="1134"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4.60</w:t>
            </w:r>
          </w:p>
        </w:tc>
        <w:tc>
          <w:tcPr>
            <w:tcW w:w="1418" w:type="dxa"/>
            <w:tcBorders>
              <w:right w:val="single" w:sz="4" w:space="0" w:color="595A5B" w:themeColor="text1"/>
            </w:tcBorders>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112.5</w:t>
            </w:r>
          </w:p>
        </w:tc>
        <w:tc>
          <w:tcPr>
            <w:tcW w:w="1134" w:type="dxa"/>
            <w:tcBorders>
              <w:left w:val="single" w:sz="4" w:space="0" w:color="595A5B" w:themeColor="text1"/>
            </w:tcBorders>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48.7</w:t>
            </w:r>
          </w:p>
        </w:tc>
        <w:tc>
          <w:tcPr>
            <w:tcW w:w="1417"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137.1</w:t>
            </w:r>
          </w:p>
        </w:tc>
      </w:tr>
      <w:tr w:rsidR="00CD045A" w:rsidRPr="002157A3" w:rsidTr="00997D7E">
        <w:trPr>
          <w:trHeight w:val="264"/>
        </w:trPr>
        <w:tc>
          <w:tcPr>
            <w:tcW w:w="4410" w:type="dxa"/>
            <w:shd w:val="clear" w:color="auto" w:fill="CAE7F3" w:themeFill="accent1" w:themeFillTint="33"/>
            <w:noWrap/>
            <w:vAlign w:val="bottom"/>
            <w:hideMark/>
          </w:tcPr>
          <w:p w:rsidR="00CD045A" w:rsidRPr="002157A3" w:rsidRDefault="00CD045A" w:rsidP="00DB555F">
            <w:pPr>
              <w:pStyle w:val="Tabletext"/>
              <w:ind w:left="333"/>
              <w:jc w:val="right"/>
              <w:rPr>
                <w:lang w:eastAsia="en-AU"/>
              </w:rPr>
            </w:pPr>
            <w:r w:rsidRPr="002157A3">
              <w:rPr>
                <w:lang w:eastAsia="en-AU"/>
              </w:rPr>
              <w:t xml:space="preserve">Pulp, Paper and Converted Paper Product Manufacturing </w:t>
            </w:r>
          </w:p>
        </w:tc>
        <w:tc>
          <w:tcPr>
            <w:tcW w:w="1275" w:type="dxa"/>
            <w:gridSpan w:val="2"/>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1.50</w:t>
            </w:r>
          </w:p>
        </w:tc>
        <w:tc>
          <w:tcPr>
            <w:tcW w:w="971"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19.2</w:t>
            </w:r>
          </w:p>
        </w:tc>
        <w:tc>
          <w:tcPr>
            <w:tcW w:w="1297"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1.41</w:t>
            </w:r>
          </w:p>
        </w:tc>
        <w:tc>
          <w:tcPr>
            <w:tcW w:w="1134"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1.92</w:t>
            </w:r>
          </w:p>
        </w:tc>
        <w:tc>
          <w:tcPr>
            <w:tcW w:w="992"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63.7</w:t>
            </w:r>
          </w:p>
        </w:tc>
        <w:tc>
          <w:tcPr>
            <w:tcW w:w="1134"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7.00</w:t>
            </w:r>
          </w:p>
        </w:tc>
        <w:tc>
          <w:tcPr>
            <w:tcW w:w="1418" w:type="dxa"/>
            <w:tcBorders>
              <w:right w:val="single" w:sz="4" w:space="0" w:color="595A5B" w:themeColor="text1"/>
            </w:tcBorders>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140.9</w:t>
            </w:r>
          </w:p>
        </w:tc>
        <w:tc>
          <w:tcPr>
            <w:tcW w:w="1134" w:type="dxa"/>
            <w:tcBorders>
              <w:left w:val="single" w:sz="4" w:space="0" w:color="595A5B" w:themeColor="text1"/>
            </w:tcBorders>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48.9</w:t>
            </w:r>
          </w:p>
        </w:tc>
        <w:tc>
          <w:tcPr>
            <w:tcW w:w="1417"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311.5</w:t>
            </w:r>
          </w:p>
        </w:tc>
      </w:tr>
      <w:tr w:rsidR="00CD045A" w:rsidRPr="002157A3" w:rsidTr="00997D7E">
        <w:trPr>
          <w:trHeight w:val="264"/>
        </w:trPr>
        <w:tc>
          <w:tcPr>
            <w:tcW w:w="4410" w:type="dxa"/>
            <w:shd w:val="clear" w:color="auto" w:fill="CAE7F3" w:themeFill="accent1" w:themeFillTint="33"/>
            <w:noWrap/>
            <w:vAlign w:val="bottom"/>
            <w:hideMark/>
          </w:tcPr>
          <w:p w:rsidR="00CD045A" w:rsidRPr="002157A3" w:rsidRDefault="00CD045A" w:rsidP="00DB555F">
            <w:pPr>
              <w:pStyle w:val="Tabletext"/>
              <w:ind w:left="333"/>
              <w:jc w:val="right"/>
              <w:rPr>
                <w:lang w:eastAsia="en-AU"/>
              </w:rPr>
            </w:pPr>
            <w:r w:rsidRPr="002157A3">
              <w:rPr>
                <w:lang w:eastAsia="en-AU"/>
              </w:rPr>
              <w:t xml:space="preserve">Printing (including the Reproduction of Recorded Media) </w:t>
            </w:r>
          </w:p>
        </w:tc>
        <w:tc>
          <w:tcPr>
            <w:tcW w:w="1275" w:type="dxa"/>
            <w:gridSpan w:val="2"/>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2.72</w:t>
            </w:r>
          </w:p>
        </w:tc>
        <w:tc>
          <w:tcPr>
            <w:tcW w:w="971"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22.4</w:t>
            </w:r>
          </w:p>
        </w:tc>
        <w:tc>
          <w:tcPr>
            <w:tcW w:w="1297"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3.18</w:t>
            </w:r>
          </w:p>
        </w:tc>
        <w:tc>
          <w:tcPr>
            <w:tcW w:w="1134"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8.36</w:t>
            </w:r>
          </w:p>
        </w:tc>
        <w:tc>
          <w:tcPr>
            <w:tcW w:w="992"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64.6</w:t>
            </w:r>
          </w:p>
        </w:tc>
        <w:tc>
          <w:tcPr>
            <w:tcW w:w="1134"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4.05</w:t>
            </w:r>
          </w:p>
        </w:tc>
        <w:tc>
          <w:tcPr>
            <w:tcW w:w="1418" w:type="dxa"/>
            <w:tcBorders>
              <w:right w:val="single" w:sz="4" w:space="0" w:color="595A5B" w:themeColor="text1"/>
            </w:tcBorders>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110.0</w:t>
            </w:r>
          </w:p>
        </w:tc>
        <w:tc>
          <w:tcPr>
            <w:tcW w:w="1134" w:type="dxa"/>
            <w:tcBorders>
              <w:left w:val="single" w:sz="4" w:space="0" w:color="595A5B" w:themeColor="text1"/>
            </w:tcBorders>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49.0</w:t>
            </w:r>
          </w:p>
        </w:tc>
        <w:tc>
          <w:tcPr>
            <w:tcW w:w="1417"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137.7</w:t>
            </w:r>
          </w:p>
        </w:tc>
      </w:tr>
      <w:tr w:rsidR="00CD045A" w:rsidRPr="002157A3" w:rsidTr="00997D7E">
        <w:trPr>
          <w:trHeight w:val="264"/>
        </w:trPr>
        <w:tc>
          <w:tcPr>
            <w:tcW w:w="4410" w:type="dxa"/>
            <w:shd w:val="clear" w:color="auto" w:fill="CAE7F3" w:themeFill="accent1" w:themeFillTint="33"/>
            <w:noWrap/>
            <w:vAlign w:val="bottom"/>
            <w:hideMark/>
          </w:tcPr>
          <w:p w:rsidR="00CD045A" w:rsidRPr="002157A3" w:rsidRDefault="00CD045A" w:rsidP="00DB555F">
            <w:pPr>
              <w:pStyle w:val="Tabletext"/>
              <w:ind w:left="333"/>
              <w:jc w:val="right"/>
              <w:rPr>
                <w:lang w:eastAsia="en-AU"/>
              </w:rPr>
            </w:pPr>
            <w:r w:rsidRPr="002157A3">
              <w:rPr>
                <w:lang w:eastAsia="en-AU"/>
              </w:rPr>
              <w:t xml:space="preserve">Basic Chemical and Chemical Product Manufacturing </w:t>
            </w:r>
          </w:p>
        </w:tc>
        <w:tc>
          <w:tcPr>
            <w:tcW w:w="1275" w:type="dxa"/>
            <w:gridSpan w:val="2"/>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1.28</w:t>
            </w:r>
          </w:p>
        </w:tc>
        <w:tc>
          <w:tcPr>
            <w:tcW w:w="971"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13.7</w:t>
            </w:r>
          </w:p>
        </w:tc>
        <w:tc>
          <w:tcPr>
            <w:tcW w:w="1297"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1.61</w:t>
            </w:r>
          </w:p>
        </w:tc>
        <w:tc>
          <w:tcPr>
            <w:tcW w:w="1134"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2.71</w:t>
            </w:r>
          </w:p>
        </w:tc>
        <w:tc>
          <w:tcPr>
            <w:tcW w:w="992"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64.1</w:t>
            </w:r>
          </w:p>
        </w:tc>
        <w:tc>
          <w:tcPr>
            <w:tcW w:w="1134"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5.70</w:t>
            </w:r>
          </w:p>
        </w:tc>
        <w:tc>
          <w:tcPr>
            <w:tcW w:w="1418" w:type="dxa"/>
            <w:tcBorders>
              <w:right w:val="single" w:sz="4" w:space="0" w:color="595A5B" w:themeColor="text1"/>
            </w:tcBorders>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139.1</w:t>
            </w:r>
          </w:p>
        </w:tc>
        <w:tc>
          <w:tcPr>
            <w:tcW w:w="1134" w:type="dxa"/>
            <w:tcBorders>
              <w:left w:val="single" w:sz="4" w:space="0" w:color="595A5B" w:themeColor="text1"/>
            </w:tcBorders>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49.5</w:t>
            </w:r>
          </w:p>
        </w:tc>
        <w:tc>
          <w:tcPr>
            <w:tcW w:w="1417"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183.4</w:t>
            </w:r>
          </w:p>
        </w:tc>
      </w:tr>
      <w:tr w:rsidR="00CD045A" w:rsidRPr="002157A3" w:rsidTr="00997D7E">
        <w:trPr>
          <w:trHeight w:val="264"/>
        </w:trPr>
        <w:tc>
          <w:tcPr>
            <w:tcW w:w="4410" w:type="dxa"/>
            <w:shd w:val="clear" w:color="auto" w:fill="CAE7F3" w:themeFill="accent1" w:themeFillTint="33"/>
            <w:noWrap/>
            <w:vAlign w:val="bottom"/>
            <w:hideMark/>
          </w:tcPr>
          <w:p w:rsidR="00CD045A" w:rsidRPr="002157A3" w:rsidRDefault="00CD045A" w:rsidP="00DB555F">
            <w:pPr>
              <w:pStyle w:val="Tabletext"/>
              <w:ind w:left="333"/>
              <w:jc w:val="right"/>
              <w:rPr>
                <w:lang w:eastAsia="en-AU"/>
              </w:rPr>
            </w:pPr>
            <w:r w:rsidRPr="002157A3">
              <w:rPr>
                <w:lang w:eastAsia="en-AU"/>
              </w:rPr>
              <w:t xml:space="preserve">Polymer Product and Rubber Product Manufacturing </w:t>
            </w:r>
          </w:p>
        </w:tc>
        <w:tc>
          <w:tcPr>
            <w:tcW w:w="1275" w:type="dxa"/>
            <w:gridSpan w:val="2"/>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1.93</w:t>
            </w:r>
          </w:p>
        </w:tc>
        <w:tc>
          <w:tcPr>
            <w:tcW w:w="971"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17.1</w:t>
            </w:r>
          </w:p>
        </w:tc>
        <w:tc>
          <w:tcPr>
            <w:tcW w:w="1297"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2.49</w:t>
            </w:r>
          </w:p>
        </w:tc>
        <w:tc>
          <w:tcPr>
            <w:tcW w:w="1134"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3.42</w:t>
            </w:r>
          </w:p>
        </w:tc>
        <w:tc>
          <w:tcPr>
            <w:tcW w:w="992"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66.2</w:t>
            </w:r>
          </w:p>
        </w:tc>
        <w:tc>
          <w:tcPr>
            <w:tcW w:w="1134"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7.43</w:t>
            </w:r>
          </w:p>
        </w:tc>
        <w:tc>
          <w:tcPr>
            <w:tcW w:w="1418" w:type="dxa"/>
            <w:tcBorders>
              <w:right w:val="single" w:sz="4" w:space="0" w:color="595A5B" w:themeColor="text1"/>
            </w:tcBorders>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122.6</w:t>
            </w:r>
          </w:p>
        </w:tc>
        <w:tc>
          <w:tcPr>
            <w:tcW w:w="1134" w:type="dxa"/>
            <w:tcBorders>
              <w:left w:val="single" w:sz="4" w:space="0" w:color="595A5B" w:themeColor="text1"/>
            </w:tcBorders>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50.9</w:t>
            </w:r>
          </w:p>
        </w:tc>
        <w:tc>
          <w:tcPr>
            <w:tcW w:w="1417"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164.0</w:t>
            </w:r>
          </w:p>
        </w:tc>
      </w:tr>
      <w:tr w:rsidR="00CD045A" w:rsidRPr="002157A3" w:rsidTr="00997D7E">
        <w:trPr>
          <w:trHeight w:val="264"/>
        </w:trPr>
        <w:tc>
          <w:tcPr>
            <w:tcW w:w="4410" w:type="dxa"/>
            <w:shd w:val="clear" w:color="auto" w:fill="CAE7F3" w:themeFill="accent1" w:themeFillTint="33"/>
            <w:noWrap/>
            <w:vAlign w:val="bottom"/>
            <w:hideMark/>
          </w:tcPr>
          <w:p w:rsidR="00CD045A" w:rsidRPr="002157A3" w:rsidRDefault="00CD045A" w:rsidP="00DB555F">
            <w:pPr>
              <w:pStyle w:val="Tabletext"/>
              <w:ind w:left="333"/>
              <w:jc w:val="right"/>
              <w:rPr>
                <w:lang w:eastAsia="en-AU"/>
              </w:rPr>
            </w:pPr>
            <w:r w:rsidRPr="002157A3">
              <w:rPr>
                <w:lang w:eastAsia="en-AU"/>
              </w:rPr>
              <w:t xml:space="preserve">Non-Metallic Mineral Product Manufacturing </w:t>
            </w:r>
          </w:p>
        </w:tc>
        <w:tc>
          <w:tcPr>
            <w:tcW w:w="1275" w:type="dxa"/>
            <w:gridSpan w:val="2"/>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2.02</w:t>
            </w:r>
          </w:p>
        </w:tc>
        <w:tc>
          <w:tcPr>
            <w:tcW w:w="971"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18.4</w:t>
            </w:r>
          </w:p>
        </w:tc>
        <w:tc>
          <w:tcPr>
            <w:tcW w:w="1297"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2.53</w:t>
            </w:r>
          </w:p>
        </w:tc>
        <w:tc>
          <w:tcPr>
            <w:tcW w:w="1134"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5.34</w:t>
            </w:r>
          </w:p>
        </w:tc>
        <w:tc>
          <w:tcPr>
            <w:tcW w:w="992"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60.0</w:t>
            </w:r>
          </w:p>
        </w:tc>
        <w:tc>
          <w:tcPr>
            <w:tcW w:w="1134"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5.69</w:t>
            </w:r>
          </w:p>
        </w:tc>
        <w:tc>
          <w:tcPr>
            <w:tcW w:w="1418" w:type="dxa"/>
            <w:tcBorders>
              <w:right w:val="single" w:sz="4" w:space="0" w:color="595A5B" w:themeColor="text1"/>
            </w:tcBorders>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116.0</w:t>
            </w:r>
          </w:p>
        </w:tc>
        <w:tc>
          <w:tcPr>
            <w:tcW w:w="1134" w:type="dxa"/>
            <w:tcBorders>
              <w:left w:val="single" w:sz="4" w:space="0" w:color="595A5B" w:themeColor="text1"/>
            </w:tcBorders>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46.5</w:t>
            </w:r>
          </w:p>
        </w:tc>
        <w:tc>
          <w:tcPr>
            <w:tcW w:w="1417"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162.3</w:t>
            </w:r>
          </w:p>
        </w:tc>
      </w:tr>
      <w:tr w:rsidR="00CD045A" w:rsidRPr="002157A3" w:rsidTr="00997D7E">
        <w:trPr>
          <w:trHeight w:val="264"/>
        </w:trPr>
        <w:tc>
          <w:tcPr>
            <w:tcW w:w="4410" w:type="dxa"/>
            <w:shd w:val="clear" w:color="auto" w:fill="CAE7F3" w:themeFill="accent1" w:themeFillTint="33"/>
            <w:noWrap/>
            <w:vAlign w:val="bottom"/>
            <w:hideMark/>
          </w:tcPr>
          <w:p w:rsidR="00CD045A" w:rsidRPr="002157A3" w:rsidRDefault="00CD045A" w:rsidP="00DB555F">
            <w:pPr>
              <w:pStyle w:val="Tabletext"/>
              <w:ind w:left="333"/>
              <w:jc w:val="right"/>
              <w:rPr>
                <w:lang w:eastAsia="en-AU"/>
              </w:rPr>
            </w:pPr>
            <w:r w:rsidRPr="002157A3">
              <w:rPr>
                <w:lang w:eastAsia="en-AU"/>
              </w:rPr>
              <w:t xml:space="preserve">Primary Metal and Metal Product Manufacturing </w:t>
            </w:r>
          </w:p>
        </w:tc>
        <w:tc>
          <w:tcPr>
            <w:tcW w:w="1275" w:type="dxa"/>
            <w:gridSpan w:val="2"/>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1.05</w:t>
            </w:r>
          </w:p>
        </w:tc>
        <w:tc>
          <w:tcPr>
            <w:tcW w:w="971"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12.2</w:t>
            </w:r>
          </w:p>
        </w:tc>
        <w:tc>
          <w:tcPr>
            <w:tcW w:w="1297"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1.66</w:t>
            </w:r>
          </w:p>
        </w:tc>
        <w:tc>
          <w:tcPr>
            <w:tcW w:w="1134"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2.23</w:t>
            </w:r>
          </w:p>
        </w:tc>
        <w:tc>
          <w:tcPr>
            <w:tcW w:w="992"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66.0</w:t>
            </w:r>
          </w:p>
        </w:tc>
        <w:tc>
          <w:tcPr>
            <w:tcW w:w="1134"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5.78</w:t>
            </w:r>
          </w:p>
        </w:tc>
        <w:tc>
          <w:tcPr>
            <w:tcW w:w="1418" w:type="dxa"/>
            <w:tcBorders>
              <w:right w:val="single" w:sz="4" w:space="0" w:color="595A5B" w:themeColor="text1"/>
            </w:tcBorders>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156.4</w:t>
            </w:r>
          </w:p>
        </w:tc>
        <w:tc>
          <w:tcPr>
            <w:tcW w:w="1134" w:type="dxa"/>
            <w:tcBorders>
              <w:left w:val="single" w:sz="4" w:space="0" w:color="595A5B" w:themeColor="text1"/>
            </w:tcBorders>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53.0</w:t>
            </w:r>
          </w:p>
        </w:tc>
        <w:tc>
          <w:tcPr>
            <w:tcW w:w="1417"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219.0</w:t>
            </w:r>
          </w:p>
        </w:tc>
      </w:tr>
      <w:tr w:rsidR="00CD045A" w:rsidRPr="002157A3" w:rsidTr="00997D7E">
        <w:trPr>
          <w:trHeight w:val="264"/>
        </w:trPr>
        <w:tc>
          <w:tcPr>
            <w:tcW w:w="4410" w:type="dxa"/>
            <w:shd w:val="clear" w:color="auto" w:fill="CAE7F3" w:themeFill="accent1" w:themeFillTint="33"/>
            <w:noWrap/>
            <w:vAlign w:val="bottom"/>
            <w:hideMark/>
          </w:tcPr>
          <w:p w:rsidR="00CD045A" w:rsidRPr="002157A3" w:rsidRDefault="00CD045A" w:rsidP="00DB555F">
            <w:pPr>
              <w:pStyle w:val="Tabletext"/>
              <w:ind w:left="333"/>
              <w:jc w:val="right"/>
              <w:rPr>
                <w:lang w:eastAsia="en-AU"/>
              </w:rPr>
            </w:pPr>
            <w:r w:rsidRPr="002157A3">
              <w:rPr>
                <w:lang w:eastAsia="en-AU"/>
              </w:rPr>
              <w:t xml:space="preserve">Fabricated Metal Product Manufacturing </w:t>
            </w:r>
          </w:p>
        </w:tc>
        <w:tc>
          <w:tcPr>
            <w:tcW w:w="1275" w:type="dxa"/>
            <w:gridSpan w:val="2"/>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2.89</w:t>
            </w:r>
          </w:p>
        </w:tc>
        <w:tc>
          <w:tcPr>
            <w:tcW w:w="971"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20.3</w:t>
            </w:r>
          </w:p>
        </w:tc>
        <w:tc>
          <w:tcPr>
            <w:tcW w:w="1297"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3.95</w:t>
            </w:r>
          </w:p>
        </w:tc>
        <w:tc>
          <w:tcPr>
            <w:tcW w:w="1134"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9.52</w:t>
            </w:r>
          </w:p>
        </w:tc>
        <w:tc>
          <w:tcPr>
            <w:tcW w:w="992"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62.6</w:t>
            </w:r>
          </w:p>
        </w:tc>
        <w:tc>
          <w:tcPr>
            <w:tcW w:w="1134"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4.17</w:t>
            </w:r>
          </w:p>
        </w:tc>
        <w:tc>
          <w:tcPr>
            <w:tcW w:w="1418" w:type="dxa"/>
            <w:tcBorders>
              <w:right w:val="single" w:sz="4" w:space="0" w:color="595A5B" w:themeColor="text1"/>
            </w:tcBorders>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129.2</w:t>
            </w:r>
          </w:p>
        </w:tc>
        <w:tc>
          <w:tcPr>
            <w:tcW w:w="1134" w:type="dxa"/>
            <w:tcBorders>
              <w:left w:val="single" w:sz="4" w:space="0" w:color="595A5B" w:themeColor="text1"/>
            </w:tcBorders>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48.4</w:t>
            </w:r>
          </w:p>
        </w:tc>
        <w:tc>
          <w:tcPr>
            <w:tcW w:w="1417"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163.8</w:t>
            </w:r>
          </w:p>
        </w:tc>
      </w:tr>
      <w:tr w:rsidR="00CD045A" w:rsidRPr="002157A3" w:rsidTr="00997D7E">
        <w:trPr>
          <w:trHeight w:val="264"/>
        </w:trPr>
        <w:tc>
          <w:tcPr>
            <w:tcW w:w="4410" w:type="dxa"/>
            <w:shd w:val="clear" w:color="auto" w:fill="CAE7F3" w:themeFill="accent1" w:themeFillTint="33"/>
            <w:noWrap/>
            <w:vAlign w:val="bottom"/>
            <w:hideMark/>
          </w:tcPr>
          <w:p w:rsidR="00CD045A" w:rsidRPr="002157A3" w:rsidRDefault="00CD045A" w:rsidP="00DB555F">
            <w:pPr>
              <w:pStyle w:val="Tabletext"/>
              <w:ind w:left="333"/>
              <w:jc w:val="right"/>
              <w:rPr>
                <w:lang w:eastAsia="en-AU"/>
              </w:rPr>
            </w:pPr>
            <w:r w:rsidRPr="002157A3">
              <w:rPr>
                <w:lang w:eastAsia="en-AU"/>
              </w:rPr>
              <w:t xml:space="preserve">Transport Equipment Manufacturing </w:t>
            </w:r>
          </w:p>
        </w:tc>
        <w:tc>
          <w:tcPr>
            <w:tcW w:w="1275" w:type="dxa"/>
            <w:gridSpan w:val="2"/>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1.86</w:t>
            </w:r>
          </w:p>
        </w:tc>
        <w:tc>
          <w:tcPr>
            <w:tcW w:w="971"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16.4</w:t>
            </w:r>
          </w:p>
        </w:tc>
        <w:tc>
          <w:tcPr>
            <w:tcW w:w="1297"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2.30</w:t>
            </w:r>
          </w:p>
        </w:tc>
        <w:tc>
          <w:tcPr>
            <w:tcW w:w="1134"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5.28</w:t>
            </w:r>
          </w:p>
        </w:tc>
        <w:tc>
          <w:tcPr>
            <w:tcW w:w="992"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59.1</w:t>
            </w:r>
          </w:p>
        </w:tc>
        <w:tc>
          <w:tcPr>
            <w:tcW w:w="1134"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4.97</w:t>
            </w:r>
          </w:p>
        </w:tc>
        <w:tc>
          <w:tcPr>
            <w:tcW w:w="1418" w:type="dxa"/>
            <w:tcBorders>
              <w:right w:val="single" w:sz="4" w:space="0" w:color="595A5B" w:themeColor="text1"/>
            </w:tcBorders>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120.6</w:t>
            </w:r>
          </w:p>
        </w:tc>
        <w:tc>
          <w:tcPr>
            <w:tcW w:w="1134" w:type="dxa"/>
            <w:tcBorders>
              <w:left w:val="single" w:sz="4" w:space="0" w:color="595A5B" w:themeColor="text1"/>
            </w:tcBorders>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43.9</w:t>
            </w:r>
          </w:p>
        </w:tc>
        <w:tc>
          <w:tcPr>
            <w:tcW w:w="1417"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154.9</w:t>
            </w:r>
          </w:p>
        </w:tc>
      </w:tr>
      <w:tr w:rsidR="00CD045A" w:rsidRPr="002157A3" w:rsidTr="00997D7E">
        <w:trPr>
          <w:trHeight w:val="264"/>
        </w:trPr>
        <w:tc>
          <w:tcPr>
            <w:tcW w:w="4410" w:type="dxa"/>
            <w:shd w:val="clear" w:color="auto" w:fill="CAE7F3" w:themeFill="accent1" w:themeFillTint="33"/>
            <w:noWrap/>
            <w:vAlign w:val="bottom"/>
            <w:hideMark/>
          </w:tcPr>
          <w:p w:rsidR="00CD045A" w:rsidRPr="002157A3" w:rsidRDefault="00CD045A" w:rsidP="00DB555F">
            <w:pPr>
              <w:pStyle w:val="Tabletext"/>
              <w:ind w:left="333"/>
              <w:jc w:val="right"/>
              <w:rPr>
                <w:lang w:eastAsia="en-AU"/>
              </w:rPr>
            </w:pPr>
            <w:r w:rsidRPr="002157A3">
              <w:rPr>
                <w:lang w:eastAsia="en-AU"/>
              </w:rPr>
              <w:t xml:space="preserve">Machinery and Equipment Manufacturing </w:t>
            </w:r>
          </w:p>
        </w:tc>
        <w:tc>
          <w:tcPr>
            <w:tcW w:w="1275" w:type="dxa"/>
            <w:gridSpan w:val="2"/>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2.15</w:t>
            </w:r>
          </w:p>
        </w:tc>
        <w:tc>
          <w:tcPr>
            <w:tcW w:w="971"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16.3</w:t>
            </w:r>
          </w:p>
        </w:tc>
        <w:tc>
          <w:tcPr>
            <w:tcW w:w="1297"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3.39</w:t>
            </w:r>
          </w:p>
        </w:tc>
        <w:tc>
          <w:tcPr>
            <w:tcW w:w="1134"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5.11</w:t>
            </w:r>
          </w:p>
        </w:tc>
        <w:tc>
          <w:tcPr>
            <w:tcW w:w="992"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68.5</w:t>
            </w:r>
          </w:p>
        </w:tc>
        <w:tc>
          <w:tcPr>
            <w:tcW w:w="1134"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5.80</w:t>
            </w:r>
          </w:p>
        </w:tc>
        <w:tc>
          <w:tcPr>
            <w:tcW w:w="1418" w:type="dxa"/>
            <w:tcBorders>
              <w:right w:val="single" w:sz="4" w:space="0" w:color="595A5B" w:themeColor="text1"/>
            </w:tcBorders>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137.7</w:t>
            </w:r>
          </w:p>
        </w:tc>
        <w:tc>
          <w:tcPr>
            <w:tcW w:w="1134" w:type="dxa"/>
            <w:tcBorders>
              <w:left w:val="single" w:sz="4" w:space="0" w:color="595A5B" w:themeColor="text1"/>
            </w:tcBorders>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54.8</w:t>
            </w:r>
          </w:p>
        </w:tc>
        <w:tc>
          <w:tcPr>
            <w:tcW w:w="1417"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172.7</w:t>
            </w:r>
          </w:p>
        </w:tc>
      </w:tr>
      <w:tr w:rsidR="00CD045A" w:rsidRPr="002157A3" w:rsidTr="00997D7E">
        <w:trPr>
          <w:trHeight w:val="264"/>
        </w:trPr>
        <w:tc>
          <w:tcPr>
            <w:tcW w:w="4410" w:type="dxa"/>
            <w:shd w:val="clear" w:color="auto" w:fill="CAE7F3" w:themeFill="accent1" w:themeFillTint="33"/>
            <w:noWrap/>
            <w:vAlign w:val="bottom"/>
            <w:hideMark/>
          </w:tcPr>
          <w:p w:rsidR="00CD045A" w:rsidRPr="002157A3" w:rsidRDefault="00CD045A" w:rsidP="00DB555F">
            <w:pPr>
              <w:pStyle w:val="Tabletext"/>
              <w:ind w:left="333"/>
              <w:jc w:val="right"/>
              <w:rPr>
                <w:lang w:eastAsia="en-AU"/>
              </w:rPr>
            </w:pPr>
            <w:r w:rsidRPr="002157A3">
              <w:rPr>
                <w:lang w:eastAsia="en-AU"/>
              </w:rPr>
              <w:t xml:space="preserve">Furniture and Other Manufacturing </w:t>
            </w:r>
          </w:p>
        </w:tc>
        <w:tc>
          <w:tcPr>
            <w:tcW w:w="1275" w:type="dxa"/>
            <w:gridSpan w:val="2"/>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3.64</w:t>
            </w:r>
          </w:p>
        </w:tc>
        <w:tc>
          <w:tcPr>
            <w:tcW w:w="971"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23.6</w:t>
            </w:r>
          </w:p>
        </w:tc>
        <w:tc>
          <w:tcPr>
            <w:tcW w:w="1297"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4.10</w:t>
            </w:r>
          </w:p>
        </w:tc>
        <w:tc>
          <w:tcPr>
            <w:tcW w:w="1134"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14.14</w:t>
            </w:r>
          </w:p>
        </w:tc>
        <w:tc>
          <w:tcPr>
            <w:tcW w:w="992"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63.0</w:t>
            </w:r>
          </w:p>
        </w:tc>
        <w:tc>
          <w:tcPr>
            <w:tcW w:w="1134"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3.33</w:t>
            </w:r>
          </w:p>
        </w:tc>
        <w:tc>
          <w:tcPr>
            <w:tcW w:w="1418" w:type="dxa"/>
            <w:tcBorders>
              <w:right w:val="single" w:sz="4" w:space="0" w:color="595A5B" w:themeColor="text1"/>
            </w:tcBorders>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100.6</w:t>
            </w:r>
          </w:p>
        </w:tc>
        <w:tc>
          <w:tcPr>
            <w:tcW w:w="1134" w:type="dxa"/>
            <w:tcBorders>
              <w:left w:val="single" w:sz="4" w:space="0" w:color="595A5B" w:themeColor="text1"/>
            </w:tcBorders>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48.3</w:t>
            </w:r>
          </w:p>
        </w:tc>
        <w:tc>
          <w:tcPr>
            <w:tcW w:w="1417"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112.6</w:t>
            </w:r>
          </w:p>
        </w:tc>
      </w:tr>
      <w:tr w:rsidR="00CD045A" w:rsidRPr="0012621E" w:rsidTr="00997D7E">
        <w:trPr>
          <w:trHeight w:val="255"/>
        </w:trPr>
        <w:tc>
          <w:tcPr>
            <w:tcW w:w="4425" w:type="dxa"/>
            <w:gridSpan w:val="2"/>
            <w:shd w:val="clear" w:color="auto" w:fill="CAE7F3" w:themeFill="accent1" w:themeFillTint="33"/>
            <w:noWrap/>
            <w:vAlign w:val="bottom"/>
            <w:hideMark/>
          </w:tcPr>
          <w:p w:rsidR="00CD045A" w:rsidRPr="0012621E" w:rsidRDefault="00CD045A" w:rsidP="004619D1">
            <w:pPr>
              <w:pStyle w:val="Tabletext"/>
              <w:jc w:val="right"/>
              <w:rPr>
                <w:i/>
                <w:lang w:eastAsia="en-AU"/>
              </w:rPr>
            </w:pPr>
            <w:r w:rsidRPr="0012621E">
              <w:rPr>
                <w:i/>
                <w:lang w:eastAsia="en-AU"/>
              </w:rPr>
              <w:t>ELECTRICITY, GAS, WATER</w:t>
            </w:r>
            <w:r w:rsidR="004619D1">
              <w:rPr>
                <w:i/>
                <w:lang w:eastAsia="en-AU"/>
              </w:rPr>
              <w:br/>
            </w:r>
            <w:r w:rsidRPr="0012621E">
              <w:rPr>
                <w:i/>
                <w:lang w:eastAsia="en-AU"/>
              </w:rPr>
              <w:t xml:space="preserve">AND WASTE SERVICES </w:t>
            </w:r>
          </w:p>
        </w:tc>
        <w:tc>
          <w:tcPr>
            <w:tcW w:w="1260" w:type="dxa"/>
            <w:shd w:val="clear" w:color="auto" w:fill="CAE7F3" w:themeFill="accent1" w:themeFillTint="33"/>
            <w:vAlign w:val="bottom"/>
          </w:tcPr>
          <w:p w:rsidR="00CD045A" w:rsidRPr="0012621E" w:rsidRDefault="00CD045A" w:rsidP="00DB555F">
            <w:pPr>
              <w:pStyle w:val="Tabletext"/>
              <w:jc w:val="right"/>
              <w:rPr>
                <w:i/>
                <w:lang w:eastAsia="en-AU"/>
              </w:rPr>
            </w:pPr>
          </w:p>
        </w:tc>
        <w:tc>
          <w:tcPr>
            <w:tcW w:w="971" w:type="dxa"/>
            <w:shd w:val="clear" w:color="auto" w:fill="CAE7F3" w:themeFill="accent1" w:themeFillTint="33"/>
            <w:noWrap/>
            <w:vAlign w:val="bottom"/>
            <w:hideMark/>
          </w:tcPr>
          <w:p w:rsidR="00CD045A" w:rsidRPr="0012621E" w:rsidRDefault="00CD045A" w:rsidP="00DB555F">
            <w:pPr>
              <w:pStyle w:val="Tabletext"/>
              <w:jc w:val="right"/>
              <w:rPr>
                <w:i/>
                <w:lang w:eastAsia="en-AU"/>
              </w:rPr>
            </w:pPr>
          </w:p>
        </w:tc>
        <w:tc>
          <w:tcPr>
            <w:tcW w:w="1297" w:type="dxa"/>
            <w:shd w:val="clear" w:color="auto" w:fill="CAE7F3" w:themeFill="accent1" w:themeFillTint="33"/>
            <w:noWrap/>
            <w:vAlign w:val="bottom"/>
            <w:hideMark/>
          </w:tcPr>
          <w:p w:rsidR="00CD045A" w:rsidRPr="0012621E" w:rsidRDefault="00CD045A" w:rsidP="00DB555F">
            <w:pPr>
              <w:pStyle w:val="Tabletext"/>
              <w:jc w:val="right"/>
              <w:rPr>
                <w:i/>
                <w:lang w:eastAsia="en-AU"/>
              </w:rPr>
            </w:pPr>
          </w:p>
        </w:tc>
        <w:tc>
          <w:tcPr>
            <w:tcW w:w="1134" w:type="dxa"/>
            <w:shd w:val="clear" w:color="auto" w:fill="CAE7F3" w:themeFill="accent1" w:themeFillTint="33"/>
            <w:noWrap/>
            <w:vAlign w:val="bottom"/>
            <w:hideMark/>
          </w:tcPr>
          <w:p w:rsidR="00CD045A" w:rsidRPr="0012621E" w:rsidRDefault="00CD045A" w:rsidP="00DB555F">
            <w:pPr>
              <w:pStyle w:val="Tabletext"/>
              <w:jc w:val="right"/>
              <w:rPr>
                <w:i/>
                <w:lang w:eastAsia="en-AU"/>
              </w:rPr>
            </w:pPr>
          </w:p>
        </w:tc>
        <w:tc>
          <w:tcPr>
            <w:tcW w:w="992" w:type="dxa"/>
            <w:shd w:val="clear" w:color="auto" w:fill="CAE7F3" w:themeFill="accent1" w:themeFillTint="33"/>
            <w:noWrap/>
            <w:vAlign w:val="bottom"/>
            <w:hideMark/>
          </w:tcPr>
          <w:p w:rsidR="00CD045A" w:rsidRPr="0012621E" w:rsidRDefault="00CD045A" w:rsidP="00DB555F">
            <w:pPr>
              <w:pStyle w:val="Tabletext"/>
              <w:jc w:val="right"/>
              <w:rPr>
                <w:i/>
                <w:lang w:eastAsia="en-AU"/>
              </w:rPr>
            </w:pPr>
          </w:p>
        </w:tc>
        <w:tc>
          <w:tcPr>
            <w:tcW w:w="1134" w:type="dxa"/>
            <w:shd w:val="clear" w:color="auto" w:fill="CAE7F3" w:themeFill="accent1" w:themeFillTint="33"/>
            <w:noWrap/>
            <w:vAlign w:val="bottom"/>
            <w:hideMark/>
          </w:tcPr>
          <w:p w:rsidR="00CD045A" w:rsidRPr="0012621E" w:rsidRDefault="00CD045A" w:rsidP="00DB555F">
            <w:pPr>
              <w:pStyle w:val="Tabletext"/>
              <w:jc w:val="right"/>
              <w:rPr>
                <w:i/>
                <w:lang w:eastAsia="en-AU"/>
              </w:rPr>
            </w:pPr>
          </w:p>
        </w:tc>
        <w:tc>
          <w:tcPr>
            <w:tcW w:w="1418" w:type="dxa"/>
            <w:tcBorders>
              <w:right w:val="single" w:sz="4" w:space="0" w:color="595A5B" w:themeColor="text1"/>
            </w:tcBorders>
            <w:shd w:val="clear" w:color="auto" w:fill="CAE7F3" w:themeFill="accent1" w:themeFillTint="33"/>
            <w:noWrap/>
            <w:vAlign w:val="bottom"/>
            <w:hideMark/>
          </w:tcPr>
          <w:p w:rsidR="00CD045A" w:rsidRPr="0012621E" w:rsidRDefault="00CD045A" w:rsidP="00DB555F">
            <w:pPr>
              <w:pStyle w:val="Tabletext"/>
              <w:jc w:val="right"/>
              <w:rPr>
                <w:i/>
                <w:lang w:eastAsia="en-AU"/>
              </w:rPr>
            </w:pPr>
          </w:p>
        </w:tc>
        <w:tc>
          <w:tcPr>
            <w:tcW w:w="1134" w:type="dxa"/>
            <w:tcBorders>
              <w:left w:val="single" w:sz="4" w:space="0" w:color="595A5B" w:themeColor="text1"/>
            </w:tcBorders>
            <w:shd w:val="clear" w:color="auto" w:fill="CAE7F3" w:themeFill="accent1" w:themeFillTint="33"/>
            <w:noWrap/>
            <w:vAlign w:val="bottom"/>
            <w:hideMark/>
          </w:tcPr>
          <w:p w:rsidR="00CD045A" w:rsidRPr="0012621E" w:rsidRDefault="00CD045A" w:rsidP="00DB555F">
            <w:pPr>
              <w:pStyle w:val="Tabletext"/>
              <w:jc w:val="right"/>
              <w:rPr>
                <w:i/>
                <w:lang w:eastAsia="en-AU"/>
              </w:rPr>
            </w:pPr>
          </w:p>
        </w:tc>
        <w:tc>
          <w:tcPr>
            <w:tcW w:w="1417" w:type="dxa"/>
            <w:shd w:val="clear" w:color="auto" w:fill="CAE7F3" w:themeFill="accent1" w:themeFillTint="33"/>
            <w:noWrap/>
            <w:vAlign w:val="bottom"/>
            <w:hideMark/>
          </w:tcPr>
          <w:p w:rsidR="00CD045A" w:rsidRPr="0012621E" w:rsidRDefault="00CD045A" w:rsidP="00DB555F">
            <w:pPr>
              <w:pStyle w:val="Tabletext"/>
              <w:jc w:val="right"/>
              <w:rPr>
                <w:i/>
                <w:lang w:eastAsia="en-AU"/>
              </w:rPr>
            </w:pPr>
          </w:p>
        </w:tc>
      </w:tr>
      <w:tr w:rsidR="00CD045A" w:rsidRPr="002157A3" w:rsidTr="00997D7E">
        <w:trPr>
          <w:trHeight w:val="264"/>
        </w:trPr>
        <w:tc>
          <w:tcPr>
            <w:tcW w:w="4410" w:type="dxa"/>
            <w:shd w:val="clear" w:color="auto" w:fill="CAE7F3" w:themeFill="accent1" w:themeFillTint="33"/>
            <w:noWrap/>
            <w:vAlign w:val="bottom"/>
            <w:hideMark/>
          </w:tcPr>
          <w:p w:rsidR="00CD045A" w:rsidRPr="002157A3" w:rsidRDefault="00CD045A" w:rsidP="00DB555F">
            <w:pPr>
              <w:pStyle w:val="Tabletext"/>
              <w:ind w:left="333"/>
              <w:jc w:val="right"/>
              <w:rPr>
                <w:lang w:eastAsia="en-AU"/>
              </w:rPr>
            </w:pPr>
            <w:r w:rsidRPr="002157A3">
              <w:rPr>
                <w:lang w:eastAsia="en-AU"/>
              </w:rPr>
              <w:t xml:space="preserve">Water Supply, Sewerage and Drainage Services </w:t>
            </w:r>
          </w:p>
        </w:tc>
        <w:tc>
          <w:tcPr>
            <w:tcW w:w="1275" w:type="dxa"/>
            <w:gridSpan w:val="2"/>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3.21</w:t>
            </w:r>
          </w:p>
        </w:tc>
        <w:tc>
          <w:tcPr>
            <w:tcW w:w="971"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22.2</w:t>
            </w:r>
          </w:p>
        </w:tc>
        <w:tc>
          <w:tcPr>
            <w:tcW w:w="1297"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2.97</w:t>
            </w:r>
          </w:p>
        </w:tc>
        <w:tc>
          <w:tcPr>
            <w:tcW w:w="1134"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3.16</w:t>
            </w:r>
          </w:p>
        </w:tc>
        <w:tc>
          <w:tcPr>
            <w:tcW w:w="992"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57.7</w:t>
            </w:r>
          </w:p>
        </w:tc>
        <w:tc>
          <w:tcPr>
            <w:tcW w:w="1134"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13.52</w:t>
            </w:r>
          </w:p>
        </w:tc>
        <w:tc>
          <w:tcPr>
            <w:tcW w:w="1418" w:type="dxa"/>
            <w:tcBorders>
              <w:right w:val="single" w:sz="4" w:space="0" w:color="595A5B" w:themeColor="text1"/>
            </w:tcBorders>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186.6</w:t>
            </w:r>
          </w:p>
        </w:tc>
        <w:tc>
          <w:tcPr>
            <w:tcW w:w="1134" w:type="dxa"/>
            <w:tcBorders>
              <w:left w:val="single" w:sz="4" w:space="0" w:color="595A5B" w:themeColor="text1"/>
            </w:tcBorders>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42.3</w:t>
            </w:r>
          </w:p>
        </w:tc>
        <w:tc>
          <w:tcPr>
            <w:tcW w:w="1417"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210.5</w:t>
            </w:r>
          </w:p>
        </w:tc>
      </w:tr>
      <w:tr w:rsidR="00CD045A" w:rsidRPr="002157A3" w:rsidTr="00997D7E">
        <w:trPr>
          <w:trHeight w:val="264"/>
        </w:trPr>
        <w:tc>
          <w:tcPr>
            <w:tcW w:w="4410" w:type="dxa"/>
            <w:shd w:val="clear" w:color="auto" w:fill="CAE7F3" w:themeFill="accent1" w:themeFillTint="33"/>
            <w:noWrap/>
            <w:vAlign w:val="bottom"/>
            <w:hideMark/>
          </w:tcPr>
          <w:p w:rsidR="00CD045A" w:rsidRPr="002157A3" w:rsidRDefault="00CD045A" w:rsidP="00DB555F">
            <w:pPr>
              <w:pStyle w:val="Tabletext"/>
              <w:ind w:left="333"/>
              <w:jc w:val="right"/>
              <w:rPr>
                <w:lang w:eastAsia="en-AU"/>
              </w:rPr>
            </w:pPr>
            <w:r w:rsidRPr="002157A3">
              <w:rPr>
                <w:lang w:eastAsia="en-AU"/>
              </w:rPr>
              <w:t xml:space="preserve">Waste Collection, Treatment and Disposal Services </w:t>
            </w:r>
          </w:p>
        </w:tc>
        <w:tc>
          <w:tcPr>
            <w:tcW w:w="1275" w:type="dxa"/>
            <w:gridSpan w:val="2"/>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3.04</w:t>
            </w:r>
          </w:p>
        </w:tc>
        <w:tc>
          <w:tcPr>
            <w:tcW w:w="971"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20.4</w:t>
            </w:r>
          </w:p>
        </w:tc>
        <w:tc>
          <w:tcPr>
            <w:tcW w:w="1297"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3.43</w:t>
            </w:r>
          </w:p>
        </w:tc>
        <w:tc>
          <w:tcPr>
            <w:tcW w:w="1134"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12.16</w:t>
            </w:r>
          </w:p>
        </w:tc>
        <w:tc>
          <w:tcPr>
            <w:tcW w:w="992"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65.1</w:t>
            </w:r>
          </w:p>
        </w:tc>
        <w:tc>
          <w:tcPr>
            <w:tcW w:w="1134"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2.52</w:t>
            </w:r>
          </w:p>
        </w:tc>
        <w:tc>
          <w:tcPr>
            <w:tcW w:w="1418" w:type="dxa"/>
            <w:tcBorders>
              <w:right w:val="single" w:sz="4" w:space="0" w:color="595A5B" w:themeColor="text1"/>
            </w:tcBorders>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123.5</w:t>
            </w:r>
          </w:p>
        </w:tc>
        <w:tc>
          <w:tcPr>
            <w:tcW w:w="1134" w:type="dxa"/>
            <w:tcBorders>
              <w:left w:val="single" w:sz="4" w:space="0" w:color="595A5B" w:themeColor="text1"/>
            </w:tcBorders>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50.9</w:t>
            </w:r>
          </w:p>
        </w:tc>
        <w:tc>
          <w:tcPr>
            <w:tcW w:w="1417"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160.6</w:t>
            </w:r>
          </w:p>
        </w:tc>
      </w:tr>
      <w:tr w:rsidR="00CD045A" w:rsidRPr="0012621E" w:rsidTr="00997D7E">
        <w:trPr>
          <w:trHeight w:val="255"/>
        </w:trPr>
        <w:tc>
          <w:tcPr>
            <w:tcW w:w="4410" w:type="dxa"/>
            <w:shd w:val="clear" w:color="auto" w:fill="CAE7F3" w:themeFill="accent1" w:themeFillTint="33"/>
            <w:noWrap/>
            <w:vAlign w:val="bottom"/>
            <w:hideMark/>
          </w:tcPr>
          <w:p w:rsidR="00CD045A" w:rsidRPr="0012621E" w:rsidRDefault="00CD045A" w:rsidP="00DB555F">
            <w:pPr>
              <w:pStyle w:val="Tabletext"/>
              <w:jc w:val="right"/>
              <w:rPr>
                <w:i/>
                <w:lang w:eastAsia="en-AU"/>
              </w:rPr>
            </w:pPr>
            <w:r w:rsidRPr="0012621E">
              <w:rPr>
                <w:i/>
                <w:lang w:eastAsia="en-AU"/>
              </w:rPr>
              <w:t xml:space="preserve">CONSTRUCTION </w:t>
            </w:r>
          </w:p>
        </w:tc>
        <w:tc>
          <w:tcPr>
            <w:tcW w:w="1275" w:type="dxa"/>
            <w:gridSpan w:val="2"/>
            <w:shd w:val="clear" w:color="auto" w:fill="CAE7F3" w:themeFill="accent1" w:themeFillTint="33"/>
            <w:noWrap/>
            <w:vAlign w:val="bottom"/>
            <w:hideMark/>
          </w:tcPr>
          <w:p w:rsidR="00CD045A" w:rsidRPr="0012621E" w:rsidRDefault="00CD045A" w:rsidP="00DB555F">
            <w:pPr>
              <w:pStyle w:val="Tabletext"/>
              <w:jc w:val="right"/>
              <w:rPr>
                <w:i/>
                <w:lang w:eastAsia="en-AU"/>
              </w:rPr>
            </w:pPr>
          </w:p>
        </w:tc>
        <w:tc>
          <w:tcPr>
            <w:tcW w:w="971" w:type="dxa"/>
            <w:shd w:val="clear" w:color="auto" w:fill="CAE7F3" w:themeFill="accent1" w:themeFillTint="33"/>
            <w:noWrap/>
            <w:vAlign w:val="bottom"/>
            <w:hideMark/>
          </w:tcPr>
          <w:p w:rsidR="00CD045A" w:rsidRPr="0012621E" w:rsidRDefault="00CD045A" w:rsidP="00DB555F">
            <w:pPr>
              <w:pStyle w:val="Tabletext"/>
              <w:jc w:val="right"/>
              <w:rPr>
                <w:i/>
                <w:lang w:eastAsia="en-AU"/>
              </w:rPr>
            </w:pPr>
          </w:p>
        </w:tc>
        <w:tc>
          <w:tcPr>
            <w:tcW w:w="1297" w:type="dxa"/>
            <w:shd w:val="clear" w:color="auto" w:fill="CAE7F3" w:themeFill="accent1" w:themeFillTint="33"/>
            <w:noWrap/>
            <w:vAlign w:val="bottom"/>
            <w:hideMark/>
          </w:tcPr>
          <w:p w:rsidR="00CD045A" w:rsidRPr="0012621E" w:rsidRDefault="00CD045A" w:rsidP="00DB555F">
            <w:pPr>
              <w:pStyle w:val="Tabletext"/>
              <w:jc w:val="right"/>
              <w:rPr>
                <w:i/>
                <w:lang w:eastAsia="en-AU"/>
              </w:rPr>
            </w:pPr>
          </w:p>
        </w:tc>
        <w:tc>
          <w:tcPr>
            <w:tcW w:w="1134" w:type="dxa"/>
            <w:shd w:val="clear" w:color="auto" w:fill="CAE7F3" w:themeFill="accent1" w:themeFillTint="33"/>
            <w:noWrap/>
            <w:vAlign w:val="bottom"/>
            <w:hideMark/>
          </w:tcPr>
          <w:p w:rsidR="00CD045A" w:rsidRPr="0012621E" w:rsidRDefault="00CD045A" w:rsidP="00DB555F">
            <w:pPr>
              <w:pStyle w:val="Tabletext"/>
              <w:jc w:val="right"/>
              <w:rPr>
                <w:i/>
                <w:lang w:eastAsia="en-AU"/>
              </w:rPr>
            </w:pPr>
          </w:p>
        </w:tc>
        <w:tc>
          <w:tcPr>
            <w:tcW w:w="992" w:type="dxa"/>
            <w:shd w:val="clear" w:color="auto" w:fill="CAE7F3" w:themeFill="accent1" w:themeFillTint="33"/>
            <w:noWrap/>
            <w:vAlign w:val="bottom"/>
            <w:hideMark/>
          </w:tcPr>
          <w:p w:rsidR="00CD045A" w:rsidRPr="0012621E" w:rsidRDefault="00CD045A" w:rsidP="00DB555F">
            <w:pPr>
              <w:pStyle w:val="Tabletext"/>
              <w:jc w:val="right"/>
              <w:rPr>
                <w:i/>
                <w:lang w:eastAsia="en-AU"/>
              </w:rPr>
            </w:pPr>
          </w:p>
        </w:tc>
        <w:tc>
          <w:tcPr>
            <w:tcW w:w="1134" w:type="dxa"/>
            <w:shd w:val="clear" w:color="auto" w:fill="CAE7F3" w:themeFill="accent1" w:themeFillTint="33"/>
            <w:noWrap/>
            <w:vAlign w:val="bottom"/>
            <w:hideMark/>
          </w:tcPr>
          <w:p w:rsidR="00CD045A" w:rsidRPr="0012621E" w:rsidRDefault="00CD045A" w:rsidP="00DB555F">
            <w:pPr>
              <w:pStyle w:val="Tabletext"/>
              <w:jc w:val="right"/>
              <w:rPr>
                <w:i/>
                <w:lang w:eastAsia="en-AU"/>
              </w:rPr>
            </w:pPr>
          </w:p>
        </w:tc>
        <w:tc>
          <w:tcPr>
            <w:tcW w:w="1418" w:type="dxa"/>
            <w:tcBorders>
              <w:right w:val="single" w:sz="4" w:space="0" w:color="595A5B" w:themeColor="text1"/>
            </w:tcBorders>
            <w:shd w:val="clear" w:color="auto" w:fill="CAE7F3" w:themeFill="accent1" w:themeFillTint="33"/>
            <w:noWrap/>
            <w:vAlign w:val="bottom"/>
            <w:hideMark/>
          </w:tcPr>
          <w:p w:rsidR="00CD045A" w:rsidRPr="0012621E" w:rsidRDefault="00CD045A" w:rsidP="00DB555F">
            <w:pPr>
              <w:pStyle w:val="Tabletext"/>
              <w:jc w:val="right"/>
              <w:rPr>
                <w:i/>
                <w:lang w:eastAsia="en-AU"/>
              </w:rPr>
            </w:pPr>
          </w:p>
        </w:tc>
        <w:tc>
          <w:tcPr>
            <w:tcW w:w="1134" w:type="dxa"/>
            <w:tcBorders>
              <w:left w:val="single" w:sz="4" w:space="0" w:color="595A5B" w:themeColor="text1"/>
            </w:tcBorders>
            <w:shd w:val="clear" w:color="auto" w:fill="CAE7F3" w:themeFill="accent1" w:themeFillTint="33"/>
            <w:noWrap/>
            <w:vAlign w:val="bottom"/>
            <w:hideMark/>
          </w:tcPr>
          <w:p w:rsidR="00CD045A" w:rsidRPr="0012621E" w:rsidRDefault="00CD045A" w:rsidP="00DB555F">
            <w:pPr>
              <w:pStyle w:val="Tabletext"/>
              <w:jc w:val="right"/>
              <w:rPr>
                <w:i/>
                <w:lang w:eastAsia="en-AU"/>
              </w:rPr>
            </w:pPr>
          </w:p>
        </w:tc>
        <w:tc>
          <w:tcPr>
            <w:tcW w:w="1417" w:type="dxa"/>
            <w:shd w:val="clear" w:color="auto" w:fill="CAE7F3" w:themeFill="accent1" w:themeFillTint="33"/>
            <w:noWrap/>
            <w:vAlign w:val="bottom"/>
            <w:hideMark/>
          </w:tcPr>
          <w:p w:rsidR="00CD045A" w:rsidRPr="0012621E" w:rsidRDefault="00CD045A" w:rsidP="00DB555F">
            <w:pPr>
              <w:pStyle w:val="Tabletext"/>
              <w:jc w:val="right"/>
              <w:rPr>
                <w:i/>
                <w:lang w:eastAsia="en-AU"/>
              </w:rPr>
            </w:pPr>
          </w:p>
        </w:tc>
      </w:tr>
      <w:tr w:rsidR="00CD045A" w:rsidRPr="002157A3" w:rsidTr="00997D7E">
        <w:trPr>
          <w:trHeight w:val="264"/>
        </w:trPr>
        <w:tc>
          <w:tcPr>
            <w:tcW w:w="4410" w:type="dxa"/>
            <w:shd w:val="clear" w:color="auto" w:fill="CAE7F3" w:themeFill="accent1" w:themeFillTint="33"/>
            <w:noWrap/>
            <w:vAlign w:val="bottom"/>
            <w:hideMark/>
          </w:tcPr>
          <w:p w:rsidR="00CD045A" w:rsidRPr="002157A3" w:rsidRDefault="00CD045A" w:rsidP="00DB555F">
            <w:pPr>
              <w:pStyle w:val="Tabletext"/>
              <w:ind w:left="333"/>
              <w:jc w:val="right"/>
              <w:rPr>
                <w:lang w:eastAsia="en-AU"/>
              </w:rPr>
            </w:pPr>
            <w:r w:rsidRPr="002157A3">
              <w:rPr>
                <w:lang w:eastAsia="en-AU"/>
              </w:rPr>
              <w:t xml:space="preserve">Building Construction </w:t>
            </w:r>
          </w:p>
        </w:tc>
        <w:tc>
          <w:tcPr>
            <w:tcW w:w="1275" w:type="dxa"/>
            <w:gridSpan w:val="2"/>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4.37</w:t>
            </w:r>
          </w:p>
        </w:tc>
        <w:tc>
          <w:tcPr>
            <w:tcW w:w="971"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21.2</w:t>
            </w:r>
          </w:p>
        </w:tc>
        <w:tc>
          <w:tcPr>
            <w:tcW w:w="1297"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5.87</w:t>
            </w:r>
          </w:p>
        </w:tc>
        <w:tc>
          <w:tcPr>
            <w:tcW w:w="1134"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37.60</w:t>
            </w:r>
          </w:p>
        </w:tc>
        <w:tc>
          <w:tcPr>
            <w:tcW w:w="992"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52.7</w:t>
            </w:r>
          </w:p>
        </w:tc>
        <w:tc>
          <w:tcPr>
            <w:tcW w:w="1134"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1.74</w:t>
            </w:r>
          </w:p>
        </w:tc>
        <w:tc>
          <w:tcPr>
            <w:tcW w:w="1418" w:type="dxa"/>
            <w:tcBorders>
              <w:right w:val="single" w:sz="4" w:space="0" w:color="595A5B" w:themeColor="text1"/>
            </w:tcBorders>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128.6</w:t>
            </w:r>
          </w:p>
        </w:tc>
        <w:tc>
          <w:tcPr>
            <w:tcW w:w="1134" w:type="dxa"/>
            <w:tcBorders>
              <w:left w:val="single" w:sz="4" w:space="0" w:color="595A5B" w:themeColor="text1"/>
            </w:tcBorders>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41.2</w:t>
            </w:r>
          </w:p>
        </w:tc>
        <w:tc>
          <w:tcPr>
            <w:tcW w:w="1417"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150.2</w:t>
            </w:r>
          </w:p>
        </w:tc>
      </w:tr>
      <w:tr w:rsidR="00CD045A" w:rsidRPr="002157A3" w:rsidTr="00997D7E">
        <w:trPr>
          <w:trHeight w:val="264"/>
        </w:trPr>
        <w:tc>
          <w:tcPr>
            <w:tcW w:w="4410" w:type="dxa"/>
            <w:shd w:val="clear" w:color="auto" w:fill="CAE7F3" w:themeFill="accent1" w:themeFillTint="33"/>
            <w:noWrap/>
            <w:vAlign w:val="bottom"/>
            <w:hideMark/>
          </w:tcPr>
          <w:p w:rsidR="00CD045A" w:rsidRPr="002157A3" w:rsidRDefault="00CD045A" w:rsidP="00DB555F">
            <w:pPr>
              <w:pStyle w:val="Tabletext"/>
              <w:ind w:left="333"/>
              <w:jc w:val="right"/>
              <w:rPr>
                <w:lang w:eastAsia="en-AU"/>
              </w:rPr>
            </w:pPr>
            <w:r w:rsidRPr="002157A3">
              <w:rPr>
                <w:lang w:eastAsia="en-AU"/>
              </w:rPr>
              <w:t xml:space="preserve">Heavy and Civil Engineering Construction </w:t>
            </w:r>
          </w:p>
        </w:tc>
        <w:tc>
          <w:tcPr>
            <w:tcW w:w="1275" w:type="dxa"/>
            <w:gridSpan w:val="2"/>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2.89</w:t>
            </w:r>
          </w:p>
        </w:tc>
        <w:tc>
          <w:tcPr>
            <w:tcW w:w="971"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15.8</w:t>
            </w:r>
          </w:p>
        </w:tc>
        <w:tc>
          <w:tcPr>
            <w:tcW w:w="1297"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4.56</w:t>
            </w:r>
          </w:p>
        </w:tc>
        <w:tc>
          <w:tcPr>
            <w:tcW w:w="1134"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9.37</w:t>
            </w:r>
          </w:p>
        </w:tc>
        <w:tc>
          <w:tcPr>
            <w:tcW w:w="992"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55.1</w:t>
            </w:r>
          </w:p>
        </w:tc>
        <w:tc>
          <w:tcPr>
            <w:tcW w:w="1134"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4.55</w:t>
            </w:r>
          </w:p>
        </w:tc>
        <w:tc>
          <w:tcPr>
            <w:tcW w:w="1418" w:type="dxa"/>
            <w:tcBorders>
              <w:right w:val="single" w:sz="4" w:space="0" w:color="595A5B" w:themeColor="text1"/>
            </w:tcBorders>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144.5</w:t>
            </w:r>
          </w:p>
        </w:tc>
        <w:tc>
          <w:tcPr>
            <w:tcW w:w="1134" w:type="dxa"/>
            <w:tcBorders>
              <w:left w:val="single" w:sz="4" w:space="0" w:color="595A5B" w:themeColor="text1"/>
            </w:tcBorders>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41.4</w:t>
            </w:r>
          </w:p>
        </w:tc>
        <w:tc>
          <w:tcPr>
            <w:tcW w:w="1417"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194.7</w:t>
            </w:r>
          </w:p>
        </w:tc>
      </w:tr>
      <w:tr w:rsidR="00CD045A" w:rsidRPr="002157A3" w:rsidTr="00997D7E">
        <w:trPr>
          <w:trHeight w:val="264"/>
        </w:trPr>
        <w:tc>
          <w:tcPr>
            <w:tcW w:w="4410" w:type="dxa"/>
            <w:shd w:val="clear" w:color="auto" w:fill="CAE7F3" w:themeFill="accent1" w:themeFillTint="33"/>
            <w:noWrap/>
            <w:vAlign w:val="bottom"/>
            <w:hideMark/>
          </w:tcPr>
          <w:p w:rsidR="00CD045A" w:rsidRPr="002157A3" w:rsidRDefault="00CD045A" w:rsidP="00DB555F">
            <w:pPr>
              <w:pStyle w:val="Tabletext"/>
              <w:ind w:left="333"/>
              <w:jc w:val="right"/>
              <w:rPr>
                <w:lang w:eastAsia="en-AU"/>
              </w:rPr>
            </w:pPr>
            <w:r w:rsidRPr="002157A3">
              <w:rPr>
                <w:lang w:eastAsia="en-AU"/>
              </w:rPr>
              <w:t xml:space="preserve">Construction Services </w:t>
            </w:r>
          </w:p>
        </w:tc>
        <w:tc>
          <w:tcPr>
            <w:tcW w:w="1275" w:type="dxa"/>
            <w:gridSpan w:val="2"/>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5.66</w:t>
            </w:r>
          </w:p>
        </w:tc>
        <w:tc>
          <w:tcPr>
            <w:tcW w:w="971"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24.8</w:t>
            </w:r>
          </w:p>
        </w:tc>
        <w:tc>
          <w:tcPr>
            <w:tcW w:w="1297"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7.43</w:t>
            </w:r>
          </w:p>
        </w:tc>
        <w:tc>
          <w:tcPr>
            <w:tcW w:w="1134"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49.60</w:t>
            </w:r>
          </w:p>
        </w:tc>
        <w:tc>
          <w:tcPr>
            <w:tcW w:w="992"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57.4</w:t>
            </w:r>
          </w:p>
        </w:tc>
        <w:tc>
          <w:tcPr>
            <w:tcW w:w="1134"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1.48</w:t>
            </w:r>
          </w:p>
        </w:tc>
        <w:tc>
          <w:tcPr>
            <w:tcW w:w="1418" w:type="dxa"/>
            <w:tcBorders>
              <w:right w:val="single" w:sz="4" w:space="0" w:color="595A5B" w:themeColor="text1"/>
            </w:tcBorders>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124.1</w:t>
            </w:r>
          </w:p>
        </w:tc>
        <w:tc>
          <w:tcPr>
            <w:tcW w:w="1134" w:type="dxa"/>
            <w:tcBorders>
              <w:left w:val="single" w:sz="4" w:space="0" w:color="595A5B" w:themeColor="text1"/>
            </w:tcBorders>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43.9</w:t>
            </w:r>
          </w:p>
        </w:tc>
        <w:tc>
          <w:tcPr>
            <w:tcW w:w="1417"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138.9</w:t>
            </w:r>
          </w:p>
        </w:tc>
      </w:tr>
      <w:tr w:rsidR="00CD045A" w:rsidRPr="0012621E" w:rsidTr="00997D7E">
        <w:trPr>
          <w:trHeight w:val="255"/>
        </w:trPr>
        <w:tc>
          <w:tcPr>
            <w:tcW w:w="4410" w:type="dxa"/>
            <w:shd w:val="clear" w:color="auto" w:fill="CAE7F3" w:themeFill="accent1" w:themeFillTint="33"/>
            <w:noWrap/>
            <w:vAlign w:val="bottom"/>
            <w:hideMark/>
          </w:tcPr>
          <w:p w:rsidR="00CD045A" w:rsidRPr="0012621E" w:rsidRDefault="00CD045A" w:rsidP="00DB555F">
            <w:pPr>
              <w:pStyle w:val="Tabletext"/>
              <w:jc w:val="right"/>
              <w:rPr>
                <w:i/>
                <w:lang w:eastAsia="en-AU"/>
              </w:rPr>
            </w:pPr>
            <w:r w:rsidRPr="0012621E">
              <w:rPr>
                <w:i/>
                <w:lang w:eastAsia="en-AU"/>
              </w:rPr>
              <w:t xml:space="preserve">WHOLESALE TRADE </w:t>
            </w:r>
          </w:p>
        </w:tc>
        <w:tc>
          <w:tcPr>
            <w:tcW w:w="1275" w:type="dxa"/>
            <w:gridSpan w:val="2"/>
            <w:shd w:val="clear" w:color="auto" w:fill="CAE7F3" w:themeFill="accent1" w:themeFillTint="33"/>
            <w:noWrap/>
            <w:vAlign w:val="bottom"/>
            <w:hideMark/>
          </w:tcPr>
          <w:p w:rsidR="00CD045A" w:rsidRPr="0012621E" w:rsidRDefault="00CD045A" w:rsidP="00DB555F">
            <w:pPr>
              <w:pStyle w:val="Tabletext"/>
              <w:jc w:val="right"/>
              <w:rPr>
                <w:i/>
                <w:lang w:eastAsia="en-AU"/>
              </w:rPr>
            </w:pPr>
          </w:p>
        </w:tc>
        <w:tc>
          <w:tcPr>
            <w:tcW w:w="971" w:type="dxa"/>
            <w:shd w:val="clear" w:color="auto" w:fill="CAE7F3" w:themeFill="accent1" w:themeFillTint="33"/>
            <w:noWrap/>
            <w:vAlign w:val="bottom"/>
            <w:hideMark/>
          </w:tcPr>
          <w:p w:rsidR="00CD045A" w:rsidRPr="0012621E" w:rsidRDefault="00CD045A" w:rsidP="00DB555F">
            <w:pPr>
              <w:pStyle w:val="Tabletext"/>
              <w:jc w:val="right"/>
              <w:rPr>
                <w:i/>
                <w:lang w:eastAsia="en-AU"/>
              </w:rPr>
            </w:pPr>
          </w:p>
        </w:tc>
        <w:tc>
          <w:tcPr>
            <w:tcW w:w="1297" w:type="dxa"/>
            <w:shd w:val="clear" w:color="auto" w:fill="CAE7F3" w:themeFill="accent1" w:themeFillTint="33"/>
            <w:noWrap/>
            <w:vAlign w:val="bottom"/>
            <w:hideMark/>
          </w:tcPr>
          <w:p w:rsidR="00CD045A" w:rsidRPr="0012621E" w:rsidRDefault="00CD045A" w:rsidP="00DB555F">
            <w:pPr>
              <w:pStyle w:val="Tabletext"/>
              <w:jc w:val="right"/>
              <w:rPr>
                <w:i/>
                <w:lang w:eastAsia="en-AU"/>
              </w:rPr>
            </w:pPr>
          </w:p>
        </w:tc>
        <w:tc>
          <w:tcPr>
            <w:tcW w:w="1134" w:type="dxa"/>
            <w:shd w:val="clear" w:color="auto" w:fill="CAE7F3" w:themeFill="accent1" w:themeFillTint="33"/>
            <w:noWrap/>
            <w:vAlign w:val="bottom"/>
            <w:hideMark/>
          </w:tcPr>
          <w:p w:rsidR="00CD045A" w:rsidRPr="0012621E" w:rsidRDefault="00CD045A" w:rsidP="00DB555F">
            <w:pPr>
              <w:pStyle w:val="Tabletext"/>
              <w:jc w:val="right"/>
              <w:rPr>
                <w:i/>
                <w:lang w:eastAsia="en-AU"/>
              </w:rPr>
            </w:pPr>
          </w:p>
        </w:tc>
        <w:tc>
          <w:tcPr>
            <w:tcW w:w="992" w:type="dxa"/>
            <w:shd w:val="clear" w:color="auto" w:fill="CAE7F3" w:themeFill="accent1" w:themeFillTint="33"/>
            <w:noWrap/>
            <w:vAlign w:val="bottom"/>
            <w:hideMark/>
          </w:tcPr>
          <w:p w:rsidR="00CD045A" w:rsidRPr="0012621E" w:rsidRDefault="00CD045A" w:rsidP="00DB555F">
            <w:pPr>
              <w:pStyle w:val="Tabletext"/>
              <w:jc w:val="right"/>
              <w:rPr>
                <w:i/>
                <w:lang w:eastAsia="en-AU"/>
              </w:rPr>
            </w:pPr>
          </w:p>
        </w:tc>
        <w:tc>
          <w:tcPr>
            <w:tcW w:w="1134" w:type="dxa"/>
            <w:shd w:val="clear" w:color="auto" w:fill="CAE7F3" w:themeFill="accent1" w:themeFillTint="33"/>
            <w:noWrap/>
            <w:vAlign w:val="bottom"/>
            <w:hideMark/>
          </w:tcPr>
          <w:p w:rsidR="00CD045A" w:rsidRPr="0012621E" w:rsidRDefault="00CD045A" w:rsidP="00DB555F">
            <w:pPr>
              <w:pStyle w:val="Tabletext"/>
              <w:jc w:val="right"/>
              <w:rPr>
                <w:i/>
                <w:lang w:eastAsia="en-AU"/>
              </w:rPr>
            </w:pPr>
          </w:p>
        </w:tc>
        <w:tc>
          <w:tcPr>
            <w:tcW w:w="1418" w:type="dxa"/>
            <w:tcBorders>
              <w:right w:val="single" w:sz="4" w:space="0" w:color="595A5B" w:themeColor="text1"/>
            </w:tcBorders>
            <w:shd w:val="clear" w:color="auto" w:fill="CAE7F3" w:themeFill="accent1" w:themeFillTint="33"/>
            <w:noWrap/>
            <w:vAlign w:val="bottom"/>
            <w:hideMark/>
          </w:tcPr>
          <w:p w:rsidR="00CD045A" w:rsidRPr="0012621E" w:rsidRDefault="00CD045A" w:rsidP="00DB555F">
            <w:pPr>
              <w:pStyle w:val="Tabletext"/>
              <w:jc w:val="right"/>
              <w:rPr>
                <w:i/>
                <w:lang w:eastAsia="en-AU"/>
              </w:rPr>
            </w:pPr>
          </w:p>
        </w:tc>
        <w:tc>
          <w:tcPr>
            <w:tcW w:w="1134" w:type="dxa"/>
            <w:tcBorders>
              <w:left w:val="single" w:sz="4" w:space="0" w:color="595A5B" w:themeColor="text1"/>
            </w:tcBorders>
            <w:shd w:val="clear" w:color="auto" w:fill="CAE7F3" w:themeFill="accent1" w:themeFillTint="33"/>
            <w:noWrap/>
            <w:vAlign w:val="bottom"/>
            <w:hideMark/>
          </w:tcPr>
          <w:p w:rsidR="00CD045A" w:rsidRPr="0012621E" w:rsidRDefault="00CD045A" w:rsidP="00DB555F">
            <w:pPr>
              <w:pStyle w:val="Tabletext"/>
              <w:jc w:val="right"/>
              <w:rPr>
                <w:i/>
                <w:lang w:eastAsia="en-AU"/>
              </w:rPr>
            </w:pPr>
          </w:p>
        </w:tc>
        <w:tc>
          <w:tcPr>
            <w:tcW w:w="1417" w:type="dxa"/>
            <w:shd w:val="clear" w:color="auto" w:fill="CAE7F3" w:themeFill="accent1" w:themeFillTint="33"/>
            <w:noWrap/>
            <w:vAlign w:val="bottom"/>
            <w:hideMark/>
          </w:tcPr>
          <w:p w:rsidR="00CD045A" w:rsidRPr="0012621E" w:rsidRDefault="00CD045A" w:rsidP="00DB555F">
            <w:pPr>
              <w:pStyle w:val="Tabletext"/>
              <w:jc w:val="right"/>
              <w:rPr>
                <w:i/>
                <w:lang w:eastAsia="en-AU"/>
              </w:rPr>
            </w:pPr>
          </w:p>
        </w:tc>
      </w:tr>
      <w:tr w:rsidR="00CD045A" w:rsidRPr="002157A3" w:rsidTr="00997D7E">
        <w:trPr>
          <w:trHeight w:val="264"/>
        </w:trPr>
        <w:tc>
          <w:tcPr>
            <w:tcW w:w="4410" w:type="dxa"/>
            <w:shd w:val="clear" w:color="auto" w:fill="CAE7F3" w:themeFill="accent1" w:themeFillTint="33"/>
            <w:noWrap/>
            <w:vAlign w:val="bottom"/>
            <w:hideMark/>
          </w:tcPr>
          <w:p w:rsidR="00CD045A" w:rsidRPr="002157A3" w:rsidRDefault="00CD045A" w:rsidP="00DB555F">
            <w:pPr>
              <w:pStyle w:val="Tabletext"/>
              <w:ind w:left="333"/>
              <w:jc w:val="right"/>
              <w:rPr>
                <w:lang w:eastAsia="en-AU"/>
              </w:rPr>
            </w:pPr>
            <w:r w:rsidRPr="002157A3">
              <w:rPr>
                <w:lang w:eastAsia="en-AU"/>
              </w:rPr>
              <w:t xml:space="preserve">Basic Material Wholesaling </w:t>
            </w:r>
          </w:p>
        </w:tc>
        <w:tc>
          <w:tcPr>
            <w:tcW w:w="1275" w:type="dxa"/>
            <w:gridSpan w:val="2"/>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2.29</w:t>
            </w:r>
          </w:p>
        </w:tc>
        <w:tc>
          <w:tcPr>
            <w:tcW w:w="971"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17.3</w:t>
            </w:r>
          </w:p>
        </w:tc>
        <w:tc>
          <w:tcPr>
            <w:tcW w:w="1297"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3.19</w:t>
            </w:r>
          </w:p>
        </w:tc>
        <w:tc>
          <w:tcPr>
            <w:tcW w:w="1134"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9.60</w:t>
            </w:r>
          </w:p>
        </w:tc>
        <w:tc>
          <w:tcPr>
            <w:tcW w:w="992"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62.5</w:t>
            </w:r>
          </w:p>
        </w:tc>
        <w:tc>
          <w:tcPr>
            <w:tcW w:w="1134"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3.08</w:t>
            </w:r>
          </w:p>
        </w:tc>
        <w:tc>
          <w:tcPr>
            <w:tcW w:w="1418" w:type="dxa"/>
            <w:tcBorders>
              <w:right w:val="single" w:sz="4" w:space="0" w:color="595A5B" w:themeColor="text1"/>
            </w:tcBorders>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133.4</w:t>
            </w:r>
          </w:p>
        </w:tc>
        <w:tc>
          <w:tcPr>
            <w:tcW w:w="1134" w:type="dxa"/>
            <w:tcBorders>
              <w:left w:val="single" w:sz="4" w:space="0" w:color="595A5B" w:themeColor="text1"/>
            </w:tcBorders>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49.1</w:t>
            </w:r>
          </w:p>
        </w:tc>
        <w:tc>
          <w:tcPr>
            <w:tcW w:w="1417"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168.4</w:t>
            </w:r>
          </w:p>
        </w:tc>
      </w:tr>
      <w:tr w:rsidR="00CD045A" w:rsidRPr="002157A3" w:rsidTr="00997D7E">
        <w:trPr>
          <w:trHeight w:val="264"/>
        </w:trPr>
        <w:tc>
          <w:tcPr>
            <w:tcW w:w="4410" w:type="dxa"/>
            <w:shd w:val="clear" w:color="auto" w:fill="CAE7F3" w:themeFill="accent1" w:themeFillTint="33"/>
            <w:noWrap/>
            <w:vAlign w:val="bottom"/>
            <w:hideMark/>
          </w:tcPr>
          <w:p w:rsidR="00CD045A" w:rsidRPr="002157A3" w:rsidRDefault="00CD045A" w:rsidP="00DB555F">
            <w:pPr>
              <w:pStyle w:val="Tabletext"/>
              <w:ind w:left="333"/>
              <w:jc w:val="right"/>
              <w:rPr>
                <w:lang w:eastAsia="en-AU"/>
              </w:rPr>
            </w:pPr>
            <w:r w:rsidRPr="002157A3">
              <w:rPr>
                <w:lang w:eastAsia="en-AU"/>
              </w:rPr>
              <w:t xml:space="preserve">Machinery and Equipment Wholesaling </w:t>
            </w:r>
          </w:p>
        </w:tc>
        <w:tc>
          <w:tcPr>
            <w:tcW w:w="1275" w:type="dxa"/>
            <w:gridSpan w:val="2"/>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2.04</w:t>
            </w:r>
          </w:p>
        </w:tc>
        <w:tc>
          <w:tcPr>
            <w:tcW w:w="971"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15.7</w:t>
            </w:r>
          </w:p>
        </w:tc>
        <w:tc>
          <w:tcPr>
            <w:tcW w:w="1297"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3.07</w:t>
            </w:r>
          </w:p>
        </w:tc>
        <w:tc>
          <w:tcPr>
            <w:tcW w:w="1134"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7.08</w:t>
            </w:r>
          </w:p>
        </w:tc>
        <w:tc>
          <w:tcPr>
            <w:tcW w:w="992"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66.4</w:t>
            </w:r>
          </w:p>
        </w:tc>
        <w:tc>
          <w:tcPr>
            <w:tcW w:w="1134"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3.73</w:t>
            </w:r>
          </w:p>
        </w:tc>
        <w:tc>
          <w:tcPr>
            <w:tcW w:w="1418" w:type="dxa"/>
            <w:tcBorders>
              <w:right w:val="single" w:sz="4" w:space="0" w:color="595A5B" w:themeColor="text1"/>
            </w:tcBorders>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141.9</w:t>
            </w:r>
          </w:p>
        </w:tc>
        <w:tc>
          <w:tcPr>
            <w:tcW w:w="1134" w:type="dxa"/>
            <w:tcBorders>
              <w:left w:val="single" w:sz="4" w:space="0" w:color="595A5B" w:themeColor="text1"/>
            </w:tcBorders>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53.0</w:t>
            </w:r>
          </w:p>
        </w:tc>
        <w:tc>
          <w:tcPr>
            <w:tcW w:w="1417"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184.1</w:t>
            </w:r>
          </w:p>
        </w:tc>
      </w:tr>
      <w:tr w:rsidR="00CD045A" w:rsidRPr="002157A3" w:rsidTr="00997D7E">
        <w:trPr>
          <w:trHeight w:val="264"/>
        </w:trPr>
        <w:tc>
          <w:tcPr>
            <w:tcW w:w="4410" w:type="dxa"/>
            <w:shd w:val="clear" w:color="auto" w:fill="CAE7F3" w:themeFill="accent1" w:themeFillTint="33"/>
            <w:noWrap/>
            <w:vAlign w:val="bottom"/>
            <w:hideMark/>
          </w:tcPr>
          <w:p w:rsidR="00CD045A" w:rsidRPr="002157A3" w:rsidRDefault="00CD045A" w:rsidP="00DB555F">
            <w:pPr>
              <w:pStyle w:val="Tabletext"/>
              <w:ind w:left="333"/>
              <w:jc w:val="right"/>
              <w:rPr>
                <w:lang w:eastAsia="en-AU"/>
              </w:rPr>
            </w:pPr>
            <w:r w:rsidRPr="002157A3">
              <w:rPr>
                <w:lang w:eastAsia="en-AU"/>
              </w:rPr>
              <w:t xml:space="preserve">Motor Vehicle and Motor Vehicle Parts Wholesaling </w:t>
            </w:r>
          </w:p>
        </w:tc>
        <w:tc>
          <w:tcPr>
            <w:tcW w:w="1275" w:type="dxa"/>
            <w:gridSpan w:val="2"/>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3.43</w:t>
            </w:r>
          </w:p>
        </w:tc>
        <w:tc>
          <w:tcPr>
            <w:tcW w:w="971"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23.7</w:t>
            </w:r>
          </w:p>
        </w:tc>
        <w:tc>
          <w:tcPr>
            <w:tcW w:w="1297"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3.60</w:t>
            </w:r>
          </w:p>
        </w:tc>
        <w:tc>
          <w:tcPr>
            <w:tcW w:w="1134"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8.87</w:t>
            </w:r>
          </w:p>
        </w:tc>
        <w:tc>
          <w:tcPr>
            <w:tcW w:w="992"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62.0</w:t>
            </w:r>
          </w:p>
        </w:tc>
        <w:tc>
          <w:tcPr>
            <w:tcW w:w="1134"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5.07</w:t>
            </w:r>
          </w:p>
        </w:tc>
        <w:tc>
          <w:tcPr>
            <w:tcW w:w="1418" w:type="dxa"/>
            <w:tcBorders>
              <w:right w:val="single" w:sz="4" w:space="0" w:color="595A5B" w:themeColor="text1"/>
            </w:tcBorders>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117.4</w:t>
            </w:r>
          </w:p>
        </w:tc>
        <w:tc>
          <w:tcPr>
            <w:tcW w:w="1134" w:type="dxa"/>
            <w:tcBorders>
              <w:left w:val="single" w:sz="4" w:space="0" w:color="595A5B" w:themeColor="text1"/>
            </w:tcBorders>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47.7</w:t>
            </w:r>
          </w:p>
        </w:tc>
        <w:tc>
          <w:tcPr>
            <w:tcW w:w="1417"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144.6</w:t>
            </w:r>
          </w:p>
        </w:tc>
      </w:tr>
      <w:tr w:rsidR="00CD045A" w:rsidRPr="002157A3" w:rsidTr="00997D7E">
        <w:trPr>
          <w:trHeight w:val="264"/>
        </w:trPr>
        <w:tc>
          <w:tcPr>
            <w:tcW w:w="4410" w:type="dxa"/>
            <w:shd w:val="clear" w:color="auto" w:fill="CAE7F3" w:themeFill="accent1" w:themeFillTint="33"/>
            <w:noWrap/>
            <w:vAlign w:val="bottom"/>
            <w:hideMark/>
          </w:tcPr>
          <w:p w:rsidR="00CD045A" w:rsidRPr="002157A3" w:rsidRDefault="00CD045A" w:rsidP="00DB555F">
            <w:pPr>
              <w:pStyle w:val="Tabletext"/>
              <w:ind w:left="333"/>
              <w:jc w:val="right"/>
              <w:rPr>
                <w:lang w:eastAsia="en-AU"/>
              </w:rPr>
            </w:pPr>
            <w:r w:rsidRPr="002157A3">
              <w:rPr>
                <w:lang w:eastAsia="en-AU"/>
              </w:rPr>
              <w:t xml:space="preserve">Grocery, Liquor and Tobacco Product Wholesaling </w:t>
            </w:r>
          </w:p>
        </w:tc>
        <w:tc>
          <w:tcPr>
            <w:tcW w:w="1275" w:type="dxa"/>
            <w:gridSpan w:val="2"/>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3.51</w:t>
            </w:r>
          </w:p>
        </w:tc>
        <w:tc>
          <w:tcPr>
            <w:tcW w:w="971"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21.1</w:t>
            </w:r>
          </w:p>
        </w:tc>
        <w:tc>
          <w:tcPr>
            <w:tcW w:w="1297"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4.98</w:t>
            </w:r>
          </w:p>
        </w:tc>
        <w:tc>
          <w:tcPr>
            <w:tcW w:w="1134"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11.24</w:t>
            </w:r>
          </w:p>
        </w:tc>
        <w:tc>
          <w:tcPr>
            <w:tcW w:w="992"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62.8</w:t>
            </w:r>
          </w:p>
        </w:tc>
        <w:tc>
          <w:tcPr>
            <w:tcW w:w="1134"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4.40</w:t>
            </w:r>
          </w:p>
        </w:tc>
        <w:tc>
          <w:tcPr>
            <w:tcW w:w="1418" w:type="dxa"/>
            <w:tcBorders>
              <w:right w:val="single" w:sz="4" w:space="0" w:color="595A5B" w:themeColor="text1"/>
            </w:tcBorders>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134.3</w:t>
            </w:r>
          </w:p>
        </w:tc>
        <w:tc>
          <w:tcPr>
            <w:tcW w:w="1134" w:type="dxa"/>
            <w:tcBorders>
              <w:left w:val="single" w:sz="4" w:space="0" w:color="595A5B" w:themeColor="text1"/>
            </w:tcBorders>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47.7</w:t>
            </w:r>
          </w:p>
        </w:tc>
        <w:tc>
          <w:tcPr>
            <w:tcW w:w="1417"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192.2</w:t>
            </w:r>
          </w:p>
        </w:tc>
      </w:tr>
      <w:tr w:rsidR="00CD045A" w:rsidRPr="002157A3" w:rsidTr="00997D7E">
        <w:trPr>
          <w:trHeight w:val="264"/>
        </w:trPr>
        <w:tc>
          <w:tcPr>
            <w:tcW w:w="4410" w:type="dxa"/>
            <w:shd w:val="clear" w:color="auto" w:fill="CAE7F3" w:themeFill="accent1" w:themeFillTint="33"/>
            <w:noWrap/>
            <w:vAlign w:val="bottom"/>
            <w:hideMark/>
          </w:tcPr>
          <w:p w:rsidR="00CD045A" w:rsidRPr="002157A3" w:rsidRDefault="00CD045A" w:rsidP="00DB555F">
            <w:pPr>
              <w:pStyle w:val="Tabletext"/>
              <w:ind w:left="333"/>
              <w:jc w:val="right"/>
              <w:rPr>
                <w:lang w:eastAsia="en-AU"/>
              </w:rPr>
            </w:pPr>
            <w:r w:rsidRPr="002157A3">
              <w:rPr>
                <w:lang w:eastAsia="en-AU"/>
              </w:rPr>
              <w:t xml:space="preserve">Other Goods Wholesaling </w:t>
            </w:r>
          </w:p>
        </w:tc>
        <w:tc>
          <w:tcPr>
            <w:tcW w:w="1275" w:type="dxa"/>
            <w:gridSpan w:val="2"/>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2.47</w:t>
            </w:r>
          </w:p>
        </w:tc>
        <w:tc>
          <w:tcPr>
            <w:tcW w:w="971"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17.7</w:t>
            </w:r>
          </w:p>
        </w:tc>
        <w:tc>
          <w:tcPr>
            <w:tcW w:w="1297"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3.54</w:t>
            </w:r>
          </w:p>
        </w:tc>
        <w:tc>
          <w:tcPr>
            <w:tcW w:w="1134"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11.40</w:t>
            </w:r>
          </w:p>
        </w:tc>
        <w:tc>
          <w:tcPr>
            <w:tcW w:w="992"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60.7</w:t>
            </w:r>
          </w:p>
        </w:tc>
        <w:tc>
          <w:tcPr>
            <w:tcW w:w="1134"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3.03</w:t>
            </w:r>
          </w:p>
        </w:tc>
        <w:tc>
          <w:tcPr>
            <w:tcW w:w="1418" w:type="dxa"/>
            <w:tcBorders>
              <w:right w:val="single" w:sz="4" w:space="0" w:color="595A5B" w:themeColor="text1"/>
            </w:tcBorders>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130.9</w:t>
            </w:r>
          </w:p>
        </w:tc>
        <w:tc>
          <w:tcPr>
            <w:tcW w:w="1134" w:type="dxa"/>
            <w:tcBorders>
              <w:left w:val="single" w:sz="4" w:space="0" w:color="595A5B" w:themeColor="text1"/>
            </w:tcBorders>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45.5</w:t>
            </w:r>
          </w:p>
        </w:tc>
        <w:tc>
          <w:tcPr>
            <w:tcW w:w="1417"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171.1</w:t>
            </w:r>
          </w:p>
        </w:tc>
      </w:tr>
      <w:tr w:rsidR="00CD045A" w:rsidRPr="002157A3" w:rsidTr="00997D7E">
        <w:trPr>
          <w:trHeight w:val="264"/>
        </w:trPr>
        <w:tc>
          <w:tcPr>
            <w:tcW w:w="4410" w:type="dxa"/>
            <w:shd w:val="clear" w:color="auto" w:fill="CAE7F3" w:themeFill="accent1" w:themeFillTint="33"/>
            <w:noWrap/>
            <w:vAlign w:val="bottom"/>
            <w:hideMark/>
          </w:tcPr>
          <w:p w:rsidR="00CD045A" w:rsidRPr="002157A3" w:rsidRDefault="00CD045A" w:rsidP="00DB555F">
            <w:pPr>
              <w:pStyle w:val="Tabletext"/>
              <w:ind w:left="333"/>
              <w:jc w:val="right"/>
              <w:rPr>
                <w:lang w:eastAsia="en-AU"/>
              </w:rPr>
            </w:pPr>
            <w:r w:rsidRPr="002157A3">
              <w:rPr>
                <w:lang w:eastAsia="en-AU"/>
              </w:rPr>
              <w:t xml:space="preserve">Commission-Based Wholesaling </w:t>
            </w:r>
          </w:p>
        </w:tc>
        <w:tc>
          <w:tcPr>
            <w:tcW w:w="1275" w:type="dxa"/>
            <w:gridSpan w:val="2"/>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3.54</w:t>
            </w:r>
          </w:p>
        </w:tc>
        <w:tc>
          <w:tcPr>
            <w:tcW w:w="971"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22.6</w:t>
            </w:r>
          </w:p>
        </w:tc>
        <w:tc>
          <w:tcPr>
            <w:tcW w:w="1297"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3.92</w:t>
            </w:r>
          </w:p>
        </w:tc>
        <w:tc>
          <w:tcPr>
            <w:tcW w:w="1134"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22.49</w:t>
            </w:r>
          </w:p>
        </w:tc>
        <w:tc>
          <w:tcPr>
            <w:tcW w:w="992"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59.4</w:t>
            </w:r>
          </w:p>
        </w:tc>
        <w:tc>
          <w:tcPr>
            <w:tcW w:w="1134"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2.13</w:t>
            </w:r>
          </w:p>
        </w:tc>
        <w:tc>
          <w:tcPr>
            <w:tcW w:w="1418" w:type="dxa"/>
            <w:tcBorders>
              <w:right w:val="single" w:sz="4" w:space="0" w:color="595A5B" w:themeColor="text1"/>
            </w:tcBorders>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131.3</w:t>
            </w:r>
          </w:p>
        </w:tc>
        <w:tc>
          <w:tcPr>
            <w:tcW w:w="1134" w:type="dxa"/>
            <w:tcBorders>
              <w:left w:val="single" w:sz="4" w:space="0" w:color="595A5B" w:themeColor="text1"/>
            </w:tcBorders>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44.6</w:t>
            </w:r>
          </w:p>
        </w:tc>
        <w:tc>
          <w:tcPr>
            <w:tcW w:w="1417"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134.4</w:t>
            </w:r>
          </w:p>
        </w:tc>
      </w:tr>
      <w:tr w:rsidR="00CD045A" w:rsidRPr="0012621E" w:rsidTr="00997D7E">
        <w:trPr>
          <w:trHeight w:val="255"/>
        </w:trPr>
        <w:tc>
          <w:tcPr>
            <w:tcW w:w="4410" w:type="dxa"/>
            <w:shd w:val="clear" w:color="auto" w:fill="CAE7F3" w:themeFill="accent1" w:themeFillTint="33"/>
            <w:noWrap/>
            <w:vAlign w:val="bottom"/>
            <w:hideMark/>
          </w:tcPr>
          <w:p w:rsidR="00CD045A" w:rsidRPr="0012621E" w:rsidRDefault="00CD045A" w:rsidP="00DB555F">
            <w:pPr>
              <w:pStyle w:val="Tabletext"/>
              <w:jc w:val="right"/>
              <w:rPr>
                <w:i/>
                <w:lang w:eastAsia="en-AU"/>
              </w:rPr>
            </w:pPr>
            <w:r w:rsidRPr="0012621E">
              <w:rPr>
                <w:i/>
                <w:lang w:eastAsia="en-AU"/>
              </w:rPr>
              <w:t xml:space="preserve">RETAIL TRADE </w:t>
            </w:r>
          </w:p>
        </w:tc>
        <w:tc>
          <w:tcPr>
            <w:tcW w:w="1275" w:type="dxa"/>
            <w:gridSpan w:val="2"/>
            <w:shd w:val="clear" w:color="auto" w:fill="CAE7F3" w:themeFill="accent1" w:themeFillTint="33"/>
            <w:noWrap/>
            <w:vAlign w:val="bottom"/>
            <w:hideMark/>
          </w:tcPr>
          <w:p w:rsidR="00CD045A" w:rsidRPr="0012621E" w:rsidRDefault="00CD045A" w:rsidP="00DB555F">
            <w:pPr>
              <w:pStyle w:val="Tabletext"/>
              <w:jc w:val="right"/>
              <w:rPr>
                <w:i/>
                <w:lang w:eastAsia="en-AU"/>
              </w:rPr>
            </w:pPr>
          </w:p>
        </w:tc>
        <w:tc>
          <w:tcPr>
            <w:tcW w:w="971" w:type="dxa"/>
            <w:shd w:val="clear" w:color="auto" w:fill="CAE7F3" w:themeFill="accent1" w:themeFillTint="33"/>
            <w:noWrap/>
            <w:vAlign w:val="bottom"/>
            <w:hideMark/>
          </w:tcPr>
          <w:p w:rsidR="00CD045A" w:rsidRPr="0012621E" w:rsidRDefault="00CD045A" w:rsidP="00DB555F">
            <w:pPr>
              <w:pStyle w:val="Tabletext"/>
              <w:jc w:val="right"/>
              <w:rPr>
                <w:i/>
                <w:lang w:eastAsia="en-AU"/>
              </w:rPr>
            </w:pPr>
          </w:p>
        </w:tc>
        <w:tc>
          <w:tcPr>
            <w:tcW w:w="1297" w:type="dxa"/>
            <w:shd w:val="clear" w:color="auto" w:fill="CAE7F3" w:themeFill="accent1" w:themeFillTint="33"/>
            <w:noWrap/>
            <w:vAlign w:val="bottom"/>
            <w:hideMark/>
          </w:tcPr>
          <w:p w:rsidR="00CD045A" w:rsidRPr="0012621E" w:rsidRDefault="00CD045A" w:rsidP="00DB555F">
            <w:pPr>
              <w:pStyle w:val="Tabletext"/>
              <w:jc w:val="right"/>
              <w:rPr>
                <w:i/>
                <w:lang w:eastAsia="en-AU"/>
              </w:rPr>
            </w:pPr>
          </w:p>
        </w:tc>
        <w:tc>
          <w:tcPr>
            <w:tcW w:w="1134" w:type="dxa"/>
            <w:shd w:val="clear" w:color="auto" w:fill="CAE7F3" w:themeFill="accent1" w:themeFillTint="33"/>
            <w:noWrap/>
            <w:vAlign w:val="bottom"/>
            <w:hideMark/>
          </w:tcPr>
          <w:p w:rsidR="00CD045A" w:rsidRPr="0012621E" w:rsidRDefault="00CD045A" w:rsidP="00DB555F">
            <w:pPr>
              <w:pStyle w:val="Tabletext"/>
              <w:jc w:val="right"/>
              <w:rPr>
                <w:i/>
                <w:lang w:eastAsia="en-AU"/>
              </w:rPr>
            </w:pPr>
          </w:p>
        </w:tc>
        <w:tc>
          <w:tcPr>
            <w:tcW w:w="992" w:type="dxa"/>
            <w:shd w:val="clear" w:color="auto" w:fill="CAE7F3" w:themeFill="accent1" w:themeFillTint="33"/>
            <w:noWrap/>
            <w:vAlign w:val="bottom"/>
            <w:hideMark/>
          </w:tcPr>
          <w:p w:rsidR="00CD045A" w:rsidRPr="0012621E" w:rsidRDefault="00CD045A" w:rsidP="00DB555F">
            <w:pPr>
              <w:pStyle w:val="Tabletext"/>
              <w:jc w:val="right"/>
              <w:rPr>
                <w:i/>
                <w:lang w:eastAsia="en-AU"/>
              </w:rPr>
            </w:pPr>
          </w:p>
        </w:tc>
        <w:tc>
          <w:tcPr>
            <w:tcW w:w="1134" w:type="dxa"/>
            <w:shd w:val="clear" w:color="auto" w:fill="CAE7F3" w:themeFill="accent1" w:themeFillTint="33"/>
            <w:noWrap/>
            <w:vAlign w:val="bottom"/>
            <w:hideMark/>
          </w:tcPr>
          <w:p w:rsidR="00CD045A" w:rsidRPr="0012621E" w:rsidRDefault="00CD045A" w:rsidP="00DB555F">
            <w:pPr>
              <w:pStyle w:val="Tabletext"/>
              <w:jc w:val="right"/>
              <w:rPr>
                <w:i/>
                <w:lang w:eastAsia="en-AU"/>
              </w:rPr>
            </w:pPr>
          </w:p>
        </w:tc>
        <w:tc>
          <w:tcPr>
            <w:tcW w:w="1418" w:type="dxa"/>
            <w:tcBorders>
              <w:right w:val="single" w:sz="4" w:space="0" w:color="595A5B" w:themeColor="text1"/>
            </w:tcBorders>
            <w:shd w:val="clear" w:color="auto" w:fill="CAE7F3" w:themeFill="accent1" w:themeFillTint="33"/>
            <w:noWrap/>
            <w:vAlign w:val="bottom"/>
            <w:hideMark/>
          </w:tcPr>
          <w:p w:rsidR="00CD045A" w:rsidRPr="0012621E" w:rsidRDefault="00CD045A" w:rsidP="00DB555F">
            <w:pPr>
              <w:pStyle w:val="Tabletext"/>
              <w:jc w:val="right"/>
              <w:rPr>
                <w:i/>
                <w:lang w:eastAsia="en-AU"/>
              </w:rPr>
            </w:pPr>
          </w:p>
        </w:tc>
        <w:tc>
          <w:tcPr>
            <w:tcW w:w="1134" w:type="dxa"/>
            <w:tcBorders>
              <w:left w:val="single" w:sz="4" w:space="0" w:color="595A5B" w:themeColor="text1"/>
            </w:tcBorders>
            <w:shd w:val="clear" w:color="auto" w:fill="CAE7F3" w:themeFill="accent1" w:themeFillTint="33"/>
            <w:noWrap/>
            <w:vAlign w:val="bottom"/>
            <w:hideMark/>
          </w:tcPr>
          <w:p w:rsidR="00CD045A" w:rsidRPr="0012621E" w:rsidRDefault="00CD045A" w:rsidP="00DB555F">
            <w:pPr>
              <w:pStyle w:val="Tabletext"/>
              <w:jc w:val="right"/>
              <w:rPr>
                <w:i/>
                <w:lang w:eastAsia="en-AU"/>
              </w:rPr>
            </w:pPr>
          </w:p>
        </w:tc>
        <w:tc>
          <w:tcPr>
            <w:tcW w:w="1417" w:type="dxa"/>
            <w:shd w:val="clear" w:color="auto" w:fill="CAE7F3" w:themeFill="accent1" w:themeFillTint="33"/>
            <w:noWrap/>
            <w:vAlign w:val="bottom"/>
            <w:hideMark/>
          </w:tcPr>
          <w:p w:rsidR="00CD045A" w:rsidRPr="0012621E" w:rsidRDefault="00CD045A" w:rsidP="00DB555F">
            <w:pPr>
              <w:pStyle w:val="Tabletext"/>
              <w:jc w:val="right"/>
              <w:rPr>
                <w:i/>
                <w:lang w:eastAsia="en-AU"/>
              </w:rPr>
            </w:pPr>
          </w:p>
        </w:tc>
      </w:tr>
      <w:tr w:rsidR="00CD045A" w:rsidRPr="002157A3" w:rsidTr="00997D7E">
        <w:trPr>
          <w:trHeight w:val="264"/>
        </w:trPr>
        <w:tc>
          <w:tcPr>
            <w:tcW w:w="4410" w:type="dxa"/>
            <w:shd w:val="clear" w:color="auto" w:fill="CAE7F3" w:themeFill="accent1" w:themeFillTint="33"/>
            <w:noWrap/>
            <w:vAlign w:val="bottom"/>
            <w:hideMark/>
          </w:tcPr>
          <w:p w:rsidR="00CD045A" w:rsidRPr="002157A3" w:rsidRDefault="00CD045A" w:rsidP="00DB555F">
            <w:pPr>
              <w:pStyle w:val="Tabletext"/>
              <w:ind w:left="333"/>
              <w:jc w:val="right"/>
              <w:rPr>
                <w:lang w:eastAsia="en-AU"/>
              </w:rPr>
            </w:pPr>
            <w:r w:rsidRPr="002157A3">
              <w:rPr>
                <w:lang w:eastAsia="en-AU"/>
              </w:rPr>
              <w:t xml:space="preserve">Motor Vehicle and Motor Vehicle Parts Retailing </w:t>
            </w:r>
          </w:p>
        </w:tc>
        <w:tc>
          <w:tcPr>
            <w:tcW w:w="1275" w:type="dxa"/>
            <w:gridSpan w:val="2"/>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3.27</w:t>
            </w:r>
          </w:p>
        </w:tc>
        <w:tc>
          <w:tcPr>
            <w:tcW w:w="971"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25.6</w:t>
            </w:r>
          </w:p>
        </w:tc>
        <w:tc>
          <w:tcPr>
            <w:tcW w:w="1297"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4.55</w:t>
            </w:r>
          </w:p>
        </w:tc>
        <w:tc>
          <w:tcPr>
            <w:tcW w:w="1134"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6.76</w:t>
            </w:r>
          </w:p>
        </w:tc>
        <w:tc>
          <w:tcPr>
            <w:tcW w:w="992"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66.2</w:t>
            </w:r>
          </w:p>
        </w:tc>
        <w:tc>
          <w:tcPr>
            <w:tcW w:w="1134"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7.01</w:t>
            </w:r>
          </w:p>
        </w:tc>
        <w:tc>
          <w:tcPr>
            <w:tcW w:w="1418" w:type="dxa"/>
            <w:tcBorders>
              <w:right w:val="single" w:sz="4" w:space="0" w:color="595A5B" w:themeColor="text1"/>
            </w:tcBorders>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123.4</w:t>
            </w:r>
          </w:p>
        </w:tc>
        <w:tc>
          <w:tcPr>
            <w:tcW w:w="1134" w:type="dxa"/>
            <w:tcBorders>
              <w:left w:val="single" w:sz="4" w:space="0" w:color="595A5B" w:themeColor="text1"/>
            </w:tcBorders>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48.9</w:t>
            </w:r>
          </w:p>
        </w:tc>
        <w:tc>
          <w:tcPr>
            <w:tcW w:w="1417"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139.0</w:t>
            </w:r>
          </w:p>
        </w:tc>
      </w:tr>
      <w:tr w:rsidR="00CD045A" w:rsidRPr="002157A3" w:rsidTr="00997D7E">
        <w:trPr>
          <w:trHeight w:val="264"/>
        </w:trPr>
        <w:tc>
          <w:tcPr>
            <w:tcW w:w="4410" w:type="dxa"/>
            <w:shd w:val="clear" w:color="auto" w:fill="CAE7F3" w:themeFill="accent1" w:themeFillTint="33"/>
            <w:noWrap/>
            <w:vAlign w:val="bottom"/>
            <w:hideMark/>
          </w:tcPr>
          <w:p w:rsidR="00CD045A" w:rsidRPr="002157A3" w:rsidRDefault="00CD045A" w:rsidP="00DB555F">
            <w:pPr>
              <w:pStyle w:val="Tabletext"/>
              <w:ind w:left="333"/>
              <w:jc w:val="right"/>
              <w:rPr>
                <w:lang w:eastAsia="en-AU"/>
              </w:rPr>
            </w:pPr>
            <w:r w:rsidRPr="002157A3">
              <w:rPr>
                <w:lang w:eastAsia="en-AU"/>
              </w:rPr>
              <w:t xml:space="preserve">Fuel Retailing </w:t>
            </w:r>
          </w:p>
        </w:tc>
        <w:tc>
          <w:tcPr>
            <w:tcW w:w="1275" w:type="dxa"/>
            <w:gridSpan w:val="2"/>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5.40</w:t>
            </w:r>
          </w:p>
        </w:tc>
        <w:tc>
          <w:tcPr>
            <w:tcW w:w="971"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28.2</w:t>
            </w:r>
          </w:p>
        </w:tc>
        <w:tc>
          <w:tcPr>
            <w:tcW w:w="1297"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6.79</w:t>
            </w:r>
          </w:p>
        </w:tc>
        <w:tc>
          <w:tcPr>
            <w:tcW w:w="1134"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7.55</w:t>
            </w:r>
          </w:p>
        </w:tc>
        <w:tc>
          <w:tcPr>
            <w:tcW w:w="992"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65.9</w:t>
            </w:r>
          </w:p>
        </w:tc>
        <w:tc>
          <w:tcPr>
            <w:tcW w:w="1134"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9.68</w:t>
            </w:r>
          </w:p>
        </w:tc>
        <w:tc>
          <w:tcPr>
            <w:tcW w:w="1418" w:type="dxa"/>
            <w:tcBorders>
              <w:right w:val="single" w:sz="4" w:space="0" w:color="595A5B" w:themeColor="text1"/>
            </w:tcBorders>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126.1</w:t>
            </w:r>
          </w:p>
        </w:tc>
        <w:tc>
          <w:tcPr>
            <w:tcW w:w="1134" w:type="dxa"/>
            <w:tcBorders>
              <w:left w:val="single" w:sz="4" w:space="0" w:color="595A5B" w:themeColor="text1"/>
            </w:tcBorders>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47.1</w:t>
            </w:r>
          </w:p>
        </w:tc>
        <w:tc>
          <w:tcPr>
            <w:tcW w:w="1417"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99.0</w:t>
            </w:r>
          </w:p>
        </w:tc>
      </w:tr>
      <w:tr w:rsidR="00CD045A" w:rsidRPr="002157A3" w:rsidTr="00997D7E">
        <w:trPr>
          <w:trHeight w:val="264"/>
        </w:trPr>
        <w:tc>
          <w:tcPr>
            <w:tcW w:w="4410" w:type="dxa"/>
            <w:shd w:val="clear" w:color="auto" w:fill="CAE7F3" w:themeFill="accent1" w:themeFillTint="33"/>
            <w:noWrap/>
            <w:vAlign w:val="bottom"/>
            <w:hideMark/>
          </w:tcPr>
          <w:p w:rsidR="00CD045A" w:rsidRPr="002157A3" w:rsidRDefault="00CD045A" w:rsidP="00DB555F">
            <w:pPr>
              <w:pStyle w:val="Tabletext"/>
              <w:ind w:left="333"/>
              <w:jc w:val="right"/>
              <w:rPr>
                <w:lang w:eastAsia="en-AU"/>
              </w:rPr>
            </w:pPr>
            <w:r w:rsidRPr="002157A3">
              <w:rPr>
                <w:lang w:eastAsia="en-AU"/>
              </w:rPr>
              <w:t xml:space="preserve">Food Retailing </w:t>
            </w:r>
          </w:p>
        </w:tc>
        <w:tc>
          <w:tcPr>
            <w:tcW w:w="1275" w:type="dxa"/>
            <w:gridSpan w:val="2"/>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2.75</w:t>
            </w:r>
          </w:p>
        </w:tc>
        <w:tc>
          <w:tcPr>
            <w:tcW w:w="971"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26.9</w:t>
            </w:r>
          </w:p>
        </w:tc>
        <w:tc>
          <w:tcPr>
            <w:tcW w:w="1297"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3.22</w:t>
            </w:r>
          </w:p>
        </w:tc>
        <w:tc>
          <w:tcPr>
            <w:tcW w:w="1134"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6.52</w:t>
            </w:r>
          </w:p>
        </w:tc>
        <w:tc>
          <w:tcPr>
            <w:tcW w:w="992"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62.3</w:t>
            </w:r>
          </w:p>
        </w:tc>
        <w:tc>
          <w:tcPr>
            <w:tcW w:w="1134"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5.73</w:t>
            </w:r>
          </w:p>
        </w:tc>
        <w:tc>
          <w:tcPr>
            <w:tcW w:w="1418" w:type="dxa"/>
            <w:tcBorders>
              <w:right w:val="single" w:sz="4" w:space="0" w:color="595A5B" w:themeColor="text1"/>
            </w:tcBorders>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108.3</w:t>
            </w:r>
          </w:p>
        </w:tc>
        <w:tc>
          <w:tcPr>
            <w:tcW w:w="1134" w:type="dxa"/>
            <w:tcBorders>
              <w:left w:val="single" w:sz="4" w:space="0" w:color="595A5B" w:themeColor="text1"/>
            </w:tcBorders>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44.0</w:t>
            </w:r>
          </w:p>
        </w:tc>
        <w:tc>
          <w:tcPr>
            <w:tcW w:w="1417"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125.2</w:t>
            </w:r>
          </w:p>
        </w:tc>
      </w:tr>
      <w:tr w:rsidR="00CD045A" w:rsidRPr="002157A3" w:rsidTr="00997D7E">
        <w:trPr>
          <w:trHeight w:val="264"/>
        </w:trPr>
        <w:tc>
          <w:tcPr>
            <w:tcW w:w="4410" w:type="dxa"/>
            <w:shd w:val="clear" w:color="auto" w:fill="CAE7F3" w:themeFill="accent1" w:themeFillTint="33"/>
            <w:noWrap/>
            <w:vAlign w:val="bottom"/>
            <w:hideMark/>
          </w:tcPr>
          <w:p w:rsidR="00CD045A" w:rsidRPr="002157A3" w:rsidRDefault="00CD045A" w:rsidP="00DB555F">
            <w:pPr>
              <w:pStyle w:val="Tabletext"/>
              <w:ind w:left="333"/>
              <w:jc w:val="right"/>
              <w:rPr>
                <w:lang w:eastAsia="en-AU"/>
              </w:rPr>
            </w:pPr>
            <w:r w:rsidRPr="002157A3">
              <w:rPr>
                <w:lang w:eastAsia="en-AU"/>
              </w:rPr>
              <w:t xml:space="preserve">Other Store-Based Retailing </w:t>
            </w:r>
          </w:p>
        </w:tc>
        <w:tc>
          <w:tcPr>
            <w:tcW w:w="1275" w:type="dxa"/>
            <w:gridSpan w:val="2"/>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3.48</w:t>
            </w:r>
          </w:p>
        </w:tc>
        <w:tc>
          <w:tcPr>
            <w:tcW w:w="971"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25.2</w:t>
            </w:r>
          </w:p>
        </w:tc>
        <w:tc>
          <w:tcPr>
            <w:tcW w:w="1297"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4.20</w:t>
            </w:r>
          </w:p>
        </w:tc>
        <w:tc>
          <w:tcPr>
            <w:tcW w:w="1134"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9.95</w:t>
            </w:r>
          </w:p>
        </w:tc>
        <w:tc>
          <w:tcPr>
            <w:tcW w:w="992"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63.6</w:t>
            </w:r>
          </w:p>
        </w:tc>
        <w:tc>
          <w:tcPr>
            <w:tcW w:w="1134"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4.33</w:t>
            </w:r>
          </w:p>
        </w:tc>
        <w:tc>
          <w:tcPr>
            <w:tcW w:w="1418" w:type="dxa"/>
            <w:tcBorders>
              <w:right w:val="single" w:sz="4" w:space="0" w:color="595A5B" w:themeColor="text1"/>
            </w:tcBorders>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117.0</w:t>
            </w:r>
          </w:p>
        </w:tc>
        <w:tc>
          <w:tcPr>
            <w:tcW w:w="1134" w:type="dxa"/>
            <w:tcBorders>
              <w:left w:val="single" w:sz="4" w:space="0" w:color="595A5B" w:themeColor="text1"/>
            </w:tcBorders>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46.6</w:t>
            </w:r>
          </w:p>
        </w:tc>
        <w:tc>
          <w:tcPr>
            <w:tcW w:w="1417"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129.5</w:t>
            </w:r>
          </w:p>
        </w:tc>
      </w:tr>
      <w:tr w:rsidR="00CD045A" w:rsidRPr="002157A3" w:rsidTr="00997D7E">
        <w:trPr>
          <w:trHeight w:val="264"/>
        </w:trPr>
        <w:tc>
          <w:tcPr>
            <w:tcW w:w="4410" w:type="dxa"/>
            <w:shd w:val="clear" w:color="auto" w:fill="CAE7F3" w:themeFill="accent1" w:themeFillTint="33"/>
            <w:noWrap/>
            <w:vAlign w:val="bottom"/>
            <w:hideMark/>
          </w:tcPr>
          <w:p w:rsidR="00CD045A" w:rsidRPr="002157A3" w:rsidRDefault="00CD045A" w:rsidP="00DB555F">
            <w:pPr>
              <w:pStyle w:val="Tabletext"/>
              <w:ind w:left="333"/>
              <w:jc w:val="right"/>
              <w:rPr>
                <w:lang w:eastAsia="en-AU"/>
              </w:rPr>
            </w:pPr>
            <w:r w:rsidRPr="002157A3">
              <w:rPr>
                <w:lang w:eastAsia="en-AU"/>
              </w:rPr>
              <w:t xml:space="preserve">Non-Store Retailing and Retail Commission-Based Buying and/or Selling </w:t>
            </w:r>
          </w:p>
        </w:tc>
        <w:tc>
          <w:tcPr>
            <w:tcW w:w="1275" w:type="dxa"/>
            <w:gridSpan w:val="2"/>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8.45</w:t>
            </w:r>
          </w:p>
        </w:tc>
        <w:tc>
          <w:tcPr>
            <w:tcW w:w="971"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29.6</w:t>
            </w:r>
          </w:p>
        </w:tc>
        <w:tc>
          <w:tcPr>
            <w:tcW w:w="1297"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7.87</w:t>
            </w:r>
          </w:p>
        </w:tc>
        <w:tc>
          <w:tcPr>
            <w:tcW w:w="1134"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65.78</w:t>
            </w:r>
          </w:p>
        </w:tc>
        <w:tc>
          <w:tcPr>
            <w:tcW w:w="992"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49.8</w:t>
            </w:r>
          </w:p>
        </w:tc>
        <w:tc>
          <w:tcPr>
            <w:tcW w:w="1134"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1.38</w:t>
            </w:r>
          </w:p>
        </w:tc>
        <w:tc>
          <w:tcPr>
            <w:tcW w:w="1418" w:type="dxa"/>
            <w:tcBorders>
              <w:right w:val="single" w:sz="4" w:space="0" w:color="595A5B" w:themeColor="text1"/>
            </w:tcBorders>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118.1</w:t>
            </w:r>
          </w:p>
        </w:tc>
        <w:tc>
          <w:tcPr>
            <w:tcW w:w="1134" w:type="dxa"/>
            <w:tcBorders>
              <w:left w:val="single" w:sz="4" w:space="0" w:color="595A5B" w:themeColor="text1"/>
            </w:tcBorders>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34.7</w:t>
            </w:r>
          </w:p>
        </w:tc>
        <w:tc>
          <w:tcPr>
            <w:tcW w:w="1417"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166.3</w:t>
            </w:r>
          </w:p>
        </w:tc>
      </w:tr>
      <w:tr w:rsidR="00CD045A" w:rsidRPr="0012621E" w:rsidTr="00997D7E">
        <w:trPr>
          <w:trHeight w:val="255"/>
        </w:trPr>
        <w:tc>
          <w:tcPr>
            <w:tcW w:w="4410" w:type="dxa"/>
            <w:shd w:val="clear" w:color="auto" w:fill="CAE7F3" w:themeFill="accent1" w:themeFillTint="33"/>
            <w:noWrap/>
            <w:vAlign w:val="bottom"/>
            <w:hideMark/>
          </w:tcPr>
          <w:p w:rsidR="00CD045A" w:rsidRPr="0012621E" w:rsidRDefault="00CD045A" w:rsidP="00DB555F">
            <w:pPr>
              <w:pStyle w:val="Tabletext"/>
              <w:jc w:val="right"/>
              <w:rPr>
                <w:i/>
                <w:lang w:eastAsia="en-AU"/>
              </w:rPr>
            </w:pPr>
            <w:r w:rsidRPr="0012621E">
              <w:rPr>
                <w:i/>
                <w:lang w:eastAsia="en-AU"/>
              </w:rPr>
              <w:t xml:space="preserve">ACCOMMODATION AND FOOD SERVICES </w:t>
            </w:r>
          </w:p>
        </w:tc>
        <w:tc>
          <w:tcPr>
            <w:tcW w:w="1275" w:type="dxa"/>
            <w:gridSpan w:val="2"/>
            <w:shd w:val="clear" w:color="auto" w:fill="CAE7F3" w:themeFill="accent1" w:themeFillTint="33"/>
            <w:noWrap/>
            <w:vAlign w:val="bottom"/>
            <w:hideMark/>
          </w:tcPr>
          <w:p w:rsidR="00CD045A" w:rsidRPr="0012621E" w:rsidRDefault="00CD045A" w:rsidP="00DB555F">
            <w:pPr>
              <w:pStyle w:val="Tabletext"/>
              <w:jc w:val="right"/>
              <w:rPr>
                <w:i/>
                <w:lang w:eastAsia="en-AU"/>
              </w:rPr>
            </w:pPr>
          </w:p>
        </w:tc>
        <w:tc>
          <w:tcPr>
            <w:tcW w:w="971" w:type="dxa"/>
            <w:shd w:val="clear" w:color="auto" w:fill="CAE7F3" w:themeFill="accent1" w:themeFillTint="33"/>
            <w:noWrap/>
            <w:vAlign w:val="bottom"/>
            <w:hideMark/>
          </w:tcPr>
          <w:p w:rsidR="00CD045A" w:rsidRPr="0012621E" w:rsidRDefault="00CD045A" w:rsidP="00DB555F">
            <w:pPr>
              <w:pStyle w:val="Tabletext"/>
              <w:jc w:val="right"/>
              <w:rPr>
                <w:i/>
                <w:lang w:eastAsia="en-AU"/>
              </w:rPr>
            </w:pPr>
          </w:p>
        </w:tc>
        <w:tc>
          <w:tcPr>
            <w:tcW w:w="1297" w:type="dxa"/>
            <w:shd w:val="clear" w:color="auto" w:fill="CAE7F3" w:themeFill="accent1" w:themeFillTint="33"/>
            <w:noWrap/>
            <w:vAlign w:val="bottom"/>
            <w:hideMark/>
          </w:tcPr>
          <w:p w:rsidR="00CD045A" w:rsidRPr="0012621E" w:rsidRDefault="00CD045A" w:rsidP="00DB555F">
            <w:pPr>
              <w:pStyle w:val="Tabletext"/>
              <w:jc w:val="right"/>
              <w:rPr>
                <w:i/>
                <w:lang w:eastAsia="en-AU"/>
              </w:rPr>
            </w:pPr>
          </w:p>
        </w:tc>
        <w:tc>
          <w:tcPr>
            <w:tcW w:w="1134" w:type="dxa"/>
            <w:shd w:val="clear" w:color="auto" w:fill="CAE7F3" w:themeFill="accent1" w:themeFillTint="33"/>
            <w:noWrap/>
            <w:vAlign w:val="bottom"/>
            <w:hideMark/>
          </w:tcPr>
          <w:p w:rsidR="00CD045A" w:rsidRPr="0012621E" w:rsidRDefault="00CD045A" w:rsidP="00DB555F">
            <w:pPr>
              <w:pStyle w:val="Tabletext"/>
              <w:jc w:val="right"/>
              <w:rPr>
                <w:i/>
                <w:lang w:eastAsia="en-AU"/>
              </w:rPr>
            </w:pPr>
          </w:p>
        </w:tc>
        <w:tc>
          <w:tcPr>
            <w:tcW w:w="992" w:type="dxa"/>
            <w:shd w:val="clear" w:color="auto" w:fill="CAE7F3" w:themeFill="accent1" w:themeFillTint="33"/>
            <w:noWrap/>
            <w:vAlign w:val="bottom"/>
            <w:hideMark/>
          </w:tcPr>
          <w:p w:rsidR="00CD045A" w:rsidRPr="0012621E" w:rsidRDefault="00CD045A" w:rsidP="00DB555F">
            <w:pPr>
              <w:pStyle w:val="Tabletext"/>
              <w:jc w:val="right"/>
              <w:rPr>
                <w:i/>
                <w:lang w:eastAsia="en-AU"/>
              </w:rPr>
            </w:pPr>
          </w:p>
        </w:tc>
        <w:tc>
          <w:tcPr>
            <w:tcW w:w="1134" w:type="dxa"/>
            <w:shd w:val="clear" w:color="auto" w:fill="CAE7F3" w:themeFill="accent1" w:themeFillTint="33"/>
            <w:noWrap/>
            <w:vAlign w:val="bottom"/>
            <w:hideMark/>
          </w:tcPr>
          <w:p w:rsidR="00CD045A" w:rsidRPr="0012621E" w:rsidRDefault="00CD045A" w:rsidP="00DB555F">
            <w:pPr>
              <w:pStyle w:val="Tabletext"/>
              <w:jc w:val="right"/>
              <w:rPr>
                <w:i/>
                <w:lang w:eastAsia="en-AU"/>
              </w:rPr>
            </w:pPr>
          </w:p>
        </w:tc>
        <w:tc>
          <w:tcPr>
            <w:tcW w:w="1418" w:type="dxa"/>
            <w:tcBorders>
              <w:right w:val="single" w:sz="4" w:space="0" w:color="595A5B" w:themeColor="text1"/>
            </w:tcBorders>
            <w:shd w:val="clear" w:color="auto" w:fill="CAE7F3" w:themeFill="accent1" w:themeFillTint="33"/>
            <w:noWrap/>
            <w:vAlign w:val="bottom"/>
            <w:hideMark/>
          </w:tcPr>
          <w:p w:rsidR="00CD045A" w:rsidRPr="0012621E" w:rsidRDefault="00CD045A" w:rsidP="00DB555F">
            <w:pPr>
              <w:pStyle w:val="Tabletext"/>
              <w:jc w:val="right"/>
              <w:rPr>
                <w:i/>
                <w:lang w:eastAsia="en-AU"/>
              </w:rPr>
            </w:pPr>
          </w:p>
        </w:tc>
        <w:tc>
          <w:tcPr>
            <w:tcW w:w="1134" w:type="dxa"/>
            <w:tcBorders>
              <w:left w:val="single" w:sz="4" w:space="0" w:color="595A5B" w:themeColor="text1"/>
            </w:tcBorders>
            <w:shd w:val="clear" w:color="auto" w:fill="CAE7F3" w:themeFill="accent1" w:themeFillTint="33"/>
            <w:noWrap/>
            <w:vAlign w:val="bottom"/>
            <w:hideMark/>
          </w:tcPr>
          <w:p w:rsidR="00CD045A" w:rsidRPr="0012621E" w:rsidRDefault="00CD045A" w:rsidP="00DB555F">
            <w:pPr>
              <w:pStyle w:val="Tabletext"/>
              <w:jc w:val="right"/>
              <w:rPr>
                <w:i/>
                <w:lang w:eastAsia="en-AU"/>
              </w:rPr>
            </w:pPr>
          </w:p>
        </w:tc>
        <w:tc>
          <w:tcPr>
            <w:tcW w:w="1417" w:type="dxa"/>
            <w:shd w:val="clear" w:color="auto" w:fill="CAE7F3" w:themeFill="accent1" w:themeFillTint="33"/>
            <w:noWrap/>
            <w:vAlign w:val="bottom"/>
            <w:hideMark/>
          </w:tcPr>
          <w:p w:rsidR="00CD045A" w:rsidRPr="0012621E" w:rsidRDefault="00CD045A" w:rsidP="00DB555F">
            <w:pPr>
              <w:pStyle w:val="Tabletext"/>
              <w:jc w:val="right"/>
              <w:rPr>
                <w:i/>
                <w:lang w:eastAsia="en-AU"/>
              </w:rPr>
            </w:pPr>
          </w:p>
        </w:tc>
      </w:tr>
      <w:tr w:rsidR="00CD045A" w:rsidRPr="002157A3" w:rsidTr="00997D7E">
        <w:trPr>
          <w:trHeight w:val="264"/>
        </w:trPr>
        <w:tc>
          <w:tcPr>
            <w:tcW w:w="4410" w:type="dxa"/>
            <w:shd w:val="clear" w:color="auto" w:fill="CAE7F3" w:themeFill="accent1" w:themeFillTint="33"/>
            <w:noWrap/>
            <w:vAlign w:val="bottom"/>
            <w:hideMark/>
          </w:tcPr>
          <w:p w:rsidR="00CD045A" w:rsidRPr="002157A3" w:rsidRDefault="00CD045A" w:rsidP="00DB555F">
            <w:pPr>
              <w:pStyle w:val="Tabletext"/>
              <w:ind w:left="333"/>
              <w:jc w:val="right"/>
              <w:rPr>
                <w:lang w:eastAsia="en-AU"/>
              </w:rPr>
            </w:pPr>
            <w:r w:rsidRPr="002157A3">
              <w:rPr>
                <w:lang w:eastAsia="en-AU"/>
              </w:rPr>
              <w:t xml:space="preserve">Accommodation </w:t>
            </w:r>
          </w:p>
        </w:tc>
        <w:tc>
          <w:tcPr>
            <w:tcW w:w="1275" w:type="dxa"/>
            <w:gridSpan w:val="2"/>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4.79</w:t>
            </w:r>
          </w:p>
        </w:tc>
        <w:tc>
          <w:tcPr>
            <w:tcW w:w="971"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28.9</w:t>
            </w:r>
          </w:p>
        </w:tc>
        <w:tc>
          <w:tcPr>
            <w:tcW w:w="1297"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5.82</w:t>
            </w:r>
          </w:p>
        </w:tc>
        <w:tc>
          <w:tcPr>
            <w:tcW w:w="1134"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7.03</w:t>
            </w:r>
          </w:p>
        </w:tc>
        <w:tc>
          <w:tcPr>
            <w:tcW w:w="992"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70.6</w:t>
            </w:r>
          </w:p>
        </w:tc>
        <w:tc>
          <w:tcPr>
            <w:tcW w:w="1134"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7.80</w:t>
            </w:r>
          </w:p>
        </w:tc>
        <w:tc>
          <w:tcPr>
            <w:tcW w:w="1418" w:type="dxa"/>
            <w:tcBorders>
              <w:right w:val="single" w:sz="4" w:space="0" w:color="595A5B" w:themeColor="text1"/>
            </w:tcBorders>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116.3</w:t>
            </w:r>
          </w:p>
        </w:tc>
        <w:tc>
          <w:tcPr>
            <w:tcW w:w="1134" w:type="dxa"/>
            <w:tcBorders>
              <w:left w:val="single" w:sz="4" w:space="0" w:color="595A5B" w:themeColor="text1"/>
            </w:tcBorders>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53.3</w:t>
            </w:r>
          </w:p>
        </w:tc>
        <w:tc>
          <w:tcPr>
            <w:tcW w:w="1417"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175.0</w:t>
            </w:r>
          </w:p>
        </w:tc>
      </w:tr>
      <w:tr w:rsidR="00CD045A" w:rsidRPr="002157A3" w:rsidTr="00997D7E">
        <w:trPr>
          <w:trHeight w:val="264"/>
        </w:trPr>
        <w:tc>
          <w:tcPr>
            <w:tcW w:w="4410" w:type="dxa"/>
            <w:shd w:val="clear" w:color="auto" w:fill="CAE7F3" w:themeFill="accent1" w:themeFillTint="33"/>
            <w:noWrap/>
            <w:vAlign w:val="bottom"/>
            <w:hideMark/>
          </w:tcPr>
          <w:p w:rsidR="00CD045A" w:rsidRPr="002157A3" w:rsidRDefault="00CD045A" w:rsidP="00DB555F">
            <w:pPr>
              <w:pStyle w:val="Tabletext"/>
              <w:ind w:left="333"/>
              <w:jc w:val="right"/>
              <w:rPr>
                <w:lang w:eastAsia="en-AU"/>
              </w:rPr>
            </w:pPr>
            <w:r w:rsidRPr="002157A3">
              <w:rPr>
                <w:lang w:eastAsia="en-AU"/>
              </w:rPr>
              <w:t xml:space="preserve">Food and Beverage Services </w:t>
            </w:r>
          </w:p>
        </w:tc>
        <w:tc>
          <w:tcPr>
            <w:tcW w:w="1275" w:type="dxa"/>
            <w:gridSpan w:val="2"/>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7.35</w:t>
            </w:r>
          </w:p>
        </w:tc>
        <w:tc>
          <w:tcPr>
            <w:tcW w:w="971"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37.1</w:t>
            </w:r>
          </w:p>
        </w:tc>
        <w:tc>
          <w:tcPr>
            <w:tcW w:w="1297"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7.43</w:t>
            </w:r>
          </w:p>
        </w:tc>
        <w:tc>
          <w:tcPr>
            <w:tcW w:w="1134"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11.17</w:t>
            </w:r>
          </w:p>
        </w:tc>
        <w:tc>
          <w:tcPr>
            <w:tcW w:w="992"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55.8</w:t>
            </w:r>
          </w:p>
        </w:tc>
        <w:tc>
          <w:tcPr>
            <w:tcW w:w="1134"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9.21</w:t>
            </w:r>
          </w:p>
        </w:tc>
        <w:tc>
          <w:tcPr>
            <w:tcW w:w="1418" w:type="dxa"/>
            <w:tcBorders>
              <w:right w:val="single" w:sz="4" w:space="0" w:color="595A5B" w:themeColor="text1"/>
            </w:tcBorders>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95.5</w:t>
            </w:r>
          </w:p>
        </w:tc>
        <w:tc>
          <w:tcPr>
            <w:tcW w:w="1134" w:type="dxa"/>
            <w:tcBorders>
              <w:left w:val="single" w:sz="4" w:space="0" w:color="595A5B" w:themeColor="text1"/>
            </w:tcBorders>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34.3</w:t>
            </w:r>
          </w:p>
        </w:tc>
        <w:tc>
          <w:tcPr>
            <w:tcW w:w="1417"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101.2</w:t>
            </w:r>
          </w:p>
        </w:tc>
      </w:tr>
      <w:tr w:rsidR="00CD045A" w:rsidRPr="0012621E" w:rsidTr="00997D7E">
        <w:trPr>
          <w:trHeight w:val="255"/>
        </w:trPr>
        <w:tc>
          <w:tcPr>
            <w:tcW w:w="4410" w:type="dxa"/>
            <w:shd w:val="clear" w:color="auto" w:fill="CAE7F3" w:themeFill="accent1" w:themeFillTint="33"/>
            <w:noWrap/>
            <w:vAlign w:val="bottom"/>
            <w:hideMark/>
          </w:tcPr>
          <w:p w:rsidR="00CD045A" w:rsidRPr="0012621E" w:rsidRDefault="00CD045A" w:rsidP="00DB555F">
            <w:pPr>
              <w:pStyle w:val="Tabletext"/>
              <w:jc w:val="right"/>
              <w:rPr>
                <w:i/>
                <w:lang w:eastAsia="en-AU"/>
              </w:rPr>
            </w:pPr>
            <w:r w:rsidRPr="0012621E">
              <w:rPr>
                <w:i/>
                <w:lang w:eastAsia="en-AU"/>
              </w:rPr>
              <w:t xml:space="preserve">TRANSPORT POSTAL AND WAREHOUSING </w:t>
            </w:r>
          </w:p>
        </w:tc>
        <w:tc>
          <w:tcPr>
            <w:tcW w:w="1275" w:type="dxa"/>
            <w:gridSpan w:val="2"/>
            <w:shd w:val="clear" w:color="auto" w:fill="CAE7F3" w:themeFill="accent1" w:themeFillTint="33"/>
            <w:noWrap/>
            <w:vAlign w:val="bottom"/>
            <w:hideMark/>
          </w:tcPr>
          <w:p w:rsidR="00CD045A" w:rsidRPr="0012621E" w:rsidRDefault="00CD045A" w:rsidP="00DB555F">
            <w:pPr>
              <w:pStyle w:val="Tabletext"/>
              <w:jc w:val="right"/>
              <w:rPr>
                <w:i/>
                <w:lang w:eastAsia="en-AU"/>
              </w:rPr>
            </w:pPr>
          </w:p>
        </w:tc>
        <w:tc>
          <w:tcPr>
            <w:tcW w:w="971" w:type="dxa"/>
            <w:shd w:val="clear" w:color="auto" w:fill="CAE7F3" w:themeFill="accent1" w:themeFillTint="33"/>
            <w:noWrap/>
            <w:vAlign w:val="bottom"/>
            <w:hideMark/>
          </w:tcPr>
          <w:p w:rsidR="00CD045A" w:rsidRPr="0012621E" w:rsidRDefault="00CD045A" w:rsidP="00DB555F">
            <w:pPr>
              <w:pStyle w:val="Tabletext"/>
              <w:jc w:val="right"/>
              <w:rPr>
                <w:i/>
                <w:lang w:eastAsia="en-AU"/>
              </w:rPr>
            </w:pPr>
          </w:p>
        </w:tc>
        <w:tc>
          <w:tcPr>
            <w:tcW w:w="1297" w:type="dxa"/>
            <w:shd w:val="clear" w:color="auto" w:fill="CAE7F3" w:themeFill="accent1" w:themeFillTint="33"/>
            <w:noWrap/>
            <w:vAlign w:val="bottom"/>
            <w:hideMark/>
          </w:tcPr>
          <w:p w:rsidR="00CD045A" w:rsidRPr="0012621E" w:rsidRDefault="00CD045A" w:rsidP="00DB555F">
            <w:pPr>
              <w:pStyle w:val="Tabletext"/>
              <w:jc w:val="right"/>
              <w:rPr>
                <w:i/>
                <w:lang w:eastAsia="en-AU"/>
              </w:rPr>
            </w:pPr>
          </w:p>
        </w:tc>
        <w:tc>
          <w:tcPr>
            <w:tcW w:w="1134" w:type="dxa"/>
            <w:shd w:val="clear" w:color="auto" w:fill="CAE7F3" w:themeFill="accent1" w:themeFillTint="33"/>
            <w:noWrap/>
            <w:vAlign w:val="bottom"/>
            <w:hideMark/>
          </w:tcPr>
          <w:p w:rsidR="00CD045A" w:rsidRPr="0012621E" w:rsidRDefault="00CD045A" w:rsidP="00DB555F">
            <w:pPr>
              <w:pStyle w:val="Tabletext"/>
              <w:jc w:val="right"/>
              <w:rPr>
                <w:i/>
                <w:lang w:eastAsia="en-AU"/>
              </w:rPr>
            </w:pPr>
          </w:p>
        </w:tc>
        <w:tc>
          <w:tcPr>
            <w:tcW w:w="992" w:type="dxa"/>
            <w:shd w:val="clear" w:color="auto" w:fill="CAE7F3" w:themeFill="accent1" w:themeFillTint="33"/>
            <w:noWrap/>
            <w:vAlign w:val="bottom"/>
            <w:hideMark/>
          </w:tcPr>
          <w:p w:rsidR="00CD045A" w:rsidRPr="0012621E" w:rsidRDefault="00CD045A" w:rsidP="00DB555F">
            <w:pPr>
              <w:pStyle w:val="Tabletext"/>
              <w:jc w:val="right"/>
              <w:rPr>
                <w:i/>
                <w:lang w:eastAsia="en-AU"/>
              </w:rPr>
            </w:pPr>
          </w:p>
        </w:tc>
        <w:tc>
          <w:tcPr>
            <w:tcW w:w="1134" w:type="dxa"/>
            <w:shd w:val="clear" w:color="auto" w:fill="CAE7F3" w:themeFill="accent1" w:themeFillTint="33"/>
            <w:noWrap/>
            <w:vAlign w:val="bottom"/>
            <w:hideMark/>
          </w:tcPr>
          <w:p w:rsidR="00CD045A" w:rsidRPr="0012621E" w:rsidRDefault="00CD045A" w:rsidP="00DB555F">
            <w:pPr>
              <w:pStyle w:val="Tabletext"/>
              <w:jc w:val="right"/>
              <w:rPr>
                <w:i/>
                <w:lang w:eastAsia="en-AU"/>
              </w:rPr>
            </w:pPr>
          </w:p>
        </w:tc>
        <w:tc>
          <w:tcPr>
            <w:tcW w:w="1418" w:type="dxa"/>
            <w:tcBorders>
              <w:right w:val="single" w:sz="4" w:space="0" w:color="595A5B" w:themeColor="text1"/>
            </w:tcBorders>
            <w:shd w:val="clear" w:color="auto" w:fill="CAE7F3" w:themeFill="accent1" w:themeFillTint="33"/>
            <w:noWrap/>
            <w:vAlign w:val="bottom"/>
            <w:hideMark/>
          </w:tcPr>
          <w:p w:rsidR="00CD045A" w:rsidRPr="0012621E" w:rsidRDefault="00CD045A" w:rsidP="00DB555F">
            <w:pPr>
              <w:pStyle w:val="Tabletext"/>
              <w:jc w:val="right"/>
              <w:rPr>
                <w:i/>
                <w:lang w:eastAsia="en-AU"/>
              </w:rPr>
            </w:pPr>
          </w:p>
        </w:tc>
        <w:tc>
          <w:tcPr>
            <w:tcW w:w="1134" w:type="dxa"/>
            <w:tcBorders>
              <w:left w:val="single" w:sz="4" w:space="0" w:color="595A5B" w:themeColor="text1"/>
            </w:tcBorders>
            <w:shd w:val="clear" w:color="auto" w:fill="CAE7F3" w:themeFill="accent1" w:themeFillTint="33"/>
            <w:noWrap/>
            <w:vAlign w:val="bottom"/>
            <w:hideMark/>
          </w:tcPr>
          <w:p w:rsidR="00CD045A" w:rsidRPr="0012621E" w:rsidRDefault="00CD045A" w:rsidP="00DB555F">
            <w:pPr>
              <w:pStyle w:val="Tabletext"/>
              <w:jc w:val="right"/>
              <w:rPr>
                <w:i/>
                <w:lang w:eastAsia="en-AU"/>
              </w:rPr>
            </w:pPr>
          </w:p>
        </w:tc>
        <w:tc>
          <w:tcPr>
            <w:tcW w:w="1417" w:type="dxa"/>
            <w:shd w:val="clear" w:color="auto" w:fill="CAE7F3" w:themeFill="accent1" w:themeFillTint="33"/>
            <w:noWrap/>
            <w:vAlign w:val="bottom"/>
            <w:hideMark/>
          </w:tcPr>
          <w:p w:rsidR="00CD045A" w:rsidRPr="0012621E" w:rsidRDefault="00CD045A" w:rsidP="00DB555F">
            <w:pPr>
              <w:pStyle w:val="Tabletext"/>
              <w:jc w:val="right"/>
              <w:rPr>
                <w:i/>
                <w:lang w:eastAsia="en-AU"/>
              </w:rPr>
            </w:pPr>
          </w:p>
        </w:tc>
      </w:tr>
      <w:tr w:rsidR="00CD045A" w:rsidRPr="002157A3" w:rsidTr="00997D7E">
        <w:trPr>
          <w:trHeight w:val="264"/>
        </w:trPr>
        <w:tc>
          <w:tcPr>
            <w:tcW w:w="4410" w:type="dxa"/>
            <w:shd w:val="clear" w:color="auto" w:fill="CAE7F3" w:themeFill="accent1" w:themeFillTint="33"/>
            <w:noWrap/>
            <w:vAlign w:val="bottom"/>
            <w:hideMark/>
          </w:tcPr>
          <w:p w:rsidR="00CD045A" w:rsidRPr="002157A3" w:rsidRDefault="00CD045A" w:rsidP="00DB555F">
            <w:pPr>
              <w:pStyle w:val="Tabletext"/>
              <w:ind w:left="333"/>
              <w:jc w:val="right"/>
              <w:rPr>
                <w:lang w:eastAsia="en-AU"/>
              </w:rPr>
            </w:pPr>
            <w:r w:rsidRPr="002157A3">
              <w:rPr>
                <w:lang w:eastAsia="en-AU"/>
              </w:rPr>
              <w:t xml:space="preserve">Road Transport </w:t>
            </w:r>
          </w:p>
        </w:tc>
        <w:tc>
          <w:tcPr>
            <w:tcW w:w="1275" w:type="dxa"/>
            <w:gridSpan w:val="2"/>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3.80</w:t>
            </w:r>
          </w:p>
        </w:tc>
        <w:tc>
          <w:tcPr>
            <w:tcW w:w="971"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21.4</w:t>
            </w:r>
          </w:p>
        </w:tc>
        <w:tc>
          <w:tcPr>
            <w:tcW w:w="1297"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4.82</w:t>
            </w:r>
          </w:p>
        </w:tc>
        <w:tc>
          <w:tcPr>
            <w:tcW w:w="1134"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25.39</w:t>
            </w:r>
          </w:p>
        </w:tc>
        <w:tc>
          <w:tcPr>
            <w:tcW w:w="992"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61.9</w:t>
            </w:r>
          </w:p>
        </w:tc>
        <w:tc>
          <w:tcPr>
            <w:tcW w:w="1134"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1.85</w:t>
            </w:r>
          </w:p>
        </w:tc>
        <w:tc>
          <w:tcPr>
            <w:tcW w:w="1418" w:type="dxa"/>
            <w:tcBorders>
              <w:right w:val="single" w:sz="4" w:space="0" w:color="595A5B" w:themeColor="text1"/>
            </w:tcBorders>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116.9</w:t>
            </w:r>
          </w:p>
        </w:tc>
        <w:tc>
          <w:tcPr>
            <w:tcW w:w="1134" w:type="dxa"/>
            <w:tcBorders>
              <w:left w:val="single" w:sz="4" w:space="0" w:color="595A5B" w:themeColor="text1"/>
            </w:tcBorders>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47.6</w:t>
            </w:r>
          </w:p>
        </w:tc>
        <w:tc>
          <w:tcPr>
            <w:tcW w:w="1417"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127.1</w:t>
            </w:r>
          </w:p>
        </w:tc>
      </w:tr>
      <w:tr w:rsidR="00CD045A" w:rsidRPr="002157A3" w:rsidTr="00997D7E">
        <w:trPr>
          <w:trHeight w:val="264"/>
        </w:trPr>
        <w:tc>
          <w:tcPr>
            <w:tcW w:w="4410" w:type="dxa"/>
            <w:shd w:val="clear" w:color="auto" w:fill="CAE7F3" w:themeFill="accent1" w:themeFillTint="33"/>
            <w:noWrap/>
            <w:vAlign w:val="bottom"/>
            <w:hideMark/>
          </w:tcPr>
          <w:p w:rsidR="00CD045A" w:rsidRPr="002157A3" w:rsidRDefault="00CD045A" w:rsidP="00DB555F">
            <w:pPr>
              <w:pStyle w:val="Tabletext"/>
              <w:ind w:left="333"/>
              <w:jc w:val="right"/>
              <w:rPr>
                <w:lang w:eastAsia="en-AU"/>
              </w:rPr>
            </w:pPr>
            <w:r w:rsidRPr="002157A3">
              <w:rPr>
                <w:lang w:eastAsia="en-AU"/>
              </w:rPr>
              <w:t xml:space="preserve">Water Transport </w:t>
            </w:r>
          </w:p>
        </w:tc>
        <w:tc>
          <w:tcPr>
            <w:tcW w:w="1275" w:type="dxa"/>
            <w:gridSpan w:val="2"/>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3.42</w:t>
            </w:r>
          </w:p>
        </w:tc>
        <w:tc>
          <w:tcPr>
            <w:tcW w:w="971"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22.7</w:t>
            </w:r>
          </w:p>
        </w:tc>
        <w:tc>
          <w:tcPr>
            <w:tcW w:w="1297"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6.11</w:t>
            </w:r>
          </w:p>
        </w:tc>
        <w:tc>
          <w:tcPr>
            <w:tcW w:w="1134"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7.28</w:t>
            </w:r>
          </w:p>
        </w:tc>
        <w:tc>
          <w:tcPr>
            <w:tcW w:w="992"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58.8</w:t>
            </w:r>
          </w:p>
        </w:tc>
        <w:tc>
          <w:tcPr>
            <w:tcW w:w="1134"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7.68</w:t>
            </w:r>
          </w:p>
        </w:tc>
        <w:tc>
          <w:tcPr>
            <w:tcW w:w="1418" w:type="dxa"/>
            <w:tcBorders>
              <w:right w:val="single" w:sz="4" w:space="0" w:color="595A5B" w:themeColor="text1"/>
            </w:tcBorders>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136.4</w:t>
            </w:r>
          </w:p>
        </w:tc>
        <w:tc>
          <w:tcPr>
            <w:tcW w:w="1134" w:type="dxa"/>
            <w:tcBorders>
              <w:left w:val="single" w:sz="4" w:space="0" w:color="595A5B" w:themeColor="text1"/>
            </w:tcBorders>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43.8</w:t>
            </w:r>
          </w:p>
        </w:tc>
        <w:tc>
          <w:tcPr>
            <w:tcW w:w="1417"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647.5</w:t>
            </w:r>
          </w:p>
        </w:tc>
      </w:tr>
      <w:tr w:rsidR="00CD045A" w:rsidRPr="002157A3" w:rsidTr="00997D7E">
        <w:trPr>
          <w:trHeight w:val="264"/>
        </w:trPr>
        <w:tc>
          <w:tcPr>
            <w:tcW w:w="4410" w:type="dxa"/>
            <w:shd w:val="clear" w:color="auto" w:fill="CAE7F3" w:themeFill="accent1" w:themeFillTint="33"/>
            <w:noWrap/>
            <w:vAlign w:val="bottom"/>
            <w:hideMark/>
          </w:tcPr>
          <w:p w:rsidR="00CD045A" w:rsidRPr="002157A3" w:rsidRDefault="00CD045A" w:rsidP="00DB555F">
            <w:pPr>
              <w:pStyle w:val="Tabletext"/>
              <w:ind w:left="333"/>
              <w:jc w:val="right"/>
              <w:rPr>
                <w:lang w:eastAsia="en-AU"/>
              </w:rPr>
            </w:pPr>
            <w:r w:rsidRPr="002157A3">
              <w:rPr>
                <w:lang w:eastAsia="en-AU"/>
              </w:rPr>
              <w:t xml:space="preserve">Air and Space Transport </w:t>
            </w:r>
          </w:p>
        </w:tc>
        <w:tc>
          <w:tcPr>
            <w:tcW w:w="1275" w:type="dxa"/>
            <w:gridSpan w:val="2"/>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0.58</w:t>
            </w:r>
          </w:p>
        </w:tc>
        <w:tc>
          <w:tcPr>
            <w:tcW w:w="971"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9.1</w:t>
            </w:r>
          </w:p>
        </w:tc>
        <w:tc>
          <w:tcPr>
            <w:tcW w:w="1297"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1.13</w:t>
            </w:r>
          </w:p>
        </w:tc>
        <w:tc>
          <w:tcPr>
            <w:tcW w:w="1134"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2.00</w:t>
            </w:r>
          </w:p>
        </w:tc>
        <w:tc>
          <w:tcPr>
            <w:tcW w:w="992"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55.5</w:t>
            </w:r>
          </w:p>
        </w:tc>
        <w:tc>
          <w:tcPr>
            <w:tcW w:w="1134"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4.17</w:t>
            </w:r>
          </w:p>
        </w:tc>
        <w:tc>
          <w:tcPr>
            <w:tcW w:w="1418" w:type="dxa"/>
            <w:tcBorders>
              <w:right w:val="single" w:sz="4" w:space="0" w:color="595A5B" w:themeColor="text1"/>
            </w:tcBorders>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210.7</w:t>
            </w:r>
          </w:p>
        </w:tc>
        <w:tc>
          <w:tcPr>
            <w:tcW w:w="1134" w:type="dxa"/>
            <w:tcBorders>
              <w:left w:val="single" w:sz="4" w:space="0" w:color="595A5B" w:themeColor="text1"/>
            </w:tcBorders>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43.9</w:t>
            </w:r>
          </w:p>
        </w:tc>
        <w:tc>
          <w:tcPr>
            <w:tcW w:w="1417"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556.2</w:t>
            </w:r>
          </w:p>
        </w:tc>
      </w:tr>
      <w:tr w:rsidR="00CD045A" w:rsidRPr="002157A3" w:rsidTr="00997D7E">
        <w:trPr>
          <w:trHeight w:val="264"/>
        </w:trPr>
        <w:tc>
          <w:tcPr>
            <w:tcW w:w="4410" w:type="dxa"/>
            <w:shd w:val="clear" w:color="auto" w:fill="CAE7F3" w:themeFill="accent1" w:themeFillTint="33"/>
            <w:noWrap/>
            <w:vAlign w:val="bottom"/>
            <w:hideMark/>
          </w:tcPr>
          <w:p w:rsidR="00CD045A" w:rsidRPr="002157A3" w:rsidRDefault="00CD045A" w:rsidP="00DB555F">
            <w:pPr>
              <w:pStyle w:val="Tabletext"/>
              <w:ind w:left="333"/>
              <w:jc w:val="right"/>
              <w:rPr>
                <w:lang w:eastAsia="en-AU"/>
              </w:rPr>
            </w:pPr>
            <w:r w:rsidRPr="002157A3">
              <w:rPr>
                <w:lang w:eastAsia="en-AU"/>
              </w:rPr>
              <w:t xml:space="preserve">Other Transport </w:t>
            </w:r>
          </w:p>
        </w:tc>
        <w:tc>
          <w:tcPr>
            <w:tcW w:w="1275" w:type="dxa"/>
            <w:gridSpan w:val="2"/>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3.06</w:t>
            </w:r>
          </w:p>
        </w:tc>
        <w:tc>
          <w:tcPr>
            <w:tcW w:w="971"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17.6</w:t>
            </w:r>
          </w:p>
        </w:tc>
        <w:tc>
          <w:tcPr>
            <w:tcW w:w="1297"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3.63</w:t>
            </w:r>
          </w:p>
        </w:tc>
        <w:tc>
          <w:tcPr>
            <w:tcW w:w="1134"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16.05</w:t>
            </w:r>
          </w:p>
        </w:tc>
        <w:tc>
          <w:tcPr>
            <w:tcW w:w="992"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57.5</w:t>
            </w:r>
          </w:p>
        </w:tc>
        <w:tc>
          <w:tcPr>
            <w:tcW w:w="1134"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2.65</w:t>
            </w:r>
          </w:p>
        </w:tc>
        <w:tc>
          <w:tcPr>
            <w:tcW w:w="1418" w:type="dxa"/>
            <w:tcBorders>
              <w:right w:val="single" w:sz="4" w:space="0" w:color="595A5B" w:themeColor="text1"/>
            </w:tcBorders>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122.0</w:t>
            </w:r>
          </w:p>
        </w:tc>
        <w:tc>
          <w:tcPr>
            <w:tcW w:w="1134" w:type="dxa"/>
            <w:tcBorders>
              <w:left w:val="single" w:sz="4" w:space="0" w:color="595A5B" w:themeColor="text1"/>
            </w:tcBorders>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43.7</w:t>
            </w:r>
          </w:p>
        </w:tc>
        <w:tc>
          <w:tcPr>
            <w:tcW w:w="1417"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197.0</w:t>
            </w:r>
          </w:p>
        </w:tc>
      </w:tr>
      <w:tr w:rsidR="00CD045A" w:rsidRPr="002157A3" w:rsidTr="00997D7E">
        <w:trPr>
          <w:trHeight w:val="264"/>
        </w:trPr>
        <w:tc>
          <w:tcPr>
            <w:tcW w:w="4410" w:type="dxa"/>
            <w:shd w:val="clear" w:color="auto" w:fill="CAE7F3" w:themeFill="accent1" w:themeFillTint="33"/>
            <w:noWrap/>
            <w:vAlign w:val="bottom"/>
            <w:hideMark/>
          </w:tcPr>
          <w:p w:rsidR="00CD045A" w:rsidRPr="002157A3" w:rsidRDefault="00CD045A" w:rsidP="00DB555F">
            <w:pPr>
              <w:pStyle w:val="Tabletext"/>
              <w:ind w:left="333"/>
              <w:jc w:val="right"/>
              <w:rPr>
                <w:lang w:eastAsia="en-AU"/>
              </w:rPr>
            </w:pPr>
            <w:r w:rsidRPr="002157A3">
              <w:rPr>
                <w:lang w:eastAsia="en-AU"/>
              </w:rPr>
              <w:t xml:space="preserve">Postal and Courier Pick-up and Delivery Services </w:t>
            </w:r>
          </w:p>
        </w:tc>
        <w:tc>
          <w:tcPr>
            <w:tcW w:w="1275" w:type="dxa"/>
            <w:gridSpan w:val="2"/>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3.11</w:t>
            </w:r>
          </w:p>
        </w:tc>
        <w:tc>
          <w:tcPr>
            <w:tcW w:w="971"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31.3</w:t>
            </w:r>
          </w:p>
        </w:tc>
        <w:tc>
          <w:tcPr>
            <w:tcW w:w="1297"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3.43</w:t>
            </w:r>
          </w:p>
        </w:tc>
        <w:tc>
          <w:tcPr>
            <w:tcW w:w="1134"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30.24</w:t>
            </w:r>
          </w:p>
        </w:tc>
        <w:tc>
          <w:tcPr>
            <w:tcW w:w="992"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56.5</w:t>
            </w:r>
          </w:p>
        </w:tc>
        <w:tc>
          <w:tcPr>
            <w:tcW w:w="1134"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1.37</w:t>
            </w:r>
          </w:p>
        </w:tc>
        <w:tc>
          <w:tcPr>
            <w:tcW w:w="1418" w:type="dxa"/>
            <w:tcBorders>
              <w:right w:val="single" w:sz="4" w:space="0" w:color="595A5B" w:themeColor="text1"/>
            </w:tcBorders>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101.5</w:t>
            </w:r>
          </w:p>
        </w:tc>
        <w:tc>
          <w:tcPr>
            <w:tcW w:w="1134" w:type="dxa"/>
            <w:tcBorders>
              <w:left w:val="single" w:sz="4" w:space="0" w:color="595A5B" w:themeColor="text1"/>
            </w:tcBorders>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41.3</w:t>
            </w:r>
          </w:p>
        </w:tc>
        <w:tc>
          <w:tcPr>
            <w:tcW w:w="1417"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93.0</w:t>
            </w:r>
          </w:p>
        </w:tc>
      </w:tr>
      <w:tr w:rsidR="00CD045A" w:rsidRPr="002157A3" w:rsidTr="00997D7E">
        <w:trPr>
          <w:trHeight w:val="264"/>
        </w:trPr>
        <w:tc>
          <w:tcPr>
            <w:tcW w:w="4410" w:type="dxa"/>
            <w:shd w:val="clear" w:color="auto" w:fill="CAE7F3" w:themeFill="accent1" w:themeFillTint="33"/>
            <w:noWrap/>
            <w:vAlign w:val="bottom"/>
            <w:hideMark/>
          </w:tcPr>
          <w:p w:rsidR="00CD045A" w:rsidRPr="002157A3" w:rsidRDefault="00CD045A" w:rsidP="00DB555F">
            <w:pPr>
              <w:pStyle w:val="Tabletext"/>
              <w:ind w:left="333"/>
              <w:jc w:val="right"/>
              <w:rPr>
                <w:lang w:eastAsia="en-AU"/>
              </w:rPr>
            </w:pPr>
            <w:r w:rsidRPr="002157A3">
              <w:rPr>
                <w:lang w:eastAsia="en-AU"/>
              </w:rPr>
              <w:t xml:space="preserve">Transport Support Services </w:t>
            </w:r>
          </w:p>
        </w:tc>
        <w:tc>
          <w:tcPr>
            <w:tcW w:w="1275" w:type="dxa"/>
            <w:gridSpan w:val="2"/>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3.62</w:t>
            </w:r>
          </w:p>
        </w:tc>
        <w:tc>
          <w:tcPr>
            <w:tcW w:w="971"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23.9</w:t>
            </w:r>
          </w:p>
        </w:tc>
        <w:tc>
          <w:tcPr>
            <w:tcW w:w="1297"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3.23</w:t>
            </w:r>
          </w:p>
        </w:tc>
        <w:tc>
          <w:tcPr>
            <w:tcW w:w="1134"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20.09</w:t>
            </w:r>
          </w:p>
        </w:tc>
        <w:tc>
          <w:tcPr>
            <w:tcW w:w="992"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51.9</w:t>
            </w:r>
          </w:p>
        </w:tc>
        <w:tc>
          <w:tcPr>
            <w:tcW w:w="1134"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3.16</w:t>
            </w:r>
          </w:p>
        </w:tc>
        <w:tc>
          <w:tcPr>
            <w:tcW w:w="1418" w:type="dxa"/>
            <w:tcBorders>
              <w:right w:val="single" w:sz="4" w:space="0" w:color="595A5B" w:themeColor="text1"/>
            </w:tcBorders>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117.4</w:t>
            </w:r>
          </w:p>
        </w:tc>
        <w:tc>
          <w:tcPr>
            <w:tcW w:w="1134" w:type="dxa"/>
            <w:tcBorders>
              <w:left w:val="single" w:sz="4" w:space="0" w:color="595A5B" w:themeColor="text1"/>
            </w:tcBorders>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40.0</w:t>
            </w:r>
          </w:p>
        </w:tc>
        <w:tc>
          <w:tcPr>
            <w:tcW w:w="1417"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159.3</w:t>
            </w:r>
          </w:p>
        </w:tc>
      </w:tr>
      <w:tr w:rsidR="00CD045A" w:rsidRPr="002157A3" w:rsidTr="00997D7E">
        <w:trPr>
          <w:trHeight w:val="264"/>
        </w:trPr>
        <w:tc>
          <w:tcPr>
            <w:tcW w:w="4410" w:type="dxa"/>
            <w:shd w:val="clear" w:color="auto" w:fill="CAE7F3" w:themeFill="accent1" w:themeFillTint="33"/>
            <w:noWrap/>
            <w:vAlign w:val="bottom"/>
            <w:hideMark/>
          </w:tcPr>
          <w:p w:rsidR="00CD045A" w:rsidRPr="002157A3" w:rsidRDefault="00CD045A" w:rsidP="00DB555F">
            <w:pPr>
              <w:pStyle w:val="Tabletext"/>
              <w:ind w:left="333"/>
              <w:jc w:val="right"/>
              <w:rPr>
                <w:lang w:eastAsia="en-AU"/>
              </w:rPr>
            </w:pPr>
            <w:r w:rsidRPr="002157A3">
              <w:rPr>
                <w:lang w:eastAsia="en-AU"/>
              </w:rPr>
              <w:t xml:space="preserve">Warehousing and Storage Services </w:t>
            </w:r>
          </w:p>
        </w:tc>
        <w:tc>
          <w:tcPr>
            <w:tcW w:w="1275" w:type="dxa"/>
            <w:gridSpan w:val="2"/>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2.84</w:t>
            </w:r>
          </w:p>
        </w:tc>
        <w:tc>
          <w:tcPr>
            <w:tcW w:w="971"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17.1</w:t>
            </w:r>
          </w:p>
        </w:tc>
        <w:tc>
          <w:tcPr>
            <w:tcW w:w="1297"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5.08</w:t>
            </w:r>
          </w:p>
        </w:tc>
        <w:tc>
          <w:tcPr>
            <w:tcW w:w="1134"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4.77</w:t>
            </w:r>
          </w:p>
        </w:tc>
        <w:tc>
          <w:tcPr>
            <w:tcW w:w="992"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67.0</w:t>
            </w:r>
          </w:p>
        </w:tc>
        <w:tc>
          <w:tcPr>
            <w:tcW w:w="1134"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9.08</w:t>
            </w:r>
          </w:p>
        </w:tc>
        <w:tc>
          <w:tcPr>
            <w:tcW w:w="1418" w:type="dxa"/>
            <w:tcBorders>
              <w:right w:val="single" w:sz="4" w:space="0" w:color="595A5B" w:themeColor="text1"/>
            </w:tcBorders>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170.8</w:t>
            </w:r>
          </w:p>
        </w:tc>
        <w:tc>
          <w:tcPr>
            <w:tcW w:w="1134" w:type="dxa"/>
            <w:tcBorders>
              <w:left w:val="single" w:sz="4" w:space="0" w:color="595A5B" w:themeColor="text1"/>
            </w:tcBorders>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54.1</w:t>
            </w:r>
          </w:p>
        </w:tc>
        <w:tc>
          <w:tcPr>
            <w:tcW w:w="1417"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372.1</w:t>
            </w:r>
          </w:p>
        </w:tc>
      </w:tr>
      <w:tr w:rsidR="00CD045A" w:rsidRPr="0012621E" w:rsidTr="00997D7E">
        <w:trPr>
          <w:trHeight w:val="255"/>
        </w:trPr>
        <w:tc>
          <w:tcPr>
            <w:tcW w:w="4425" w:type="dxa"/>
            <w:gridSpan w:val="2"/>
            <w:shd w:val="clear" w:color="auto" w:fill="CAE7F3" w:themeFill="accent1" w:themeFillTint="33"/>
            <w:noWrap/>
            <w:vAlign w:val="bottom"/>
            <w:hideMark/>
          </w:tcPr>
          <w:p w:rsidR="00CD045A" w:rsidRPr="0012621E" w:rsidRDefault="00CD045A" w:rsidP="00DB555F">
            <w:pPr>
              <w:pStyle w:val="Tabletext"/>
              <w:jc w:val="right"/>
              <w:rPr>
                <w:i/>
                <w:lang w:eastAsia="en-AU"/>
              </w:rPr>
            </w:pPr>
            <w:r w:rsidRPr="0012621E">
              <w:rPr>
                <w:i/>
                <w:lang w:eastAsia="en-AU"/>
              </w:rPr>
              <w:t xml:space="preserve">INFORMATION MEDIA AND TELECOMMUNICATIONS </w:t>
            </w:r>
          </w:p>
        </w:tc>
        <w:tc>
          <w:tcPr>
            <w:tcW w:w="1260" w:type="dxa"/>
            <w:shd w:val="clear" w:color="auto" w:fill="CAE7F3" w:themeFill="accent1" w:themeFillTint="33"/>
            <w:vAlign w:val="bottom"/>
          </w:tcPr>
          <w:p w:rsidR="00CD045A" w:rsidRPr="0012621E" w:rsidRDefault="00CD045A" w:rsidP="00DB555F">
            <w:pPr>
              <w:pStyle w:val="Tabletext"/>
              <w:jc w:val="right"/>
              <w:rPr>
                <w:i/>
                <w:lang w:eastAsia="en-AU"/>
              </w:rPr>
            </w:pPr>
          </w:p>
        </w:tc>
        <w:tc>
          <w:tcPr>
            <w:tcW w:w="971" w:type="dxa"/>
            <w:shd w:val="clear" w:color="auto" w:fill="CAE7F3" w:themeFill="accent1" w:themeFillTint="33"/>
            <w:noWrap/>
            <w:vAlign w:val="bottom"/>
            <w:hideMark/>
          </w:tcPr>
          <w:p w:rsidR="00CD045A" w:rsidRPr="0012621E" w:rsidRDefault="00CD045A" w:rsidP="00DB555F">
            <w:pPr>
              <w:pStyle w:val="Tabletext"/>
              <w:jc w:val="right"/>
              <w:rPr>
                <w:i/>
                <w:lang w:eastAsia="en-AU"/>
              </w:rPr>
            </w:pPr>
          </w:p>
        </w:tc>
        <w:tc>
          <w:tcPr>
            <w:tcW w:w="1297" w:type="dxa"/>
            <w:shd w:val="clear" w:color="auto" w:fill="CAE7F3" w:themeFill="accent1" w:themeFillTint="33"/>
            <w:noWrap/>
            <w:vAlign w:val="bottom"/>
            <w:hideMark/>
          </w:tcPr>
          <w:p w:rsidR="00CD045A" w:rsidRPr="0012621E" w:rsidRDefault="00CD045A" w:rsidP="00DB555F">
            <w:pPr>
              <w:pStyle w:val="Tabletext"/>
              <w:jc w:val="right"/>
              <w:rPr>
                <w:i/>
                <w:lang w:eastAsia="en-AU"/>
              </w:rPr>
            </w:pPr>
          </w:p>
        </w:tc>
        <w:tc>
          <w:tcPr>
            <w:tcW w:w="1134" w:type="dxa"/>
            <w:shd w:val="clear" w:color="auto" w:fill="CAE7F3" w:themeFill="accent1" w:themeFillTint="33"/>
            <w:noWrap/>
            <w:vAlign w:val="bottom"/>
            <w:hideMark/>
          </w:tcPr>
          <w:p w:rsidR="00CD045A" w:rsidRPr="0012621E" w:rsidRDefault="00CD045A" w:rsidP="00DB555F">
            <w:pPr>
              <w:pStyle w:val="Tabletext"/>
              <w:jc w:val="right"/>
              <w:rPr>
                <w:i/>
                <w:lang w:eastAsia="en-AU"/>
              </w:rPr>
            </w:pPr>
          </w:p>
        </w:tc>
        <w:tc>
          <w:tcPr>
            <w:tcW w:w="992" w:type="dxa"/>
            <w:shd w:val="clear" w:color="auto" w:fill="CAE7F3" w:themeFill="accent1" w:themeFillTint="33"/>
            <w:noWrap/>
            <w:vAlign w:val="bottom"/>
            <w:hideMark/>
          </w:tcPr>
          <w:p w:rsidR="00CD045A" w:rsidRPr="0012621E" w:rsidRDefault="00CD045A" w:rsidP="00DB555F">
            <w:pPr>
              <w:pStyle w:val="Tabletext"/>
              <w:jc w:val="right"/>
              <w:rPr>
                <w:i/>
                <w:lang w:eastAsia="en-AU"/>
              </w:rPr>
            </w:pPr>
          </w:p>
        </w:tc>
        <w:tc>
          <w:tcPr>
            <w:tcW w:w="1134" w:type="dxa"/>
            <w:shd w:val="clear" w:color="auto" w:fill="CAE7F3" w:themeFill="accent1" w:themeFillTint="33"/>
            <w:noWrap/>
            <w:vAlign w:val="bottom"/>
            <w:hideMark/>
          </w:tcPr>
          <w:p w:rsidR="00CD045A" w:rsidRPr="0012621E" w:rsidRDefault="00CD045A" w:rsidP="00DB555F">
            <w:pPr>
              <w:pStyle w:val="Tabletext"/>
              <w:jc w:val="right"/>
              <w:rPr>
                <w:i/>
                <w:lang w:eastAsia="en-AU"/>
              </w:rPr>
            </w:pPr>
          </w:p>
        </w:tc>
        <w:tc>
          <w:tcPr>
            <w:tcW w:w="1418" w:type="dxa"/>
            <w:tcBorders>
              <w:right w:val="single" w:sz="4" w:space="0" w:color="595A5B" w:themeColor="text1"/>
            </w:tcBorders>
            <w:shd w:val="clear" w:color="auto" w:fill="CAE7F3" w:themeFill="accent1" w:themeFillTint="33"/>
            <w:noWrap/>
            <w:vAlign w:val="bottom"/>
            <w:hideMark/>
          </w:tcPr>
          <w:p w:rsidR="00CD045A" w:rsidRPr="0012621E" w:rsidRDefault="00CD045A" w:rsidP="00DB555F">
            <w:pPr>
              <w:pStyle w:val="Tabletext"/>
              <w:jc w:val="right"/>
              <w:rPr>
                <w:i/>
                <w:lang w:eastAsia="en-AU"/>
              </w:rPr>
            </w:pPr>
          </w:p>
        </w:tc>
        <w:tc>
          <w:tcPr>
            <w:tcW w:w="1134" w:type="dxa"/>
            <w:tcBorders>
              <w:left w:val="single" w:sz="4" w:space="0" w:color="595A5B" w:themeColor="text1"/>
            </w:tcBorders>
            <w:shd w:val="clear" w:color="auto" w:fill="CAE7F3" w:themeFill="accent1" w:themeFillTint="33"/>
            <w:noWrap/>
            <w:vAlign w:val="bottom"/>
            <w:hideMark/>
          </w:tcPr>
          <w:p w:rsidR="00CD045A" w:rsidRPr="0012621E" w:rsidRDefault="00CD045A" w:rsidP="00DB555F">
            <w:pPr>
              <w:pStyle w:val="Tabletext"/>
              <w:jc w:val="right"/>
              <w:rPr>
                <w:i/>
                <w:lang w:eastAsia="en-AU"/>
              </w:rPr>
            </w:pPr>
          </w:p>
        </w:tc>
        <w:tc>
          <w:tcPr>
            <w:tcW w:w="1417" w:type="dxa"/>
            <w:shd w:val="clear" w:color="auto" w:fill="CAE7F3" w:themeFill="accent1" w:themeFillTint="33"/>
            <w:noWrap/>
            <w:vAlign w:val="bottom"/>
            <w:hideMark/>
          </w:tcPr>
          <w:p w:rsidR="00CD045A" w:rsidRPr="0012621E" w:rsidRDefault="00CD045A" w:rsidP="00DB555F">
            <w:pPr>
              <w:pStyle w:val="Tabletext"/>
              <w:jc w:val="right"/>
              <w:rPr>
                <w:i/>
                <w:lang w:eastAsia="en-AU"/>
              </w:rPr>
            </w:pPr>
          </w:p>
        </w:tc>
      </w:tr>
      <w:tr w:rsidR="00CD045A" w:rsidRPr="002157A3" w:rsidTr="00997D7E">
        <w:trPr>
          <w:trHeight w:val="264"/>
        </w:trPr>
        <w:tc>
          <w:tcPr>
            <w:tcW w:w="4410" w:type="dxa"/>
            <w:shd w:val="clear" w:color="auto" w:fill="CAE7F3" w:themeFill="accent1" w:themeFillTint="33"/>
            <w:noWrap/>
            <w:vAlign w:val="bottom"/>
            <w:hideMark/>
          </w:tcPr>
          <w:p w:rsidR="00CD045A" w:rsidRPr="002157A3" w:rsidRDefault="00CD045A" w:rsidP="00DB555F">
            <w:pPr>
              <w:pStyle w:val="Tabletext"/>
              <w:ind w:left="333"/>
              <w:jc w:val="right"/>
              <w:rPr>
                <w:lang w:eastAsia="en-AU"/>
              </w:rPr>
            </w:pPr>
            <w:r w:rsidRPr="002157A3">
              <w:rPr>
                <w:lang w:eastAsia="en-AU"/>
              </w:rPr>
              <w:t xml:space="preserve">Publishing (except Internet and Music Publishing) </w:t>
            </w:r>
          </w:p>
        </w:tc>
        <w:tc>
          <w:tcPr>
            <w:tcW w:w="1275" w:type="dxa"/>
            <w:gridSpan w:val="2"/>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2.39</w:t>
            </w:r>
          </w:p>
        </w:tc>
        <w:tc>
          <w:tcPr>
            <w:tcW w:w="971"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21.6</w:t>
            </w:r>
          </w:p>
        </w:tc>
        <w:tc>
          <w:tcPr>
            <w:tcW w:w="1297"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3.06</w:t>
            </w:r>
          </w:p>
        </w:tc>
        <w:tc>
          <w:tcPr>
            <w:tcW w:w="1134"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4.12</w:t>
            </w:r>
          </w:p>
        </w:tc>
        <w:tc>
          <w:tcPr>
            <w:tcW w:w="992"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58.3</w:t>
            </w:r>
          </w:p>
        </w:tc>
        <w:tc>
          <w:tcPr>
            <w:tcW w:w="1134"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13.66</w:t>
            </w:r>
          </w:p>
        </w:tc>
        <w:tc>
          <w:tcPr>
            <w:tcW w:w="1418" w:type="dxa"/>
            <w:tcBorders>
              <w:right w:val="single" w:sz="4" w:space="0" w:color="595A5B" w:themeColor="text1"/>
            </w:tcBorders>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100.4</w:t>
            </w:r>
          </w:p>
        </w:tc>
        <w:tc>
          <w:tcPr>
            <w:tcW w:w="1134" w:type="dxa"/>
            <w:tcBorders>
              <w:left w:val="single" w:sz="4" w:space="0" w:color="595A5B" w:themeColor="text1"/>
            </w:tcBorders>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44.4</w:t>
            </w:r>
          </w:p>
        </w:tc>
        <w:tc>
          <w:tcPr>
            <w:tcW w:w="1417"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123.4</w:t>
            </w:r>
          </w:p>
        </w:tc>
      </w:tr>
      <w:tr w:rsidR="00CD045A" w:rsidRPr="002157A3" w:rsidTr="00997D7E">
        <w:trPr>
          <w:trHeight w:val="264"/>
        </w:trPr>
        <w:tc>
          <w:tcPr>
            <w:tcW w:w="4410" w:type="dxa"/>
            <w:shd w:val="clear" w:color="auto" w:fill="CAE7F3" w:themeFill="accent1" w:themeFillTint="33"/>
            <w:noWrap/>
            <w:vAlign w:val="bottom"/>
            <w:hideMark/>
          </w:tcPr>
          <w:p w:rsidR="00CD045A" w:rsidRPr="002157A3" w:rsidRDefault="00CD045A" w:rsidP="00DB555F">
            <w:pPr>
              <w:pStyle w:val="Tabletext"/>
              <w:ind w:left="333"/>
              <w:jc w:val="right"/>
              <w:rPr>
                <w:lang w:eastAsia="en-AU"/>
              </w:rPr>
            </w:pPr>
            <w:r w:rsidRPr="002157A3">
              <w:rPr>
                <w:lang w:eastAsia="en-AU"/>
              </w:rPr>
              <w:t xml:space="preserve">Motion Picture and Sound Recording Activities </w:t>
            </w:r>
          </w:p>
        </w:tc>
        <w:tc>
          <w:tcPr>
            <w:tcW w:w="1275" w:type="dxa"/>
            <w:gridSpan w:val="2"/>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12.40</w:t>
            </w:r>
          </w:p>
        </w:tc>
        <w:tc>
          <w:tcPr>
            <w:tcW w:w="971"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39.3</w:t>
            </w:r>
          </w:p>
        </w:tc>
        <w:tc>
          <w:tcPr>
            <w:tcW w:w="1297"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3.61</w:t>
            </w:r>
          </w:p>
        </w:tc>
        <w:tc>
          <w:tcPr>
            <w:tcW w:w="1134"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10.84</w:t>
            </w:r>
          </w:p>
        </w:tc>
        <w:tc>
          <w:tcPr>
            <w:tcW w:w="992"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50.3</w:t>
            </w:r>
          </w:p>
        </w:tc>
        <w:tc>
          <w:tcPr>
            <w:tcW w:w="1134"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7.37</w:t>
            </w:r>
          </w:p>
        </w:tc>
        <w:tc>
          <w:tcPr>
            <w:tcW w:w="1418" w:type="dxa"/>
            <w:tcBorders>
              <w:right w:val="single" w:sz="4" w:space="0" w:color="595A5B" w:themeColor="text1"/>
            </w:tcBorders>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34.0</w:t>
            </w:r>
          </w:p>
        </w:tc>
        <w:tc>
          <w:tcPr>
            <w:tcW w:w="1134" w:type="dxa"/>
            <w:tcBorders>
              <w:left w:val="single" w:sz="4" w:space="0" w:color="595A5B" w:themeColor="text1"/>
            </w:tcBorders>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39.1</w:t>
            </w:r>
          </w:p>
        </w:tc>
        <w:tc>
          <w:tcPr>
            <w:tcW w:w="1417"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165.0</w:t>
            </w:r>
          </w:p>
        </w:tc>
      </w:tr>
      <w:tr w:rsidR="00CD045A" w:rsidRPr="002157A3" w:rsidTr="00997D7E">
        <w:trPr>
          <w:trHeight w:val="264"/>
        </w:trPr>
        <w:tc>
          <w:tcPr>
            <w:tcW w:w="4410" w:type="dxa"/>
            <w:shd w:val="clear" w:color="auto" w:fill="CAE7F3" w:themeFill="accent1" w:themeFillTint="33"/>
            <w:noWrap/>
            <w:vAlign w:val="bottom"/>
            <w:hideMark/>
          </w:tcPr>
          <w:p w:rsidR="00CD045A" w:rsidRPr="002157A3" w:rsidRDefault="00CD045A" w:rsidP="00DB555F">
            <w:pPr>
              <w:pStyle w:val="Tabletext"/>
              <w:ind w:left="333"/>
              <w:jc w:val="right"/>
              <w:rPr>
                <w:lang w:eastAsia="en-AU"/>
              </w:rPr>
            </w:pPr>
            <w:r w:rsidRPr="002157A3">
              <w:rPr>
                <w:lang w:eastAsia="en-AU"/>
              </w:rPr>
              <w:t xml:space="preserve">Internet Publishing and Broadcasting </w:t>
            </w:r>
          </w:p>
        </w:tc>
        <w:tc>
          <w:tcPr>
            <w:tcW w:w="1275" w:type="dxa"/>
            <w:gridSpan w:val="2"/>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6.31</w:t>
            </w:r>
          </w:p>
        </w:tc>
        <w:tc>
          <w:tcPr>
            <w:tcW w:w="971"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31.6</w:t>
            </w:r>
          </w:p>
        </w:tc>
        <w:tc>
          <w:tcPr>
            <w:tcW w:w="1297"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8.53</w:t>
            </w:r>
          </w:p>
        </w:tc>
        <w:tc>
          <w:tcPr>
            <w:tcW w:w="1134"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59.13</w:t>
            </w:r>
          </w:p>
        </w:tc>
        <w:tc>
          <w:tcPr>
            <w:tcW w:w="992"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45.2</w:t>
            </w:r>
          </w:p>
        </w:tc>
        <w:tc>
          <w:tcPr>
            <w:tcW w:w="1134"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1.82</w:t>
            </w:r>
          </w:p>
        </w:tc>
        <w:tc>
          <w:tcPr>
            <w:tcW w:w="1418" w:type="dxa"/>
            <w:tcBorders>
              <w:right w:val="single" w:sz="4" w:space="0" w:color="595A5B" w:themeColor="text1"/>
            </w:tcBorders>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133.6</w:t>
            </w:r>
          </w:p>
        </w:tc>
        <w:tc>
          <w:tcPr>
            <w:tcW w:w="1134" w:type="dxa"/>
            <w:tcBorders>
              <w:left w:val="single" w:sz="4" w:space="0" w:color="595A5B" w:themeColor="text1"/>
            </w:tcBorders>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31.5</w:t>
            </w:r>
          </w:p>
        </w:tc>
        <w:tc>
          <w:tcPr>
            <w:tcW w:w="1417"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171.6</w:t>
            </w:r>
          </w:p>
        </w:tc>
      </w:tr>
      <w:tr w:rsidR="00CD045A" w:rsidRPr="002157A3" w:rsidTr="00997D7E">
        <w:trPr>
          <w:trHeight w:val="264"/>
        </w:trPr>
        <w:tc>
          <w:tcPr>
            <w:tcW w:w="4410" w:type="dxa"/>
            <w:shd w:val="clear" w:color="auto" w:fill="CAE7F3" w:themeFill="accent1" w:themeFillTint="33"/>
            <w:noWrap/>
            <w:vAlign w:val="bottom"/>
            <w:hideMark/>
          </w:tcPr>
          <w:p w:rsidR="00CD045A" w:rsidRPr="002157A3" w:rsidRDefault="00CD045A" w:rsidP="00DB555F">
            <w:pPr>
              <w:pStyle w:val="Tabletext"/>
              <w:ind w:left="333"/>
              <w:jc w:val="right"/>
              <w:rPr>
                <w:lang w:eastAsia="en-AU"/>
              </w:rPr>
            </w:pPr>
            <w:r w:rsidRPr="002157A3">
              <w:rPr>
                <w:lang w:eastAsia="en-AU"/>
              </w:rPr>
              <w:t xml:space="preserve">Telecommunications Services </w:t>
            </w:r>
          </w:p>
        </w:tc>
        <w:tc>
          <w:tcPr>
            <w:tcW w:w="1275" w:type="dxa"/>
            <w:gridSpan w:val="2"/>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0.62</w:t>
            </w:r>
          </w:p>
        </w:tc>
        <w:tc>
          <w:tcPr>
            <w:tcW w:w="971"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15.8</w:t>
            </w:r>
          </w:p>
        </w:tc>
        <w:tc>
          <w:tcPr>
            <w:tcW w:w="1297"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0.75</w:t>
            </w:r>
          </w:p>
        </w:tc>
        <w:tc>
          <w:tcPr>
            <w:tcW w:w="1134"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1.75</w:t>
            </w:r>
          </w:p>
        </w:tc>
        <w:tc>
          <w:tcPr>
            <w:tcW w:w="992"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63.1</w:t>
            </w:r>
          </w:p>
        </w:tc>
        <w:tc>
          <w:tcPr>
            <w:tcW w:w="1134"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4.12</w:t>
            </w:r>
          </w:p>
        </w:tc>
        <w:tc>
          <w:tcPr>
            <w:tcW w:w="1418" w:type="dxa"/>
            <w:tcBorders>
              <w:right w:val="single" w:sz="4" w:space="0" w:color="595A5B" w:themeColor="text1"/>
            </w:tcBorders>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140.5</w:t>
            </w:r>
          </w:p>
        </w:tc>
        <w:tc>
          <w:tcPr>
            <w:tcW w:w="1134" w:type="dxa"/>
            <w:tcBorders>
              <w:left w:val="single" w:sz="4" w:space="0" w:color="595A5B" w:themeColor="text1"/>
            </w:tcBorders>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49.0</w:t>
            </w:r>
          </w:p>
        </w:tc>
        <w:tc>
          <w:tcPr>
            <w:tcW w:w="1417"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201.0</w:t>
            </w:r>
          </w:p>
        </w:tc>
      </w:tr>
      <w:tr w:rsidR="00CD045A" w:rsidRPr="002157A3" w:rsidTr="00997D7E">
        <w:trPr>
          <w:trHeight w:val="264"/>
        </w:trPr>
        <w:tc>
          <w:tcPr>
            <w:tcW w:w="4410" w:type="dxa"/>
            <w:shd w:val="clear" w:color="auto" w:fill="CAE7F3" w:themeFill="accent1" w:themeFillTint="33"/>
            <w:noWrap/>
            <w:vAlign w:val="bottom"/>
            <w:hideMark/>
          </w:tcPr>
          <w:p w:rsidR="00CD045A" w:rsidRPr="002157A3" w:rsidRDefault="00CD045A" w:rsidP="00DB555F">
            <w:pPr>
              <w:pStyle w:val="Tabletext"/>
              <w:ind w:left="333"/>
              <w:jc w:val="right"/>
              <w:rPr>
                <w:lang w:eastAsia="en-AU"/>
              </w:rPr>
            </w:pPr>
            <w:r w:rsidRPr="002157A3">
              <w:rPr>
                <w:lang w:eastAsia="en-AU"/>
              </w:rPr>
              <w:t xml:space="preserve">Internet Service Providers, Web Search Portals and Data Processing Services </w:t>
            </w:r>
          </w:p>
        </w:tc>
        <w:tc>
          <w:tcPr>
            <w:tcW w:w="1275" w:type="dxa"/>
            <w:gridSpan w:val="2"/>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2.92</w:t>
            </w:r>
          </w:p>
        </w:tc>
        <w:tc>
          <w:tcPr>
            <w:tcW w:w="971"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19.0</w:t>
            </w:r>
          </w:p>
        </w:tc>
        <w:tc>
          <w:tcPr>
            <w:tcW w:w="1297"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3.72</w:t>
            </w:r>
          </w:p>
        </w:tc>
        <w:tc>
          <w:tcPr>
            <w:tcW w:w="1134"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11.95</w:t>
            </w:r>
          </w:p>
        </w:tc>
        <w:tc>
          <w:tcPr>
            <w:tcW w:w="992"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55.8</w:t>
            </w:r>
          </w:p>
        </w:tc>
        <w:tc>
          <w:tcPr>
            <w:tcW w:w="1134"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3.44</w:t>
            </w:r>
          </w:p>
        </w:tc>
        <w:tc>
          <w:tcPr>
            <w:tcW w:w="1418" w:type="dxa"/>
            <w:tcBorders>
              <w:right w:val="single" w:sz="4" w:space="0" w:color="595A5B" w:themeColor="text1"/>
            </w:tcBorders>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120.3</w:t>
            </w:r>
          </w:p>
        </w:tc>
        <w:tc>
          <w:tcPr>
            <w:tcW w:w="1134" w:type="dxa"/>
            <w:tcBorders>
              <w:left w:val="single" w:sz="4" w:space="0" w:color="595A5B" w:themeColor="text1"/>
            </w:tcBorders>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40.8</w:t>
            </w:r>
          </w:p>
        </w:tc>
        <w:tc>
          <w:tcPr>
            <w:tcW w:w="1417"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139.9</w:t>
            </w:r>
          </w:p>
        </w:tc>
      </w:tr>
      <w:tr w:rsidR="00CD045A" w:rsidRPr="0012621E" w:rsidTr="00997D7E">
        <w:trPr>
          <w:trHeight w:val="255"/>
        </w:trPr>
        <w:tc>
          <w:tcPr>
            <w:tcW w:w="4410" w:type="dxa"/>
            <w:shd w:val="clear" w:color="auto" w:fill="CAE7F3" w:themeFill="accent1" w:themeFillTint="33"/>
            <w:noWrap/>
            <w:vAlign w:val="bottom"/>
            <w:hideMark/>
          </w:tcPr>
          <w:p w:rsidR="00CD045A" w:rsidRPr="0012621E" w:rsidRDefault="00CD045A" w:rsidP="00DB555F">
            <w:pPr>
              <w:pStyle w:val="Tabletext"/>
              <w:jc w:val="right"/>
              <w:rPr>
                <w:i/>
                <w:lang w:eastAsia="en-AU"/>
              </w:rPr>
            </w:pPr>
            <w:r w:rsidRPr="0012621E">
              <w:rPr>
                <w:i/>
                <w:lang w:eastAsia="en-AU"/>
              </w:rPr>
              <w:t xml:space="preserve">FINANCIAL AND INSURANCE SERVICES </w:t>
            </w:r>
          </w:p>
        </w:tc>
        <w:tc>
          <w:tcPr>
            <w:tcW w:w="1275" w:type="dxa"/>
            <w:gridSpan w:val="2"/>
            <w:shd w:val="clear" w:color="auto" w:fill="CAE7F3" w:themeFill="accent1" w:themeFillTint="33"/>
            <w:noWrap/>
            <w:vAlign w:val="bottom"/>
            <w:hideMark/>
          </w:tcPr>
          <w:p w:rsidR="00CD045A" w:rsidRPr="0012621E" w:rsidRDefault="00CD045A" w:rsidP="00DB555F">
            <w:pPr>
              <w:pStyle w:val="Tabletext"/>
              <w:jc w:val="right"/>
              <w:rPr>
                <w:i/>
                <w:lang w:eastAsia="en-AU"/>
              </w:rPr>
            </w:pPr>
          </w:p>
        </w:tc>
        <w:tc>
          <w:tcPr>
            <w:tcW w:w="971" w:type="dxa"/>
            <w:shd w:val="clear" w:color="auto" w:fill="CAE7F3" w:themeFill="accent1" w:themeFillTint="33"/>
            <w:noWrap/>
            <w:vAlign w:val="bottom"/>
            <w:hideMark/>
          </w:tcPr>
          <w:p w:rsidR="00CD045A" w:rsidRPr="0012621E" w:rsidRDefault="00CD045A" w:rsidP="00DB555F">
            <w:pPr>
              <w:pStyle w:val="Tabletext"/>
              <w:jc w:val="right"/>
              <w:rPr>
                <w:i/>
                <w:lang w:eastAsia="en-AU"/>
              </w:rPr>
            </w:pPr>
          </w:p>
        </w:tc>
        <w:tc>
          <w:tcPr>
            <w:tcW w:w="1297" w:type="dxa"/>
            <w:shd w:val="clear" w:color="auto" w:fill="CAE7F3" w:themeFill="accent1" w:themeFillTint="33"/>
            <w:noWrap/>
            <w:vAlign w:val="bottom"/>
            <w:hideMark/>
          </w:tcPr>
          <w:p w:rsidR="00CD045A" w:rsidRPr="0012621E" w:rsidRDefault="00CD045A" w:rsidP="00DB555F">
            <w:pPr>
              <w:pStyle w:val="Tabletext"/>
              <w:jc w:val="right"/>
              <w:rPr>
                <w:i/>
                <w:lang w:eastAsia="en-AU"/>
              </w:rPr>
            </w:pPr>
          </w:p>
        </w:tc>
        <w:tc>
          <w:tcPr>
            <w:tcW w:w="1134" w:type="dxa"/>
            <w:shd w:val="clear" w:color="auto" w:fill="CAE7F3" w:themeFill="accent1" w:themeFillTint="33"/>
            <w:noWrap/>
            <w:vAlign w:val="bottom"/>
            <w:hideMark/>
          </w:tcPr>
          <w:p w:rsidR="00CD045A" w:rsidRPr="0012621E" w:rsidRDefault="00CD045A" w:rsidP="00DB555F">
            <w:pPr>
              <w:pStyle w:val="Tabletext"/>
              <w:jc w:val="right"/>
              <w:rPr>
                <w:i/>
                <w:lang w:eastAsia="en-AU"/>
              </w:rPr>
            </w:pPr>
          </w:p>
        </w:tc>
        <w:tc>
          <w:tcPr>
            <w:tcW w:w="992" w:type="dxa"/>
            <w:shd w:val="clear" w:color="auto" w:fill="CAE7F3" w:themeFill="accent1" w:themeFillTint="33"/>
            <w:noWrap/>
            <w:vAlign w:val="bottom"/>
            <w:hideMark/>
          </w:tcPr>
          <w:p w:rsidR="00CD045A" w:rsidRPr="0012621E" w:rsidRDefault="00CD045A" w:rsidP="00DB555F">
            <w:pPr>
              <w:pStyle w:val="Tabletext"/>
              <w:jc w:val="right"/>
              <w:rPr>
                <w:i/>
                <w:lang w:eastAsia="en-AU"/>
              </w:rPr>
            </w:pPr>
          </w:p>
        </w:tc>
        <w:tc>
          <w:tcPr>
            <w:tcW w:w="1134" w:type="dxa"/>
            <w:shd w:val="clear" w:color="auto" w:fill="CAE7F3" w:themeFill="accent1" w:themeFillTint="33"/>
            <w:noWrap/>
            <w:vAlign w:val="bottom"/>
            <w:hideMark/>
          </w:tcPr>
          <w:p w:rsidR="00CD045A" w:rsidRPr="0012621E" w:rsidRDefault="00CD045A" w:rsidP="00DB555F">
            <w:pPr>
              <w:pStyle w:val="Tabletext"/>
              <w:jc w:val="right"/>
              <w:rPr>
                <w:i/>
                <w:lang w:eastAsia="en-AU"/>
              </w:rPr>
            </w:pPr>
          </w:p>
        </w:tc>
        <w:tc>
          <w:tcPr>
            <w:tcW w:w="1418" w:type="dxa"/>
            <w:tcBorders>
              <w:right w:val="single" w:sz="4" w:space="0" w:color="595A5B" w:themeColor="text1"/>
            </w:tcBorders>
            <w:shd w:val="clear" w:color="auto" w:fill="CAE7F3" w:themeFill="accent1" w:themeFillTint="33"/>
            <w:noWrap/>
            <w:vAlign w:val="bottom"/>
            <w:hideMark/>
          </w:tcPr>
          <w:p w:rsidR="00CD045A" w:rsidRPr="0012621E" w:rsidRDefault="00CD045A" w:rsidP="00DB555F">
            <w:pPr>
              <w:pStyle w:val="Tabletext"/>
              <w:jc w:val="right"/>
              <w:rPr>
                <w:i/>
                <w:lang w:eastAsia="en-AU"/>
              </w:rPr>
            </w:pPr>
          </w:p>
        </w:tc>
        <w:tc>
          <w:tcPr>
            <w:tcW w:w="1134" w:type="dxa"/>
            <w:tcBorders>
              <w:left w:val="single" w:sz="4" w:space="0" w:color="595A5B" w:themeColor="text1"/>
            </w:tcBorders>
            <w:shd w:val="clear" w:color="auto" w:fill="CAE7F3" w:themeFill="accent1" w:themeFillTint="33"/>
            <w:noWrap/>
            <w:vAlign w:val="bottom"/>
            <w:hideMark/>
          </w:tcPr>
          <w:p w:rsidR="00CD045A" w:rsidRPr="0012621E" w:rsidRDefault="00CD045A" w:rsidP="00DB555F">
            <w:pPr>
              <w:pStyle w:val="Tabletext"/>
              <w:jc w:val="right"/>
              <w:rPr>
                <w:i/>
                <w:lang w:eastAsia="en-AU"/>
              </w:rPr>
            </w:pPr>
          </w:p>
        </w:tc>
        <w:tc>
          <w:tcPr>
            <w:tcW w:w="1417" w:type="dxa"/>
            <w:shd w:val="clear" w:color="auto" w:fill="CAE7F3" w:themeFill="accent1" w:themeFillTint="33"/>
            <w:noWrap/>
            <w:vAlign w:val="bottom"/>
            <w:hideMark/>
          </w:tcPr>
          <w:p w:rsidR="00CD045A" w:rsidRPr="0012621E" w:rsidRDefault="00CD045A" w:rsidP="00DB555F">
            <w:pPr>
              <w:pStyle w:val="Tabletext"/>
              <w:jc w:val="right"/>
              <w:rPr>
                <w:i/>
                <w:lang w:eastAsia="en-AU"/>
              </w:rPr>
            </w:pPr>
          </w:p>
        </w:tc>
      </w:tr>
      <w:tr w:rsidR="00CD045A" w:rsidRPr="002157A3" w:rsidTr="00997D7E">
        <w:trPr>
          <w:trHeight w:val="264"/>
        </w:trPr>
        <w:tc>
          <w:tcPr>
            <w:tcW w:w="4410" w:type="dxa"/>
            <w:shd w:val="clear" w:color="auto" w:fill="CAE7F3" w:themeFill="accent1" w:themeFillTint="33"/>
            <w:noWrap/>
            <w:vAlign w:val="bottom"/>
            <w:hideMark/>
          </w:tcPr>
          <w:p w:rsidR="00CD045A" w:rsidRPr="002157A3" w:rsidRDefault="00CD045A" w:rsidP="00DB555F">
            <w:pPr>
              <w:pStyle w:val="Tabletext"/>
              <w:ind w:left="333"/>
              <w:jc w:val="right"/>
              <w:rPr>
                <w:lang w:eastAsia="en-AU"/>
              </w:rPr>
            </w:pPr>
            <w:r w:rsidRPr="002157A3">
              <w:rPr>
                <w:lang w:eastAsia="en-AU"/>
              </w:rPr>
              <w:t xml:space="preserve">Finance </w:t>
            </w:r>
          </w:p>
        </w:tc>
        <w:tc>
          <w:tcPr>
            <w:tcW w:w="1275" w:type="dxa"/>
            <w:gridSpan w:val="2"/>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2.25</w:t>
            </w:r>
          </w:p>
        </w:tc>
        <w:tc>
          <w:tcPr>
            <w:tcW w:w="971"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20.5</w:t>
            </w:r>
          </w:p>
        </w:tc>
        <w:tc>
          <w:tcPr>
            <w:tcW w:w="1297"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2.00</w:t>
            </w:r>
          </w:p>
        </w:tc>
        <w:tc>
          <w:tcPr>
            <w:tcW w:w="1134"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11.01</w:t>
            </w:r>
          </w:p>
        </w:tc>
        <w:tc>
          <w:tcPr>
            <w:tcW w:w="992"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54.1</w:t>
            </w:r>
          </w:p>
        </w:tc>
        <w:tc>
          <w:tcPr>
            <w:tcW w:w="1134"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2.52</w:t>
            </w:r>
          </w:p>
        </w:tc>
        <w:tc>
          <w:tcPr>
            <w:tcW w:w="1418" w:type="dxa"/>
            <w:tcBorders>
              <w:right w:val="single" w:sz="4" w:space="0" w:color="595A5B" w:themeColor="text1"/>
            </w:tcBorders>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96.9</w:t>
            </w:r>
          </w:p>
        </w:tc>
        <w:tc>
          <w:tcPr>
            <w:tcW w:w="1134" w:type="dxa"/>
            <w:tcBorders>
              <w:left w:val="single" w:sz="4" w:space="0" w:color="595A5B" w:themeColor="text1"/>
            </w:tcBorders>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42.2</w:t>
            </w:r>
          </w:p>
        </w:tc>
        <w:tc>
          <w:tcPr>
            <w:tcW w:w="1417"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114.5</w:t>
            </w:r>
          </w:p>
        </w:tc>
      </w:tr>
      <w:tr w:rsidR="00CD045A" w:rsidRPr="002157A3" w:rsidTr="00997D7E">
        <w:trPr>
          <w:trHeight w:val="264"/>
        </w:trPr>
        <w:tc>
          <w:tcPr>
            <w:tcW w:w="4410" w:type="dxa"/>
            <w:shd w:val="clear" w:color="auto" w:fill="CAE7F3" w:themeFill="accent1" w:themeFillTint="33"/>
            <w:noWrap/>
            <w:vAlign w:val="bottom"/>
            <w:hideMark/>
          </w:tcPr>
          <w:p w:rsidR="00CD045A" w:rsidRPr="002157A3" w:rsidRDefault="00CD045A" w:rsidP="00DB555F">
            <w:pPr>
              <w:pStyle w:val="Tabletext"/>
              <w:ind w:left="333"/>
              <w:jc w:val="right"/>
              <w:rPr>
                <w:lang w:eastAsia="en-AU"/>
              </w:rPr>
            </w:pPr>
            <w:r w:rsidRPr="002157A3">
              <w:rPr>
                <w:lang w:eastAsia="en-AU"/>
              </w:rPr>
              <w:t xml:space="preserve">Insurance and Superannuation Funds </w:t>
            </w:r>
          </w:p>
        </w:tc>
        <w:tc>
          <w:tcPr>
            <w:tcW w:w="1275" w:type="dxa"/>
            <w:gridSpan w:val="2"/>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2.90</w:t>
            </w:r>
          </w:p>
        </w:tc>
        <w:tc>
          <w:tcPr>
            <w:tcW w:w="971"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19.9</w:t>
            </w:r>
          </w:p>
        </w:tc>
        <w:tc>
          <w:tcPr>
            <w:tcW w:w="1297"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2.10</w:t>
            </w:r>
          </w:p>
        </w:tc>
        <w:tc>
          <w:tcPr>
            <w:tcW w:w="1134"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36.28</w:t>
            </w:r>
          </w:p>
        </w:tc>
        <w:tc>
          <w:tcPr>
            <w:tcW w:w="992"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51.1</w:t>
            </w:r>
          </w:p>
        </w:tc>
        <w:tc>
          <w:tcPr>
            <w:tcW w:w="1134"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0.73</w:t>
            </w:r>
          </w:p>
        </w:tc>
        <w:tc>
          <w:tcPr>
            <w:tcW w:w="1418" w:type="dxa"/>
            <w:tcBorders>
              <w:right w:val="single" w:sz="4" w:space="0" w:color="595A5B" w:themeColor="text1"/>
            </w:tcBorders>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72.9</w:t>
            </w:r>
          </w:p>
        </w:tc>
        <w:tc>
          <w:tcPr>
            <w:tcW w:w="1134" w:type="dxa"/>
            <w:tcBorders>
              <w:left w:val="single" w:sz="4" w:space="0" w:color="595A5B" w:themeColor="text1"/>
            </w:tcBorders>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22.0</w:t>
            </w:r>
          </w:p>
        </w:tc>
        <w:tc>
          <w:tcPr>
            <w:tcW w:w="1417"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27.2</w:t>
            </w:r>
          </w:p>
        </w:tc>
      </w:tr>
      <w:tr w:rsidR="00CD045A" w:rsidRPr="002157A3" w:rsidTr="00997D7E">
        <w:trPr>
          <w:trHeight w:val="264"/>
        </w:trPr>
        <w:tc>
          <w:tcPr>
            <w:tcW w:w="4410" w:type="dxa"/>
            <w:shd w:val="clear" w:color="auto" w:fill="CAE7F3" w:themeFill="accent1" w:themeFillTint="33"/>
            <w:noWrap/>
            <w:vAlign w:val="bottom"/>
            <w:hideMark/>
          </w:tcPr>
          <w:p w:rsidR="00CD045A" w:rsidRPr="002157A3" w:rsidRDefault="00CD045A" w:rsidP="00DB555F">
            <w:pPr>
              <w:pStyle w:val="Tabletext"/>
              <w:ind w:left="333"/>
              <w:jc w:val="right"/>
              <w:rPr>
                <w:lang w:eastAsia="en-AU"/>
              </w:rPr>
            </w:pPr>
            <w:r w:rsidRPr="002157A3">
              <w:rPr>
                <w:lang w:eastAsia="en-AU"/>
              </w:rPr>
              <w:t xml:space="preserve">Auxiliary Finance and Insurance Services </w:t>
            </w:r>
          </w:p>
        </w:tc>
        <w:tc>
          <w:tcPr>
            <w:tcW w:w="1275" w:type="dxa"/>
            <w:gridSpan w:val="2"/>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4.36</w:t>
            </w:r>
          </w:p>
        </w:tc>
        <w:tc>
          <w:tcPr>
            <w:tcW w:w="971"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23.7</w:t>
            </w:r>
          </w:p>
        </w:tc>
        <w:tc>
          <w:tcPr>
            <w:tcW w:w="1297"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5.03</w:t>
            </w:r>
          </w:p>
        </w:tc>
        <w:tc>
          <w:tcPr>
            <w:tcW w:w="1134"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23.59</w:t>
            </w:r>
          </w:p>
        </w:tc>
        <w:tc>
          <w:tcPr>
            <w:tcW w:w="992"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58.7</w:t>
            </w:r>
          </w:p>
        </w:tc>
        <w:tc>
          <w:tcPr>
            <w:tcW w:w="1134"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2.38</w:t>
            </w:r>
          </w:p>
        </w:tc>
        <w:tc>
          <w:tcPr>
            <w:tcW w:w="1418" w:type="dxa"/>
            <w:tcBorders>
              <w:right w:val="single" w:sz="4" w:space="0" w:color="595A5B" w:themeColor="text1"/>
            </w:tcBorders>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105.1</w:t>
            </w:r>
          </w:p>
        </w:tc>
        <w:tc>
          <w:tcPr>
            <w:tcW w:w="1134" w:type="dxa"/>
            <w:tcBorders>
              <w:left w:val="single" w:sz="4" w:space="0" w:color="595A5B" w:themeColor="text1"/>
            </w:tcBorders>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46.3</w:t>
            </w:r>
          </w:p>
        </w:tc>
        <w:tc>
          <w:tcPr>
            <w:tcW w:w="1417"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124.6</w:t>
            </w:r>
          </w:p>
        </w:tc>
      </w:tr>
      <w:tr w:rsidR="00CD045A" w:rsidRPr="0012621E" w:rsidTr="00997D7E">
        <w:trPr>
          <w:trHeight w:val="255"/>
        </w:trPr>
        <w:tc>
          <w:tcPr>
            <w:tcW w:w="4410" w:type="dxa"/>
            <w:shd w:val="clear" w:color="auto" w:fill="CAE7F3" w:themeFill="accent1" w:themeFillTint="33"/>
            <w:noWrap/>
            <w:vAlign w:val="bottom"/>
            <w:hideMark/>
          </w:tcPr>
          <w:p w:rsidR="00CD045A" w:rsidRPr="0012621E" w:rsidRDefault="00CD045A" w:rsidP="00DB555F">
            <w:pPr>
              <w:pStyle w:val="Tabletext"/>
              <w:jc w:val="right"/>
              <w:rPr>
                <w:i/>
                <w:lang w:eastAsia="en-AU"/>
              </w:rPr>
            </w:pPr>
            <w:r w:rsidRPr="0012621E">
              <w:rPr>
                <w:i/>
                <w:lang w:eastAsia="en-AU"/>
              </w:rPr>
              <w:t xml:space="preserve">RENTAL, HIRING AND REAL ESTATE SERVICES </w:t>
            </w:r>
          </w:p>
        </w:tc>
        <w:tc>
          <w:tcPr>
            <w:tcW w:w="1275" w:type="dxa"/>
            <w:gridSpan w:val="2"/>
            <w:shd w:val="clear" w:color="auto" w:fill="CAE7F3" w:themeFill="accent1" w:themeFillTint="33"/>
            <w:noWrap/>
            <w:vAlign w:val="bottom"/>
            <w:hideMark/>
          </w:tcPr>
          <w:p w:rsidR="00CD045A" w:rsidRPr="0012621E" w:rsidRDefault="00CD045A" w:rsidP="00DB555F">
            <w:pPr>
              <w:pStyle w:val="Tabletext"/>
              <w:jc w:val="right"/>
              <w:rPr>
                <w:i/>
                <w:lang w:eastAsia="en-AU"/>
              </w:rPr>
            </w:pPr>
          </w:p>
        </w:tc>
        <w:tc>
          <w:tcPr>
            <w:tcW w:w="971" w:type="dxa"/>
            <w:shd w:val="clear" w:color="auto" w:fill="CAE7F3" w:themeFill="accent1" w:themeFillTint="33"/>
            <w:noWrap/>
            <w:vAlign w:val="bottom"/>
            <w:hideMark/>
          </w:tcPr>
          <w:p w:rsidR="00CD045A" w:rsidRPr="0012621E" w:rsidRDefault="00CD045A" w:rsidP="00DB555F">
            <w:pPr>
              <w:pStyle w:val="Tabletext"/>
              <w:jc w:val="right"/>
              <w:rPr>
                <w:i/>
                <w:lang w:eastAsia="en-AU"/>
              </w:rPr>
            </w:pPr>
          </w:p>
        </w:tc>
        <w:tc>
          <w:tcPr>
            <w:tcW w:w="1297" w:type="dxa"/>
            <w:shd w:val="clear" w:color="auto" w:fill="CAE7F3" w:themeFill="accent1" w:themeFillTint="33"/>
            <w:noWrap/>
            <w:vAlign w:val="bottom"/>
            <w:hideMark/>
          </w:tcPr>
          <w:p w:rsidR="00CD045A" w:rsidRPr="0012621E" w:rsidRDefault="00CD045A" w:rsidP="00DB555F">
            <w:pPr>
              <w:pStyle w:val="Tabletext"/>
              <w:jc w:val="right"/>
              <w:rPr>
                <w:i/>
                <w:lang w:eastAsia="en-AU"/>
              </w:rPr>
            </w:pPr>
          </w:p>
        </w:tc>
        <w:tc>
          <w:tcPr>
            <w:tcW w:w="1134" w:type="dxa"/>
            <w:shd w:val="clear" w:color="auto" w:fill="CAE7F3" w:themeFill="accent1" w:themeFillTint="33"/>
            <w:noWrap/>
            <w:vAlign w:val="bottom"/>
            <w:hideMark/>
          </w:tcPr>
          <w:p w:rsidR="00CD045A" w:rsidRPr="0012621E" w:rsidRDefault="00CD045A" w:rsidP="00DB555F">
            <w:pPr>
              <w:pStyle w:val="Tabletext"/>
              <w:jc w:val="right"/>
              <w:rPr>
                <w:i/>
                <w:lang w:eastAsia="en-AU"/>
              </w:rPr>
            </w:pPr>
          </w:p>
        </w:tc>
        <w:tc>
          <w:tcPr>
            <w:tcW w:w="992" w:type="dxa"/>
            <w:shd w:val="clear" w:color="auto" w:fill="CAE7F3" w:themeFill="accent1" w:themeFillTint="33"/>
            <w:noWrap/>
            <w:vAlign w:val="bottom"/>
            <w:hideMark/>
          </w:tcPr>
          <w:p w:rsidR="00CD045A" w:rsidRPr="0012621E" w:rsidRDefault="00CD045A" w:rsidP="00DB555F">
            <w:pPr>
              <w:pStyle w:val="Tabletext"/>
              <w:jc w:val="right"/>
              <w:rPr>
                <w:i/>
                <w:lang w:eastAsia="en-AU"/>
              </w:rPr>
            </w:pPr>
          </w:p>
        </w:tc>
        <w:tc>
          <w:tcPr>
            <w:tcW w:w="1134" w:type="dxa"/>
            <w:shd w:val="clear" w:color="auto" w:fill="CAE7F3" w:themeFill="accent1" w:themeFillTint="33"/>
            <w:noWrap/>
            <w:vAlign w:val="bottom"/>
            <w:hideMark/>
          </w:tcPr>
          <w:p w:rsidR="00CD045A" w:rsidRPr="0012621E" w:rsidRDefault="00CD045A" w:rsidP="00DB555F">
            <w:pPr>
              <w:pStyle w:val="Tabletext"/>
              <w:jc w:val="right"/>
              <w:rPr>
                <w:i/>
                <w:lang w:eastAsia="en-AU"/>
              </w:rPr>
            </w:pPr>
          </w:p>
        </w:tc>
        <w:tc>
          <w:tcPr>
            <w:tcW w:w="1418" w:type="dxa"/>
            <w:tcBorders>
              <w:right w:val="single" w:sz="4" w:space="0" w:color="595A5B" w:themeColor="text1"/>
            </w:tcBorders>
            <w:shd w:val="clear" w:color="auto" w:fill="CAE7F3" w:themeFill="accent1" w:themeFillTint="33"/>
            <w:noWrap/>
            <w:vAlign w:val="bottom"/>
            <w:hideMark/>
          </w:tcPr>
          <w:p w:rsidR="00CD045A" w:rsidRPr="0012621E" w:rsidRDefault="00CD045A" w:rsidP="00DB555F">
            <w:pPr>
              <w:pStyle w:val="Tabletext"/>
              <w:jc w:val="right"/>
              <w:rPr>
                <w:i/>
                <w:lang w:eastAsia="en-AU"/>
              </w:rPr>
            </w:pPr>
          </w:p>
        </w:tc>
        <w:tc>
          <w:tcPr>
            <w:tcW w:w="1134" w:type="dxa"/>
            <w:tcBorders>
              <w:left w:val="single" w:sz="4" w:space="0" w:color="595A5B" w:themeColor="text1"/>
            </w:tcBorders>
            <w:shd w:val="clear" w:color="auto" w:fill="CAE7F3" w:themeFill="accent1" w:themeFillTint="33"/>
            <w:noWrap/>
            <w:vAlign w:val="bottom"/>
            <w:hideMark/>
          </w:tcPr>
          <w:p w:rsidR="00CD045A" w:rsidRPr="0012621E" w:rsidRDefault="00CD045A" w:rsidP="00DB555F">
            <w:pPr>
              <w:pStyle w:val="Tabletext"/>
              <w:jc w:val="right"/>
              <w:rPr>
                <w:i/>
                <w:lang w:eastAsia="en-AU"/>
              </w:rPr>
            </w:pPr>
          </w:p>
        </w:tc>
        <w:tc>
          <w:tcPr>
            <w:tcW w:w="1417" w:type="dxa"/>
            <w:shd w:val="clear" w:color="auto" w:fill="CAE7F3" w:themeFill="accent1" w:themeFillTint="33"/>
            <w:noWrap/>
            <w:vAlign w:val="bottom"/>
            <w:hideMark/>
          </w:tcPr>
          <w:p w:rsidR="00CD045A" w:rsidRPr="0012621E" w:rsidRDefault="00CD045A" w:rsidP="00DB555F">
            <w:pPr>
              <w:pStyle w:val="Tabletext"/>
              <w:jc w:val="right"/>
              <w:rPr>
                <w:i/>
                <w:lang w:eastAsia="en-AU"/>
              </w:rPr>
            </w:pPr>
          </w:p>
        </w:tc>
      </w:tr>
      <w:tr w:rsidR="00CD045A" w:rsidRPr="002157A3" w:rsidTr="00997D7E">
        <w:trPr>
          <w:trHeight w:val="264"/>
        </w:trPr>
        <w:tc>
          <w:tcPr>
            <w:tcW w:w="4410" w:type="dxa"/>
            <w:shd w:val="clear" w:color="auto" w:fill="CAE7F3" w:themeFill="accent1" w:themeFillTint="33"/>
            <w:noWrap/>
            <w:vAlign w:val="bottom"/>
            <w:hideMark/>
          </w:tcPr>
          <w:p w:rsidR="00CD045A" w:rsidRPr="002157A3" w:rsidRDefault="00CD045A" w:rsidP="00DB555F">
            <w:pPr>
              <w:pStyle w:val="Tabletext"/>
              <w:ind w:left="333"/>
              <w:jc w:val="right"/>
              <w:rPr>
                <w:lang w:eastAsia="en-AU"/>
              </w:rPr>
            </w:pPr>
            <w:r w:rsidRPr="002157A3">
              <w:rPr>
                <w:lang w:eastAsia="en-AU"/>
              </w:rPr>
              <w:t xml:space="preserve">Rental and Hiring Services (except Real Estate) </w:t>
            </w:r>
          </w:p>
        </w:tc>
        <w:tc>
          <w:tcPr>
            <w:tcW w:w="1275" w:type="dxa"/>
            <w:gridSpan w:val="2"/>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5.16</w:t>
            </w:r>
          </w:p>
        </w:tc>
        <w:tc>
          <w:tcPr>
            <w:tcW w:w="971"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25.2</w:t>
            </w:r>
          </w:p>
        </w:tc>
        <w:tc>
          <w:tcPr>
            <w:tcW w:w="1297"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6.49</w:t>
            </w:r>
          </w:p>
        </w:tc>
        <w:tc>
          <w:tcPr>
            <w:tcW w:w="1134"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21.62</w:t>
            </w:r>
          </w:p>
        </w:tc>
        <w:tc>
          <w:tcPr>
            <w:tcW w:w="992"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62.0</w:t>
            </w:r>
          </w:p>
        </w:tc>
        <w:tc>
          <w:tcPr>
            <w:tcW w:w="1134"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2.87</w:t>
            </w:r>
          </w:p>
        </w:tc>
        <w:tc>
          <w:tcPr>
            <w:tcW w:w="1418" w:type="dxa"/>
            <w:tcBorders>
              <w:right w:val="single" w:sz="4" w:space="0" w:color="595A5B" w:themeColor="text1"/>
            </w:tcBorders>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121.5</w:t>
            </w:r>
          </w:p>
        </w:tc>
        <w:tc>
          <w:tcPr>
            <w:tcW w:w="1134" w:type="dxa"/>
            <w:tcBorders>
              <w:left w:val="single" w:sz="4" w:space="0" w:color="595A5B" w:themeColor="text1"/>
            </w:tcBorders>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48.7</w:t>
            </w:r>
          </w:p>
        </w:tc>
        <w:tc>
          <w:tcPr>
            <w:tcW w:w="1417"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176.1</w:t>
            </w:r>
          </w:p>
        </w:tc>
      </w:tr>
      <w:tr w:rsidR="00CD045A" w:rsidRPr="002157A3" w:rsidTr="00997D7E">
        <w:trPr>
          <w:trHeight w:val="264"/>
        </w:trPr>
        <w:tc>
          <w:tcPr>
            <w:tcW w:w="4410" w:type="dxa"/>
            <w:shd w:val="clear" w:color="auto" w:fill="CAE7F3" w:themeFill="accent1" w:themeFillTint="33"/>
            <w:noWrap/>
            <w:vAlign w:val="bottom"/>
            <w:hideMark/>
          </w:tcPr>
          <w:p w:rsidR="00CD045A" w:rsidRPr="002157A3" w:rsidRDefault="00CD045A" w:rsidP="00DB555F">
            <w:pPr>
              <w:pStyle w:val="Tabletext"/>
              <w:ind w:left="333"/>
              <w:jc w:val="right"/>
              <w:rPr>
                <w:lang w:eastAsia="en-AU"/>
              </w:rPr>
            </w:pPr>
            <w:r w:rsidRPr="002157A3">
              <w:rPr>
                <w:lang w:eastAsia="en-AU"/>
              </w:rPr>
              <w:t xml:space="preserve">Property Operators and Real Estate Services </w:t>
            </w:r>
          </w:p>
        </w:tc>
        <w:tc>
          <w:tcPr>
            <w:tcW w:w="1275" w:type="dxa"/>
            <w:gridSpan w:val="2"/>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5.93</w:t>
            </w:r>
          </w:p>
        </w:tc>
        <w:tc>
          <w:tcPr>
            <w:tcW w:w="971"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29.6</w:t>
            </w:r>
          </w:p>
        </w:tc>
        <w:tc>
          <w:tcPr>
            <w:tcW w:w="1297"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7.17</w:t>
            </w:r>
          </w:p>
        </w:tc>
        <w:tc>
          <w:tcPr>
            <w:tcW w:w="1134"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63.33</w:t>
            </w:r>
          </w:p>
        </w:tc>
        <w:tc>
          <w:tcPr>
            <w:tcW w:w="992"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62.1</w:t>
            </w:r>
          </w:p>
        </w:tc>
        <w:tc>
          <w:tcPr>
            <w:tcW w:w="1134"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1.17</w:t>
            </w:r>
          </w:p>
        </w:tc>
        <w:tc>
          <w:tcPr>
            <w:tcW w:w="1418" w:type="dxa"/>
            <w:tcBorders>
              <w:right w:val="single" w:sz="4" w:space="0" w:color="595A5B" w:themeColor="text1"/>
            </w:tcBorders>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116.3</w:t>
            </w:r>
          </w:p>
        </w:tc>
        <w:tc>
          <w:tcPr>
            <w:tcW w:w="1134" w:type="dxa"/>
            <w:tcBorders>
              <w:left w:val="single" w:sz="4" w:space="0" w:color="595A5B" w:themeColor="text1"/>
            </w:tcBorders>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51.7</w:t>
            </w:r>
          </w:p>
        </w:tc>
        <w:tc>
          <w:tcPr>
            <w:tcW w:w="1417"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136.5</w:t>
            </w:r>
          </w:p>
        </w:tc>
      </w:tr>
      <w:tr w:rsidR="00CD045A" w:rsidRPr="0012621E" w:rsidTr="00997D7E">
        <w:trPr>
          <w:trHeight w:val="255"/>
        </w:trPr>
        <w:tc>
          <w:tcPr>
            <w:tcW w:w="4425" w:type="dxa"/>
            <w:gridSpan w:val="2"/>
            <w:shd w:val="clear" w:color="auto" w:fill="CAE7F3" w:themeFill="accent1" w:themeFillTint="33"/>
            <w:noWrap/>
            <w:vAlign w:val="bottom"/>
            <w:hideMark/>
          </w:tcPr>
          <w:p w:rsidR="00CD045A" w:rsidRPr="0012621E" w:rsidRDefault="00CD045A" w:rsidP="00DB555F">
            <w:pPr>
              <w:pStyle w:val="Tabletext"/>
              <w:jc w:val="right"/>
              <w:rPr>
                <w:i/>
                <w:lang w:eastAsia="en-AU"/>
              </w:rPr>
            </w:pPr>
            <w:r w:rsidRPr="0012621E">
              <w:rPr>
                <w:i/>
                <w:lang w:eastAsia="en-AU"/>
              </w:rPr>
              <w:t xml:space="preserve">PROFESSIONAL, SCIENTIFIC AND TECHNICAL SERVICES </w:t>
            </w:r>
          </w:p>
        </w:tc>
        <w:tc>
          <w:tcPr>
            <w:tcW w:w="1260" w:type="dxa"/>
            <w:shd w:val="clear" w:color="auto" w:fill="CAE7F3" w:themeFill="accent1" w:themeFillTint="33"/>
            <w:vAlign w:val="bottom"/>
          </w:tcPr>
          <w:p w:rsidR="00CD045A" w:rsidRPr="0012621E" w:rsidRDefault="00CD045A" w:rsidP="00DB555F">
            <w:pPr>
              <w:pStyle w:val="Tabletext"/>
              <w:rPr>
                <w:i/>
                <w:lang w:eastAsia="en-AU"/>
              </w:rPr>
            </w:pPr>
          </w:p>
        </w:tc>
        <w:tc>
          <w:tcPr>
            <w:tcW w:w="971" w:type="dxa"/>
            <w:shd w:val="clear" w:color="auto" w:fill="CAE7F3" w:themeFill="accent1" w:themeFillTint="33"/>
            <w:noWrap/>
            <w:vAlign w:val="bottom"/>
            <w:hideMark/>
          </w:tcPr>
          <w:p w:rsidR="00CD045A" w:rsidRPr="0012621E" w:rsidRDefault="00CD045A" w:rsidP="00DB555F">
            <w:pPr>
              <w:pStyle w:val="Tabletext"/>
              <w:jc w:val="right"/>
              <w:rPr>
                <w:i/>
                <w:lang w:eastAsia="en-AU"/>
              </w:rPr>
            </w:pPr>
          </w:p>
        </w:tc>
        <w:tc>
          <w:tcPr>
            <w:tcW w:w="1297" w:type="dxa"/>
            <w:shd w:val="clear" w:color="auto" w:fill="CAE7F3" w:themeFill="accent1" w:themeFillTint="33"/>
            <w:noWrap/>
            <w:vAlign w:val="bottom"/>
            <w:hideMark/>
          </w:tcPr>
          <w:p w:rsidR="00CD045A" w:rsidRPr="0012621E" w:rsidRDefault="00CD045A" w:rsidP="00DB555F">
            <w:pPr>
              <w:pStyle w:val="Tabletext"/>
              <w:jc w:val="right"/>
              <w:rPr>
                <w:i/>
                <w:lang w:eastAsia="en-AU"/>
              </w:rPr>
            </w:pPr>
          </w:p>
        </w:tc>
        <w:tc>
          <w:tcPr>
            <w:tcW w:w="1134" w:type="dxa"/>
            <w:shd w:val="clear" w:color="auto" w:fill="CAE7F3" w:themeFill="accent1" w:themeFillTint="33"/>
            <w:noWrap/>
            <w:vAlign w:val="bottom"/>
            <w:hideMark/>
          </w:tcPr>
          <w:p w:rsidR="00CD045A" w:rsidRPr="0012621E" w:rsidRDefault="00CD045A" w:rsidP="00DB555F">
            <w:pPr>
              <w:pStyle w:val="Tabletext"/>
              <w:jc w:val="right"/>
              <w:rPr>
                <w:i/>
                <w:lang w:eastAsia="en-AU"/>
              </w:rPr>
            </w:pPr>
          </w:p>
        </w:tc>
        <w:tc>
          <w:tcPr>
            <w:tcW w:w="992" w:type="dxa"/>
            <w:shd w:val="clear" w:color="auto" w:fill="CAE7F3" w:themeFill="accent1" w:themeFillTint="33"/>
            <w:noWrap/>
            <w:vAlign w:val="bottom"/>
            <w:hideMark/>
          </w:tcPr>
          <w:p w:rsidR="00CD045A" w:rsidRPr="0012621E" w:rsidRDefault="00CD045A" w:rsidP="00DB555F">
            <w:pPr>
              <w:pStyle w:val="Tabletext"/>
              <w:jc w:val="right"/>
              <w:rPr>
                <w:i/>
                <w:lang w:eastAsia="en-AU"/>
              </w:rPr>
            </w:pPr>
          </w:p>
        </w:tc>
        <w:tc>
          <w:tcPr>
            <w:tcW w:w="1134" w:type="dxa"/>
            <w:shd w:val="clear" w:color="auto" w:fill="CAE7F3" w:themeFill="accent1" w:themeFillTint="33"/>
            <w:noWrap/>
            <w:vAlign w:val="bottom"/>
            <w:hideMark/>
          </w:tcPr>
          <w:p w:rsidR="00CD045A" w:rsidRPr="0012621E" w:rsidRDefault="00CD045A" w:rsidP="00DB555F">
            <w:pPr>
              <w:pStyle w:val="Tabletext"/>
              <w:jc w:val="right"/>
              <w:rPr>
                <w:i/>
                <w:lang w:eastAsia="en-AU"/>
              </w:rPr>
            </w:pPr>
          </w:p>
        </w:tc>
        <w:tc>
          <w:tcPr>
            <w:tcW w:w="1418" w:type="dxa"/>
            <w:tcBorders>
              <w:right w:val="single" w:sz="4" w:space="0" w:color="595A5B" w:themeColor="text1"/>
            </w:tcBorders>
            <w:shd w:val="clear" w:color="auto" w:fill="CAE7F3" w:themeFill="accent1" w:themeFillTint="33"/>
            <w:noWrap/>
            <w:vAlign w:val="bottom"/>
            <w:hideMark/>
          </w:tcPr>
          <w:p w:rsidR="00CD045A" w:rsidRPr="0012621E" w:rsidRDefault="00CD045A" w:rsidP="00DB555F">
            <w:pPr>
              <w:pStyle w:val="Tabletext"/>
              <w:jc w:val="right"/>
              <w:rPr>
                <w:i/>
                <w:lang w:eastAsia="en-AU"/>
              </w:rPr>
            </w:pPr>
          </w:p>
        </w:tc>
        <w:tc>
          <w:tcPr>
            <w:tcW w:w="1134" w:type="dxa"/>
            <w:tcBorders>
              <w:left w:val="single" w:sz="4" w:space="0" w:color="595A5B" w:themeColor="text1"/>
            </w:tcBorders>
            <w:shd w:val="clear" w:color="auto" w:fill="CAE7F3" w:themeFill="accent1" w:themeFillTint="33"/>
            <w:noWrap/>
            <w:vAlign w:val="bottom"/>
            <w:hideMark/>
          </w:tcPr>
          <w:p w:rsidR="00CD045A" w:rsidRPr="0012621E" w:rsidRDefault="00CD045A" w:rsidP="00DB555F">
            <w:pPr>
              <w:pStyle w:val="Tabletext"/>
              <w:jc w:val="right"/>
              <w:rPr>
                <w:i/>
                <w:lang w:eastAsia="en-AU"/>
              </w:rPr>
            </w:pPr>
          </w:p>
        </w:tc>
        <w:tc>
          <w:tcPr>
            <w:tcW w:w="1417" w:type="dxa"/>
            <w:shd w:val="clear" w:color="auto" w:fill="CAE7F3" w:themeFill="accent1" w:themeFillTint="33"/>
            <w:noWrap/>
            <w:vAlign w:val="bottom"/>
            <w:hideMark/>
          </w:tcPr>
          <w:p w:rsidR="00CD045A" w:rsidRPr="0012621E" w:rsidRDefault="00CD045A" w:rsidP="00DB555F">
            <w:pPr>
              <w:pStyle w:val="Tabletext"/>
              <w:jc w:val="right"/>
              <w:rPr>
                <w:i/>
                <w:lang w:eastAsia="en-AU"/>
              </w:rPr>
            </w:pPr>
          </w:p>
        </w:tc>
      </w:tr>
      <w:tr w:rsidR="00CD045A" w:rsidRPr="002157A3" w:rsidTr="00997D7E">
        <w:trPr>
          <w:trHeight w:val="264"/>
        </w:trPr>
        <w:tc>
          <w:tcPr>
            <w:tcW w:w="4410" w:type="dxa"/>
            <w:shd w:val="clear" w:color="auto" w:fill="CAE7F3" w:themeFill="accent1" w:themeFillTint="33"/>
            <w:noWrap/>
            <w:vAlign w:val="bottom"/>
            <w:hideMark/>
          </w:tcPr>
          <w:p w:rsidR="00CD045A" w:rsidRPr="002157A3" w:rsidRDefault="00CD045A" w:rsidP="00DB555F">
            <w:pPr>
              <w:pStyle w:val="Tabletext"/>
              <w:ind w:left="333"/>
              <w:jc w:val="right"/>
              <w:rPr>
                <w:lang w:eastAsia="en-AU"/>
              </w:rPr>
            </w:pPr>
            <w:r w:rsidRPr="002157A3">
              <w:rPr>
                <w:lang w:eastAsia="en-AU"/>
              </w:rPr>
              <w:t xml:space="preserve">Professional, Scientific and Technical Services (Except Computer System Design and Related Services) </w:t>
            </w:r>
          </w:p>
        </w:tc>
        <w:tc>
          <w:tcPr>
            <w:tcW w:w="1275" w:type="dxa"/>
            <w:gridSpan w:val="2"/>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4.32</w:t>
            </w:r>
          </w:p>
        </w:tc>
        <w:tc>
          <w:tcPr>
            <w:tcW w:w="971"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23.4</w:t>
            </w:r>
          </w:p>
        </w:tc>
        <w:tc>
          <w:tcPr>
            <w:tcW w:w="1297"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5.77</w:t>
            </w:r>
          </w:p>
        </w:tc>
        <w:tc>
          <w:tcPr>
            <w:tcW w:w="1134"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22.49</w:t>
            </w:r>
          </w:p>
        </w:tc>
        <w:tc>
          <w:tcPr>
            <w:tcW w:w="992"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58.7</w:t>
            </w:r>
          </w:p>
        </w:tc>
        <w:tc>
          <w:tcPr>
            <w:tcW w:w="1134"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2.80</w:t>
            </w:r>
          </w:p>
        </w:tc>
        <w:tc>
          <w:tcPr>
            <w:tcW w:w="1418" w:type="dxa"/>
            <w:tcBorders>
              <w:right w:val="single" w:sz="4" w:space="0" w:color="595A5B" w:themeColor="text1"/>
            </w:tcBorders>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121.4</w:t>
            </w:r>
          </w:p>
        </w:tc>
        <w:tc>
          <w:tcPr>
            <w:tcW w:w="1134" w:type="dxa"/>
            <w:tcBorders>
              <w:left w:val="single" w:sz="4" w:space="0" w:color="595A5B" w:themeColor="text1"/>
            </w:tcBorders>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45.5</w:t>
            </w:r>
          </w:p>
        </w:tc>
        <w:tc>
          <w:tcPr>
            <w:tcW w:w="1417"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146.9</w:t>
            </w:r>
          </w:p>
        </w:tc>
      </w:tr>
      <w:tr w:rsidR="00CD045A" w:rsidRPr="002157A3" w:rsidTr="00997D7E">
        <w:trPr>
          <w:trHeight w:val="264"/>
        </w:trPr>
        <w:tc>
          <w:tcPr>
            <w:tcW w:w="4410" w:type="dxa"/>
            <w:shd w:val="clear" w:color="auto" w:fill="CAE7F3" w:themeFill="accent1" w:themeFillTint="33"/>
            <w:noWrap/>
            <w:vAlign w:val="bottom"/>
            <w:hideMark/>
          </w:tcPr>
          <w:p w:rsidR="00CD045A" w:rsidRPr="002157A3" w:rsidRDefault="00CD045A" w:rsidP="00DB555F">
            <w:pPr>
              <w:pStyle w:val="Tabletext"/>
              <w:ind w:left="333"/>
              <w:jc w:val="right"/>
              <w:rPr>
                <w:lang w:eastAsia="en-AU"/>
              </w:rPr>
            </w:pPr>
            <w:r w:rsidRPr="002157A3">
              <w:rPr>
                <w:lang w:eastAsia="en-AU"/>
              </w:rPr>
              <w:t xml:space="preserve">Computer System Design and Related Services </w:t>
            </w:r>
          </w:p>
        </w:tc>
        <w:tc>
          <w:tcPr>
            <w:tcW w:w="1275" w:type="dxa"/>
            <w:gridSpan w:val="2"/>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5.33</w:t>
            </w:r>
          </w:p>
        </w:tc>
        <w:tc>
          <w:tcPr>
            <w:tcW w:w="971"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26.8</w:t>
            </w:r>
          </w:p>
        </w:tc>
        <w:tc>
          <w:tcPr>
            <w:tcW w:w="1297"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6.89</w:t>
            </w:r>
          </w:p>
        </w:tc>
        <w:tc>
          <w:tcPr>
            <w:tcW w:w="1134"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26.25</w:t>
            </w:r>
          </w:p>
        </w:tc>
        <w:tc>
          <w:tcPr>
            <w:tcW w:w="992"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54.8</w:t>
            </w:r>
          </w:p>
        </w:tc>
        <w:tc>
          <w:tcPr>
            <w:tcW w:w="1134"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3.44</w:t>
            </w:r>
          </w:p>
        </w:tc>
        <w:tc>
          <w:tcPr>
            <w:tcW w:w="1418" w:type="dxa"/>
            <w:tcBorders>
              <w:right w:val="single" w:sz="4" w:space="0" w:color="595A5B" w:themeColor="text1"/>
            </w:tcBorders>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125.2</w:t>
            </w:r>
          </w:p>
        </w:tc>
        <w:tc>
          <w:tcPr>
            <w:tcW w:w="1134" w:type="dxa"/>
            <w:tcBorders>
              <w:left w:val="single" w:sz="4" w:space="0" w:color="595A5B" w:themeColor="text1"/>
            </w:tcBorders>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41.2</w:t>
            </w:r>
          </w:p>
        </w:tc>
        <w:tc>
          <w:tcPr>
            <w:tcW w:w="1417"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153.5</w:t>
            </w:r>
          </w:p>
        </w:tc>
      </w:tr>
      <w:tr w:rsidR="00CD045A" w:rsidRPr="0012621E" w:rsidTr="00997D7E">
        <w:trPr>
          <w:trHeight w:val="255"/>
        </w:trPr>
        <w:tc>
          <w:tcPr>
            <w:tcW w:w="4410" w:type="dxa"/>
            <w:shd w:val="clear" w:color="auto" w:fill="CAE7F3" w:themeFill="accent1" w:themeFillTint="33"/>
            <w:noWrap/>
            <w:vAlign w:val="bottom"/>
            <w:hideMark/>
          </w:tcPr>
          <w:p w:rsidR="00CD045A" w:rsidRPr="0012621E" w:rsidRDefault="00CD045A" w:rsidP="00DB555F">
            <w:pPr>
              <w:pStyle w:val="Tabletext"/>
              <w:jc w:val="right"/>
              <w:rPr>
                <w:i/>
                <w:lang w:eastAsia="en-AU"/>
              </w:rPr>
            </w:pPr>
            <w:r w:rsidRPr="0012621E">
              <w:rPr>
                <w:i/>
                <w:lang w:eastAsia="en-AU"/>
              </w:rPr>
              <w:t xml:space="preserve">ADMINISTRATIVE AND SUPPORT SERVICES </w:t>
            </w:r>
          </w:p>
        </w:tc>
        <w:tc>
          <w:tcPr>
            <w:tcW w:w="1275" w:type="dxa"/>
            <w:gridSpan w:val="2"/>
            <w:shd w:val="clear" w:color="auto" w:fill="CAE7F3" w:themeFill="accent1" w:themeFillTint="33"/>
            <w:noWrap/>
            <w:vAlign w:val="bottom"/>
            <w:hideMark/>
          </w:tcPr>
          <w:p w:rsidR="00CD045A" w:rsidRPr="0012621E" w:rsidRDefault="00CD045A" w:rsidP="00DB555F">
            <w:pPr>
              <w:pStyle w:val="Tabletext"/>
              <w:jc w:val="right"/>
              <w:rPr>
                <w:i/>
                <w:lang w:eastAsia="en-AU"/>
              </w:rPr>
            </w:pPr>
          </w:p>
        </w:tc>
        <w:tc>
          <w:tcPr>
            <w:tcW w:w="971" w:type="dxa"/>
            <w:shd w:val="clear" w:color="auto" w:fill="CAE7F3" w:themeFill="accent1" w:themeFillTint="33"/>
            <w:noWrap/>
            <w:vAlign w:val="bottom"/>
            <w:hideMark/>
          </w:tcPr>
          <w:p w:rsidR="00CD045A" w:rsidRPr="0012621E" w:rsidRDefault="00CD045A" w:rsidP="00DB555F">
            <w:pPr>
              <w:pStyle w:val="Tabletext"/>
              <w:jc w:val="right"/>
              <w:rPr>
                <w:i/>
                <w:lang w:eastAsia="en-AU"/>
              </w:rPr>
            </w:pPr>
          </w:p>
        </w:tc>
        <w:tc>
          <w:tcPr>
            <w:tcW w:w="1297" w:type="dxa"/>
            <w:shd w:val="clear" w:color="auto" w:fill="CAE7F3" w:themeFill="accent1" w:themeFillTint="33"/>
            <w:noWrap/>
            <w:vAlign w:val="bottom"/>
            <w:hideMark/>
          </w:tcPr>
          <w:p w:rsidR="00CD045A" w:rsidRPr="0012621E" w:rsidRDefault="00CD045A" w:rsidP="00DB555F">
            <w:pPr>
              <w:pStyle w:val="Tabletext"/>
              <w:jc w:val="right"/>
              <w:rPr>
                <w:i/>
                <w:lang w:eastAsia="en-AU"/>
              </w:rPr>
            </w:pPr>
          </w:p>
        </w:tc>
        <w:tc>
          <w:tcPr>
            <w:tcW w:w="1134" w:type="dxa"/>
            <w:shd w:val="clear" w:color="auto" w:fill="CAE7F3" w:themeFill="accent1" w:themeFillTint="33"/>
            <w:noWrap/>
            <w:vAlign w:val="bottom"/>
            <w:hideMark/>
          </w:tcPr>
          <w:p w:rsidR="00CD045A" w:rsidRPr="0012621E" w:rsidRDefault="00CD045A" w:rsidP="00DB555F">
            <w:pPr>
              <w:pStyle w:val="Tabletext"/>
              <w:jc w:val="right"/>
              <w:rPr>
                <w:i/>
                <w:lang w:eastAsia="en-AU"/>
              </w:rPr>
            </w:pPr>
          </w:p>
        </w:tc>
        <w:tc>
          <w:tcPr>
            <w:tcW w:w="992" w:type="dxa"/>
            <w:shd w:val="clear" w:color="auto" w:fill="CAE7F3" w:themeFill="accent1" w:themeFillTint="33"/>
            <w:noWrap/>
            <w:vAlign w:val="bottom"/>
            <w:hideMark/>
          </w:tcPr>
          <w:p w:rsidR="00CD045A" w:rsidRPr="0012621E" w:rsidRDefault="00CD045A" w:rsidP="00DB555F">
            <w:pPr>
              <w:pStyle w:val="Tabletext"/>
              <w:jc w:val="right"/>
              <w:rPr>
                <w:i/>
                <w:lang w:eastAsia="en-AU"/>
              </w:rPr>
            </w:pPr>
          </w:p>
        </w:tc>
        <w:tc>
          <w:tcPr>
            <w:tcW w:w="1134" w:type="dxa"/>
            <w:shd w:val="clear" w:color="auto" w:fill="CAE7F3" w:themeFill="accent1" w:themeFillTint="33"/>
            <w:noWrap/>
            <w:vAlign w:val="bottom"/>
            <w:hideMark/>
          </w:tcPr>
          <w:p w:rsidR="00CD045A" w:rsidRPr="0012621E" w:rsidRDefault="00CD045A" w:rsidP="00DB555F">
            <w:pPr>
              <w:pStyle w:val="Tabletext"/>
              <w:jc w:val="right"/>
              <w:rPr>
                <w:i/>
                <w:lang w:eastAsia="en-AU"/>
              </w:rPr>
            </w:pPr>
          </w:p>
        </w:tc>
        <w:tc>
          <w:tcPr>
            <w:tcW w:w="1418" w:type="dxa"/>
            <w:tcBorders>
              <w:right w:val="single" w:sz="4" w:space="0" w:color="595A5B" w:themeColor="text1"/>
            </w:tcBorders>
            <w:shd w:val="clear" w:color="auto" w:fill="CAE7F3" w:themeFill="accent1" w:themeFillTint="33"/>
            <w:noWrap/>
            <w:vAlign w:val="bottom"/>
            <w:hideMark/>
          </w:tcPr>
          <w:p w:rsidR="00CD045A" w:rsidRPr="0012621E" w:rsidRDefault="00CD045A" w:rsidP="00DB555F">
            <w:pPr>
              <w:pStyle w:val="Tabletext"/>
              <w:jc w:val="right"/>
              <w:rPr>
                <w:i/>
                <w:lang w:eastAsia="en-AU"/>
              </w:rPr>
            </w:pPr>
          </w:p>
        </w:tc>
        <w:tc>
          <w:tcPr>
            <w:tcW w:w="1134" w:type="dxa"/>
            <w:tcBorders>
              <w:left w:val="single" w:sz="4" w:space="0" w:color="595A5B" w:themeColor="text1"/>
            </w:tcBorders>
            <w:shd w:val="clear" w:color="auto" w:fill="CAE7F3" w:themeFill="accent1" w:themeFillTint="33"/>
            <w:noWrap/>
            <w:vAlign w:val="bottom"/>
            <w:hideMark/>
          </w:tcPr>
          <w:p w:rsidR="00CD045A" w:rsidRPr="0012621E" w:rsidRDefault="00CD045A" w:rsidP="00DB555F">
            <w:pPr>
              <w:pStyle w:val="Tabletext"/>
              <w:jc w:val="right"/>
              <w:rPr>
                <w:i/>
                <w:lang w:eastAsia="en-AU"/>
              </w:rPr>
            </w:pPr>
          </w:p>
        </w:tc>
        <w:tc>
          <w:tcPr>
            <w:tcW w:w="1417" w:type="dxa"/>
            <w:shd w:val="clear" w:color="auto" w:fill="CAE7F3" w:themeFill="accent1" w:themeFillTint="33"/>
            <w:noWrap/>
            <w:vAlign w:val="bottom"/>
            <w:hideMark/>
          </w:tcPr>
          <w:p w:rsidR="00CD045A" w:rsidRPr="0012621E" w:rsidRDefault="00CD045A" w:rsidP="00DB555F">
            <w:pPr>
              <w:pStyle w:val="Tabletext"/>
              <w:jc w:val="right"/>
              <w:rPr>
                <w:i/>
                <w:lang w:eastAsia="en-AU"/>
              </w:rPr>
            </w:pPr>
          </w:p>
        </w:tc>
      </w:tr>
      <w:tr w:rsidR="00CD045A" w:rsidRPr="002157A3" w:rsidTr="00997D7E">
        <w:trPr>
          <w:trHeight w:val="264"/>
        </w:trPr>
        <w:tc>
          <w:tcPr>
            <w:tcW w:w="4410" w:type="dxa"/>
            <w:shd w:val="clear" w:color="auto" w:fill="CAE7F3" w:themeFill="accent1" w:themeFillTint="33"/>
            <w:noWrap/>
            <w:vAlign w:val="bottom"/>
            <w:hideMark/>
          </w:tcPr>
          <w:p w:rsidR="00CD045A" w:rsidRPr="002157A3" w:rsidRDefault="00CD045A" w:rsidP="00DB555F">
            <w:pPr>
              <w:pStyle w:val="Tabletext"/>
              <w:ind w:left="333"/>
              <w:jc w:val="right"/>
              <w:rPr>
                <w:lang w:eastAsia="en-AU"/>
              </w:rPr>
            </w:pPr>
            <w:r w:rsidRPr="002157A3">
              <w:rPr>
                <w:lang w:eastAsia="en-AU"/>
              </w:rPr>
              <w:t xml:space="preserve">Administrative Services </w:t>
            </w:r>
          </w:p>
        </w:tc>
        <w:tc>
          <w:tcPr>
            <w:tcW w:w="1275" w:type="dxa"/>
            <w:gridSpan w:val="2"/>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3.93</w:t>
            </w:r>
          </w:p>
        </w:tc>
        <w:tc>
          <w:tcPr>
            <w:tcW w:w="971"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21.5</w:t>
            </w:r>
          </w:p>
        </w:tc>
        <w:tc>
          <w:tcPr>
            <w:tcW w:w="1297"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4.97</w:t>
            </w:r>
          </w:p>
        </w:tc>
        <w:tc>
          <w:tcPr>
            <w:tcW w:w="1134"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3.78</w:t>
            </w:r>
          </w:p>
        </w:tc>
        <w:tc>
          <w:tcPr>
            <w:tcW w:w="992"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59.6</w:t>
            </w:r>
          </w:p>
        </w:tc>
        <w:tc>
          <w:tcPr>
            <w:tcW w:w="1134"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13.69</w:t>
            </w:r>
          </w:p>
        </w:tc>
        <w:tc>
          <w:tcPr>
            <w:tcW w:w="1418" w:type="dxa"/>
            <w:tcBorders>
              <w:right w:val="single" w:sz="4" w:space="0" w:color="595A5B" w:themeColor="text1"/>
            </w:tcBorders>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123.9</w:t>
            </w:r>
          </w:p>
        </w:tc>
        <w:tc>
          <w:tcPr>
            <w:tcW w:w="1134" w:type="dxa"/>
            <w:tcBorders>
              <w:left w:val="single" w:sz="4" w:space="0" w:color="595A5B" w:themeColor="text1"/>
            </w:tcBorders>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45.4</w:t>
            </w:r>
          </w:p>
        </w:tc>
        <w:tc>
          <w:tcPr>
            <w:tcW w:w="1417"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267.2</w:t>
            </w:r>
          </w:p>
        </w:tc>
      </w:tr>
      <w:tr w:rsidR="00CD045A" w:rsidRPr="002157A3" w:rsidTr="00997D7E">
        <w:trPr>
          <w:trHeight w:val="264"/>
        </w:trPr>
        <w:tc>
          <w:tcPr>
            <w:tcW w:w="4410" w:type="dxa"/>
            <w:shd w:val="clear" w:color="auto" w:fill="CAE7F3" w:themeFill="accent1" w:themeFillTint="33"/>
            <w:noWrap/>
            <w:vAlign w:val="bottom"/>
            <w:hideMark/>
          </w:tcPr>
          <w:p w:rsidR="00CD045A" w:rsidRPr="002157A3" w:rsidRDefault="00CD045A" w:rsidP="00DB555F">
            <w:pPr>
              <w:pStyle w:val="Tabletext"/>
              <w:ind w:left="333"/>
              <w:jc w:val="right"/>
              <w:rPr>
                <w:lang w:eastAsia="en-AU"/>
              </w:rPr>
            </w:pPr>
            <w:r w:rsidRPr="002157A3">
              <w:rPr>
                <w:lang w:eastAsia="en-AU"/>
              </w:rPr>
              <w:t xml:space="preserve">Building Cleaning, Pest Control and Other Support Services </w:t>
            </w:r>
          </w:p>
        </w:tc>
        <w:tc>
          <w:tcPr>
            <w:tcW w:w="1275" w:type="dxa"/>
            <w:gridSpan w:val="2"/>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4.81</w:t>
            </w:r>
          </w:p>
        </w:tc>
        <w:tc>
          <w:tcPr>
            <w:tcW w:w="971"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25.4</w:t>
            </w:r>
          </w:p>
        </w:tc>
        <w:tc>
          <w:tcPr>
            <w:tcW w:w="1297"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5.13</w:t>
            </w:r>
          </w:p>
        </w:tc>
        <w:tc>
          <w:tcPr>
            <w:tcW w:w="1134"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23.01</w:t>
            </w:r>
          </w:p>
        </w:tc>
        <w:tc>
          <w:tcPr>
            <w:tcW w:w="992"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52.9</w:t>
            </w:r>
          </w:p>
        </w:tc>
        <w:tc>
          <w:tcPr>
            <w:tcW w:w="1134"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2.84</w:t>
            </w:r>
          </w:p>
        </w:tc>
        <w:tc>
          <w:tcPr>
            <w:tcW w:w="1418" w:type="dxa"/>
            <w:tcBorders>
              <w:right w:val="single" w:sz="4" w:space="0" w:color="595A5B" w:themeColor="text1"/>
            </w:tcBorders>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106.1</w:t>
            </w:r>
          </w:p>
        </w:tc>
        <w:tc>
          <w:tcPr>
            <w:tcW w:w="1134" w:type="dxa"/>
            <w:tcBorders>
              <w:left w:val="single" w:sz="4" w:space="0" w:color="595A5B" w:themeColor="text1"/>
            </w:tcBorders>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39.1</w:t>
            </w:r>
          </w:p>
        </w:tc>
        <w:tc>
          <w:tcPr>
            <w:tcW w:w="1417"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118.7</w:t>
            </w:r>
          </w:p>
        </w:tc>
      </w:tr>
      <w:tr w:rsidR="00CD045A" w:rsidRPr="0012621E" w:rsidTr="00997D7E">
        <w:trPr>
          <w:trHeight w:val="255"/>
        </w:trPr>
        <w:tc>
          <w:tcPr>
            <w:tcW w:w="4410" w:type="dxa"/>
            <w:shd w:val="clear" w:color="auto" w:fill="CAE7F3" w:themeFill="accent1" w:themeFillTint="33"/>
            <w:noWrap/>
            <w:vAlign w:val="bottom"/>
            <w:hideMark/>
          </w:tcPr>
          <w:p w:rsidR="00CD045A" w:rsidRPr="0012621E" w:rsidRDefault="00CD045A" w:rsidP="00DB555F">
            <w:pPr>
              <w:pStyle w:val="Tabletext"/>
              <w:jc w:val="right"/>
              <w:rPr>
                <w:i/>
                <w:lang w:eastAsia="en-AU"/>
              </w:rPr>
            </w:pPr>
            <w:r w:rsidRPr="0012621E">
              <w:rPr>
                <w:i/>
                <w:lang w:eastAsia="en-AU"/>
              </w:rPr>
              <w:t xml:space="preserve">EDUCATION AND TRAINING </w:t>
            </w:r>
          </w:p>
        </w:tc>
        <w:tc>
          <w:tcPr>
            <w:tcW w:w="1275" w:type="dxa"/>
            <w:gridSpan w:val="2"/>
            <w:shd w:val="clear" w:color="auto" w:fill="CAE7F3" w:themeFill="accent1" w:themeFillTint="33"/>
            <w:noWrap/>
            <w:vAlign w:val="bottom"/>
            <w:hideMark/>
          </w:tcPr>
          <w:p w:rsidR="00CD045A" w:rsidRPr="0012621E" w:rsidRDefault="00CD045A" w:rsidP="00DB555F">
            <w:pPr>
              <w:pStyle w:val="Tabletext"/>
              <w:jc w:val="right"/>
              <w:rPr>
                <w:i/>
                <w:lang w:eastAsia="en-AU"/>
              </w:rPr>
            </w:pPr>
          </w:p>
        </w:tc>
        <w:tc>
          <w:tcPr>
            <w:tcW w:w="971" w:type="dxa"/>
            <w:shd w:val="clear" w:color="auto" w:fill="CAE7F3" w:themeFill="accent1" w:themeFillTint="33"/>
            <w:noWrap/>
            <w:vAlign w:val="bottom"/>
            <w:hideMark/>
          </w:tcPr>
          <w:p w:rsidR="00CD045A" w:rsidRPr="0012621E" w:rsidRDefault="00CD045A" w:rsidP="00DB555F">
            <w:pPr>
              <w:pStyle w:val="Tabletext"/>
              <w:jc w:val="right"/>
              <w:rPr>
                <w:i/>
                <w:lang w:eastAsia="en-AU"/>
              </w:rPr>
            </w:pPr>
          </w:p>
        </w:tc>
        <w:tc>
          <w:tcPr>
            <w:tcW w:w="1297" w:type="dxa"/>
            <w:shd w:val="clear" w:color="auto" w:fill="CAE7F3" w:themeFill="accent1" w:themeFillTint="33"/>
            <w:noWrap/>
            <w:vAlign w:val="bottom"/>
            <w:hideMark/>
          </w:tcPr>
          <w:p w:rsidR="00CD045A" w:rsidRPr="0012621E" w:rsidRDefault="00CD045A" w:rsidP="00DB555F">
            <w:pPr>
              <w:pStyle w:val="Tabletext"/>
              <w:jc w:val="right"/>
              <w:rPr>
                <w:i/>
                <w:lang w:eastAsia="en-AU"/>
              </w:rPr>
            </w:pPr>
          </w:p>
        </w:tc>
        <w:tc>
          <w:tcPr>
            <w:tcW w:w="1134" w:type="dxa"/>
            <w:shd w:val="clear" w:color="auto" w:fill="CAE7F3" w:themeFill="accent1" w:themeFillTint="33"/>
            <w:noWrap/>
            <w:vAlign w:val="bottom"/>
            <w:hideMark/>
          </w:tcPr>
          <w:p w:rsidR="00CD045A" w:rsidRPr="0012621E" w:rsidRDefault="00CD045A" w:rsidP="00DB555F">
            <w:pPr>
              <w:pStyle w:val="Tabletext"/>
              <w:jc w:val="right"/>
              <w:rPr>
                <w:i/>
                <w:lang w:eastAsia="en-AU"/>
              </w:rPr>
            </w:pPr>
          </w:p>
        </w:tc>
        <w:tc>
          <w:tcPr>
            <w:tcW w:w="992" w:type="dxa"/>
            <w:shd w:val="clear" w:color="auto" w:fill="CAE7F3" w:themeFill="accent1" w:themeFillTint="33"/>
            <w:noWrap/>
            <w:vAlign w:val="bottom"/>
            <w:hideMark/>
          </w:tcPr>
          <w:p w:rsidR="00CD045A" w:rsidRPr="0012621E" w:rsidRDefault="00CD045A" w:rsidP="00DB555F">
            <w:pPr>
              <w:pStyle w:val="Tabletext"/>
              <w:jc w:val="right"/>
              <w:rPr>
                <w:i/>
                <w:lang w:eastAsia="en-AU"/>
              </w:rPr>
            </w:pPr>
          </w:p>
        </w:tc>
        <w:tc>
          <w:tcPr>
            <w:tcW w:w="1134" w:type="dxa"/>
            <w:shd w:val="clear" w:color="auto" w:fill="CAE7F3" w:themeFill="accent1" w:themeFillTint="33"/>
            <w:noWrap/>
            <w:vAlign w:val="bottom"/>
            <w:hideMark/>
          </w:tcPr>
          <w:p w:rsidR="00CD045A" w:rsidRPr="0012621E" w:rsidRDefault="00CD045A" w:rsidP="00DB555F">
            <w:pPr>
              <w:pStyle w:val="Tabletext"/>
              <w:jc w:val="right"/>
              <w:rPr>
                <w:i/>
                <w:lang w:eastAsia="en-AU"/>
              </w:rPr>
            </w:pPr>
          </w:p>
        </w:tc>
        <w:tc>
          <w:tcPr>
            <w:tcW w:w="1418" w:type="dxa"/>
            <w:tcBorders>
              <w:right w:val="single" w:sz="4" w:space="0" w:color="595A5B" w:themeColor="text1"/>
            </w:tcBorders>
            <w:shd w:val="clear" w:color="auto" w:fill="CAE7F3" w:themeFill="accent1" w:themeFillTint="33"/>
            <w:noWrap/>
            <w:vAlign w:val="bottom"/>
            <w:hideMark/>
          </w:tcPr>
          <w:p w:rsidR="00CD045A" w:rsidRPr="0012621E" w:rsidRDefault="00CD045A" w:rsidP="00DB555F">
            <w:pPr>
              <w:pStyle w:val="Tabletext"/>
              <w:jc w:val="right"/>
              <w:rPr>
                <w:i/>
                <w:lang w:eastAsia="en-AU"/>
              </w:rPr>
            </w:pPr>
          </w:p>
        </w:tc>
        <w:tc>
          <w:tcPr>
            <w:tcW w:w="1134" w:type="dxa"/>
            <w:tcBorders>
              <w:left w:val="single" w:sz="4" w:space="0" w:color="595A5B" w:themeColor="text1"/>
            </w:tcBorders>
            <w:shd w:val="clear" w:color="auto" w:fill="CAE7F3" w:themeFill="accent1" w:themeFillTint="33"/>
            <w:noWrap/>
            <w:vAlign w:val="bottom"/>
            <w:hideMark/>
          </w:tcPr>
          <w:p w:rsidR="00CD045A" w:rsidRPr="0012621E" w:rsidRDefault="00CD045A" w:rsidP="00DB555F">
            <w:pPr>
              <w:pStyle w:val="Tabletext"/>
              <w:jc w:val="right"/>
              <w:rPr>
                <w:i/>
                <w:lang w:eastAsia="en-AU"/>
              </w:rPr>
            </w:pPr>
          </w:p>
        </w:tc>
        <w:tc>
          <w:tcPr>
            <w:tcW w:w="1417" w:type="dxa"/>
            <w:shd w:val="clear" w:color="auto" w:fill="CAE7F3" w:themeFill="accent1" w:themeFillTint="33"/>
            <w:noWrap/>
            <w:vAlign w:val="bottom"/>
            <w:hideMark/>
          </w:tcPr>
          <w:p w:rsidR="00CD045A" w:rsidRPr="0012621E" w:rsidRDefault="00CD045A" w:rsidP="00DB555F">
            <w:pPr>
              <w:pStyle w:val="Tabletext"/>
              <w:jc w:val="right"/>
              <w:rPr>
                <w:i/>
                <w:lang w:eastAsia="en-AU"/>
              </w:rPr>
            </w:pPr>
          </w:p>
        </w:tc>
      </w:tr>
      <w:tr w:rsidR="00CD045A" w:rsidRPr="002157A3" w:rsidTr="00997D7E">
        <w:trPr>
          <w:trHeight w:val="264"/>
        </w:trPr>
        <w:tc>
          <w:tcPr>
            <w:tcW w:w="4410" w:type="dxa"/>
            <w:shd w:val="clear" w:color="auto" w:fill="CAE7F3" w:themeFill="accent1" w:themeFillTint="33"/>
            <w:noWrap/>
            <w:vAlign w:val="bottom"/>
            <w:hideMark/>
          </w:tcPr>
          <w:p w:rsidR="00CD045A" w:rsidRPr="002157A3" w:rsidRDefault="00CD045A" w:rsidP="00DB555F">
            <w:pPr>
              <w:pStyle w:val="Tabletext"/>
              <w:ind w:left="333"/>
              <w:jc w:val="right"/>
              <w:rPr>
                <w:lang w:eastAsia="en-AU"/>
              </w:rPr>
            </w:pPr>
            <w:r w:rsidRPr="002157A3">
              <w:rPr>
                <w:lang w:eastAsia="en-AU"/>
              </w:rPr>
              <w:t xml:space="preserve">Preschool and School Education </w:t>
            </w:r>
          </w:p>
        </w:tc>
        <w:tc>
          <w:tcPr>
            <w:tcW w:w="1275" w:type="dxa"/>
            <w:gridSpan w:val="2"/>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0.91</w:t>
            </w:r>
          </w:p>
        </w:tc>
        <w:tc>
          <w:tcPr>
            <w:tcW w:w="971"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11.3</w:t>
            </w:r>
          </w:p>
        </w:tc>
        <w:tc>
          <w:tcPr>
            <w:tcW w:w="1297"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0.88</w:t>
            </w:r>
          </w:p>
        </w:tc>
        <w:tc>
          <w:tcPr>
            <w:tcW w:w="1134"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0.38</w:t>
            </w:r>
          </w:p>
        </w:tc>
        <w:tc>
          <w:tcPr>
            <w:tcW w:w="992"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71.9</w:t>
            </w:r>
          </w:p>
        </w:tc>
        <w:tc>
          <w:tcPr>
            <w:tcW w:w="1134"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19.00</w:t>
            </w:r>
          </w:p>
        </w:tc>
        <w:tc>
          <w:tcPr>
            <w:tcW w:w="1418" w:type="dxa"/>
            <w:tcBorders>
              <w:right w:val="single" w:sz="4" w:space="0" w:color="595A5B" w:themeColor="text1"/>
            </w:tcBorders>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143.8</w:t>
            </w:r>
          </w:p>
        </w:tc>
        <w:tc>
          <w:tcPr>
            <w:tcW w:w="1134" w:type="dxa"/>
            <w:tcBorders>
              <w:left w:val="single" w:sz="4" w:space="0" w:color="595A5B" w:themeColor="text1"/>
            </w:tcBorders>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56.3</w:t>
            </w:r>
          </w:p>
        </w:tc>
        <w:tc>
          <w:tcPr>
            <w:tcW w:w="1417"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251.1</w:t>
            </w:r>
          </w:p>
        </w:tc>
      </w:tr>
      <w:tr w:rsidR="00CD045A" w:rsidRPr="002157A3" w:rsidTr="00997D7E">
        <w:trPr>
          <w:trHeight w:val="264"/>
        </w:trPr>
        <w:tc>
          <w:tcPr>
            <w:tcW w:w="4410" w:type="dxa"/>
            <w:shd w:val="clear" w:color="auto" w:fill="CAE7F3" w:themeFill="accent1" w:themeFillTint="33"/>
            <w:noWrap/>
            <w:vAlign w:val="bottom"/>
            <w:hideMark/>
          </w:tcPr>
          <w:p w:rsidR="00CD045A" w:rsidRPr="002157A3" w:rsidRDefault="00CD045A" w:rsidP="00DB555F">
            <w:pPr>
              <w:pStyle w:val="Tabletext"/>
              <w:ind w:left="333"/>
              <w:jc w:val="right"/>
              <w:rPr>
                <w:lang w:eastAsia="en-AU"/>
              </w:rPr>
            </w:pPr>
            <w:r w:rsidRPr="002157A3">
              <w:rPr>
                <w:lang w:eastAsia="en-AU"/>
              </w:rPr>
              <w:t xml:space="preserve">Tertiary Education </w:t>
            </w:r>
          </w:p>
        </w:tc>
        <w:tc>
          <w:tcPr>
            <w:tcW w:w="1275" w:type="dxa"/>
            <w:gridSpan w:val="2"/>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6.05</w:t>
            </w:r>
          </w:p>
        </w:tc>
        <w:tc>
          <w:tcPr>
            <w:tcW w:w="971"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29.5</w:t>
            </w:r>
          </w:p>
        </w:tc>
        <w:tc>
          <w:tcPr>
            <w:tcW w:w="1297"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8.12</w:t>
            </w:r>
          </w:p>
        </w:tc>
        <w:tc>
          <w:tcPr>
            <w:tcW w:w="1134"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9.46</w:t>
            </w:r>
          </w:p>
        </w:tc>
        <w:tc>
          <w:tcPr>
            <w:tcW w:w="992"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58.9</w:t>
            </w:r>
          </w:p>
        </w:tc>
        <w:tc>
          <w:tcPr>
            <w:tcW w:w="1134"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9.81</w:t>
            </w:r>
          </w:p>
        </w:tc>
        <w:tc>
          <w:tcPr>
            <w:tcW w:w="1418" w:type="dxa"/>
            <w:tcBorders>
              <w:right w:val="single" w:sz="4" w:space="0" w:color="595A5B" w:themeColor="text1"/>
            </w:tcBorders>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133.6</w:t>
            </w:r>
          </w:p>
        </w:tc>
        <w:tc>
          <w:tcPr>
            <w:tcW w:w="1134" w:type="dxa"/>
            <w:tcBorders>
              <w:left w:val="single" w:sz="4" w:space="0" w:color="595A5B" w:themeColor="text1"/>
            </w:tcBorders>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45.2</w:t>
            </w:r>
          </w:p>
        </w:tc>
        <w:tc>
          <w:tcPr>
            <w:tcW w:w="1417"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225.2</w:t>
            </w:r>
          </w:p>
        </w:tc>
      </w:tr>
      <w:tr w:rsidR="00CD045A" w:rsidRPr="002157A3" w:rsidTr="00997D7E">
        <w:trPr>
          <w:trHeight w:val="264"/>
        </w:trPr>
        <w:tc>
          <w:tcPr>
            <w:tcW w:w="4410" w:type="dxa"/>
            <w:shd w:val="clear" w:color="auto" w:fill="CAE7F3" w:themeFill="accent1" w:themeFillTint="33"/>
            <w:noWrap/>
            <w:vAlign w:val="bottom"/>
            <w:hideMark/>
          </w:tcPr>
          <w:p w:rsidR="00CD045A" w:rsidRPr="002157A3" w:rsidRDefault="00CD045A" w:rsidP="00DB555F">
            <w:pPr>
              <w:pStyle w:val="Tabletext"/>
              <w:ind w:left="333"/>
              <w:jc w:val="right"/>
              <w:rPr>
                <w:lang w:eastAsia="en-AU"/>
              </w:rPr>
            </w:pPr>
            <w:r w:rsidRPr="002157A3">
              <w:rPr>
                <w:lang w:eastAsia="en-AU"/>
              </w:rPr>
              <w:t xml:space="preserve">Adult, Community and Other Education </w:t>
            </w:r>
          </w:p>
        </w:tc>
        <w:tc>
          <w:tcPr>
            <w:tcW w:w="1275" w:type="dxa"/>
            <w:gridSpan w:val="2"/>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4.44</w:t>
            </w:r>
          </w:p>
        </w:tc>
        <w:tc>
          <w:tcPr>
            <w:tcW w:w="971"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24.4</w:t>
            </w:r>
          </w:p>
        </w:tc>
        <w:tc>
          <w:tcPr>
            <w:tcW w:w="1297"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5.61</w:t>
            </w:r>
          </w:p>
        </w:tc>
        <w:tc>
          <w:tcPr>
            <w:tcW w:w="1134"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18.97</w:t>
            </w:r>
          </w:p>
        </w:tc>
        <w:tc>
          <w:tcPr>
            <w:tcW w:w="992"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58.0</w:t>
            </w:r>
          </w:p>
        </w:tc>
        <w:tc>
          <w:tcPr>
            <w:tcW w:w="1134"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3.25</w:t>
            </w:r>
          </w:p>
        </w:tc>
        <w:tc>
          <w:tcPr>
            <w:tcW w:w="1418" w:type="dxa"/>
            <w:tcBorders>
              <w:right w:val="single" w:sz="4" w:space="0" w:color="595A5B" w:themeColor="text1"/>
            </w:tcBorders>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121.8</w:t>
            </w:r>
          </w:p>
        </w:tc>
        <w:tc>
          <w:tcPr>
            <w:tcW w:w="1134" w:type="dxa"/>
            <w:tcBorders>
              <w:left w:val="single" w:sz="4" w:space="0" w:color="595A5B" w:themeColor="text1"/>
            </w:tcBorders>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43.0</w:t>
            </w:r>
          </w:p>
        </w:tc>
        <w:tc>
          <w:tcPr>
            <w:tcW w:w="1417"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157.9</w:t>
            </w:r>
          </w:p>
        </w:tc>
      </w:tr>
      <w:tr w:rsidR="00CD045A" w:rsidRPr="0012621E" w:rsidTr="00997D7E">
        <w:trPr>
          <w:trHeight w:val="255"/>
        </w:trPr>
        <w:tc>
          <w:tcPr>
            <w:tcW w:w="4410" w:type="dxa"/>
            <w:shd w:val="clear" w:color="auto" w:fill="CAE7F3" w:themeFill="accent1" w:themeFillTint="33"/>
            <w:noWrap/>
            <w:vAlign w:val="bottom"/>
            <w:hideMark/>
          </w:tcPr>
          <w:p w:rsidR="00CD045A" w:rsidRPr="0012621E" w:rsidRDefault="00CD045A" w:rsidP="00DB555F">
            <w:pPr>
              <w:pStyle w:val="Tabletext"/>
              <w:jc w:val="right"/>
              <w:rPr>
                <w:i/>
                <w:lang w:eastAsia="en-AU"/>
              </w:rPr>
            </w:pPr>
            <w:r w:rsidRPr="0012621E">
              <w:rPr>
                <w:i/>
                <w:lang w:eastAsia="en-AU"/>
              </w:rPr>
              <w:t xml:space="preserve">HEALTH CARE AND SOCIAL ASSISTANCE </w:t>
            </w:r>
          </w:p>
        </w:tc>
        <w:tc>
          <w:tcPr>
            <w:tcW w:w="1275" w:type="dxa"/>
            <w:gridSpan w:val="2"/>
            <w:shd w:val="clear" w:color="auto" w:fill="CAE7F3" w:themeFill="accent1" w:themeFillTint="33"/>
            <w:noWrap/>
            <w:vAlign w:val="bottom"/>
            <w:hideMark/>
          </w:tcPr>
          <w:p w:rsidR="00CD045A" w:rsidRPr="0012621E" w:rsidRDefault="00CD045A" w:rsidP="00DB555F">
            <w:pPr>
              <w:pStyle w:val="Tabletext"/>
              <w:jc w:val="right"/>
              <w:rPr>
                <w:i/>
                <w:lang w:eastAsia="en-AU"/>
              </w:rPr>
            </w:pPr>
          </w:p>
        </w:tc>
        <w:tc>
          <w:tcPr>
            <w:tcW w:w="971" w:type="dxa"/>
            <w:shd w:val="clear" w:color="auto" w:fill="CAE7F3" w:themeFill="accent1" w:themeFillTint="33"/>
            <w:noWrap/>
            <w:vAlign w:val="bottom"/>
            <w:hideMark/>
          </w:tcPr>
          <w:p w:rsidR="00CD045A" w:rsidRPr="0012621E" w:rsidRDefault="00CD045A" w:rsidP="00DB555F">
            <w:pPr>
              <w:pStyle w:val="Tabletext"/>
              <w:jc w:val="right"/>
              <w:rPr>
                <w:i/>
                <w:lang w:eastAsia="en-AU"/>
              </w:rPr>
            </w:pPr>
          </w:p>
        </w:tc>
        <w:tc>
          <w:tcPr>
            <w:tcW w:w="1297" w:type="dxa"/>
            <w:shd w:val="clear" w:color="auto" w:fill="CAE7F3" w:themeFill="accent1" w:themeFillTint="33"/>
            <w:noWrap/>
            <w:vAlign w:val="bottom"/>
            <w:hideMark/>
          </w:tcPr>
          <w:p w:rsidR="00CD045A" w:rsidRPr="0012621E" w:rsidRDefault="00CD045A" w:rsidP="00DB555F">
            <w:pPr>
              <w:pStyle w:val="Tabletext"/>
              <w:jc w:val="right"/>
              <w:rPr>
                <w:i/>
                <w:lang w:eastAsia="en-AU"/>
              </w:rPr>
            </w:pPr>
          </w:p>
        </w:tc>
        <w:tc>
          <w:tcPr>
            <w:tcW w:w="1134" w:type="dxa"/>
            <w:shd w:val="clear" w:color="auto" w:fill="CAE7F3" w:themeFill="accent1" w:themeFillTint="33"/>
            <w:noWrap/>
            <w:vAlign w:val="bottom"/>
            <w:hideMark/>
          </w:tcPr>
          <w:p w:rsidR="00CD045A" w:rsidRPr="0012621E" w:rsidRDefault="00CD045A" w:rsidP="00DB555F">
            <w:pPr>
              <w:pStyle w:val="Tabletext"/>
              <w:jc w:val="right"/>
              <w:rPr>
                <w:i/>
                <w:lang w:eastAsia="en-AU"/>
              </w:rPr>
            </w:pPr>
          </w:p>
        </w:tc>
        <w:tc>
          <w:tcPr>
            <w:tcW w:w="992" w:type="dxa"/>
            <w:shd w:val="clear" w:color="auto" w:fill="CAE7F3" w:themeFill="accent1" w:themeFillTint="33"/>
            <w:noWrap/>
            <w:vAlign w:val="bottom"/>
            <w:hideMark/>
          </w:tcPr>
          <w:p w:rsidR="00CD045A" w:rsidRPr="0012621E" w:rsidRDefault="00CD045A" w:rsidP="00DB555F">
            <w:pPr>
              <w:pStyle w:val="Tabletext"/>
              <w:jc w:val="right"/>
              <w:rPr>
                <w:i/>
                <w:lang w:eastAsia="en-AU"/>
              </w:rPr>
            </w:pPr>
          </w:p>
        </w:tc>
        <w:tc>
          <w:tcPr>
            <w:tcW w:w="1134" w:type="dxa"/>
            <w:shd w:val="clear" w:color="auto" w:fill="CAE7F3" w:themeFill="accent1" w:themeFillTint="33"/>
            <w:noWrap/>
            <w:vAlign w:val="bottom"/>
            <w:hideMark/>
          </w:tcPr>
          <w:p w:rsidR="00CD045A" w:rsidRPr="0012621E" w:rsidRDefault="00CD045A" w:rsidP="00DB555F">
            <w:pPr>
              <w:pStyle w:val="Tabletext"/>
              <w:jc w:val="right"/>
              <w:rPr>
                <w:i/>
                <w:lang w:eastAsia="en-AU"/>
              </w:rPr>
            </w:pPr>
          </w:p>
        </w:tc>
        <w:tc>
          <w:tcPr>
            <w:tcW w:w="1418" w:type="dxa"/>
            <w:tcBorders>
              <w:right w:val="single" w:sz="4" w:space="0" w:color="595A5B" w:themeColor="text1"/>
            </w:tcBorders>
            <w:shd w:val="clear" w:color="auto" w:fill="CAE7F3" w:themeFill="accent1" w:themeFillTint="33"/>
            <w:noWrap/>
            <w:vAlign w:val="bottom"/>
            <w:hideMark/>
          </w:tcPr>
          <w:p w:rsidR="00CD045A" w:rsidRPr="0012621E" w:rsidRDefault="00CD045A" w:rsidP="00DB555F">
            <w:pPr>
              <w:pStyle w:val="Tabletext"/>
              <w:jc w:val="right"/>
              <w:rPr>
                <w:i/>
                <w:lang w:eastAsia="en-AU"/>
              </w:rPr>
            </w:pPr>
          </w:p>
        </w:tc>
        <w:tc>
          <w:tcPr>
            <w:tcW w:w="1134" w:type="dxa"/>
            <w:tcBorders>
              <w:left w:val="single" w:sz="4" w:space="0" w:color="595A5B" w:themeColor="text1"/>
            </w:tcBorders>
            <w:shd w:val="clear" w:color="auto" w:fill="CAE7F3" w:themeFill="accent1" w:themeFillTint="33"/>
            <w:noWrap/>
            <w:vAlign w:val="bottom"/>
            <w:hideMark/>
          </w:tcPr>
          <w:p w:rsidR="00CD045A" w:rsidRPr="0012621E" w:rsidRDefault="00CD045A" w:rsidP="00DB555F">
            <w:pPr>
              <w:pStyle w:val="Tabletext"/>
              <w:jc w:val="right"/>
              <w:rPr>
                <w:i/>
                <w:lang w:eastAsia="en-AU"/>
              </w:rPr>
            </w:pPr>
          </w:p>
        </w:tc>
        <w:tc>
          <w:tcPr>
            <w:tcW w:w="1417" w:type="dxa"/>
            <w:shd w:val="clear" w:color="auto" w:fill="CAE7F3" w:themeFill="accent1" w:themeFillTint="33"/>
            <w:noWrap/>
            <w:vAlign w:val="bottom"/>
            <w:hideMark/>
          </w:tcPr>
          <w:p w:rsidR="00CD045A" w:rsidRPr="0012621E" w:rsidRDefault="00CD045A" w:rsidP="00DB555F">
            <w:pPr>
              <w:pStyle w:val="Tabletext"/>
              <w:jc w:val="right"/>
              <w:rPr>
                <w:i/>
                <w:lang w:eastAsia="en-AU"/>
              </w:rPr>
            </w:pPr>
          </w:p>
        </w:tc>
      </w:tr>
      <w:tr w:rsidR="00CD045A" w:rsidRPr="002157A3" w:rsidTr="00997D7E">
        <w:trPr>
          <w:trHeight w:val="264"/>
        </w:trPr>
        <w:tc>
          <w:tcPr>
            <w:tcW w:w="4410" w:type="dxa"/>
            <w:shd w:val="clear" w:color="auto" w:fill="CAE7F3" w:themeFill="accent1" w:themeFillTint="33"/>
            <w:noWrap/>
            <w:vAlign w:val="bottom"/>
            <w:hideMark/>
          </w:tcPr>
          <w:p w:rsidR="00CD045A" w:rsidRPr="002157A3" w:rsidRDefault="00CD045A" w:rsidP="00DB555F">
            <w:pPr>
              <w:pStyle w:val="Tabletext"/>
              <w:ind w:left="333"/>
              <w:jc w:val="right"/>
              <w:rPr>
                <w:lang w:eastAsia="en-AU"/>
              </w:rPr>
            </w:pPr>
            <w:r w:rsidRPr="002157A3">
              <w:rPr>
                <w:lang w:eastAsia="en-AU"/>
              </w:rPr>
              <w:t xml:space="preserve">Hospitals </w:t>
            </w:r>
          </w:p>
        </w:tc>
        <w:tc>
          <w:tcPr>
            <w:tcW w:w="1275" w:type="dxa"/>
            <w:gridSpan w:val="2"/>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0.38</w:t>
            </w:r>
          </w:p>
        </w:tc>
        <w:tc>
          <w:tcPr>
            <w:tcW w:w="971"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5.7</w:t>
            </w:r>
          </w:p>
        </w:tc>
        <w:tc>
          <w:tcPr>
            <w:tcW w:w="1297"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0.49</w:t>
            </w:r>
          </w:p>
        </w:tc>
        <w:tc>
          <w:tcPr>
            <w:tcW w:w="1134"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0.94</w:t>
            </w:r>
          </w:p>
        </w:tc>
        <w:tc>
          <w:tcPr>
            <w:tcW w:w="992"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61.3</w:t>
            </w:r>
          </w:p>
        </w:tc>
        <w:tc>
          <w:tcPr>
            <w:tcW w:w="1134"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6.00</w:t>
            </w:r>
          </w:p>
        </w:tc>
        <w:tc>
          <w:tcPr>
            <w:tcW w:w="1418" w:type="dxa"/>
            <w:tcBorders>
              <w:right w:val="single" w:sz="4" w:space="0" w:color="595A5B" w:themeColor="text1"/>
            </w:tcBorders>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151.5</w:t>
            </w:r>
          </w:p>
        </w:tc>
        <w:tc>
          <w:tcPr>
            <w:tcW w:w="1134" w:type="dxa"/>
            <w:tcBorders>
              <w:left w:val="single" w:sz="4" w:space="0" w:color="595A5B" w:themeColor="text1"/>
            </w:tcBorders>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47.4</w:t>
            </w:r>
          </w:p>
        </w:tc>
        <w:tc>
          <w:tcPr>
            <w:tcW w:w="1417"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247.3</w:t>
            </w:r>
          </w:p>
        </w:tc>
      </w:tr>
      <w:tr w:rsidR="00CD045A" w:rsidRPr="002157A3" w:rsidTr="00997D7E">
        <w:trPr>
          <w:trHeight w:val="264"/>
        </w:trPr>
        <w:tc>
          <w:tcPr>
            <w:tcW w:w="4410" w:type="dxa"/>
            <w:shd w:val="clear" w:color="auto" w:fill="CAE7F3" w:themeFill="accent1" w:themeFillTint="33"/>
            <w:noWrap/>
            <w:vAlign w:val="bottom"/>
            <w:hideMark/>
          </w:tcPr>
          <w:p w:rsidR="00CD045A" w:rsidRPr="002157A3" w:rsidRDefault="00CD045A" w:rsidP="00DB555F">
            <w:pPr>
              <w:pStyle w:val="Tabletext"/>
              <w:ind w:left="333"/>
              <w:jc w:val="right"/>
              <w:rPr>
                <w:lang w:eastAsia="en-AU"/>
              </w:rPr>
            </w:pPr>
            <w:r w:rsidRPr="002157A3">
              <w:rPr>
                <w:lang w:eastAsia="en-AU"/>
              </w:rPr>
              <w:t xml:space="preserve">Medical and Other Health Care Services </w:t>
            </w:r>
          </w:p>
        </w:tc>
        <w:tc>
          <w:tcPr>
            <w:tcW w:w="1275" w:type="dxa"/>
            <w:gridSpan w:val="2"/>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4.02</w:t>
            </w:r>
          </w:p>
        </w:tc>
        <w:tc>
          <w:tcPr>
            <w:tcW w:w="971"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23.2</w:t>
            </w:r>
          </w:p>
        </w:tc>
        <w:tc>
          <w:tcPr>
            <w:tcW w:w="1297"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5.59</w:t>
            </w:r>
          </w:p>
        </w:tc>
        <w:tc>
          <w:tcPr>
            <w:tcW w:w="1134"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22.66</w:t>
            </w:r>
          </w:p>
        </w:tc>
        <w:tc>
          <w:tcPr>
            <w:tcW w:w="992"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74.2</w:t>
            </w:r>
          </w:p>
        </w:tc>
        <w:tc>
          <w:tcPr>
            <w:tcW w:w="1134"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2.14</w:t>
            </w:r>
          </w:p>
        </w:tc>
        <w:tc>
          <w:tcPr>
            <w:tcW w:w="1418" w:type="dxa"/>
            <w:tcBorders>
              <w:right w:val="single" w:sz="4" w:space="0" w:color="595A5B" w:themeColor="text1"/>
            </w:tcBorders>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135.6</w:t>
            </w:r>
          </w:p>
        </w:tc>
        <w:tc>
          <w:tcPr>
            <w:tcW w:w="1134" w:type="dxa"/>
            <w:tcBorders>
              <w:left w:val="single" w:sz="4" w:space="0" w:color="595A5B" w:themeColor="text1"/>
            </w:tcBorders>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63.7</w:t>
            </w:r>
          </w:p>
        </w:tc>
        <w:tc>
          <w:tcPr>
            <w:tcW w:w="1417"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155.6</w:t>
            </w:r>
          </w:p>
        </w:tc>
      </w:tr>
      <w:tr w:rsidR="00CD045A" w:rsidRPr="002157A3" w:rsidTr="00997D7E">
        <w:trPr>
          <w:trHeight w:val="264"/>
        </w:trPr>
        <w:tc>
          <w:tcPr>
            <w:tcW w:w="4410" w:type="dxa"/>
            <w:shd w:val="clear" w:color="auto" w:fill="CAE7F3" w:themeFill="accent1" w:themeFillTint="33"/>
            <w:noWrap/>
            <w:vAlign w:val="bottom"/>
            <w:hideMark/>
          </w:tcPr>
          <w:p w:rsidR="00CD045A" w:rsidRPr="002157A3" w:rsidRDefault="00CD045A" w:rsidP="00DB555F">
            <w:pPr>
              <w:pStyle w:val="Tabletext"/>
              <w:ind w:left="333"/>
              <w:jc w:val="right"/>
              <w:rPr>
                <w:lang w:eastAsia="en-AU"/>
              </w:rPr>
            </w:pPr>
            <w:r w:rsidRPr="002157A3">
              <w:rPr>
                <w:lang w:eastAsia="en-AU"/>
              </w:rPr>
              <w:t xml:space="preserve">Residential Care Services </w:t>
            </w:r>
          </w:p>
        </w:tc>
        <w:tc>
          <w:tcPr>
            <w:tcW w:w="1275" w:type="dxa"/>
            <w:gridSpan w:val="2"/>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1.06</w:t>
            </w:r>
          </w:p>
        </w:tc>
        <w:tc>
          <w:tcPr>
            <w:tcW w:w="971"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9.7</w:t>
            </w:r>
          </w:p>
        </w:tc>
        <w:tc>
          <w:tcPr>
            <w:tcW w:w="1297"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1.73</w:t>
            </w:r>
          </w:p>
        </w:tc>
        <w:tc>
          <w:tcPr>
            <w:tcW w:w="1134"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0.54</w:t>
            </w:r>
          </w:p>
        </w:tc>
        <w:tc>
          <w:tcPr>
            <w:tcW w:w="992"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73.6</w:t>
            </w:r>
          </w:p>
        </w:tc>
        <w:tc>
          <w:tcPr>
            <w:tcW w:w="1134"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24.20</w:t>
            </w:r>
          </w:p>
        </w:tc>
        <w:tc>
          <w:tcPr>
            <w:tcW w:w="1418" w:type="dxa"/>
            <w:tcBorders>
              <w:right w:val="single" w:sz="4" w:space="0" w:color="595A5B" w:themeColor="text1"/>
            </w:tcBorders>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148.3</w:t>
            </w:r>
          </w:p>
        </w:tc>
        <w:tc>
          <w:tcPr>
            <w:tcW w:w="1134" w:type="dxa"/>
            <w:tcBorders>
              <w:left w:val="single" w:sz="4" w:space="0" w:color="595A5B" w:themeColor="text1"/>
            </w:tcBorders>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54.1</w:t>
            </w:r>
          </w:p>
        </w:tc>
        <w:tc>
          <w:tcPr>
            <w:tcW w:w="1417"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471.5</w:t>
            </w:r>
          </w:p>
        </w:tc>
      </w:tr>
      <w:tr w:rsidR="00CD045A" w:rsidRPr="002157A3" w:rsidTr="00997D7E">
        <w:trPr>
          <w:trHeight w:val="264"/>
        </w:trPr>
        <w:tc>
          <w:tcPr>
            <w:tcW w:w="4410" w:type="dxa"/>
            <w:shd w:val="clear" w:color="auto" w:fill="CAE7F3" w:themeFill="accent1" w:themeFillTint="33"/>
            <w:noWrap/>
            <w:vAlign w:val="bottom"/>
            <w:hideMark/>
          </w:tcPr>
          <w:p w:rsidR="00CD045A" w:rsidRPr="002157A3" w:rsidRDefault="00CD045A" w:rsidP="00DB555F">
            <w:pPr>
              <w:pStyle w:val="Tabletext"/>
              <w:ind w:left="333"/>
              <w:jc w:val="right"/>
              <w:rPr>
                <w:lang w:eastAsia="en-AU"/>
              </w:rPr>
            </w:pPr>
            <w:r w:rsidRPr="002157A3">
              <w:rPr>
                <w:lang w:eastAsia="en-AU"/>
              </w:rPr>
              <w:t xml:space="preserve">Social Assistance Services </w:t>
            </w:r>
          </w:p>
        </w:tc>
        <w:tc>
          <w:tcPr>
            <w:tcW w:w="1275" w:type="dxa"/>
            <w:gridSpan w:val="2"/>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2.94</w:t>
            </w:r>
          </w:p>
        </w:tc>
        <w:tc>
          <w:tcPr>
            <w:tcW w:w="971"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19.1</w:t>
            </w:r>
          </w:p>
        </w:tc>
        <w:tc>
          <w:tcPr>
            <w:tcW w:w="1297"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4.56</w:t>
            </w:r>
          </w:p>
        </w:tc>
        <w:tc>
          <w:tcPr>
            <w:tcW w:w="1134"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3.43</w:t>
            </w:r>
          </w:p>
        </w:tc>
        <w:tc>
          <w:tcPr>
            <w:tcW w:w="992"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65.8</w:t>
            </w:r>
          </w:p>
        </w:tc>
        <w:tc>
          <w:tcPr>
            <w:tcW w:w="1134"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11.76</w:t>
            </w:r>
          </w:p>
        </w:tc>
        <w:tc>
          <w:tcPr>
            <w:tcW w:w="1418" w:type="dxa"/>
            <w:tcBorders>
              <w:right w:val="single" w:sz="4" w:space="0" w:color="595A5B" w:themeColor="text1"/>
            </w:tcBorders>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151.9</w:t>
            </w:r>
          </w:p>
        </w:tc>
        <w:tc>
          <w:tcPr>
            <w:tcW w:w="1134" w:type="dxa"/>
            <w:tcBorders>
              <w:left w:val="single" w:sz="4" w:space="0" w:color="595A5B" w:themeColor="text1"/>
            </w:tcBorders>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48.6</w:t>
            </w:r>
          </w:p>
        </w:tc>
        <w:tc>
          <w:tcPr>
            <w:tcW w:w="1417"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289.9</w:t>
            </w:r>
          </w:p>
        </w:tc>
      </w:tr>
      <w:tr w:rsidR="00CD045A" w:rsidRPr="002157A3" w:rsidTr="00997D7E">
        <w:trPr>
          <w:trHeight w:val="255"/>
        </w:trPr>
        <w:tc>
          <w:tcPr>
            <w:tcW w:w="4410"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 xml:space="preserve">ARTS AND RECREATION SERVICES </w:t>
            </w:r>
          </w:p>
        </w:tc>
        <w:tc>
          <w:tcPr>
            <w:tcW w:w="1275" w:type="dxa"/>
            <w:gridSpan w:val="2"/>
            <w:shd w:val="clear" w:color="auto" w:fill="CAE7F3" w:themeFill="accent1" w:themeFillTint="33"/>
            <w:noWrap/>
            <w:vAlign w:val="bottom"/>
            <w:hideMark/>
          </w:tcPr>
          <w:p w:rsidR="00CD045A" w:rsidRPr="002157A3" w:rsidRDefault="00CD045A" w:rsidP="00DB555F">
            <w:pPr>
              <w:pStyle w:val="Tabletext"/>
              <w:jc w:val="right"/>
              <w:rPr>
                <w:lang w:eastAsia="en-AU"/>
              </w:rPr>
            </w:pPr>
          </w:p>
        </w:tc>
        <w:tc>
          <w:tcPr>
            <w:tcW w:w="971" w:type="dxa"/>
            <w:shd w:val="clear" w:color="auto" w:fill="CAE7F3" w:themeFill="accent1" w:themeFillTint="33"/>
            <w:noWrap/>
            <w:vAlign w:val="bottom"/>
            <w:hideMark/>
          </w:tcPr>
          <w:p w:rsidR="00CD045A" w:rsidRPr="002157A3" w:rsidRDefault="00CD045A" w:rsidP="00DB555F">
            <w:pPr>
              <w:pStyle w:val="Tabletext"/>
              <w:jc w:val="right"/>
              <w:rPr>
                <w:lang w:eastAsia="en-AU"/>
              </w:rPr>
            </w:pPr>
          </w:p>
        </w:tc>
        <w:tc>
          <w:tcPr>
            <w:tcW w:w="1297" w:type="dxa"/>
            <w:shd w:val="clear" w:color="auto" w:fill="CAE7F3" w:themeFill="accent1" w:themeFillTint="33"/>
            <w:noWrap/>
            <w:vAlign w:val="bottom"/>
            <w:hideMark/>
          </w:tcPr>
          <w:p w:rsidR="00CD045A" w:rsidRPr="002157A3" w:rsidRDefault="00CD045A" w:rsidP="00DB555F">
            <w:pPr>
              <w:pStyle w:val="Tabletext"/>
              <w:jc w:val="right"/>
              <w:rPr>
                <w:lang w:eastAsia="en-AU"/>
              </w:rPr>
            </w:pPr>
          </w:p>
        </w:tc>
        <w:tc>
          <w:tcPr>
            <w:tcW w:w="1134" w:type="dxa"/>
            <w:shd w:val="clear" w:color="auto" w:fill="CAE7F3" w:themeFill="accent1" w:themeFillTint="33"/>
            <w:noWrap/>
            <w:vAlign w:val="bottom"/>
            <w:hideMark/>
          </w:tcPr>
          <w:p w:rsidR="00CD045A" w:rsidRPr="002157A3" w:rsidRDefault="00CD045A" w:rsidP="00DB555F">
            <w:pPr>
              <w:pStyle w:val="Tabletext"/>
              <w:jc w:val="right"/>
              <w:rPr>
                <w:lang w:eastAsia="en-AU"/>
              </w:rPr>
            </w:pPr>
          </w:p>
        </w:tc>
        <w:tc>
          <w:tcPr>
            <w:tcW w:w="992" w:type="dxa"/>
            <w:shd w:val="clear" w:color="auto" w:fill="CAE7F3" w:themeFill="accent1" w:themeFillTint="33"/>
            <w:noWrap/>
            <w:vAlign w:val="bottom"/>
            <w:hideMark/>
          </w:tcPr>
          <w:p w:rsidR="00CD045A" w:rsidRPr="002157A3" w:rsidRDefault="00CD045A" w:rsidP="00DB555F">
            <w:pPr>
              <w:pStyle w:val="Tabletext"/>
              <w:jc w:val="right"/>
              <w:rPr>
                <w:lang w:eastAsia="en-AU"/>
              </w:rPr>
            </w:pPr>
          </w:p>
        </w:tc>
        <w:tc>
          <w:tcPr>
            <w:tcW w:w="1134" w:type="dxa"/>
            <w:shd w:val="clear" w:color="auto" w:fill="CAE7F3" w:themeFill="accent1" w:themeFillTint="33"/>
            <w:noWrap/>
            <w:vAlign w:val="bottom"/>
            <w:hideMark/>
          </w:tcPr>
          <w:p w:rsidR="00CD045A" w:rsidRPr="002157A3" w:rsidRDefault="00CD045A" w:rsidP="00DB555F">
            <w:pPr>
              <w:pStyle w:val="Tabletext"/>
              <w:jc w:val="right"/>
              <w:rPr>
                <w:lang w:eastAsia="en-AU"/>
              </w:rPr>
            </w:pPr>
          </w:p>
        </w:tc>
        <w:tc>
          <w:tcPr>
            <w:tcW w:w="1418" w:type="dxa"/>
            <w:tcBorders>
              <w:right w:val="single" w:sz="4" w:space="0" w:color="595A5B" w:themeColor="text1"/>
            </w:tcBorders>
            <w:shd w:val="clear" w:color="auto" w:fill="CAE7F3" w:themeFill="accent1" w:themeFillTint="33"/>
            <w:noWrap/>
            <w:vAlign w:val="bottom"/>
            <w:hideMark/>
          </w:tcPr>
          <w:p w:rsidR="00CD045A" w:rsidRPr="002157A3" w:rsidRDefault="00CD045A" w:rsidP="00DB555F">
            <w:pPr>
              <w:pStyle w:val="Tabletext"/>
              <w:jc w:val="right"/>
              <w:rPr>
                <w:lang w:eastAsia="en-AU"/>
              </w:rPr>
            </w:pPr>
          </w:p>
        </w:tc>
        <w:tc>
          <w:tcPr>
            <w:tcW w:w="1134" w:type="dxa"/>
            <w:tcBorders>
              <w:left w:val="single" w:sz="4" w:space="0" w:color="595A5B" w:themeColor="text1"/>
            </w:tcBorders>
            <w:shd w:val="clear" w:color="auto" w:fill="CAE7F3" w:themeFill="accent1" w:themeFillTint="33"/>
            <w:noWrap/>
            <w:vAlign w:val="bottom"/>
            <w:hideMark/>
          </w:tcPr>
          <w:p w:rsidR="00CD045A" w:rsidRPr="002157A3" w:rsidRDefault="00CD045A" w:rsidP="00DB555F">
            <w:pPr>
              <w:pStyle w:val="Tabletext"/>
              <w:jc w:val="right"/>
              <w:rPr>
                <w:lang w:eastAsia="en-AU"/>
              </w:rPr>
            </w:pPr>
          </w:p>
        </w:tc>
        <w:tc>
          <w:tcPr>
            <w:tcW w:w="1417" w:type="dxa"/>
            <w:shd w:val="clear" w:color="auto" w:fill="CAE7F3" w:themeFill="accent1" w:themeFillTint="33"/>
            <w:noWrap/>
            <w:vAlign w:val="bottom"/>
            <w:hideMark/>
          </w:tcPr>
          <w:p w:rsidR="00CD045A" w:rsidRPr="002157A3" w:rsidRDefault="00CD045A" w:rsidP="00DB555F">
            <w:pPr>
              <w:pStyle w:val="Tabletext"/>
              <w:jc w:val="right"/>
              <w:rPr>
                <w:lang w:eastAsia="en-AU"/>
              </w:rPr>
            </w:pPr>
          </w:p>
        </w:tc>
      </w:tr>
      <w:tr w:rsidR="00CD045A" w:rsidRPr="002157A3" w:rsidTr="00997D7E">
        <w:trPr>
          <w:trHeight w:val="264"/>
        </w:trPr>
        <w:tc>
          <w:tcPr>
            <w:tcW w:w="4410" w:type="dxa"/>
            <w:shd w:val="clear" w:color="auto" w:fill="CAE7F3" w:themeFill="accent1" w:themeFillTint="33"/>
            <w:noWrap/>
            <w:vAlign w:val="bottom"/>
            <w:hideMark/>
          </w:tcPr>
          <w:p w:rsidR="00CD045A" w:rsidRPr="002157A3" w:rsidRDefault="00CD045A" w:rsidP="00DB555F">
            <w:pPr>
              <w:pStyle w:val="Tabletext"/>
              <w:ind w:left="333"/>
              <w:jc w:val="right"/>
              <w:rPr>
                <w:lang w:eastAsia="en-AU"/>
              </w:rPr>
            </w:pPr>
            <w:r w:rsidRPr="002157A3">
              <w:rPr>
                <w:lang w:eastAsia="en-AU"/>
              </w:rPr>
              <w:t xml:space="preserve">Heritage Activities </w:t>
            </w:r>
          </w:p>
        </w:tc>
        <w:tc>
          <w:tcPr>
            <w:tcW w:w="1275" w:type="dxa"/>
            <w:gridSpan w:val="2"/>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1.41</w:t>
            </w:r>
          </w:p>
        </w:tc>
        <w:tc>
          <w:tcPr>
            <w:tcW w:w="971"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11.7</w:t>
            </w:r>
          </w:p>
        </w:tc>
        <w:tc>
          <w:tcPr>
            <w:tcW w:w="1297"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2.08</w:t>
            </w:r>
          </w:p>
        </w:tc>
        <w:tc>
          <w:tcPr>
            <w:tcW w:w="1134"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5.84</w:t>
            </w:r>
          </w:p>
        </w:tc>
        <w:tc>
          <w:tcPr>
            <w:tcW w:w="992"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61.5</w:t>
            </w:r>
          </w:p>
        </w:tc>
        <w:tc>
          <w:tcPr>
            <w:tcW w:w="1134"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3.38</w:t>
            </w:r>
          </w:p>
        </w:tc>
        <w:tc>
          <w:tcPr>
            <w:tcW w:w="1418" w:type="dxa"/>
            <w:tcBorders>
              <w:right w:val="single" w:sz="4" w:space="0" w:color="595A5B" w:themeColor="text1"/>
            </w:tcBorders>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155.3</w:t>
            </w:r>
          </w:p>
        </w:tc>
        <w:tc>
          <w:tcPr>
            <w:tcW w:w="1134" w:type="dxa"/>
            <w:tcBorders>
              <w:left w:val="single" w:sz="4" w:space="0" w:color="595A5B" w:themeColor="text1"/>
            </w:tcBorders>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45.0</w:t>
            </w:r>
          </w:p>
        </w:tc>
        <w:tc>
          <w:tcPr>
            <w:tcW w:w="1417"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137.2</w:t>
            </w:r>
          </w:p>
        </w:tc>
      </w:tr>
      <w:tr w:rsidR="00CD045A" w:rsidRPr="002157A3" w:rsidTr="00997D7E">
        <w:trPr>
          <w:trHeight w:val="264"/>
        </w:trPr>
        <w:tc>
          <w:tcPr>
            <w:tcW w:w="4410" w:type="dxa"/>
            <w:shd w:val="clear" w:color="auto" w:fill="CAE7F3" w:themeFill="accent1" w:themeFillTint="33"/>
            <w:noWrap/>
            <w:vAlign w:val="bottom"/>
            <w:hideMark/>
          </w:tcPr>
          <w:p w:rsidR="00CD045A" w:rsidRPr="002157A3" w:rsidRDefault="00CD045A" w:rsidP="00DB555F">
            <w:pPr>
              <w:pStyle w:val="Tabletext"/>
              <w:ind w:left="333"/>
              <w:jc w:val="right"/>
              <w:rPr>
                <w:lang w:eastAsia="en-AU"/>
              </w:rPr>
            </w:pPr>
            <w:r w:rsidRPr="002157A3">
              <w:rPr>
                <w:lang w:eastAsia="en-AU"/>
              </w:rPr>
              <w:t xml:space="preserve">Creative and Performing Arts Activities </w:t>
            </w:r>
          </w:p>
        </w:tc>
        <w:tc>
          <w:tcPr>
            <w:tcW w:w="1275" w:type="dxa"/>
            <w:gridSpan w:val="2"/>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4.71</w:t>
            </w:r>
          </w:p>
        </w:tc>
        <w:tc>
          <w:tcPr>
            <w:tcW w:w="971"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25.8</w:t>
            </w:r>
          </w:p>
        </w:tc>
        <w:tc>
          <w:tcPr>
            <w:tcW w:w="1297"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3.60</w:t>
            </w:r>
          </w:p>
        </w:tc>
        <w:tc>
          <w:tcPr>
            <w:tcW w:w="1134"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40.15</w:t>
            </w:r>
          </w:p>
        </w:tc>
        <w:tc>
          <w:tcPr>
            <w:tcW w:w="992"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45.0</w:t>
            </w:r>
          </w:p>
        </w:tc>
        <w:tc>
          <w:tcPr>
            <w:tcW w:w="1134"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1.71</w:t>
            </w:r>
          </w:p>
        </w:tc>
        <w:tc>
          <w:tcPr>
            <w:tcW w:w="1418" w:type="dxa"/>
            <w:tcBorders>
              <w:right w:val="single" w:sz="4" w:space="0" w:color="595A5B" w:themeColor="text1"/>
            </w:tcBorders>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75.4</w:t>
            </w:r>
          </w:p>
        </w:tc>
        <w:tc>
          <w:tcPr>
            <w:tcW w:w="1134" w:type="dxa"/>
            <w:tcBorders>
              <w:left w:val="single" w:sz="4" w:space="0" w:color="595A5B" w:themeColor="text1"/>
            </w:tcBorders>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33.6</w:t>
            </w:r>
          </w:p>
        </w:tc>
        <w:tc>
          <w:tcPr>
            <w:tcW w:w="1417"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94.6</w:t>
            </w:r>
          </w:p>
        </w:tc>
      </w:tr>
      <w:tr w:rsidR="00CD045A" w:rsidRPr="002157A3" w:rsidTr="00997D7E">
        <w:trPr>
          <w:trHeight w:val="264"/>
        </w:trPr>
        <w:tc>
          <w:tcPr>
            <w:tcW w:w="4410" w:type="dxa"/>
            <w:shd w:val="clear" w:color="auto" w:fill="CAE7F3" w:themeFill="accent1" w:themeFillTint="33"/>
            <w:noWrap/>
            <w:vAlign w:val="bottom"/>
            <w:hideMark/>
          </w:tcPr>
          <w:p w:rsidR="00CD045A" w:rsidRPr="002157A3" w:rsidRDefault="00CD045A" w:rsidP="00DB555F">
            <w:pPr>
              <w:pStyle w:val="Tabletext"/>
              <w:ind w:left="333"/>
              <w:jc w:val="right"/>
              <w:rPr>
                <w:lang w:eastAsia="en-AU"/>
              </w:rPr>
            </w:pPr>
            <w:r w:rsidRPr="002157A3">
              <w:rPr>
                <w:lang w:eastAsia="en-AU"/>
              </w:rPr>
              <w:t xml:space="preserve">Sport and Recreation Activities </w:t>
            </w:r>
          </w:p>
        </w:tc>
        <w:tc>
          <w:tcPr>
            <w:tcW w:w="1275" w:type="dxa"/>
            <w:gridSpan w:val="2"/>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3.35</w:t>
            </w:r>
          </w:p>
        </w:tc>
        <w:tc>
          <w:tcPr>
            <w:tcW w:w="971"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21.3</w:t>
            </w:r>
          </w:p>
        </w:tc>
        <w:tc>
          <w:tcPr>
            <w:tcW w:w="1297"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3.88</w:t>
            </w:r>
          </w:p>
        </w:tc>
        <w:tc>
          <w:tcPr>
            <w:tcW w:w="1134"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7.54</w:t>
            </w:r>
          </w:p>
        </w:tc>
        <w:tc>
          <w:tcPr>
            <w:tcW w:w="992"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61.7</w:t>
            </w:r>
          </w:p>
        </w:tc>
        <w:tc>
          <w:tcPr>
            <w:tcW w:w="1134"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5.76</w:t>
            </w:r>
          </w:p>
        </w:tc>
        <w:tc>
          <w:tcPr>
            <w:tcW w:w="1418" w:type="dxa"/>
            <w:tcBorders>
              <w:right w:val="single" w:sz="4" w:space="0" w:color="595A5B" w:themeColor="text1"/>
            </w:tcBorders>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113.9</w:t>
            </w:r>
          </w:p>
        </w:tc>
        <w:tc>
          <w:tcPr>
            <w:tcW w:w="1134" w:type="dxa"/>
            <w:tcBorders>
              <w:left w:val="single" w:sz="4" w:space="0" w:color="595A5B" w:themeColor="text1"/>
            </w:tcBorders>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45.5</w:t>
            </w:r>
          </w:p>
        </w:tc>
        <w:tc>
          <w:tcPr>
            <w:tcW w:w="1417"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156.6</w:t>
            </w:r>
          </w:p>
        </w:tc>
      </w:tr>
      <w:tr w:rsidR="00CD045A" w:rsidRPr="002157A3" w:rsidTr="00997D7E">
        <w:trPr>
          <w:trHeight w:val="264"/>
        </w:trPr>
        <w:tc>
          <w:tcPr>
            <w:tcW w:w="4410" w:type="dxa"/>
            <w:shd w:val="clear" w:color="auto" w:fill="CAE7F3" w:themeFill="accent1" w:themeFillTint="33"/>
            <w:noWrap/>
            <w:vAlign w:val="bottom"/>
            <w:hideMark/>
          </w:tcPr>
          <w:p w:rsidR="00CD045A" w:rsidRPr="002157A3" w:rsidRDefault="00CD045A" w:rsidP="00DB555F">
            <w:pPr>
              <w:pStyle w:val="Tabletext"/>
              <w:ind w:left="333"/>
              <w:jc w:val="right"/>
              <w:rPr>
                <w:lang w:eastAsia="en-AU"/>
              </w:rPr>
            </w:pPr>
            <w:r w:rsidRPr="002157A3">
              <w:rPr>
                <w:lang w:eastAsia="en-AU"/>
              </w:rPr>
              <w:t xml:space="preserve">Gambling Activities </w:t>
            </w:r>
          </w:p>
        </w:tc>
        <w:tc>
          <w:tcPr>
            <w:tcW w:w="1275" w:type="dxa"/>
            <w:gridSpan w:val="2"/>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0.99</w:t>
            </w:r>
          </w:p>
        </w:tc>
        <w:tc>
          <w:tcPr>
            <w:tcW w:w="971"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11.8</w:t>
            </w:r>
          </w:p>
        </w:tc>
        <w:tc>
          <w:tcPr>
            <w:tcW w:w="1297"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1.30</w:t>
            </w:r>
          </w:p>
        </w:tc>
        <w:tc>
          <w:tcPr>
            <w:tcW w:w="1134"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3.05</w:t>
            </w:r>
          </w:p>
        </w:tc>
        <w:tc>
          <w:tcPr>
            <w:tcW w:w="992"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65.5</w:t>
            </w:r>
          </w:p>
        </w:tc>
        <w:tc>
          <w:tcPr>
            <w:tcW w:w="1134"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4.28</w:t>
            </w:r>
          </w:p>
        </w:tc>
        <w:tc>
          <w:tcPr>
            <w:tcW w:w="1418" w:type="dxa"/>
            <w:tcBorders>
              <w:right w:val="single" w:sz="4" w:space="0" w:color="595A5B" w:themeColor="text1"/>
            </w:tcBorders>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125.1</w:t>
            </w:r>
          </w:p>
        </w:tc>
        <w:tc>
          <w:tcPr>
            <w:tcW w:w="1134" w:type="dxa"/>
            <w:tcBorders>
              <w:left w:val="single" w:sz="4" w:space="0" w:color="595A5B" w:themeColor="text1"/>
            </w:tcBorders>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48.2</w:t>
            </w:r>
          </w:p>
        </w:tc>
        <w:tc>
          <w:tcPr>
            <w:tcW w:w="1417"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135.0</w:t>
            </w:r>
          </w:p>
        </w:tc>
      </w:tr>
      <w:tr w:rsidR="00CD045A" w:rsidRPr="0012621E" w:rsidTr="00997D7E">
        <w:trPr>
          <w:trHeight w:val="255"/>
        </w:trPr>
        <w:tc>
          <w:tcPr>
            <w:tcW w:w="4410" w:type="dxa"/>
            <w:shd w:val="clear" w:color="auto" w:fill="CAE7F3" w:themeFill="accent1" w:themeFillTint="33"/>
            <w:noWrap/>
            <w:vAlign w:val="bottom"/>
            <w:hideMark/>
          </w:tcPr>
          <w:p w:rsidR="00CD045A" w:rsidRPr="0012621E" w:rsidRDefault="00CD045A" w:rsidP="00DB555F">
            <w:pPr>
              <w:pStyle w:val="Tabletext"/>
              <w:jc w:val="right"/>
              <w:rPr>
                <w:i/>
                <w:lang w:eastAsia="en-AU"/>
              </w:rPr>
            </w:pPr>
            <w:r w:rsidRPr="0012621E">
              <w:rPr>
                <w:i/>
                <w:lang w:eastAsia="en-AU"/>
              </w:rPr>
              <w:t xml:space="preserve">OTHER SERVICES </w:t>
            </w:r>
          </w:p>
        </w:tc>
        <w:tc>
          <w:tcPr>
            <w:tcW w:w="1275" w:type="dxa"/>
            <w:gridSpan w:val="2"/>
            <w:shd w:val="clear" w:color="auto" w:fill="CAE7F3" w:themeFill="accent1" w:themeFillTint="33"/>
            <w:noWrap/>
            <w:vAlign w:val="bottom"/>
            <w:hideMark/>
          </w:tcPr>
          <w:p w:rsidR="00CD045A" w:rsidRPr="0012621E" w:rsidRDefault="00CD045A" w:rsidP="00DB555F">
            <w:pPr>
              <w:pStyle w:val="Tabletext"/>
              <w:jc w:val="right"/>
              <w:rPr>
                <w:i/>
                <w:lang w:eastAsia="en-AU"/>
              </w:rPr>
            </w:pPr>
          </w:p>
        </w:tc>
        <w:tc>
          <w:tcPr>
            <w:tcW w:w="971" w:type="dxa"/>
            <w:shd w:val="clear" w:color="auto" w:fill="CAE7F3" w:themeFill="accent1" w:themeFillTint="33"/>
            <w:noWrap/>
            <w:vAlign w:val="bottom"/>
            <w:hideMark/>
          </w:tcPr>
          <w:p w:rsidR="00CD045A" w:rsidRPr="0012621E" w:rsidRDefault="00CD045A" w:rsidP="00DB555F">
            <w:pPr>
              <w:pStyle w:val="Tabletext"/>
              <w:jc w:val="right"/>
              <w:rPr>
                <w:i/>
                <w:lang w:eastAsia="en-AU"/>
              </w:rPr>
            </w:pPr>
          </w:p>
        </w:tc>
        <w:tc>
          <w:tcPr>
            <w:tcW w:w="1297" w:type="dxa"/>
            <w:shd w:val="clear" w:color="auto" w:fill="CAE7F3" w:themeFill="accent1" w:themeFillTint="33"/>
            <w:noWrap/>
            <w:vAlign w:val="bottom"/>
            <w:hideMark/>
          </w:tcPr>
          <w:p w:rsidR="00CD045A" w:rsidRPr="0012621E" w:rsidRDefault="00CD045A" w:rsidP="00DB555F">
            <w:pPr>
              <w:pStyle w:val="Tabletext"/>
              <w:jc w:val="right"/>
              <w:rPr>
                <w:i/>
                <w:lang w:eastAsia="en-AU"/>
              </w:rPr>
            </w:pPr>
          </w:p>
        </w:tc>
        <w:tc>
          <w:tcPr>
            <w:tcW w:w="1134" w:type="dxa"/>
            <w:shd w:val="clear" w:color="auto" w:fill="CAE7F3" w:themeFill="accent1" w:themeFillTint="33"/>
            <w:noWrap/>
            <w:vAlign w:val="bottom"/>
            <w:hideMark/>
          </w:tcPr>
          <w:p w:rsidR="00CD045A" w:rsidRPr="0012621E" w:rsidRDefault="00CD045A" w:rsidP="00DB555F">
            <w:pPr>
              <w:pStyle w:val="Tabletext"/>
              <w:jc w:val="right"/>
              <w:rPr>
                <w:i/>
                <w:lang w:eastAsia="en-AU"/>
              </w:rPr>
            </w:pPr>
          </w:p>
        </w:tc>
        <w:tc>
          <w:tcPr>
            <w:tcW w:w="992" w:type="dxa"/>
            <w:shd w:val="clear" w:color="auto" w:fill="CAE7F3" w:themeFill="accent1" w:themeFillTint="33"/>
            <w:noWrap/>
            <w:vAlign w:val="bottom"/>
            <w:hideMark/>
          </w:tcPr>
          <w:p w:rsidR="00CD045A" w:rsidRPr="0012621E" w:rsidRDefault="00CD045A" w:rsidP="00DB555F">
            <w:pPr>
              <w:pStyle w:val="Tabletext"/>
              <w:jc w:val="right"/>
              <w:rPr>
                <w:i/>
                <w:lang w:eastAsia="en-AU"/>
              </w:rPr>
            </w:pPr>
          </w:p>
        </w:tc>
        <w:tc>
          <w:tcPr>
            <w:tcW w:w="1134" w:type="dxa"/>
            <w:shd w:val="clear" w:color="auto" w:fill="CAE7F3" w:themeFill="accent1" w:themeFillTint="33"/>
            <w:noWrap/>
            <w:vAlign w:val="bottom"/>
            <w:hideMark/>
          </w:tcPr>
          <w:p w:rsidR="00CD045A" w:rsidRPr="0012621E" w:rsidRDefault="00CD045A" w:rsidP="00DB555F">
            <w:pPr>
              <w:pStyle w:val="Tabletext"/>
              <w:jc w:val="right"/>
              <w:rPr>
                <w:i/>
                <w:lang w:eastAsia="en-AU"/>
              </w:rPr>
            </w:pPr>
          </w:p>
        </w:tc>
        <w:tc>
          <w:tcPr>
            <w:tcW w:w="1418" w:type="dxa"/>
            <w:tcBorders>
              <w:right w:val="single" w:sz="4" w:space="0" w:color="595A5B" w:themeColor="text1"/>
            </w:tcBorders>
            <w:shd w:val="clear" w:color="auto" w:fill="CAE7F3" w:themeFill="accent1" w:themeFillTint="33"/>
            <w:noWrap/>
            <w:vAlign w:val="bottom"/>
            <w:hideMark/>
          </w:tcPr>
          <w:p w:rsidR="00CD045A" w:rsidRPr="0012621E" w:rsidRDefault="00CD045A" w:rsidP="00DB555F">
            <w:pPr>
              <w:pStyle w:val="Tabletext"/>
              <w:jc w:val="right"/>
              <w:rPr>
                <w:i/>
                <w:lang w:eastAsia="en-AU"/>
              </w:rPr>
            </w:pPr>
          </w:p>
        </w:tc>
        <w:tc>
          <w:tcPr>
            <w:tcW w:w="1134" w:type="dxa"/>
            <w:tcBorders>
              <w:left w:val="single" w:sz="4" w:space="0" w:color="595A5B" w:themeColor="text1"/>
            </w:tcBorders>
            <w:shd w:val="clear" w:color="auto" w:fill="CAE7F3" w:themeFill="accent1" w:themeFillTint="33"/>
            <w:noWrap/>
            <w:vAlign w:val="bottom"/>
            <w:hideMark/>
          </w:tcPr>
          <w:p w:rsidR="00CD045A" w:rsidRPr="0012621E" w:rsidRDefault="00CD045A" w:rsidP="00DB555F">
            <w:pPr>
              <w:pStyle w:val="Tabletext"/>
              <w:jc w:val="right"/>
              <w:rPr>
                <w:i/>
                <w:lang w:eastAsia="en-AU"/>
              </w:rPr>
            </w:pPr>
          </w:p>
        </w:tc>
        <w:tc>
          <w:tcPr>
            <w:tcW w:w="1417" w:type="dxa"/>
            <w:shd w:val="clear" w:color="auto" w:fill="CAE7F3" w:themeFill="accent1" w:themeFillTint="33"/>
            <w:noWrap/>
            <w:vAlign w:val="bottom"/>
            <w:hideMark/>
          </w:tcPr>
          <w:p w:rsidR="00CD045A" w:rsidRPr="0012621E" w:rsidRDefault="00CD045A" w:rsidP="00DB555F">
            <w:pPr>
              <w:pStyle w:val="Tabletext"/>
              <w:jc w:val="right"/>
              <w:rPr>
                <w:i/>
                <w:lang w:eastAsia="en-AU"/>
              </w:rPr>
            </w:pPr>
          </w:p>
        </w:tc>
      </w:tr>
      <w:tr w:rsidR="00CD045A" w:rsidRPr="002157A3" w:rsidTr="00997D7E">
        <w:trPr>
          <w:trHeight w:val="264"/>
        </w:trPr>
        <w:tc>
          <w:tcPr>
            <w:tcW w:w="4410" w:type="dxa"/>
            <w:shd w:val="clear" w:color="auto" w:fill="CAE7F3" w:themeFill="accent1" w:themeFillTint="33"/>
            <w:noWrap/>
            <w:vAlign w:val="bottom"/>
            <w:hideMark/>
          </w:tcPr>
          <w:p w:rsidR="00CD045A" w:rsidRPr="002157A3" w:rsidRDefault="00CD045A" w:rsidP="00DB555F">
            <w:pPr>
              <w:pStyle w:val="Tabletext"/>
              <w:ind w:left="333"/>
              <w:jc w:val="right"/>
              <w:rPr>
                <w:lang w:eastAsia="en-AU"/>
              </w:rPr>
            </w:pPr>
            <w:r w:rsidRPr="002157A3">
              <w:rPr>
                <w:lang w:eastAsia="en-AU"/>
              </w:rPr>
              <w:t xml:space="preserve">Repair and Maintenance </w:t>
            </w:r>
          </w:p>
        </w:tc>
        <w:tc>
          <w:tcPr>
            <w:tcW w:w="1275" w:type="dxa"/>
            <w:gridSpan w:val="2"/>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5.54</w:t>
            </w:r>
          </w:p>
        </w:tc>
        <w:tc>
          <w:tcPr>
            <w:tcW w:w="971"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28.9</w:t>
            </w:r>
          </w:p>
        </w:tc>
        <w:tc>
          <w:tcPr>
            <w:tcW w:w="1297"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6.20</w:t>
            </w:r>
          </w:p>
        </w:tc>
        <w:tc>
          <w:tcPr>
            <w:tcW w:w="1134"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29.16</w:t>
            </w:r>
          </w:p>
        </w:tc>
        <w:tc>
          <w:tcPr>
            <w:tcW w:w="992"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64.8</w:t>
            </w:r>
          </w:p>
        </w:tc>
        <w:tc>
          <w:tcPr>
            <w:tcW w:w="1134"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2.34</w:t>
            </w:r>
          </w:p>
        </w:tc>
        <w:tc>
          <w:tcPr>
            <w:tcW w:w="1418" w:type="dxa"/>
            <w:tcBorders>
              <w:right w:val="single" w:sz="4" w:space="0" w:color="595A5B" w:themeColor="text1"/>
            </w:tcBorders>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108.9</w:t>
            </w:r>
          </w:p>
        </w:tc>
        <w:tc>
          <w:tcPr>
            <w:tcW w:w="1134" w:type="dxa"/>
            <w:tcBorders>
              <w:left w:val="single" w:sz="4" w:space="0" w:color="595A5B" w:themeColor="text1"/>
            </w:tcBorders>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51.2</w:t>
            </w:r>
          </w:p>
        </w:tc>
        <w:tc>
          <w:tcPr>
            <w:tcW w:w="1417"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119.0</w:t>
            </w:r>
          </w:p>
        </w:tc>
      </w:tr>
      <w:tr w:rsidR="00CD045A" w:rsidRPr="002157A3" w:rsidTr="00997D7E">
        <w:trPr>
          <w:trHeight w:val="264"/>
        </w:trPr>
        <w:tc>
          <w:tcPr>
            <w:tcW w:w="4410" w:type="dxa"/>
            <w:shd w:val="clear" w:color="auto" w:fill="CAE7F3" w:themeFill="accent1" w:themeFillTint="33"/>
            <w:noWrap/>
            <w:vAlign w:val="bottom"/>
            <w:hideMark/>
          </w:tcPr>
          <w:p w:rsidR="00CD045A" w:rsidRPr="002157A3" w:rsidRDefault="00CD045A" w:rsidP="00DB555F">
            <w:pPr>
              <w:pStyle w:val="Tabletext"/>
              <w:ind w:left="333"/>
              <w:jc w:val="right"/>
              <w:rPr>
                <w:lang w:eastAsia="en-AU"/>
              </w:rPr>
            </w:pPr>
            <w:r w:rsidRPr="002157A3">
              <w:rPr>
                <w:lang w:eastAsia="en-AU"/>
              </w:rPr>
              <w:t xml:space="preserve">Personal and Other Services </w:t>
            </w:r>
          </w:p>
        </w:tc>
        <w:tc>
          <w:tcPr>
            <w:tcW w:w="1275" w:type="dxa"/>
            <w:gridSpan w:val="2"/>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4.49</w:t>
            </w:r>
          </w:p>
        </w:tc>
        <w:tc>
          <w:tcPr>
            <w:tcW w:w="971"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25.9</w:t>
            </w:r>
          </w:p>
        </w:tc>
        <w:tc>
          <w:tcPr>
            <w:tcW w:w="1297"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4.59</w:t>
            </w:r>
          </w:p>
        </w:tc>
        <w:tc>
          <w:tcPr>
            <w:tcW w:w="1134"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17.74</w:t>
            </w:r>
          </w:p>
        </w:tc>
        <w:tc>
          <w:tcPr>
            <w:tcW w:w="992"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60.0</w:t>
            </w:r>
          </w:p>
        </w:tc>
        <w:tc>
          <w:tcPr>
            <w:tcW w:w="1134"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3.50</w:t>
            </w:r>
          </w:p>
        </w:tc>
        <w:tc>
          <w:tcPr>
            <w:tcW w:w="1418" w:type="dxa"/>
            <w:tcBorders>
              <w:right w:val="single" w:sz="4" w:space="0" w:color="595A5B" w:themeColor="text1"/>
            </w:tcBorders>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100.1</w:t>
            </w:r>
          </w:p>
        </w:tc>
        <w:tc>
          <w:tcPr>
            <w:tcW w:w="1134" w:type="dxa"/>
            <w:tcBorders>
              <w:left w:val="single" w:sz="4" w:space="0" w:color="595A5B" w:themeColor="text1"/>
            </w:tcBorders>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44.8</w:t>
            </w:r>
          </w:p>
        </w:tc>
        <w:tc>
          <w:tcPr>
            <w:tcW w:w="1417" w:type="dxa"/>
            <w:shd w:val="clear" w:color="auto" w:fill="CAE7F3" w:themeFill="accent1" w:themeFillTint="33"/>
            <w:noWrap/>
            <w:vAlign w:val="bottom"/>
            <w:hideMark/>
          </w:tcPr>
          <w:p w:rsidR="00CD045A" w:rsidRPr="002157A3" w:rsidRDefault="00CD045A" w:rsidP="00DB555F">
            <w:pPr>
              <w:pStyle w:val="Tabletext"/>
              <w:jc w:val="right"/>
              <w:rPr>
                <w:lang w:eastAsia="en-AU"/>
              </w:rPr>
            </w:pPr>
            <w:r w:rsidRPr="002157A3">
              <w:rPr>
                <w:lang w:eastAsia="en-AU"/>
              </w:rPr>
              <w:t>106.0</w:t>
            </w:r>
          </w:p>
        </w:tc>
      </w:tr>
    </w:tbl>
    <w:p w:rsidR="00CD045A" w:rsidRPr="00CD045A" w:rsidRDefault="00CD045A" w:rsidP="00CD045A">
      <w:pPr>
        <w:pStyle w:val="PlaceholderWide"/>
      </w:pPr>
    </w:p>
    <w:p w:rsidR="00CD045A" w:rsidRPr="00A30089" w:rsidRDefault="00CD045A" w:rsidP="00DB555F">
      <w:pPr>
        <w:pStyle w:val="NoteWide"/>
      </w:pPr>
      <w:r w:rsidRPr="00A30089">
        <w:t>Note</w:t>
      </w:r>
      <w:r>
        <w:t xml:space="preserve">s: </w:t>
      </w:r>
      <w:r w:rsidRPr="002157A3">
        <w:t>Subdivisions 6, 7, 17, 26, 27, 47, 56, 60, 75, 76, and 96 are excluded due to the small number of observations.</w:t>
      </w:r>
      <w:r>
        <w:t xml:space="preserve"> Data points are averages of multiple cohorts within the time period. See methodology notes for start-ups of all sizes. </w:t>
      </w:r>
      <w:r w:rsidR="00771851">
        <w:t xml:space="preserve">For the purposes of OECD comparisons headcount measures are used rather than Full Time Equivalents. </w:t>
      </w:r>
      <w:r>
        <w:t>The net job creation by micro-start-ups shows the ratio of final employment by survivors at time t+5 over total employment of entrants at time t.</w:t>
      </w:r>
    </w:p>
    <w:p w:rsidR="00CD045A" w:rsidRDefault="00CD045A" w:rsidP="00DB555F">
      <w:pPr>
        <w:pStyle w:val="SourceWide"/>
      </w:pPr>
      <w:r>
        <w:t xml:space="preserve">Source: </w:t>
      </w:r>
      <w:r w:rsidRPr="00683EED">
        <w:t xml:space="preserve">ABS (2015) </w:t>
      </w:r>
      <w:r>
        <w:t>Expanded</w:t>
      </w:r>
      <w:r w:rsidRPr="00683EED">
        <w:t xml:space="preserve"> Analytical </w:t>
      </w:r>
      <w:r>
        <w:t xml:space="preserve">Business </w:t>
      </w:r>
      <w:r w:rsidRPr="00683EED">
        <w:t>Longitudinal Database</w:t>
      </w:r>
      <w:r>
        <w:t xml:space="preserve"> 2001–02 to 2012–13</w:t>
      </w:r>
    </w:p>
    <w:p w:rsidR="00CD045A" w:rsidRDefault="00CD045A" w:rsidP="00CD045A">
      <w:pPr>
        <w:pStyle w:val="BodyText"/>
      </w:pPr>
    </w:p>
    <w:p w:rsidR="00CD045A" w:rsidRDefault="00CD045A" w:rsidP="00CD045A">
      <w:pPr>
        <w:pStyle w:val="BodyText"/>
      </w:pPr>
    </w:p>
    <w:p w:rsidR="00CD045A" w:rsidRDefault="00CD045A" w:rsidP="00CD045A">
      <w:pPr>
        <w:pStyle w:val="BodyText"/>
      </w:pPr>
    </w:p>
    <w:p w:rsidR="00CD045A" w:rsidRPr="00CD045A" w:rsidRDefault="00CD045A" w:rsidP="00CD045A">
      <w:pPr>
        <w:pStyle w:val="BodyText"/>
      </w:pPr>
    </w:p>
    <w:p w:rsidR="00CD045A" w:rsidRPr="000618FB" w:rsidRDefault="00CD045A" w:rsidP="00DB555F">
      <w:pPr>
        <w:pStyle w:val="CaptionWide"/>
      </w:pPr>
      <w:r w:rsidRPr="000618FB">
        <w:t xml:space="preserve">Table </w:t>
      </w:r>
      <w:r w:rsidR="00E76CB0">
        <w:t>B</w:t>
      </w:r>
      <w:r>
        <w:t>4: Median micro-start-up sales, profit and expenditure on intermediates by age, five year employment growth performance and industry, 2006</w:t>
      </w:r>
      <w:r w:rsidR="00655A02">
        <w:t>–</w:t>
      </w:r>
      <w:r>
        <w:t>2011</w:t>
      </w:r>
    </w:p>
    <w:tbl>
      <w:tblPr>
        <w:tblW w:w="14127" w:type="dxa"/>
        <w:tblInd w:w="97" w:type="dxa"/>
        <w:tblLook w:val="04A0" w:firstRow="1" w:lastRow="0" w:firstColumn="1" w:lastColumn="0" w:noHBand="0" w:noVBand="1"/>
      </w:tblPr>
      <w:tblGrid>
        <w:gridCol w:w="3630"/>
        <w:gridCol w:w="1217"/>
        <w:gridCol w:w="755"/>
        <w:gridCol w:w="756"/>
        <w:gridCol w:w="675"/>
        <w:gridCol w:w="1258"/>
        <w:gridCol w:w="675"/>
        <w:gridCol w:w="756"/>
        <w:gridCol w:w="838"/>
        <w:gridCol w:w="1217"/>
        <w:gridCol w:w="756"/>
        <w:gridCol w:w="838"/>
        <w:gridCol w:w="756"/>
      </w:tblGrid>
      <w:tr w:rsidR="00CD045A" w:rsidRPr="006131B9" w:rsidTr="00997D7E">
        <w:trPr>
          <w:trHeight w:val="396"/>
        </w:trPr>
        <w:tc>
          <w:tcPr>
            <w:tcW w:w="3630" w:type="dxa"/>
            <w:tcBorders>
              <w:top w:val="nil"/>
              <w:left w:val="nil"/>
              <w:bottom w:val="nil"/>
              <w:right w:val="nil"/>
            </w:tcBorders>
            <w:shd w:val="clear" w:color="auto" w:fill="22789A" w:themeFill="accent1"/>
            <w:noWrap/>
            <w:vAlign w:val="bottom"/>
            <w:hideMark/>
          </w:tcPr>
          <w:p w:rsidR="00CD045A" w:rsidRPr="00885151" w:rsidRDefault="00CD045A" w:rsidP="00DB555F">
            <w:pPr>
              <w:pStyle w:val="Tabletext"/>
              <w:rPr>
                <w:i/>
                <w:color w:val="FFFFFF" w:themeColor="background1"/>
                <w:lang w:eastAsia="en-AU"/>
              </w:rPr>
            </w:pPr>
          </w:p>
        </w:tc>
        <w:tc>
          <w:tcPr>
            <w:tcW w:w="3403" w:type="dxa"/>
            <w:gridSpan w:val="4"/>
            <w:tcBorders>
              <w:top w:val="nil"/>
              <w:left w:val="nil"/>
              <w:bottom w:val="nil"/>
              <w:right w:val="single" w:sz="4" w:space="0" w:color="595A5B" w:themeColor="text1"/>
            </w:tcBorders>
            <w:shd w:val="clear" w:color="auto" w:fill="22789A" w:themeFill="accent1"/>
            <w:noWrap/>
            <w:vAlign w:val="bottom"/>
            <w:hideMark/>
          </w:tcPr>
          <w:p w:rsidR="00CD045A" w:rsidRPr="004619D1" w:rsidRDefault="00CD045A" w:rsidP="00DB555F">
            <w:pPr>
              <w:pStyle w:val="Tabletext"/>
              <w:jc w:val="center"/>
              <w:rPr>
                <w:b/>
                <w:i/>
                <w:color w:val="FFFFFF" w:themeColor="background1"/>
                <w:lang w:eastAsia="en-AU"/>
              </w:rPr>
            </w:pPr>
            <w:r w:rsidRPr="004619D1">
              <w:rPr>
                <w:b/>
                <w:i/>
                <w:color w:val="FFFFFF" w:themeColor="background1"/>
                <w:lang w:eastAsia="en-AU"/>
              </w:rPr>
              <w:t>Sales, $m</w:t>
            </w:r>
          </w:p>
        </w:tc>
        <w:tc>
          <w:tcPr>
            <w:tcW w:w="3527" w:type="dxa"/>
            <w:gridSpan w:val="4"/>
            <w:tcBorders>
              <w:top w:val="nil"/>
              <w:left w:val="single" w:sz="4" w:space="0" w:color="595A5B" w:themeColor="text1"/>
              <w:bottom w:val="nil"/>
              <w:right w:val="single" w:sz="4" w:space="0" w:color="595A5B" w:themeColor="text1"/>
            </w:tcBorders>
            <w:shd w:val="clear" w:color="auto" w:fill="22789A" w:themeFill="accent1"/>
            <w:noWrap/>
            <w:vAlign w:val="bottom"/>
            <w:hideMark/>
          </w:tcPr>
          <w:p w:rsidR="00CD045A" w:rsidRPr="004619D1" w:rsidRDefault="00CD045A" w:rsidP="00DB555F">
            <w:pPr>
              <w:pStyle w:val="Tabletext"/>
              <w:jc w:val="center"/>
              <w:rPr>
                <w:b/>
                <w:i/>
                <w:color w:val="FFFFFF" w:themeColor="background1"/>
                <w:lang w:eastAsia="en-AU"/>
              </w:rPr>
            </w:pPr>
            <w:r w:rsidRPr="004619D1">
              <w:rPr>
                <w:b/>
                <w:i/>
                <w:color w:val="FFFFFF" w:themeColor="background1"/>
                <w:lang w:eastAsia="en-AU"/>
              </w:rPr>
              <w:t>Gross operating profit, $000s</w:t>
            </w:r>
          </w:p>
        </w:tc>
        <w:tc>
          <w:tcPr>
            <w:tcW w:w="3567" w:type="dxa"/>
            <w:gridSpan w:val="4"/>
            <w:tcBorders>
              <w:top w:val="nil"/>
              <w:left w:val="single" w:sz="4" w:space="0" w:color="595A5B" w:themeColor="text1"/>
              <w:bottom w:val="nil"/>
            </w:tcBorders>
            <w:shd w:val="clear" w:color="auto" w:fill="22789A" w:themeFill="accent1"/>
            <w:noWrap/>
            <w:vAlign w:val="bottom"/>
            <w:hideMark/>
          </w:tcPr>
          <w:p w:rsidR="00CD045A" w:rsidRPr="004619D1" w:rsidRDefault="00CD045A" w:rsidP="00DB555F">
            <w:pPr>
              <w:pStyle w:val="Tabletext"/>
              <w:jc w:val="center"/>
              <w:rPr>
                <w:b/>
                <w:i/>
                <w:color w:val="FFFFFF" w:themeColor="background1"/>
                <w:lang w:eastAsia="en-AU"/>
              </w:rPr>
            </w:pPr>
            <w:r w:rsidRPr="004619D1">
              <w:rPr>
                <w:b/>
                <w:i/>
                <w:color w:val="FFFFFF" w:themeColor="background1"/>
                <w:lang w:eastAsia="en-AU"/>
              </w:rPr>
              <w:t>Intermediate expenditure, $m</w:t>
            </w:r>
          </w:p>
        </w:tc>
      </w:tr>
      <w:tr w:rsidR="00CD045A" w:rsidRPr="008B2361" w:rsidTr="00997D7E">
        <w:trPr>
          <w:trHeight w:val="300"/>
        </w:trPr>
        <w:tc>
          <w:tcPr>
            <w:tcW w:w="3630" w:type="dxa"/>
            <w:tcBorders>
              <w:top w:val="nil"/>
              <w:left w:val="nil"/>
              <w:bottom w:val="nil"/>
              <w:right w:val="nil"/>
            </w:tcBorders>
            <w:shd w:val="clear" w:color="auto" w:fill="22789A" w:themeFill="accent1"/>
            <w:noWrap/>
            <w:vAlign w:val="bottom"/>
            <w:hideMark/>
          </w:tcPr>
          <w:p w:rsidR="00CD045A" w:rsidRPr="00885151" w:rsidRDefault="00CD045A" w:rsidP="00DB555F">
            <w:pPr>
              <w:pStyle w:val="Tabletext"/>
              <w:rPr>
                <w:i/>
                <w:color w:val="FFFFFF" w:themeColor="background1"/>
                <w:lang w:eastAsia="en-AU"/>
              </w:rPr>
            </w:pPr>
          </w:p>
        </w:tc>
        <w:tc>
          <w:tcPr>
            <w:tcW w:w="1217" w:type="dxa"/>
            <w:tcBorders>
              <w:top w:val="nil"/>
              <w:left w:val="nil"/>
              <w:bottom w:val="nil"/>
            </w:tcBorders>
            <w:shd w:val="clear" w:color="auto" w:fill="22789A" w:themeFill="accent1"/>
            <w:noWrap/>
            <w:vAlign w:val="bottom"/>
            <w:hideMark/>
          </w:tcPr>
          <w:p w:rsidR="00CD045A" w:rsidRPr="00885151" w:rsidRDefault="00CD045A" w:rsidP="00DB555F">
            <w:pPr>
              <w:pStyle w:val="Tabletext"/>
              <w:jc w:val="center"/>
              <w:rPr>
                <w:i/>
                <w:color w:val="FFFFFF" w:themeColor="background1"/>
                <w:lang w:eastAsia="en-AU"/>
              </w:rPr>
            </w:pPr>
            <w:r w:rsidRPr="00885151">
              <w:rPr>
                <w:i/>
                <w:color w:val="FFFFFF" w:themeColor="background1"/>
                <w:lang w:eastAsia="en-AU"/>
              </w:rPr>
              <w:t>Employment at birth</w:t>
            </w:r>
          </w:p>
        </w:tc>
        <w:tc>
          <w:tcPr>
            <w:tcW w:w="2186" w:type="dxa"/>
            <w:gridSpan w:val="3"/>
            <w:tcBorders>
              <w:top w:val="nil"/>
              <w:left w:val="nil"/>
              <w:bottom w:val="nil"/>
              <w:right w:val="single" w:sz="4" w:space="0" w:color="595A5B" w:themeColor="text1"/>
            </w:tcBorders>
            <w:shd w:val="clear" w:color="auto" w:fill="22789A" w:themeFill="accent1"/>
            <w:noWrap/>
            <w:vAlign w:val="bottom"/>
            <w:hideMark/>
          </w:tcPr>
          <w:p w:rsidR="00CD045A" w:rsidRPr="00885151" w:rsidRDefault="00CD045A" w:rsidP="00DB555F">
            <w:pPr>
              <w:pStyle w:val="Tabletext"/>
              <w:jc w:val="center"/>
              <w:rPr>
                <w:i/>
                <w:color w:val="FFFFFF" w:themeColor="background1"/>
                <w:lang w:eastAsia="en-AU"/>
              </w:rPr>
            </w:pPr>
            <w:r w:rsidRPr="00885151">
              <w:rPr>
                <w:i/>
                <w:color w:val="FFFFFF" w:themeColor="background1"/>
                <w:lang w:eastAsia="en-AU"/>
              </w:rPr>
              <w:t>Employment after five years</w:t>
            </w:r>
          </w:p>
        </w:tc>
        <w:tc>
          <w:tcPr>
            <w:tcW w:w="1258" w:type="dxa"/>
            <w:tcBorders>
              <w:top w:val="nil"/>
              <w:left w:val="single" w:sz="4" w:space="0" w:color="595A5B" w:themeColor="text1"/>
              <w:bottom w:val="nil"/>
            </w:tcBorders>
            <w:shd w:val="clear" w:color="auto" w:fill="22789A" w:themeFill="accent1"/>
            <w:noWrap/>
            <w:vAlign w:val="bottom"/>
            <w:hideMark/>
          </w:tcPr>
          <w:p w:rsidR="00CD045A" w:rsidRPr="00885151" w:rsidRDefault="00CD045A" w:rsidP="00DB555F">
            <w:pPr>
              <w:pStyle w:val="Tabletext"/>
              <w:jc w:val="center"/>
              <w:rPr>
                <w:i/>
                <w:color w:val="FFFFFF" w:themeColor="background1"/>
                <w:lang w:eastAsia="en-AU"/>
              </w:rPr>
            </w:pPr>
            <w:r w:rsidRPr="00885151">
              <w:rPr>
                <w:i/>
                <w:color w:val="FFFFFF" w:themeColor="background1"/>
                <w:lang w:eastAsia="en-AU"/>
              </w:rPr>
              <w:t>Employment at birth</w:t>
            </w:r>
          </w:p>
        </w:tc>
        <w:tc>
          <w:tcPr>
            <w:tcW w:w="2269" w:type="dxa"/>
            <w:gridSpan w:val="3"/>
            <w:tcBorders>
              <w:top w:val="nil"/>
              <w:left w:val="nil"/>
              <w:bottom w:val="nil"/>
              <w:right w:val="single" w:sz="4" w:space="0" w:color="595A5B" w:themeColor="text1"/>
            </w:tcBorders>
            <w:shd w:val="clear" w:color="auto" w:fill="22789A" w:themeFill="accent1"/>
            <w:noWrap/>
            <w:vAlign w:val="bottom"/>
            <w:hideMark/>
          </w:tcPr>
          <w:p w:rsidR="00CD045A" w:rsidRPr="00885151" w:rsidRDefault="00CD045A" w:rsidP="00DB555F">
            <w:pPr>
              <w:pStyle w:val="Tabletext"/>
              <w:jc w:val="center"/>
              <w:rPr>
                <w:i/>
                <w:color w:val="FFFFFF" w:themeColor="background1"/>
                <w:lang w:eastAsia="en-AU"/>
              </w:rPr>
            </w:pPr>
            <w:r w:rsidRPr="00885151">
              <w:rPr>
                <w:i/>
                <w:color w:val="FFFFFF" w:themeColor="background1"/>
                <w:lang w:eastAsia="en-AU"/>
              </w:rPr>
              <w:t>Employment after five years</w:t>
            </w:r>
          </w:p>
        </w:tc>
        <w:tc>
          <w:tcPr>
            <w:tcW w:w="1217" w:type="dxa"/>
            <w:tcBorders>
              <w:top w:val="nil"/>
              <w:left w:val="single" w:sz="4" w:space="0" w:color="595A5B" w:themeColor="text1"/>
              <w:bottom w:val="nil"/>
            </w:tcBorders>
            <w:shd w:val="clear" w:color="auto" w:fill="22789A" w:themeFill="accent1"/>
            <w:noWrap/>
            <w:vAlign w:val="bottom"/>
            <w:hideMark/>
          </w:tcPr>
          <w:p w:rsidR="00CD045A" w:rsidRPr="00885151" w:rsidRDefault="00CD045A" w:rsidP="00DB555F">
            <w:pPr>
              <w:pStyle w:val="Tabletext"/>
              <w:jc w:val="center"/>
              <w:rPr>
                <w:i/>
                <w:color w:val="FFFFFF" w:themeColor="background1"/>
                <w:lang w:eastAsia="en-AU"/>
              </w:rPr>
            </w:pPr>
            <w:r w:rsidRPr="00885151">
              <w:rPr>
                <w:i/>
                <w:color w:val="FFFFFF" w:themeColor="background1"/>
                <w:lang w:eastAsia="en-AU"/>
              </w:rPr>
              <w:t>Employment at birth</w:t>
            </w:r>
          </w:p>
        </w:tc>
        <w:tc>
          <w:tcPr>
            <w:tcW w:w="2350" w:type="dxa"/>
            <w:gridSpan w:val="3"/>
            <w:tcBorders>
              <w:top w:val="nil"/>
              <w:left w:val="nil"/>
              <w:bottom w:val="nil"/>
            </w:tcBorders>
            <w:shd w:val="clear" w:color="auto" w:fill="22789A" w:themeFill="accent1"/>
            <w:noWrap/>
            <w:vAlign w:val="bottom"/>
            <w:hideMark/>
          </w:tcPr>
          <w:p w:rsidR="00CD045A" w:rsidRPr="00885151" w:rsidRDefault="00CD045A" w:rsidP="00DB555F">
            <w:pPr>
              <w:pStyle w:val="Tabletext"/>
              <w:jc w:val="center"/>
              <w:rPr>
                <w:i/>
                <w:color w:val="FFFFFF" w:themeColor="background1"/>
                <w:lang w:eastAsia="en-AU"/>
              </w:rPr>
            </w:pPr>
            <w:r w:rsidRPr="00885151">
              <w:rPr>
                <w:i/>
                <w:color w:val="FFFFFF" w:themeColor="background1"/>
                <w:lang w:eastAsia="en-AU"/>
              </w:rPr>
              <w:t>Employment after five years</w:t>
            </w:r>
          </w:p>
        </w:tc>
      </w:tr>
      <w:tr w:rsidR="00CD045A" w:rsidRPr="006131B9" w:rsidTr="00997D7E">
        <w:trPr>
          <w:trHeight w:val="300"/>
        </w:trPr>
        <w:tc>
          <w:tcPr>
            <w:tcW w:w="3630" w:type="dxa"/>
            <w:tcBorders>
              <w:top w:val="nil"/>
              <w:left w:val="nil"/>
              <w:bottom w:val="nil"/>
              <w:right w:val="nil"/>
            </w:tcBorders>
            <w:shd w:val="clear" w:color="auto" w:fill="22789A" w:themeFill="accent1"/>
            <w:noWrap/>
            <w:vAlign w:val="bottom"/>
            <w:hideMark/>
          </w:tcPr>
          <w:p w:rsidR="00CD045A" w:rsidRPr="00885151" w:rsidRDefault="00CD045A" w:rsidP="00DB555F">
            <w:pPr>
              <w:pStyle w:val="Tabletext"/>
              <w:rPr>
                <w:i/>
                <w:color w:val="FFFFFF" w:themeColor="background1"/>
                <w:lang w:eastAsia="en-AU"/>
              </w:rPr>
            </w:pPr>
            <w:r w:rsidRPr="00885151">
              <w:rPr>
                <w:i/>
                <w:color w:val="FFFFFF" w:themeColor="background1"/>
                <w:lang w:eastAsia="en-AU"/>
              </w:rPr>
              <w:t>Industry division</w:t>
            </w:r>
          </w:p>
        </w:tc>
        <w:tc>
          <w:tcPr>
            <w:tcW w:w="1217" w:type="dxa"/>
            <w:tcBorders>
              <w:top w:val="nil"/>
              <w:left w:val="nil"/>
              <w:bottom w:val="nil"/>
            </w:tcBorders>
            <w:shd w:val="clear" w:color="auto" w:fill="22789A" w:themeFill="accent1"/>
            <w:noWrap/>
            <w:vAlign w:val="bottom"/>
            <w:hideMark/>
          </w:tcPr>
          <w:p w:rsidR="00CD045A" w:rsidRPr="00885151" w:rsidRDefault="00885151" w:rsidP="00DB555F">
            <w:pPr>
              <w:pStyle w:val="Tabletext"/>
              <w:jc w:val="right"/>
              <w:rPr>
                <w:i/>
                <w:color w:val="FFFFFF" w:themeColor="background1"/>
                <w:lang w:eastAsia="en-AU"/>
              </w:rPr>
            </w:pPr>
            <w:r>
              <w:rPr>
                <w:i/>
                <w:color w:val="FFFFFF" w:themeColor="background1"/>
                <w:lang w:eastAsia="en-AU"/>
              </w:rPr>
              <w:t>0–</w:t>
            </w:r>
            <w:r w:rsidR="00CD045A" w:rsidRPr="00885151">
              <w:rPr>
                <w:i/>
                <w:color w:val="FFFFFF" w:themeColor="background1"/>
                <w:lang w:eastAsia="en-AU"/>
              </w:rPr>
              <w:t>9</w:t>
            </w:r>
          </w:p>
        </w:tc>
        <w:tc>
          <w:tcPr>
            <w:tcW w:w="755" w:type="dxa"/>
            <w:tcBorders>
              <w:top w:val="nil"/>
              <w:left w:val="nil"/>
              <w:bottom w:val="nil"/>
              <w:right w:val="nil"/>
            </w:tcBorders>
            <w:shd w:val="clear" w:color="auto" w:fill="22789A" w:themeFill="accent1"/>
            <w:noWrap/>
            <w:vAlign w:val="bottom"/>
            <w:hideMark/>
          </w:tcPr>
          <w:p w:rsidR="00CD045A" w:rsidRPr="00885151" w:rsidRDefault="00885151" w:rsidP="00DB555F">
            <w:pPr>
              <w:pStyle w:val="Tabletext"/>
              <w:jc w:val="right"/>
              <w:rPr>
                <w:i/>
                <w:color w:val="FFFFFF" w:themeColor="background1"/>
                <w:lang w:eastAsia="en-AU"/>
              </w:rPr>
            </w:pPr>
            <w:r>
              <w:rPr>
                <w:i/>
                <w:color w:val="FFFFFF" w:themeColor="background1"/>
                <w:lang w:eastAsia="en-AU"/>
              </w:rPr>
              <w:t>0–</w:t>
            </w:r>
            <w:r w:rsidR="00CD045A" w:rsidRPr="00885151">
              <w:rPr>
                <w:i/>
                <w:color w:val="FFFFFF" w:themeColor="background1"/>
                <w:lang w:eastAsia="en-AU"/>
              </w:rPr>
              <w:t>9</w:t>
            </w:r>
          </w:p>
        </w:tc>
        <w:tc>
          <w:tcPr>
            <w:tcW w:w="756" w:type="dxa"/>
            <w:tcBorders>
              <w:top w:val="nil"/>
              <w:left w:val="nil"/>
              <w:bottom w:val="nil"/>
              <w:right w:val="nil"/>
            </w:tcBorders>
            <w:shd w:val="clear" w:color="auto" w:fill="22789A" w:themeFill="accent1"/>
            <w:noWrap/>
            <w:vAlign w:val="bottom"/>
            <w:hideMark/>
          </w:tcPr>
          <w:p w:rsidR="00CD045A" w:rsidRPr="00885151" w:rsidRDefault="00885151" w:rsidP="00DB555F">
            <w:pPr>
              <w:pStyle w:val="Tabletext"/>
              <w:jc w:val="right"/>
              <w:rPr>
                <w:i/>
                <w:color w:val="FFFFFF" w:themeColor="background1"/>
                <w:lang w:eastAsia="en-AU"/>
              </w:rPr>
            </w:pPr>
            <w:r>
              <w:rPr>
                <w:i/>
                <w:color w:val="FFFFFF" w:themeColor="background1"/>
                <w:lang w:eastAsia="en-AU"/>
              </w:rPr>
              <w:t>10–</w:t>
            </w:r>
            <w:r w:rsidR="00CD045A" w:rsidRPr="00885151">
              <w:rPr>
                <w:i/>
                <w:color w:val="FFFFFF" w:themeColor="background1"/>
                <w:lang w:eastAsia="en-AU"/>
              </w:rPr>
              <w:t>19</w:t>
            </w:r>
          </w:p>
        </w:tc>
        <w:tc>
          <w:tcPr>
            <w:tcW w:w="675" w:type="dxa"/>
            <w:tcBorders>
              <w:top w:val="nil"/>
              <w:left w:val="nil"/>
              <w:bottom w:val="nil"/>
              <w:right w:val="single" w:sz="4" w:space="0" w:color="595A5B" w:themeColor="text1"/>
            </w:tcBorders>
            <w:shd w:val="clear" w:color="auto" w:fill="22789A" w:themeFill="accent1"/>
            <w:noWrap/>
            <w:vAlign w:val="bottom"/>
            <w:hideMark/>
          </w:tcPr>
          <w:p w:rsidR="00CD045A" w:rsidRPr="00885151" w:rsidRDefault="00CD045A" w:rsidP="00DB555F">
            <w:pPr>
              <w:pStyle w:val="Tabletext"/>
              <w:jc w:val="right"/>
              <w:rPr>
                <w:i/>
                <w:color w:val="FFFFFF" w:themeColor="background1"/>
                <w:lang w:eastAsia="en-AU"/>
              </w:rPr>
            </w:pPr>
            <w:r w:rsidRPr="00885151">
              <w:rPr>
                <w:i/>
                <w:color w:val="FFFFFF" w:themeColor="background1"/>
                <w:lang w:eastAsia="en-AU"/>
              </w:rPr>
              <w:t>20+</w:t>
            </w:r>
          </w:p>
        </w:tc>
        <w:tc>
          <w:tcPr>
            <w:tcW w:w="1258" w:type="dxa"/>
            <w:tcBorders>
              <w:top w:val="nil"/>
              <w:left w:val="single" w:sz="4" w:space="0" w:color="595A5B" w:themeColor="text1"/>
              <w:bottom w:val="nil"/>
            </w:tcBorders>
            <w:shd w:val="clear" w:color="auto" w:fill="22789A" w:themeFill="accent1"/>
            <w:noWrap/>
            <w:vAlign w:val="bottom"/>
            <w:hideMark/>
          </w:tcPr>
          <w:p w:rsidR="00CD045A" w:rsidRPr="00885151" w:rsidRDefault="00885151" w:rsidP="00DB555F">
            <w:pPr>
              <w:pStyle w:val="Tabletext"/>
              <w:jc w:val="right"/>
              <w:rPr>
                <w:i/>
                <w:color w:val="FFFFFF" w:themeColor="background1"/>
                <w:lang w:eastAsia="en-AU"/>
              </w:rPr>
            </w:pPr>
            <w:r>
              <w:rPr>
                <w:i/>
                <w:color w:val="FFFFFF" w:themeColor="background1"/>
                <w:lang w:eastAsia="en-AU"/>
              </w:rPr>
              <w:t>0–</w:t>
            </w:r>
            <w:r w:rsidR="00CD045A" w:rsidRPr="00885151">
              <w:rPr>
                <w:i/>
                <w:color w:val="FFFFFF" w:themeColor="background1"/>
                <w:lang w:eastAsia="en-AU"/>
              </w:rPr>
              <w:t>9</w:t>
            </w:r>
          </w:p>
        </w:tc>
        <w:tc>
          <w:tcPr>
            <w:tcW w:w="675" w:type="dxa"/>
            <w:tcBorders>
              <w:top w:val="nil"/>
              <w:left w:val="nil"/>
              <w:bottom w:val="nil"/>
              <w:right w:val="nil"/>
            </w:tcBorders>
            <w:shd w:val="clear" w:color="auto" w:fill="22789A" w:themeFill="accent1"/>
            <w:noWrap/>
            <w:vAlign w:val="bottom"/>
            <w:hideMark/>
          </w:tcPr>
          <w:p w:rsidR="00CD045A" w:rsidRPr="00885151" w:rsidRDefault="00885151" w:rsidP="00DB555F">
            <w:pPr>
              <w:pStyle w:val="Tabletext"/>
              <w:jc w:val="right"/>
              <w:rPr>
                <w:i/>
                <w:color w:val="FFFFFF" w:themeColor="background1"/>
                <w:lang w:eastAsia="en-AU"/>
              </w:rPr>
            </w:pPr>
            <w:r>
              <w:rPr>
                <w:i/>
                <w:color w:val="FFFFFF" w:themeColor="background1"/>
                <w:lang w:eastAsia="en-AU"/>
              </w:rPr>
              <w:t>0–</w:t>
            </w:r>
            <w:r w:rsidR="00CD045A" w:rsidRPr="00885151">
              <w:rPr>
                <w:i/>
                <w:color w:val="FFFFFF" w:themeColor="background1"/>
                <w:lang w:eastAsia="en-AU"/>
              </w:rPr>
              <w:t>9</w:t>
            </w:r>
          </w:p>
        </w:tc>
        <w:tc>
          <w:tcPr>
            <w:tcW w:w="756" w:type="dxa"/>
            <w:tcBorders>
              <w:top w:val="nil"/>
              <w:left w:val="nil"/>
              <w:bottom w:val="nil"/>
              <w:right w:val="nil"/>
            </w:tcBorders>
            <w:shd w:val="clear" w:color="auto" w:fill="22789A" w:themeFill="accent1"/>
            <w:noWrap/>
            <w:vAlign w:val="bottom"/>
            <w:hideMark/>
          </w:tcPr>
          <w:p w:rsidR="00CD045A" w:rsidRPr="00885151" w:rsidRDefault="00885151" w:rsidP="00DB555F">
            <w:pPr>
              <w:pStyle w:val="Tabletext"/>
              <w:jc w:val="right"/>
              <w:rPr>
                <w:i/>
                <w:color w:val="FFFFFF" w:themeColor="background1"/>
                <w:lang w:eastAsia="en-AU"/>
              </w:rPr>
            </w:pPr>
            <w:r>
              <w:rPr>
                <w:i/>
                <w:color w:val="FFFFFF" w:themeColor="background1"/>
                <w:lang w:eastAsia="en-AU"/>
              </w:rPr>
              <w:t>10–</w:t>
            </w:r>
            <w:r w:rsidR="00CD045A" w:rsidRPr="00885151">
              <w:rPr>
                <w:i/>
                <w:color w:val="FFFFFF" w:themeColor="background1"/>
                <w:lang w:eastAsia="en-AU"/>
              </w:rPr>
              <w:t>19</w:t>
            </w:r>
          </w:p>
        </w:tc>
        <w:tc>
          <w:tcPr>
            <w:tcW w:w="838" w:type="dxa"/>
            <w:tcBorders>
              <w:top w:val="nil"/>
              <w:left w:val="nil"/>
              <w:bottom w:val="nil"/>
              <w:right w:val="single" w:sz="4" w:space="0" w:color="595A5B" w:themeColor="text1"/>
            </w:tcBorders>
            <w:shd w:val="clear" w:color="auto" w:fill="22789A" w:themeFill="accent1"/>
            <w:noWrap/>
            <w:vAlign w:val="bottom"/>
            <w:hideMark/>
          </w:tcPr>
          <w:p w:rsidR="00CD045A" w:rsidRPr="00885151" w:rsidRDefault="00CD045A" w:rsidP="00DB555F">
            <w:pPr>
              <w:pStyle w:val="Tabletext"/>
              <w:jc w:val="right"/>
              <w:rPr>
                <w:i/>
                <w:color w:val="FFFFFF" w:themeColor="background1"/>
                <w:lang w:eastAsia="en-AU"/>
              </w:rPr>
            </w:pPr>
            <w:r w:rsidRPr="00885151">
              <w:rPr>
                <w:i/>
                <w:color w:val="FFFFFF" w:themeColor="background1"/>
                <w:lang w:eastAsia="en-AU"/>
              </w:rPr>
              <w:t>20+</w:t>
            </w:r>
          </w:p>
        </w:tc>
        <w:tc>
          <w:tcPr>
            <w:tcW w:w="1217" w:type="dxa"/>
            <w:tcBorders>
              <w:top w:val="nil"/>
              <w:left w:val="single" w:sz="4" w:space="0" w:color="595A5B" w:themeColor="text1"/>
              <w:bottom w:val="nil"/>
            </w:tcBorders>
            <w:shd w:val="clear" w:color="auto" w:fill="22789A" w:themeFill="accent1"/>
            <w:noWrap/>
            <w:vAlign w:val="bottom"/>
            <w:hideMark/>
          </w:tcPr>
          <w:p w:rsidR="00CD045A" w:rsidRPr="00885151" w:rsidRDefault="00885151" w:rsidP="00DB555F">
            <w:pPr>
              <w:pStyle w:val="Tabletext"/>
              <w:jc w:val="right"/>
              <w:rPr>
                <w:i/>
                <w:color w:val="FFFFFF" w:themeColor="background1"/>
                <w:lang w:eastAsia="en-AU"/>
              </w:rPr>
            </w:pPr>
            <w:r>
              <w:rPr>
                <w:i/>
                <w:color w:val="FFFFFF" w:themeColor="background1"/>
                <w:lang w:eastAsia="en-AU"/>
              </w:rPr>
              <w:t>0–</w:t>
            </w:r>
            <w:r w:rsidR="00CD045A" w:rsidRPr="00885151">
              <w:rPr>
                <w:i/>
                <w:color w:val="FFFFFF" w:themeColor="background1"/>
                <w:lang w:eastAsia="en-AU"/>
              </w:rPr>
              <w:t>9</w:t>
            </w:r>
          </w:p>
        </w:tc>
        <w:tc>
          <w:tcPr>
            <w:tcW w:w="756" w:type="dxa"/>
            <w:tcBorders>
              <w:top w:val="nil"/>
              <w:left w:val="nil"/>
              <w:bottom w:val="nil"/>
              <w:right w:val="nil"/>
            </w:tcBorders>
            <w:shd w:val="clear" w:color="auto" w:fill="22789A" w:themeFill="accent1"/>
            <w:noWrap/>
            <w:vAlign w:val="bottom"/>
            <w:hideMark/>
          </w:tcPr>
          <w:p w:rsidR="00CD045A" w:rsidRPr="00885151" w:rsidRDefault="00885151" w:rsidP="00DB555F">
            <w:pPr>
              <w:pStyle w:val="Tabletext"/>
              <w:jc w:val="right"/>
              <w:rPr>
                <w:i/>
                <w:color w:val="FFFFFF" w:themeColor="background1"/>
                <w:lang w:eastAsia="en-AU"/>
              </w:rPr>
            </w:pPr>
            <w:r>
              <w:rPr>
                <w:i/>
                <w:color w:val="FFFFFF" w:themeColor="background1"/>
                <w:lang w:eastAsia="en-AU"/>
              </w:rPr>
              <w:t>0–</w:t>
            </w:r>
            <w:r w:rsidR="00CD045A" w:rsidRPr="00885151">
              <w:rPr>
                <w:i/>
                <w:color w:val="FFFFFF" w:themeColor="background1"/>
                <w:lang w:eastAsia="en-AU"/>
              </w:rPr>
              <w:t>9</w:t>
            </w:r>
          </w:p>
        </w:tc>
        <w:tc>
          <w:tcPr>
            <w:tcW w:w="838" w:type="dxa"/>
            <w:tcBorders>
              <w:top w:val="nil"/>
              <w:left w:val="nil"/>
              <w:bottom w:val="nil"/>
              <w:right w:val="nil"/>
            </w:tcBorders>
            <w:shd w:val="clear" w:color="auto" w:fill="22789A" w:themeFill="accent1"/>
            <w:noWrap/>
            <w:vAlign w:val="bottom"/>
            <w:hideMark/>
          </w:tcPr>
          <w:p w:rsidR="00CD045A" w:rsidRPr="00885151" w:rsidRDefault="00885151" w:rsidP="00DB555F">
            <w:pPr>
              <w:pStyle w:val="Tabletext"/>
              <w:jc w:val="right"/>
              <w:rPr>
                <w:i/>
                <w:color w:val="FFFFFF" w:themeColor="background1"/>
                <w:lang w:eastAsia="en-AU"/>
              </w:rPr>
            </w:pPr>
            <w:r>
              <w:rPr>
                <w:i/>
                <w:color w:val="FFFFFF" w:themeColor="background1"/>
                <w:lang w:eastAsia="en-AU"/>
              </w:rPr>
              <w:t>10–</w:t>
            </w:r>
            <w:r w:rsidR="00CD045A" w:rsidRPr="00885151">
              <w:rPr>
                <w:i/>
                <w:color w:val="FFFFFF" w:themeColor="background1"/>
                <w:lang w:eastAsia="en-AU"/>
              </w:rPr>
              <w:t>19</w:t>
            </w:r>
          </w:p>
        </w:tc>
        <w:tc>
          <w:tcPr>
            <w:tcW w:w="756" w:type="dxa"/>
            <w:tcBorders>
              <w:top w:val="nil"/>
              <w:left w:val="nil"/>
              <w:bottom w:val="nil"/>
              <w:right w:val="nil"/>
            </w:tcBorders>
            <w:shd w:val="clear" w:color="auto" w:fill="22789A" w:themeFill="accent1"/>
            <w:noWrap/>
            <w:vAlign w:val="bottom"/>
            <w:hideMark/>
          </w:tcPr>
          <w:p w:rsidR="00CD045A" w:rsidRPr="00885151" w:rsidRDefault="00CD045A" w:rsidP="00DB555F">
            <w:pPr>
              <w:pStyle w:val="Tabletext"/>
              <w:jc w:val="right"/>
              <w:rPr>
                <w:i/>
                <w:color w:val="FFFFFF" w:themeColor="background1"/>
                <w:lang w:eastAsia="en-AU"/>
              </w:rPr>
            </w:pPr>
            <w:r w:rsidRPr="00885151">
              <w:rPr>
                <w:i/>
                <w:color w:val="FFFFFF" w:themeColor="background1"/>
                <w:lang w:eastAsia="en-AU"/>
              </w:rPr>
              <w:t>20+</w:t>
            </w:r>
          </w:p>
        </w:tc>
      </w:tr>
      <w:tr w:rsidR="00CD045A" w:rsidTr="00997D7E">
        <w:trPr>
          <w:trHeight w:val="315"/>
        </w:trPr>
        <w:tc>
          <w:tcPr>
            <w:tcW w:w="3630" w:type="dxa"/>
            <w:tcBorders>
              <w:top w:val="nil"/>
              <w:left w:val="nil"/>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lang w:val="en-US"/>
              </w:rPr>
            </w:pPr>
            <w:r w:rsidRPr="00885151">
              <w:rPr>
                <w:rFonts w:asciiTheme="minorHAnsi" w:hAnsiTheme="minorHAnsi" w:cstheme="minorHAnsi"/>
                <w:color w:val="595A5B" w:themeColor="accent4"/>
                <w:sz w:val="18"/>
                <w:szCs w:val="18"/>
                <w:lang w:val="en-US"/>
              </w:rPr>
              <w:t>Agriculture, Forestry and fishing</w:t>
            </w:r>
          </w:p>
        </w:tc>
        <w:tc>
          <w:tcPr>
            <w:tcW w:w="1217" w:type="dxa"/>
            <w:tcBorders>
              <w:top w:val="nil"/>
              <w:left w:val="nil"/>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0.10</w:t>
            </w:r>
          </w:p>
        </w:tc>
        <w:tc>
          <w:tcPr>
            <w:tcW w:w="755" w:type="dxa"/>
            <w:tcBorders>
              <w:top w:val="nil"/>
              <w:left w:val="nil"/>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0.23</w:t>
            </w:r>
          </w:p>
        </w:tc>
        <w:tc>
          <w:tcPr>
            <w:tcW w:w="756" w:type="dxa"/>
            <w:tcBorders>
              <w:top w:val="nil"/>
              <w:left w:val="nil"/>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0.72</w:t>
            </w:r>
          </w:p>
        </w:tc>
        <w:tc>
          <w:tcPr>
            <w:tcW w:w="675" w:type="dxa"/>
            <w:tcBorders>
              <w:top w:val="nil"/>
              <w:left w:val="nil"/>
              <w:bottom w:val="nil"/>
              <w:right w:val="single" w:sz="4" w:space="0" w:color="595A5B" w:themeColor="text1"/>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1.43</w:t>
            </w:r>
          </w:p>
        </w:tc>
        <w:tc>
          <w:tcPr>
            <w:tcW w:w="1258" w:type="dxa"/>
            <w:tcBorders>
              <w:top w:val="nil"/>
              <w:left w:val="single" w:sz="4" w:space="0" w:color="595A5B" w:themeColor="text1"/>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33</w:t>
            </w:r>
          </w:p>
        </w:tc>
        <w:tc>
          <w:tcPr>
            <w:tcW w:w="675" w:type="dxa"/>
            <w:tcBorders>
              <w:top w:val="nil"/>
              <w:left w:val="nil"/>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59</w:t>
            </w:r>
          </w:p>
        </w:tc>
        <w:tc>
          <w:tcPr>
            <w:tcW w:w="756" w:type="dxa"/>
            <w:tcBorders>
              <w:top w:val="nil"/>
              <w:left w:val="nil"/>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135</w:t>
            </w:r>
          </w:p>
        </w:tc>
        <w:tc>
          <w:tcPr>
            <w:tcW w:w="838" w:type="dxa"/>
            <w:tcBorders>
              <w:top w:val="nil"/>
              <w:left w:val="nil"/>
              <w:bottom w:val="nil"/>
              <w:right w:val="single" w:sz="4" w:space="0" w:color="595A5B" w:themeColor="text1"/>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118</w:t>
            </w:r>
          </w:p>
        </w:tc>
        <w:tc>
          <w:tcPr>
            <w:tcW w:w="1217" w:type="dxa"/>
            <w:tcBorders>
              <w:top w:val="nil"/>
              <w:left w:val="single" w:sz="4" w:space="0" w:color="595A5B" w:themeColor="text1"/>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0.06</w:t>
            </w:r>
          </w:p>
        </w:tc>
        <w:tc>
          <w:tcPr>
            <w:tcW w:w="756" w:type="dxa"/>
            <w:tcBorders>
              <w:top w:val="nil"/>
              <w:left w:val="nil"/>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0.15</w:t>
            </w:r>
          </w:p>
        </w:tc>
        <w:tc>
          <w:tcPr>
            <w:tcW w:w="838" w:type="dxa"/>
            <w:tcBorders>
              <w:top w:val="nil"/>
              <w:left w:val="nil"/>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0.46</w:t>
            </w:r>
          </w:p>
        </w:tc>
        <w:tc>
          <w:tcPr>
            <w:tcW w:w="756" w:type="dxa"/>
            <w:tcBorders>
              <w:top w:val="nil"/>
              <w:left w:val="nil"/>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0.74</w:t>
            </w:r>
          </w:p>
        </w:tc>
      </w:tr>
      <w:tr w:rsidR="00CD045A" w:rsidTr="00997D7E">
        <w:trPr>
          <w:trHeight w:val="300"/>
        </w:trPr>
        <w:tc>
          <w:tcPr>
            <w:tcW w:w="3630" w:type="dxa"/>
            <w:tcBorders>
              <w:top w:val="nil"/>
              <w:left w:val="nil"/>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lang w:val="en-US"/>
              </w:rPr>
            </w:pPr>
            <w:r w:rsidRPr="00885151">
              <w:rPr>
                <w:rFonts w:asciiTheme="minorHAnsi" w:hAnsiTheme="minorHAnsi" w:cstheme="minorHAnsi"/>
                <w:color w:val="595A5B" w:themeColor="accent4"/>
                <w:sz w:val="18"/>
                <w:szCs w:val="18"/>
                <w:lang w:val="en-US"/>
              </w:rPr>
              <w:t>Mining</w:t>
            </w:r>
          </w:p>
        </w:tc>
        <w:tc>
          <w:tcPr>
            <w:tcW w:w="1217" w:type="dxa"/>
            <w:tcBorders>
              <w:top w:val="nil"/>
              <w:left w:val="nil"/>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0.09</w:t>
            </w:r>
          </w:p>
        </w:tc>
        <w:tc>
          <w:tcPr>
            <w:tcW w:w="755" w:type="dxa"/>
            <w:tcBorders>
              <w:top w:val="nil"/>
              <w:left w:val="nil"/>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0.19</w:t>
            </w:r>
          </w:p>
        </w:tc>
        <w:tc>
          <w:tcPr>
            <w:tcW w:w="756" w:type="dxa"/>
            <w:tcBorders>
              <w:top w:val="nil"/>
              <w:left w:val="nil"/>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w:t>
            </w:r>
          </w:p>
        </w:tc>
        <w:tc>
          <w:tcPr>
            <w:tcW w:w="675" w:type="dxa"/>
            <w:tcBorders>
              <w:top w:val="nil"/>
              <w:left w:val="nil"/>
              <w:bottom w:val="nil"/>
              <w:right w:val="single" w:sz="4" w:space="0" w:color="595A5B" w:themeColor="text1"/>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10.74</w:t>
            </w:r>
          </w:p>
        </w:tc>
        <w:tc>
          <w:tcPr>
            <w:tcW w:w="1258" w:type="dxa"/>
            <w:tcBorders>
              <w:top w:val="nil"/>
              <w:left w:val="single" w:sz="4" w:space="0" w:color="595A5B" w:themeColor="text1"/>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27</w:t>
            </w:r>
          </w:p>
        </w:tc>
        <w:tc>
          <w:tcPr>
            <w:tcW w:w="675" w:type="dxa"/>
            <w:tcBorders>
              <w:top w:val="nil"/>
              <w:left w:val="nil"/>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-4</w:t>
            </w:r>
          </w:p>
        </w:tc>
        <w:tc>
          <w:tcPr>
            <w:tcW w:w="756" w:type="dxa"/>
            <w:tcBorders>
              <w:top w:val="nil"/>
              <w:left w:val="nil"/>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w:t>
            </w:r>
          </w:p>
        </w:tc>
        <w:tc>
          <w:tcPr>
            <w:tcW w:w="838" w:type="dxa"/>
            <w:tcBorders>
              <w:top w:val="nil"/>
              <w:left w:val="nil"/>
              <w:bottom w:val="nil"/>
              <w:right w:val="single" w:sz="4" w:space="0" w:color="595A5B" w:themeColor="text1"/>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452</w:t>
            </w:r>
          </w:p>
        </w:tc>
        <w:tc>
          <w:tcPr>
            <w:tcW w:w="1217" w:type="dxa"/>
            <w:tcBorders>
              <w:top w:val="nil"/>
              <w:left w:val="single" w:sz="4" w:space="0" w:color="595A5B" w:themeColor="text1"/>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0.07</w:t>
            </w:r>
          </w:p>
        </w:tc>
        <w:tc>
          <w:tcPr>
            <w:tcW w:w="756" w:type="dxa"/>
            <w:tcBorders>
              <w:top w:val="nil"/>
              <w:left w:val="nil"/>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0.41</w:t>
            </w:r>
          </w:p>
        </w:tc>
        <w:tc>
          <w:tcPr>
            <w:tcW w:w="838" w:type="dxa"/>
            <w:tcBorders>
              <w:top w:val="nil"/>
              <w:left w:val="nil"/>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w:t>
            </w:r>
          </w:p>
        </w:tc>
        <w:tc>
          <w:tcPr>
            <w:tcW w:w="756" w:type="dxa"/>
            <w:tcBorders>
              <w:top w:val="nil"/>
              <w:left w:val="nil"/>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7.97</w:t>
            </w:r>
          </w:p>
        </w:tc>
      </w:tr>
      <w:tr w:rsidR="00CD045A" w:rsidTr="00997D7E">
        <w:trPr>
          <w:trHeight w:val="300"/>
        </w:trPr>
        <w:tc>
          <w:tcPr>
            <w:tcW w:w="3630" w:type="dxa"/>
            <w:tcBorders>
              <w:top w:val="nil"/>
              <w:left w:val="nil"/>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lang w:val="en-US"/>
              </w:rPr>
            </w:pPr>
            <w:r w:rsidRPr="00885151">
              <w:rPr>
                <w:rFonts w:asciiTheme="minorHAnsi" w:hAnsiTheme="minorHAnsi" w:cstheme="minorHAnsi"/>
                <w:color w:val="595A5B" w:themeColor="accent4"/>
                <w:sz w:val="18"/>
                <w:szCs w:val="18"/>
                <w:lang w:val="en-US"/>
              </w:rPr>
              <w:t>Manufacturing</w:t>
            </w:r>
          </w:p>
        </w:tc>
        <w:tc>
          <w:tcPr>
            <w:tcW w:w="1217" w:type="dxa"/>
            <w:tcBorders>
              <w:top w:val="nil"/>
              <w:left w:val="nil"/>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0.10</w:t>
            </w:r>
          </w:p>
        </w:tc>
        <w:tc>
          <w:tcPr>
            <w:tcW w:w="755" w:type="dxa"/>
            <w:tcBorders>
              <w:top w:val="nil"/>
              <w:left w:val="nil"/>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0.23</w:t>
            </w:r>
          </w:p>
        </w:tc>
        <w:tc>
          <w:tcPr>
            <w:tcW w:w="756" w:type="dxa"/>
            <w:tcBorders>
              <w:top w:val="nil"/>
              <w:left w:val="nil"/>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1.20</w:t>
            </w:r>
          </w:p>
        </w:tc>
        <w:tc>
          <w:tcPr>
            <w:tcW w:w="675" w:type="dxa"/>
            <w:tcBorders>
              <w:top w:val="nil"/>
              <w:left w:val="nil"/>
              <w:bottom w:val="nil"/>
              <w:right w:val="single" w:sz="4" w:space="0" w:color="595A5B" w:themeColor="text1"/>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3.69</w:t>
            </w:r>
          </w:p>
        </w:tc>
        <w:tc>
          <w:tcPr>
            <w:tcW w:w="1258" w:type="dxa"/>
            <w:tcBorders>
              <w:top w:val="nil"/>
              <w:left w:val="single" w:sz="4" w:space="0" w:color="595A5B" w:themeColor="text1"/>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31</w:t>
            </w:r>
          </w:p>
        </w:tc>
        <w:tc>
          <w:tcPr>
            <w:tcW w:w="675" w:type="dxa"/>
            <w:tcBorders>
              <w:top w:val="nil"/>
              <w:left w:val="nil"/>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57</w:t>
            </w:r>
          </w:p>
        </w:tc>
        <w:tc>
          <w:tcPr>
            <w:tcW w:w="756" w:type="dxa"/>
            <w:tcBorders>
              <w:top w:val="nil"/>
              <w:left w:val="nil"/>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152</w:t>
            </w:r>
          </w:p>
        </w:tc>
        <w:tc>
          <w:tcPr>
            <w:tcW w:w="838" w:type="dxa"/>
            <w:tcBorders>
              <w:top w:val="nil"/>
              <w:left w:val="nil"/>
              <w:bottom w:val="nil"/>
              <w:right w:val="single" w:sz="4" w:space="0" w:color="595A5B" w:themeColor="text1"/>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253</w:t>
            </w:r>
          </w:p>
        </w:tc>
        <w:tc>
          <w:tcPr>
            <w:tcW w:w="1217" w:type="dxa"/>
            <w:tcBorders>
              <w:top w:val="nil"/>
              <w:left w:val="single" w:sz="4" w:space="0" w:color="595A5B" w:themeColor="text1"/>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0.06</w:t>
            </w:r>
          </w:p>
        </w:tc>
        <w:tc>
          <w:tcPr>
            <w:tcW w:w="756" w:type="dxa"/>
            <w:tcBorders>
              <w:top w:val="nil"/>
              <w:left w:val="nil"/>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0.12</w:t>
            </w:r>
          </w:p>
        </w:tc>
        <w:tc>
          <w:tcPr>
            <w:tcW w:w="838" w:type="dxa"/>
            <w:tcBorders>
              <w:top w:val="nil"/>
              <w:left w:val="nil"/>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0.72</w:t>
            </w:r>
          </w:p>
        </w:tc>
        <w:tc>
          <w:tcPr>
            <w:tcW w:w="756" w:type="dxa"/>
            <w:tcBorders>
              <w:top w:val="nil"/>
              <w:left w:val="nil"/>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2.13</w:t>
            </w:r>
          </w:p>
        </w:tc>
      </w:tr>
      <w:tr w:rsidR="00CD045A" w:rsidTr="00997D7E">
        <w:trPr>
          <w:trHeight w:val="300"/>
        </w:trPr>
        <w:tc>
          <w:tcPr>
            <w:tcW w:w="3630" w:type="dxa"/>
            <w:tcBorders>
              <w:top w:val="nil"/>
              <w:left w:val="nil"/>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lang w:val="en-US"/>
              </w:rPr>
            </w:pPr>
            <w:r w:rsidRPr="00885151">
              <w:rPr>
                <w:rFonts w:asciiTheme="minorHAnsi" w:hAnsiTheme="minorHAnsi" w:cstheme="minorHAnsi"/>
                <w:color w:val="595A5B" w:themeColor="accent4"/>
                <w:sz w:val="18"/>
                <w:szCs w:val="18"/>
                <w:lang w:val="en-US"/>
              </w:rPr>
              <w:t>Construction</w:t>
            </w:r>
          </w:p>
        </w:tc>
        <w:tc>
          <w:tcPr>
            <w:tcW w:w="1217" w:type="dxa"/>
            <w:tcBorders>
              <w:top w:val="nil"/>
              <w:left w:val="nil"/>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0.09</w:t>
            </w:r>
          </w:p>
        </w:tc>
        <w:tc>
          <w:tcPr>
            <w:tcW w:w="755" w:type="dxa"/>
            <w:tcBorders>
              <w:top w:val="nil"/>
              <w:left w:val="nil"/>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0.17</w:t>
            </w:r>
          </w:p>
        </w:tc>
        <w:tc>
          <w:tcPr>
            <w:tcW w:w="756" w:type="dxa"/>
            <w:tcBorders>
              <w:top w:val="nil"/>
              <w:left w:val="nil"/>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1.66</w:t>
            </w:r>
          </w:p>
        </w:tc>
        <w:tc>
          <w:tcPr>
            <w:tcW w:w="675" w:type="dxa"/>
            <w:tcBorders>
              <w:top w:val="nil"/>
              <w:left w:val="nil"/>
              <w:bottom w:val="nil"/>
              <w:right w:val="single" w:sz="4" w:space="0" w:color="595A5B" w:themeColor="text1"/>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4.07</w:t>
            </w:r>
          </w:p>
        </w:tc>
        <w:tc>
          <w:tcPr>
            <w:tcW w:w="1258" w:type="dxa"/>
            <w:tcBorders>
              <w:top w:val="nil"/>
              <w:left w:val="single" w:sz="4" w:space="0" w:color="595A5B" w:themeColor="text1"/>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46</w:t>
            </w:r>
          </w:p>
        </w:tc>
        <w:tc>
          <w:tcPr>
            <w:tcW w:w="675" w:type="dxa"/>
            <w:tcBorders>
              <w:top w:val="nil"/>
              <w:left w:val="nil"/>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63</w:t>
            </w:r>
          </w:p>
        </w:tc>
        <w:tc>
          <w:tcPr>
            <w:tcW w:w="756" w:type="dxa"/>
            <w:tcBorders>
              <w:top w:val="nil"/>
              <w:left w:val="nil"/>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197</w:t>
            </w:r>
          </w:p>
        </w:tc>
        <w:tc>
          <w:tcPr>
            <w:tcW w:w="838" w:type="dxa"/>
            <w:tcBorders>
              <w:top w:val="nil"/>
              <w:left w:val="nil"/>
              <w:bottom w:val="nil"/>
              <w:right w:val="single" w:sz="4" w:space="0" w:color="595A5B" w:themeColor="text1"/>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363</w:t>
            </w:r>
          </w:p>
        </w:tc>
        <w:tc>
          <w:tcPr>
            <w:tcW w:w="1217" w:type="dxa"/>
            <w:tcBorders>
              <w:top w:val="nil"/>
              <w:left w:val="single" w:sz="4" w:space="0" w:color="595A5B" w:themeColor="text1"/>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0.04</w:t>
            </w:r>
          </w:p>
        </w:tc>
        <w:tc>
          <w:tcPr>
            <w:tcW w:w="756" w:type="dxa"/>
            <w:tcBorders>
              <w:top w:val="nil"/>
              <w:left w:val="nil"/>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0.08</w:t>
            </w:r>
          </w:p>
        </w:tc>
        <w:tc>
          <w:tcPr>
            <w:tcW w:w="838" w:type="dxa"/>
            <w:tcBorders>
              <w:top w:val="nil"/>
              <w:left w:val="nil"/>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0.88</w:t>
            </w:r>
          </w:p>
        </w:tc>
        <w:tc>
          <w:tcPr>
            <w:tcW w:w="756" w:type="dxa"/>
            <w:tcBorders>
              <w:top w:val="nil"/>
              <w:left w:val="nil"/>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2.28</w:t>
            </w:r>
          </w:p>
        </w:tc>
      </w:tr>
      <w:tr w:rsidR="00CD045A" w:rsidTr="00997D7E">
        <w:trPr>
          <w:trHeight w:val="300"/>
        </w:trPr>
        <w:tc>
          <w:tcPr>
            <w:tcW w:w="3630" w:type="dxa"/>
            <w:tcBorders>
              <w:top w:val="nil"/>
              <w:left w:val="nil"/>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lang w:val="en-US"/>
              </w:rPr>
            </w:pPr>
            <w:r w:rsidRPr="00885151">
              <w:rPr>
                <w:rFonts w:asciiTheme="minorHAnsi" w:hAnsiTheme="minorHAnsi" w:cstheme="minorHAnsi"/>
                <w:color w:val="595A5B" w:themeColor="accent4"/>
                <w:sz w:val="18"/>
                <w:szCs w:val="18"/>
                <w:lang w:val="en-US"/>
              </w:rPr>
              <w:t>Wholesale trade</w:t>
            </w:r>
          </w:p>
        </w:tc>
        <w:tc>
          <w:tcPr>
            <w:tcW w:w="1217" w:type="dxa"/>
            <w:tcBorders>
              <w:top w:val="nil"/>
              <w:left w:val="nil"/>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0.13</w:t>
            </w:r>
          </w:p>
        </w:tc>
        <w:tc>
          <w:tcPr>
            <w:tcW w:w="755" w:type="dxa"/>
            <w:tcBorders>
              <w:top w:val="nil"/>
              <w:left w:val="nil"/>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0.36</w:t>
            </w:r>
          </w:p>
        </w:tc>
        <w:tc>
          <w:tcPr>
            <w:tcW w:w="756" w:type="dxa"/>
            <w:tcBorders>
              <w:top w:val="nil"/>
              <w:left w:val="nil"/>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2.93</w:t>
            </w:r>
          </w:p>
        </w:tc>
        <w:tc>
          <w:tcPr>
            <w:tcW w:w="675" w:type="dxa"/>
            <w:tcBorders>
              <w:top w:val="nil"/>
              <w:left w:val="nil"/>
              <w:bottom w:val="nil"/>
              <w:right w:val="single" w:sz="4" w:space="0" w:color="595A5B" w:themeColor="text1"/>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7.30</w:t>
            </w:r>
          </w:p>
        </w:tc>
        <w:tc>
          <w:tcPr>
            <w:tcW w:w="1258" w:type="dxa"/>
            <w:tcBorders>
              <w:top w:val="nil"/>
              <w:left w:val="single" w:sz="4" w:space="0" w:color="595A5B" w:themeColor="text1"/>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16</w:t>
            </w:r>
          </w:p>
        </w:tc>
        <w:tc>
          <w:tcPr>
            <w:tcW w:w="675" w:type="dxa"/>
            <w:tcBorders>
              <w:top w:val="nil"/>
              <w:left w:val="nil"/>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52</w:t>
            </w:r>
          </w:p>
        </w:tc>
        <w:tc>
          <w:tcPr>
            <w:tcW w:w="756" w:type="dxa"/>
            <w:tcBorders>
              <w:top w:val="nil"/>
              <w:left w:val="nil"/>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240</w:t>
            </w:r>
          </w:p>
        </w:tc>
        <w:tc>
          <w:tcPr>
            <w:tcW w:w="838" w:type="dxa"/>
            <w:tcBorders>
              <w:top w:val="nil"/>
              <w:left w:val="nil"/>
              <w:bottom w:val="nil"/>
              <w:right w:val="single" w:sz="4" w:space="0" w:color="595A5B" w:themeColor="text1"/>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505</w:t>
            </w:r>
          </w:p>
        </w:tc>
        <w:tc>
          <w:tcPr>
            <w:tcW w:w="1217" w:type="dxa"/>
            <w:tcBorders>
              <w:top w:val="nil"/>
              <w:left w:val="single" w:sz="4" w:space="0" w:color="595A5B" w:themeColor="text1"/>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0.11</w:t>
            </w:r>
          </w:p>
        </w:tc>
        <w:tc>
          <w:tcPr>
            <w:tcW w:w="756" w:type="dxa"/>
            <w:tcBorders>
              <w:top w:val="nil"/>
              <w:left w:val="nil"/>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0.22</w:t>
            </w:r>
          </w:p>
        </w:tc>
        <w:tc>
          <w:tcPr>
            <w:tcW w:w="838" w:type="dxa"/>
            <w:tcBorders>
              <w:top w:val="nil"/>
              <w:left w:val="nil"/>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1.82</w:t>
            </w:r>
          </w:p>
        </w:tc>
        <w:tc>
          <w:tcPr>
            <w:tcW w:w="756" w:type="dxa"/>
            <w:tcBorders>
              <w:top w:val="nil"/>
              <w:left w:val="nil"/>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4.90</w:t>
            </w:r>
          </w:p>
        </w:tc>
      </w:tr>
      <w:tr w:rsidR="00CD045A" w:rsidTr="00997D7E">
        <w:trPr>
          <w:trHeight w:val="300"/>
        </w:trPr>
        <w:tc>
          <w:tcPr>
            <w:tcW w:w="3630" w:type="dxa"/>
            <w:tcBorders>
              <w:top w:val="nil"/>
              <w:left w:val="nil"/>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lang w:val="en-US"/>
              </w:rPr>
            </w:pPr>
            <w:r w:rsidRPr="00885151">
              <w:rPr>
                <w:rFonts w:asciiTheme="minorHAnsi" w:hAnsiTheme="minorHAnsi" w:cstheme="minorHAnsi"/>
                <w:color w:val="595A5B" w:themeColor="accent4"/>
                <w:sz w:val="18"/>
                <w:szCs w:val="18"/>
                <w:lang w:val="en-US"/>
              </w:rPr>
              <w:t>Retail trade</w:t>
            </w:r>
          </w:p>
        </w:tc>
        <w:tc>
          <w:tcPr>
            <w:tcW w:w="1217" w:type="dxa"/>
            <w:tcBorders>
              <w:top w:val="nil"/>
              <w:left w:val="nil"/>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0.14</w:t>
            </w:r>
          </w:p>
        </w:tc>
        <w:tc>
          <w:tcPr>
            <w:tcW w:w="755" w:type="dxa"/>
            <w:tcBorders>
              <w:top w:val="nil"/>
              <w:left w:val="nil"/>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0.34</w:t>
            </w:r>
          </w:p>
        </w:tc>
        <w:tc>
          <w:tcPr>
            <w:tcW w:w="756" w:type="dxa"/>
            <w:tcBorders>
              <w:top w:val="nil"/>
              <w:left w:val="nil"/>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1.88</w:t>
            </w:r>
          </w:p>
        </w:tc>
        <w:tc>
          <w:tcPr>
            <w:tcW w:w="675" w:type="dxa"/>
            <w:tcBorders>
              <w:top w:val="nil"/>
              <w:left w:val="nil"/>
              <w:bottom w:val="nil"/>
              <w:right w:val="single" w:sz="4" w:space="0" w:color="595A5B" w:themeColor="text1"/>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3.64</w:t>
            </w:r>
          </w:p>
        </w:tc>
        <w:tc>
          <w:tcPr>
            <w:tcW w:w="1258" w:type="dxa"/>
            <w:tcBorders>
              <w:top w:val="nil"/>
              <w:left w:val="single" w:sz="4" w:space="0" w:color="595A5B" w:themeColor="text1"/>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9</w:t>
            </w:r>
          </w:p>
        </w:tc>
        <w:tc>
          <w:tcPr>
            <w:tcW w:w="675" w:type="dxa"/>
            <w:tcBorders>
              <w:top w:val="nil"/>
              <w:left w:val="nil"/>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45</w:t>
            </w:r>
          </w:p>
        </w:tc>
        <w:tc>
          <w:tcPr>
            <w:tcW w:w="756" w:type="dxa"/>
            <w:tcBorders>
              <w:top w:val="nil"/>
              <w:left w:val="nil"/>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134</w:t>
            </w:r>
          </w:p>
        </w:tc>
        <w:tc>
          <w:tcPr>
            <w:tcW w:w="838" w:type="dxa"/>
            <w:tcBorders>
              <w:top w:val="nil"/>
              <w:left w:val="nil"/>
              <w:bottom w:val="nil"/>
              <w:right w:val="single" w:sz="4" w:space="0" w:color="595A5B" w:themeColor="text1"/>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170</w:t>
            </w:r>
          </w:p>
        </w:tc>
        <w:tc>
          <w:tcPr>
            <w:tcW w:w="1217" w:type="dxa"/>
            <w:tcBorders>
              <w:top w:val="nil"/>
              <w:left w:val="single" w:sz="4" w:space="0" w:color="595A5B" w:themeColor="text1"/>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0.12</w:t>
            </w:r>
          </w:p>
        </w:tc>
        <w:tc>
          <w:tcPr>
            <w:tcW w:w="756" w:type="dxa"/>
            <w:tcBorders>
              <w:top w:val="nil"/>
              <w:left w:val="nil"/>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0.23</w:t>
            </w:r>
          </w:p>
        </w:tc>
        <w:tc>
          <w:tcPr>
            <w:tcW w:w="838" w:type="dxa"/>
            <w:tcBorders>
              <w:top w:val="nil"/>
              <w:left w:val="nil"/>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1.36</w:t>
            </w:r>
          </w:p>
        </w:tc>
        <w:tc>
          <w:tcPr>
            <w:tcW w:w="756" w:type="dxa"/>
            <w:tcBorders>
              <w:top w:val="nil"/>
              <w:left w:val="nil"/>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2.67</w:t>
            </w:r>
          </w:p>
        </w:tc>
      </w:tr>
      <w:tr w:rsidR="00CD045A" w:rsidTr="00997D7E">
        <w:trPr>
          <w:trHeight w:val="300"/>
        </w:trPr>
        <w:tc>
          <w:tcPr>
            <w:tcW w:w="3630" w:type="dxa"/>
            <w:tcBorders>
              <w:top w:val="nil"/>
              <w:left w:val="nil"/>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lang w:val="en-US"/>
              </w:rPr>
            </w:pPr>
            <w:r w:rsidRPr="00885151">
              <w:rPr>
                <w:rFonts w:asciiTheme="minorHAnsi" w:hAnsiTheme="minorHAnsi" w:cstheme="minorHAnsi"/>
                <w:color w:val="595A5B" w:themeColor="accent4"/>
                <w:sz w:val="18"/>
                <w:szCs w:val="18"/>
                <w:lang w:val="en-US"/>
              </w:rPr>
              <w:t>Accommodation and food services</w:t>
            </w:r>
          </w:p>
        </w:tc>
        <w:tc>
          <w:tcPr>
            <w:tcW w:w="1217" w:type="dxa"/>
            <w:tcBorders>
              <w:top w:val="nil"/>
              <w:left w:val="nil"/>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0.10</w:t>
            </w:r>
          </w:p>
        </w:tc>
        <w:tc>
          <w:tcPr>
            <w:tcW w:w="755" w:type="dxa"/>
            <w:tcBorders>
              <w:top w:val="nil"/>
              <w:left w:val="nil"/>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0.22</w:t>
            </w:r>
          </w:p>
        </w:tc>
        <w:tc>
          <w:tcPr>
            <w:tcW w:w="756" w:type="dxa"/>
            <w:tcBorders>
              <w:top w:val="nil"/>
              <w:left w:val="nil"/>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0.68</w:t>
            </w:r>
          </w:p>
        </w:tc>
        <w:tc>
          <w:tcPr>
            <w:tcW w:w="675" w:type="dxa"/>
            <w:tcBorders>
              <w:top w:val="nil"/>
              <w:left w:val="nil"/>
              <w:bottom w:val="nil"/>
              <w:right w:val="single" w:sz="4" w:space="0" w:color="595A5B" w:themeColor="text1"/>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1.40</w:t>
            </w:r>
          </w:p>
        </w:tc>
        <w:tc>
          <w:tcPr>
            <w:tcW w:w="1258" w:type="dxa"/>
            <w:tcBorders>
              <w:top w:val="nil"/>
              <w:left w:val="single" w:sz="4" w:space="0" w:color="595A5B" w:themeColor="text1"/>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7</w:t>
            </w:r>
          </w:p>
        </w:tc>
        <w:tc>
          <w:tcPr>
            <w:tcW w:w="675" w:type="dxa"/>
            <w:tcBorders>
              <w:top w:val="nil"/>
              <w:left w:val="nil"/>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48</w:t>
            </w:r>
          </w:p>
        </w:tc>
        <w:tc>
          <w:tcPr>
            <w:tcW w:w="756" w:type="dxa"/>
            <w:tcBorders>
              <w:top w:val="nil"/>
              <w:left w:val="nil"/>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97</w:t>
            </w:r>
          </w:p>
        </w:tc>
        <w:tc>
          <w:tcPr>
            <w:tcW w:w="838" w:type="dxa"/>
            <w:tcBorders>
              <w:top w:val="nil"/>
              <w:left w:val="nil"/>
              <w:bottom w:val="nil"/>
              <w:right w:val="single" w:sz="4" w:space="0" w:color="595A5B" w:themeColor="text1"/>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134</w:t>
            </w:r>
          </w:p>
        </w:tc>
        <w:tc>
          <w:tcPr>
            <w:tcW w:w="1217" w:type="dxa"/>
            <w:tcBorders>
              <w:top w:val="nil"/>
              <w:left w:val="single" w:sz="4" w:space="0" w:color="595A5B" w:themeColor="text1"/>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0.07</w:t>
            </w:r>
          </w:p>
        </w:tc>
        <w:tc>
          <w:tcPr>
            <w:tcW w:w="756" w:type="dxa"/>
            <w:tcBorders>
              <w:top w:val="nil"/>
              <w:left w:val="nil"/>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0.12</w:t>
            </w:r>
          </w:p>
        </w:tc>
        <w:tc>
          <w:tcPr>
            <w:tcW w:w="838" w:type="dxa"/>
            <w:tcBorders>
              <w:top w:val="nil"/>
              <w:left w:val="nil"/>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0.36</w:t>
            </w:r>
          </w:p>
        </w:tc>
        <w:tc>
          <w:tcPr>
            <w:tcW w:w="756" w:type="dxa"/>
            <w:tcBorders>
              <w:top w:val="nil"/>
              <w:left w:val="nil"/>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0.76</w:t>
            </w:r>
          </w:p>
        </w:tc>
      </w:tr>
      <w:tr w:rsidR="00CD045A" w:rsidTr="00997D7E">
        <w:trPr>
          <w:trHeight w:val="300"/>
        </w:trPr>
        <w:tc>
          <w:tcPr>
            <w:tcW w:w="3630" w:type="dxa"/>
            <w:tcBorders>
              <w:top w:val="nil"/>
              <w:left w:val="nil"/>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lang w:val="en-US"/>
              </w:rPr>
            </w:pPr>
            <w:r w:rsidRPr="00885151">
              <w:rPr>
                <w:rFonts w:asciiTheme="minorHAnsi" w:hAnsiTheme="minorHAnsi" w:cstheme="minorHAnsi"/>
                <w:color w:val="595A5B" w:themeColor="accent4"/>
                <w:sz w:val="18"/>
                <w:szCs w:val="18"/>
                <w:lang w:val="en-US"/>
              </w:rPr>
              <w:t>Transport, postal and warehousing</w:t>
            </w:r>
          </w:p>
        </w:tc>
        <w:tc>
          <w:tcPr>
            <w:tcW w:w="1217" w:type="dxa"/>
            <w:tcBorders>
              <w:top w:val="nil"/>
              <w:left w:val="nil"/>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0.08</w:t>
            </w:r>
          </w:p>
        </w:tc>
        <w:tc>
          <w:tcPr>
            <w:tcW w:w="755" w:type="dxa"/>
            <w:tcBorders>
              <w:top w:val="nil"/>
              <w:left w:val="nil"/>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0.13</w:t>
            </w:r>
          </w:p>
        </w:tc>
        <w:tc>
          <w:tcPr>
            <w:tcW w:w="756" w:type="dxa"/>
            <w:tcBorders>
              <w:top w:val="nil"/>
              <w:left w:val="nil"/>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1.30</w:t>
            </w:r>
          </w:p>
        </w:tc>
        <w:tc>
          <w:tcPr>
            <w:tcW w:w="675" w:type="dxa"/>
            <w:tcBorders>
              <w:top w:val="nil"/>
              <w:left w:val="nil"/>
              <w:bottom w:val="nil"/>
              <w:right w:val="single" w:sz="4" w:space="0" w:color="595A5B" w:themeColor="text1"/>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3.92</w:t>
            </w:r>
          </w:p>
        </w:tc>
        <w:tc>
          <w:tcPr>
            <w:tcW w:w="1258" w:type="dxa"/>
            <w:tcBorders>
              <w:top w:val="nil"/>
              <w:left w:val="single" w:sz="4" w:space="0" w:color="595A5B" w:themeColor="text1"/>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35</w:t>
            </w:r>
          </w:p>
        </w:tc>
        <w:tc>
          <w:tcPr>
            <w:tcW w:w="675" w:type="dxa"/>
            <w:tcBorders>
              <w:top w:val="nil"/>
              <w:left w:val="nil"/>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51</w:t>
            </w:r>
          </w:p>
        </w:tc>
        <w:tc>
          <w:tcPr>
            <w:tcW w:w="756" w:type="dxa"/>
            <w:tcBorders>
              <w:top w:val="nil"/>
              <w:left w:val="nil"/>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168</w:t>
            </w:r>
          </w:p>
        </w:tc>
        <w:tc>
          <w:tcPr>
            <w:tcW w:w="838" w:type="dxa"/>
            <w:tcBorders>
              <w:top w:val="nil"/>
              <w:left w:val="nil"/>
              <w:bottom w:val="nil"/>
              <w:right w:val="single" w:sz="4" w:space="0" w:color="595A5B" w:themeColor="text1"/>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412</w:t>
            </w:r>
          </w:p>
        </w:tc>
        <w:tc>
          <w:tcPr>
            <w:tcW w:w="1217" w:type="dxa"/>
            <w:tcBorders>
              <w:top w:val="nil"/>
              <w:left w:val="single" w:sz="4" w:space="0" w:color="595A5B" w:themeColor="text1"/>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0.03</w:t>
            </w:r>
          </w:p>
        </w:tc>
        <w:tc>
          <w:tcPr>
            <w:tcW w:w="756" w:type="dxa"/>
            <w:tcBorders>
              <w:top w:val="nil"/>
              <w:left w:val="nil"/>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0.06</w:t>
            </w:r>
          </w:p>
        </w:tc>
        <w:tc>
          <w:tcPr>
            <w:tcW w:w="838" w:type="dxa"/>
            <w:tcBorders>
              <w:top w:val="nil"/>
              <w:left w:val="nil"/>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0.66</w:t>
            </w:r>
          </w:p>
        </w:tc>
        <w:tc>
          <w:tcPr>
            <w:tcW w:w="756" w:type="dxa"/>
            <w:tcBorders>
              <w:top w:val="nil"/>
              <w:left w:val="nil"/>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1.91</w:t>
            </w:r>
          </w:p>
        </w:tc>
      </w:tr>
      <w:tr w:rsidR="00CD045A" w:rsidTr="00997D7E">
        <w:trPr>
          <w:trHeight w:val="300"/>
        </w:trPr>
        <w:tc>
          <w:tcPr>
            <w:tcW w:w="3630" w:type="dxa"/>
            <w:tcBorders>
              <w:top w:val="nil"/>
              <w:left w:val="nil"/>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lang w:val="en-US"/>
              </w:rPr>
            </w:pPr>
            <w:r w:rsidRPr="00885151">
              <w:rPr>
                <w:rFonts w:asciiTheme="minorHAnsi" w:hAnsiTheme="minorHAnsi" w:cstheme="minorHAnsi"/>
                <w:color w:val="595A5B" w:themeColor="accent4"/>
                <w:sz w:val="18"/>
                <w:szCs w:val="18"/>
                <w:lang w:val="en-US"/>
              </w:rPr>
              <w:t>Financial and insurance services</w:t>
            </w:r>
          </w:p>
        </w:tc>
        <w:tc>
          <w:tcPr>
            <w:tcW w:w="1217" w:type="dxa"/>
            <w:tcBorders>
              <w:top w:val="nil"/>
              <w:left w:val="nil"/>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0.07</w:t>
            </w:r>
          </w:p>
        </w:tc>
        <w:tc>
          <w:tcPr>
            <w:tcW w:w="755" w:type="dxa"/>
            <w:tcBorders>
              <w:top w:val="nil"/>
              <w:left w:val="nil"/>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0.15</w:t>
            </w:r>
          </w:p>
        </w:tc>
        <w:tc>
          <w:tcPr>
            <w:tcW w:w="756" w:type="dxa"/>
            <w:tcBorders>
              <w:top w:val="nil"/>
              <w:left w:val="nil"/>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1.22</w:t>
            </w:r>
          </w:p>
        </w:tc>
        <w:tc>
          <w:tcPr>
            <w:tcW w:w="675" w:type="dxa"/>
            <w:tcBorders>
              <w:top w:val="nil"/>
              <w:left w:val="nil"/>
              <w:bottom w:val="nil"/>
              <w:right w:val="single" w:sz="4" w:space="0" w:color="595A5B" w:themeColor="text1"/>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4.02</w:t>
            </w:r>
          </w:p>
        </w:tc>
        <w:tc>
          <w:tcPr>
            <w:tcW w:w="1258" w:type="dxa"/>
            <w:tcBorders>
              <w:top w:val="nil"/>
              <w:left w:val="single" w:sz="4" w:space="0" w:color="595A5B" w:themeColor="text1"/>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25</w:t>
            </w:r>
          </w:p>
        </w:tc>
        <w:tc>
          <w:tcPr>
            <w:tcW w:w="675" w:type="dxa"/>
            <w:tcBorders>
              <w:top w:val="nil"/>
              <w:left w:val="nil"/>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78</w:t>
            </w:r>
          </w:p>
        </w:tc>
        <w:tc>
          <w:tcPr>
            <w:tcW w:w="756" w:type="dxa"/>
            <w:tcBorders>
              <w:top w:val="nil"/>
              <w:left w:val="nil"/>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211</w:t>
            </w:r>
          </w:p>
        </w:tc>
        <w:tc>
          <w:tcPr>
            <w:tcW w:w="838" w:type="dxa"/>
            <w:tcBorders>
              <w:top w:val="nil"/>
              <w:left w:val="nil"/>
              <w:bottom w:val="nil"/>
              <w:right w:val="single" w:sz="4" w:space="0" w:color="595A5B" w:themeColor="text1"/>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565</w:t>
            </w:r>
          </w:p>
        </w:tc>
        <w:tc>
          <w:tcPr>
            <w:tcW w:w="1217" w:type="dxa"/>
            <w:tcBorders>
              <w:top w:val="nil"/>
              <w:left w:val="single" w:sz="4" w:space="0" w:color="595A5B" w:themeColor="text1"/>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0.01</w:t>
            </w:r>
          </w:p>
        </w:tc>
        <w:tc>
          <w:tcPr>
            <w:tcW w:w="756" w:type="dxa"/>
            <w:tcBorders>
              <w:top w:val="nil"/>
              <w:left w:val="nil"/>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0.03</w:t>
            </w:r>
          </w:p>
        </w:tc>
        <w:tc>
          <w:tcPr>
            <w:tcW w:w="838" w:type="dxa"/>
            <w:tcBorders>
              <w:top w:val="nil"/>
              <w:left w:val="nil"/>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0.50</w:t>
            </w:r>
          </w:p>
        </w:tc>
        <w:tc>
          <w:tcPr>
            <w:tcW w:w="756" w:type="dxa"/>
            <w:tcBorders>
              <w:top w:val="nil"/>
              <w:left w:val="nil"/>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1.54</w:t>
            </w:r>
          </w:p>
        </w:tc>
      </w:tr>
      <w:tr w:rsidR="00CD045A" w:rsidTr="00997D7E">
        <w:trPr>
          <w:trHeight w:val="300"/>
        </w:trPr>
        <w:tc>
          <w:tcPr>
            <w:tcW w:w="3630" w:type="dxa"/>
            <w:tcBorders>
              <w:top w:val="nil"/>
              <w:left w:val="nil"/>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lang w:val="en-US"/>
              </w:rPr>
            </w:pPr>
            <w:r w:rsidRPr="00885151">
              <w:rPr>
                <w:rFonts w:asciiTheme="minorHAnsi" w:hAnsiTheme="minorHAnsi" w:cstheme="minorHAnsi"/>
                <w:color w:val="595A5B" w:themeColor="accent4"/>
                <w:sz w:val="18"/>
                <w:szCs w:val="18"/>
                <w:lang w:val="en-US"/>
              </w:rPr>
              <w:t>Rental, hiring and real estate services</w:t>
            </w:r>
          </w:p>
        </w:tc>
        <w:tc>
          <w:tcPr>
            <w:tcW w:w="1217" w:type="dxa"/>
            <w:tcBorders>
              <w:top w:val="nil"/>
              <w:left w:val="nil"/>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0.10</w:t>
            </w:r>
          </w:p>
        </w:tc>
        <w:tc>
          <w:tcPr>
            <w:tcW w:w="755" w:type="dxa"/>
            <w:tcBorders>
              <w:top w:val="nil"/>
              <w:left w:val="nil"/>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0.15</w:t>
            </w:r>
          </w:p>
        </w:tc>
        <w:tc>
          <w:tcPr>
            <w:tcW w:w="756" w:type="dxa"/>
            <w:tcBorders>
              <w:top w:val="nil"/>
              <w:left w:val="nil"/>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1.12</w:t>
            </w:r>
          </w:p>
        </w:tc>
        <w:tc>
          <w:tcPr>
            <w:tcW w:w="675" w:type="dxa"/>
            <w:tcBorders>
              <w:top w:val="nil"/>
              <w:left w:val="nil"/>
              <w:bottom w:val="nil"/>
              <w:right w:val="single" w:sz="4" w:space="0" w:color="595A5B" w:themeColor="text1"/>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3.34</w:t>
            </w:r>
          </w:p>
        </w:tc>
        <w:tc>
          <w:tcPr>
            <w:tcW w:w="1258" w:type="dxa"/>
            <w:tcBorders>
              <w:top w:val="nil"/>
              <w:left w:val="single" w:sz="4" w:space="0" w:color="595A5B" w:themeColor="text1"/>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59</w:t>
            </w:r>
          </w:p>
        </w:tc>
        <w:tc>
          <w:tcPr>
            <w:tcW w:w="675" w:type="dxa"/>
            <w:tcBorders>
              <w:top w:val="nil"/>
              <w:left w:val="nil"/>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85</w:t>
            </w:r>
          </w:p>
        </w:tc>
        <w:tc>
          <w:tcPr>
            <w:tcW w:w="756" w:type="dxa"/>
            <w:tcBorders>
              <w:top w:val="nil"/>
              <w:left w:val="nil"/>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178</w:t>
            </w:r>
          </w:p>
        </w:tc>
        <w:tc>
          <w:tcPr>
            <w:tcW w:w="838" w:type="dxa"/>
            <w:tcBorders>
              <w:top w:val="nil"/>
              <w:left w:val="nil"/>
              <w:bottom w:val="nil"/>
              <w:right w:val="single" w:sz="4" w:space="0" w:color="595A5B" w:themeColor="text1"/>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514</w:t>
            </w:r>
          </w:p>
        </w:tc>
        <w:tc>
          <w:tcPr>
            <w:tcW w:w="1217" w:type="dxa"/>
            <w:tcBorders>
              <w:top w:val="nil"/>
              <w:left w:val="single" w:sz="4" w:space="0" w:color="595A5B" w:themeColor="text1"/>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0.02</w:t>
            </w:r>
          </w:p>
        </w:tc>
        <w:tc>
          <w:tcPr>
            <w:tcW w:w="756" w:type="dxa"/>
            <w:tcBorders>
              <w:top w:val="nil"/>
              <w:left w:val="nil"/>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0.04</w:t>
            </w:r>
          </w:p>
        </w:tc>
        <w:tc>
          <w:tcPr>
            <w:tcW w:w="838" w:type="dxa"/>
            <w:tcBorders>
              <w:top w:val="nil"/>
              <w:left w:val="nil"/>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0.43</w:t>
            </w:r>
          </w:p>
        </w:tc>
        <w:tc>
          <w:tcPr>
            <w:tcW w:w="756" w:type="dxa"/>
            <w:tcBorders>
              <w:top w:val="nil"/>
              <w:left w:val="nil"/>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1.39</w:t>
            </w:r>
          </w:p>
        </w:tc>
      </w:tr>
      <w:tr w:rsidR="00CD045A" w:rsidTr="00997D7E">
        <w:trPr>
          <w:trHeight w:val="300"/>
        </w:trPr>
        <w:tc>
          <w:tcPr>
            <w:tcW w:w="3630" w:type="dxa"/>
            <w:tcBorders>
              <w:top w:val="nil"/>
              <w:left w:val="nil"/>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lang w:val="en-US"/>
              </w:rPr>
            </w:pPr>
            <w:r w:rsidRPr="00885151">
              <w:rPr>
                <w:rFonts w:asciiTheme="minorHAnsi" w:hAnsiTheme="minorHAnsi" w:cstheme="minorHAnsi"/>
                <w:color w:val="595A5B" w:themeColor="accent4"/>
                <w:sz w:val="18"/>
                <w:szCs w:val="18"/>
                <w:lang w:val="en-US"/>
              </w:rPr>
              <w:t>Professional, scientific and technical services</w:t>
            </w:r>
          </w:p>
        </w:tc>
        <w:tc>
          <w:tcPr>
            <w:tcW w:w="1217" w:type="dxa"/>
            <w:tcBorders>
              <w:top w:val="nil"/>
              <w:left w:val="nil"/>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0.09</w:t>
            </w:r>
          </w:p>
        </w:tc>
        <w:tc>
          <w:tcPr>
            <w:tcW w:w="755" w:type="dxa"/>
            <w:tcBorders>
              <w:top w:val="nil"/>
              <w:left w:val="nil"/>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0.18</w:t>
            </w:r>
          </w:p>
        </w:tc>
        <w:tc>
          <w:tcPr>
            <w:tcW w:w="756" w:type="dxa"/>
            <w:tcBorders>
              <w:top w:val="nil"/>
              <w:left w:val="nil"/>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1.24</w:t>
            </w:r>
          </w:p>
        </w:tc>
        <w:tc>
          <w:tcPr>
            <w:tcW w:w="675" w:type="dxa"/>
            <w:tcBorders>
              <w:top w:val="nil"/>
              <w:left w:val="nil"/>
              <w:bottom w:val="nil"/>
              <w:right w:val="single" w:sz="4" w:space="0" w:color="595A5B" w:themeColor="text1"/>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3.91</w:t>
            </w:r>
          </w:p>
        </w:tc>
        <w:tc>
          <w:tcPr>
            <w:tcW w:w="1258" w:type="dxa"/>
            <w:tcBorders>
              <w:top w:val="nil"/>
              <w:left w:val="single" w:sz="4" w:space="0" w:color="595A5B" w:themeColor="text1"/>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47</w:t>
            </w:r>
          </w:p>
        </w:tc>
        <w:tc>
          <w:tcPr>
            <w:tcW w:w="675" w:type="dxa"/>
            <w:tcBorders>
              <w:top w:val="nil"/>
              <w:left w:val="nil"/>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66</w:t>
            </w:r>
          </w:p>
        </w:tc>
        <w:tc>
          <w:tcPr>
            <w:tcW w:w="756" w:type="dxa"/>
            <w:tcBorders>
              <w:top w:val="nil"/>
              <w:left w:val="nil"/>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207</w:t>
            </w:r>
          </w:p>
        </w:tc>
        <w:tc>
          <w:tcPr>
            <w:tcW w:w="838" w:type="dxa"/>
            <w:tcBorders>
              <w:top w:val="nil"/>
              <w:left w:val="nil"/>
              <w:bottom w:val="nil"/>
              <w:right w:val="single" w:sz="4" w:space="0" w:color="595A5B" w:themeColor="text1"/>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617</w:t>
            </w:r>
          </w:p>
        </w:tc>
        <w:tc>
          <w:tcPr>
            <w:tcW w:w="1217" w:type="dxa"/>
            <w:tcBorders>
              <w:top w:val="nil"/>
              <w:left w:val="single" w:sz="4" w:space="0" w:color="595A5B" w:themeColor="text1"/>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0.02</w:t>
            </w:r>
          </w:p>
        </w:tc>
        <w:tc>
          <w:tcPr>
            <w:tcW w:w="756" w:type="dxa"/>
            <w:tcBorders>
              <w:top w:val="nil"/>
              <w:left w:val="nil"/>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0.05</w:t>
            </w:r>
          </w:p>
        </w:tc>
        <w:tc>
          <w:tcPr>
            <w:tcW w:w="838" w:type="dxa"/>
            <w:tcBorders>
              <w:top w:val="nil"/>
              <w:left w:val="nil"/>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0.44</w:t>
            </w:r>
          </w:p>
        </w:tc>
        <w:tc>
          <w:tcPr>
            <w:tcW w:w="756" w:type="dxa"/>
            <w:tcBorders>
              <w:top w:val="nil"/>
              <w:left w:val="nil"/>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1.41</w:t>
            </w:r>
          </w:p>
        </w:tc>
      </w:tr>
      <w:tr w:rsidR="00CD045A" w:rsidTr="00997D7E">
        <w:trPr>
          <w:trHeight w:val="300"/>
        </w:trPr>
        <w:tc>
          <w:tcPr>
            <w:tcW w:w="3630" w:type="dxa"/>
            <w:tcBorders>
              <w:top w:val="nil"/>
              <w:left w:val="nil"/>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lang w:val="en-US"/>
              </w:rPr>
            </w:pPr>
            <w:r w:rsidRPr="00885151">
              <w:rPr>
                <w:rFonts w:asciiTheme="minorHAnsi" w:hAnsiTheme="minorHAnsi" w:cstheme="minorHAnsi"/>
                <w:color w:val="595A5B" w:themeColor="accent4"/>
                <w:sz w:val="18"/>
                <w:szCs w:val="18"/>
                <w:lang w:val="en-US"/>
              </w:rPr>
              <w:t>Administrative and support services</w:t>
            </w:r>
          </w:p>
        </w:tc>
        <w:tc>
          <w:tcPr>
            <w:tcW w:w="1217" w:type="dxa"/>
            <w:tcBorders>
              <w:top w:val="nil"/>
              <w:left w:val="nil"/>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0.08</w:t>
            </w:r>
          </w:p>
        </w:tc>
        <w:tc>
          <w:tcPr>
            <w:tcW w:w="755" w:type="dxa"/>
            <w:tcBorders>
              <w:top w:val="nil"/>
              <w:left w:val="nil"/>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0.14</w:t>
            </w:r>
          </w:p>
        </w:tc>
        <w:tc>
          <w:tcPr>
            <w:tcW w:w="756" w:type="dxa"/>
            <w:tcBorders>
              <w:top w:val="nil"/>
              <w:left w:val="nil"/>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0.78</w:t>
            </w:r>
          </w:p>
        </w:tc>
        <w:tc>
          <w:tcPr>
            <w:tcW w:w="675" w:type="dxa"/>
            <w:tcBorders>
              <w:top w:val="nil"/>
              <w:left w:val="nil"/>
              <w:bottom w:val="nil"/>
              <w:right w:val="single" w:sz="4" w:space="0" w:color="595A5B" w:themeColor="text1"/>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2.88</w:t>
            </w:r>
          </w:p>
        </w:tc>
        <w:tc>
          <w:tcPr>
            <w:tcW w:w="1258" w:type="dxa"/>
            <w:tcBorders>
              <w:top w:val="nil"/>
              <w:left w:val="single" w:sz="4" w:space="0" w:color="595A5B" w:themeColor="text1"/>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36</w:t>
            </w:r>
          </w:p>
        </w:tc>
        <w:tc>
          <w:tcPr>
            <w:tcW w:w="675" w:type="dxa"/>
            <w:tcBorders>
              <w:top w:val="nil"/>
              <w:left w:val="nil"/>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53</w:t>
            </w:r>
          </w:p>
        </w:tc>
        <w:tc>
          <w:tcPr>
            <w:tcW w:w="756" w:type="dxa"/>
            <w:tcBorders>
              <w:top w:val="nil"/>
              <w:left w:val="nil"/>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129</w:t>
            </w:r>
          </w:p>
        </w:tc>
        <w:tc>
          <w:tcPr>
            <w:tcW w:w="838" w:type="dxa"/>
            <w:tcBorders>
              <w:top w:val="nil"/>
              <w:left w:val="nil"/>
              <w:bottom w:val="nil"/>
              <w:right w:val="single" w:sz="4" w:space="0" w:color="595A5B" w:themeColor="text1"/>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320</w:t>
            </w:r>
          </w:p>
        </w:tc>
        <w:tc>
          <w:tcPr>
            <w:tcW w:w="1217" w:type="dxa"/>
            <w:tcBorders>
              <w:top w:val="nil"/>
              <w:left w:val="single" w:sz="4" w:space="0" w:color="595A5B" w:themeColor="text1"/>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0.03</w:t>
            </w:r>
          </w:p>
        </w:tc>
        <w:tc>
          <w:tcPr>
            <w:tcW w:w="756" w:type="dxa"/>
            <w:tcBorders>
              <w:top w:val="nil"/>
              <w:left w:val="nil"/>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0.05</w:t>
            </w:r>
          </w:p>
        </w:tc>
        <w:tc>
          <w:tcPr>
            <w:tcW w:w="838" w:type="dxa"/>
            <w:tcBorders>
              <w:top w:val="nil"/>
              <w:left w:val="nil"/>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0.27</w:t>
            </w:r>
          </w:p>
        </w:tc>
        <w:tc>
          <w:tcPr>
            <w:tcW w:w="756" w:type="dxa"/>
            <w:tcBorders>
              <w:top w:val="nil"/>
              <w:left w:val="nil"/>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0.82</w:t>
            </w:r>
          </w:p>
        </w:tc>
      </w:tr>
      <w:tr w:rsidR="00CD045A" w:rsidTr="00997D7E">
        <w:trPr>
          <w:trHeight w:val="300"/>
        </w:trPr>
        <w:tc>
          <w:tcPr>
            <w:tcW w:w="3630" w:type="dxa"/>
            <w:tcBorders>
              <w:top w:val="nil"/>
              <w:left w:val="nil"/>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lang w:val="en-US"/>
              </w:rPr>
            </w:pPr>
            <w:r w:rsidRPr="00885151">
              <w:rPr>
                <w:rFonts w:asciiTheme="minorHAnsi" w:hAnsiTheme="minorHAnsi" w:cstheme="minorHAnsi"/>
                <w:color w:val="595A5B" w:themeColor="accent4"/>
                <w:sz w:val="18"/>
                <w:szCs w:val="18"/>
                <w:lang w:val="en-US"/>
              </w:rPr>
              <w:t>Education and Training</w:t>
            </w:r>
          </w:p>
        </w:tc>
        <w:tc>
          <w:tcPr>
            <w:tcW w:w="1217" w:type="dxa"/>
            <w:tcBorders>
              <w:top w:val="nil"/>
              <w:left w:val="nil"/>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0.07</w:t>
            </w:r>
          </w:p>
        </w:tc>
        <w:tc>
          <w:tcPr>
            <w:tcW w:w="755" w:type="dxa"/>
            <w:tcBorders>
              <w:top w:val="nil"/>
              <w:left w:val="nil"/>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0.15</w:t>
            </w:r>
          </w:p>
        </w:tc>
        <w:tc>
          <w:tcPr>
            <w:tcW w:w="756" w:type="dxa"/>
            <w:tcBorders>
              <w:top w:val="nil"/>
              <w:left w:val="nil"/>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0.78</w:t>
            </w:r>
          </w:p>
        </w:tc>
        <w:tc>
          <w:tcPr>
            <w:tcW w:w="675" w:type="dxa"/>
            <w:tcBorders>
              <w:top w:val="nil"/>
              <w:left w:val="nil"/>
              <w:bottom w:val="nil"/>
              <w:right w:val="single" w:sz="4" w:space="0" w:color="595A5B" w:themeColor="text1"/>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2.10</w:t>
            </w:r>
          </w:p>
        </w:tc>
        <w:tc>
          <w:tcPr>
            <w:tcW w:w="1258" w:type="dxa"/>
            <w:tcBorders>
              <w:top w:val="nil"/>
              <w:left w:val="single" w:sz="4" w:space="0" w:color="595A5B" w:themeColor="text1"/>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32</w:t>
            </w:r>
          </w:p>
        </w:tc>
        <w:tc>
          <w:tcPr>
            <w:tcW w:w="675" w:type="dxa"/>
            <w:tcBorders>
              <w:top w:val="nil"/>
              <w:left w:val="nil"/>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51</w:t>
            </w:r>
          </w:p>
        </w:tc>
        <w:tc>
          <w:tcPr>
            <w:tcW w:w="756" w:type="dxa"/>
            <w:tcBorders>
              <w:top w:val="nil"/>
              <w:left w:val="nil"/>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78</w:t>
            </w:r>
          </w:p>
        </w:tc>
        <w:tc>
          <w:tcPr>
            <w:tcW w:w="838" w:type="dxa"/>
            <w:tcBorders>
              <w:top w:val="nil"/>
              <w:left w:val="nil"/>
              <w:bottom w:val="nil"/>
              <w:right w:val="single" w:sz="4" w:space="0" w:color="595A5B" w:themeColor="text1"/>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226</w:t>
            </w:r>
          </w:p>
        </w:tc>
        <w:tc>
          <w:tcPr>
            <w:tcW w:w="1217" w:type="dxa"/>
            <w:tcBorders>
              <w:top w:val="nil"/>
              <w:left w:val="single" w:sz="4" w:space="0" w:color="595A5B" w:themeColor="text1"/>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0.03</w:t>
            </w:r>
          </w:p>
        </w:tc>
        <w:tc>
          <w:tcPr>
            <w:tcW w:w="756" w:type="dxa"/>
            <w:tcBorders>
              <w:top w:val="nil"/>
              <w:left w:val="nil"/>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0.06</w:t>
            </w:r>
          </w:p>
        </w:tc>
        <w:tc>
          <w:tcPr>
            <w:tcW w:w="838" w:type="dxa"/>
            <w:tcBorders>
              <w:top w:val="nil"/>
              <w:left w:val="nil"/>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0.37</w:t>
            </w:r>
          </w:p>
        </w:tc>
        <w:tc>
          <w:tcPr>
            <w:tcW w:w="756" w:type="dxa"/>
            <w:tcBorders>
              <w:top w:val="nil"/>
              <w:left w:val="nil"/>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0.81</w:t>
            </w:r>
          </w:p>
        </w:tc>
      </w:tr>
      <w:tr w:rsidR="00CD045A" w:rsidTr="00997D7E">
        <w:trPr>
          <w:trHeight w:val="300"/>
        </w:trPr>
        <w:tc>
          <w:tcPr>
            <w:tcW w:w="3630" w:type="dxa"/>
            <w:tcBorders>
              <w:top w:val="nil"/>
              <w:left w:val="nil"/>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lang w:val="en-US"/>
              </w:rPr>
            </w:pPr>
            <w:r w:rsidRPr="00885151">
              <w:rPr>
                <w:rFonts w:asciiTheme="minorHAnsi" w:hAnsiTheme="minorHAnsi" w:cstheme="minorHAnsi"/>
                <w:color w:val="595A5B" w:themeColor="accent4"/>
                <w:sz w:val="18"/>
                <w:szCs w:val="18"/>
                <w:lang w:val="en-US"/>
              </w:rPr>
              <w:t>Health care and social assistance</w:t>
            </w:r>
          </w:p>
        </w:tc>
        <w:tc>
          <w:tcPr>
            <w:tcW w:w="1217" w:type="dxa"/>
            <w:tcBorders>
              <w:top w:val="nil"/>
              <w:left w:val="nil"/>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0.10</w:t>
            </w:r>
          </w:p>
        </w:tc>
        <w:tc>
          <w:tcPr>
            <w:tcW w:w="755" w:type="dxa"/>
            <w:tcBorders>
              <w:top w:val="nil"/>
              <w:left w:val="nil"/>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0.27</w:t>
            </w:r>
          </w:p>
        </w:tc>
        <w:tc>
          <w:tcPr>
            <w:tcW w:w="756" w:type="dxa"/>
            <w:tcBorders>
              <w:top w:val="nil"/>
              <w:left w:val="nil"/>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0.86</w:t>
            </w:r>
          </w:p>
        </w:tc>
        <w:tc>
          <w:tcPr>
            <w:tcW w:w="675" w:type="dxa"/>
            <w:tcBorders>
              <w:top w:val="nil"/>
              <w:left w:val="nil"/>
              <w:bottom w:val="nil"/>
              <w:right w:val="single" w:sz="4" w:space="0" w:color="595A5B" w:themeColor="text1"/>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1.48</w:t>
            </w:r>
          </w:p>
        </w:tc>
        <w:tc>
          <w:tcPr>
            <w:tcW w:w="1258" w:type="dxa"/>
            <w:tcBorders>
              <w:top w:val="nil"/>
              <w:left w:val="single" w:sz="4" w:space="0" w:color="595A5B" w:themeColor="text1"/>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50</w:t>
            </w:r>
          </w:p>
        </w:tc>
        <w:tc>
          <w:tcPr>
            <w:tcW w:w="675" w:type="dxa"/>
            <w:tcBorders>
              <w:top w:val="nil"/>
              <w:left w:val="nil"/>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107</w:t>
            </w:r>
          </w:p>
        </w:tc>
        <w:tc>
          <w:tcPr>
            <w:tcW w:w="756" w:type="dxa"/>
            <w:tcBorders>
              <w:top w:val="nil"/>
              <w:left w:val="nil"/>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152</w:t>
            </w:r>
          </w:p>
        </w:tc>
        <w:tc>
          <w:tcPr>
            <w:tcW w:w="838" w:type="dxa"/>
            <w:tcBorders>
              <w:top w:val="nil"/>
              <w:left w:val="nil"/>
              <w:bottom w:val="nil"/>
              <w:right w:val="single" w:sz="4" w:space="0" w:color="595A5B" w:themeColor="text1"/>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284</w:t>
            </w:r>
          </w:p>
        </w:tc>
        <w:tc>
          <w:tcPr>
            <w:tcW w:w="1217" w:type="dxa"/>
            <w:tcBorders>
              <w:top w:val="nil"/>
              <w:left w:val="single" w:sz="4" w:space="0" w:color="595A5B" w:themeColor="text1"/>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0.03</w:t>
            </w:r>
          </w:p>
        </w:tc>
        <w:tc>
          <w:tcPr>
            <w:tcW w:w="756" w:type="dxa"/>
            <w:tcBorders>
              <w:top w:val="nil"/>
              <w:left w:val="nil"/>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0.08</w:t>
            </w:r>
          </w:p>
        </w:tc>
        <w:tc>
          <w:tcPr>
            <w:tcW w:w="838" w:type="dxa"/>
            <w:tcBorders>
              <w:top w:val="nil"/>
              <w:left w:val="nil"/>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0.34</w:t>
            </w:r>
          </w:p>
        </w:tc>
        <w:tc>
          <w:tcPr>
            <w:tcW w:w="756" w:type="dxa"/>
            <w:tcBorders>
              <w:top w:val="nil"/>
              <w:left w:val="nil"/>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0.53</w:t>
            </w:r>
          </w:p>
        </w:tc>
      </w:tr>
      <w:tr w:rsidR="00CD045A" w:rsidTr="00997D7E">
        <w:trPr>
          <w:trHeight w:val="300"/>
        </w:trPr>
        <w:tc>
          <w:tcPr>
            <w:tcW w:w="3630" w:type="dxa"/>
            <w:tcBorders>
              <w:top w:val="nil"/>
              <w:left w:val="nil"/>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lang w:val="en-US"/>
              </w:rPr>
            </w:pPr>
            <w:r w:rsidRPr="00885151">
              <w:rPr>
                <w:rFonts w:asciiTheme="minorHAnsi" w:hAnsiTheme="minorHAnsi" w:cstheme="minorHAnsi"/>
                <w:color w:val="595A5B" w:themeColor="accent4"/>
                <w:sz w:val="18"/>
                <w:szCs w:val="18"/>
                <w:lang w:val="en-US"/>
              </w:rPr>
              <w:t>Arts and recreation services</w:t>
            </w:r>
          </w:p>
        </w:tc>
        <w:tc>
          <w:tcPr>
            <w:tcW w:w="1217" w:type="dxa"/>
            <w:tcBorders>
              <w:top w:val="nil"/>
              <w:left w:val="nil"/>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0.08</w:t>
            </w:r>
          </w:p>
        </w:tc>
        <w:tc>
          <w:tcPr>
            <w:tcW w:w="755" w:type="dxa"/>
            <w:tcBorders>
              <w:top w:val="nil"/>
              <w:left w:val="nil"/>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0.15</w:t>
            </w:r>
          </w:p>
        </w:tc>
        <w:tc>
          <w:tcPr>
            <w:tcW w:w="756" w:type="dxa"/>
            <w:tcBorders>
              <w:top w:val="nil"/>
              <w:left w:val="nil"/>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0.58</w:t>
            </w:r>
          </w:p>
        </w:tc>
        <w:tc>
          <w:tcPr>
            <w:tcW w:w="675" w:type="dxa"/>
            <w:tcBorders>
              <w:top w:val="nil"/>
              <w:left w:val="nil"/>
              <w:bottom w:val="nil"/>
              <w:right w:val="single" w:sz="4" w:space="0" w:color="595A5B" w:themeColor="text1"/>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w:t>
            </w:r>
          </w:p>
        </w:tc>
        <w:tc>
          <w:tcPr>
            <w:tcW w:w="1258" w:type="dxa"/>
            <w:tcBorders>
              <w:top w:val="nil"/>
              <w:left w:val="single" w:sz="4" w:space="0" w:color="595A5B" w:themeColor="text1"/>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32</w:t>
            </w:r>
          </w:p>
        </w:tc>
        <w:tc>
          <w:tcPr>
            <w:tcW w:w="675" w:type="dxa"/>
            <w:tcBorders>
              <w:top w:val="nil"/>
              <w:left w:val="nil"/>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46</w:t>
            </w:r>
          </w:p>
        </w:tc>
        <w:tc>
          <w:tcPr>
            <w:tcW w:w="756" w:type="dxa"/>
            <w:tcBorders>
              <w:top w:val="nil"/>
              <w:left w:val="nil"/>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83</w:t>
            </w:r>
          </w:p>
        </w:tc>
        <w:tc>
          <w:tcPr>
            <w:tcW w:w="838" w:type="dxa"/>
            <w:tcBorders>
              <w:top w:val="nil"/>
              <w:left w:val="nil"/>
              <w:bottom w:val="nil"/>
              <w:right w:val="single" w:sz="4" w:space="0" w:color="595A5B" w:themeColor="text1"/>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w:t>
            </w:r>
          </w:p>
        </w:tc>
        <w:tc>
          <w:tcPr>
            <w:tcW w:w="1217" w:type="dxa"/>
            <w:tcBorders>
              <w:top w:val="nil"/>
              <w:left w:val="single" w:sz="4" w:space="0" w:color="595A5B" w:themeColor="text1"/>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0.04</w:t>
            </w:r>
          </w:p>
        </w:tc>
        <w:tc>
          <w:tcPr>
            <w:tcW w:w="756" w:type="dxa"/>
            <w:tcBorders>
              <w:top w:val="nil"/>
              <w:left w:val="nil"/>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0.07</w:t>
            </w:r>
          </w:p>
        </w:tc>
        <w:tc>
          <w:tcPr>
            <w:tcW w:w="838" w:type="dxa"/>
            <w:tcBorders>
              <w:top w:val="nil"/>
              <w:left w:val="nil"/>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0.31</w:t>
            </w:r>
          </w:p>
        </w:tc>
        <w:tc>
          <w:tcPr>
            <w:tcW w:w="756" w:type="dxa"/>
            <w:tcBorders>
              <w:top w:val="nil"/>
              <w:left w:val="nil"/>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w:t>
            </w:r>
          </w:p>
        </w:tc>
      </w:tr>
      <w:tr w:rsidR="00CD045A" w:rsidTr="00997D7E">
        <w:trPr>
          <w:trHeight w:val="300"/>
        </w:trPr>
        <w:tc>
          <w:tcPr>
            <w:tcW w:w="3630" w:type="dxa"/>
            <w:tcBorders>
              <w:top w:val="nil"/>
              <w:left w:val="nil"/>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lang w:val="en-US"/>
              </w:rPr>
            </w:pPr>
            <w:r w:rsidRPr="00885151">
              <w:rPr>
                <w:rFonts w:asciiTheme="minorHAnsi" w:hAnsiTheme="minorHAnsi" w:cstheme="minorHAnsi"/>
                <w:color w:val="595A5B" w:themeColor="accent4"/>
                <w:sz w:val="18"/>
                <w:szCs w:val="18"/>
                <w:lang w:val="en-US"/>
              </w:rPr>
              <w:t>Other services</w:t>
            </w:r>
          </w:p>
        </w:tc>
        <w:tc>
          <w:tcPr>
            <w:tcW w:w="1217" w:type="dxa"/>
            <w:tcBorders>
              <w:top w:val="nil"/>
              <w:left w:val="nil"/>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0.08</w:t>
            </w:r>
          </w:p>
        </w:tc>
        <w:tc>
          <w:tcPr>
            <w:tcW w:w="755" w:type="dxa"/>
            <w:tcBorders>
              <w:top w:val="nil"/>
              <w:left w:val="nil"/>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0.17</w:t>
            </w:r>
          </w:p>
        </w:tc>
        <w:tc>
          <w:tcPr>
            <w:tcW w:w="756" w:type="dxa"/>
            <w:tcBorders>
              <w:top w:val="nil"/>
              <w:left w:val="nil"/>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0.81</w:t>
            </w:r>
          </w:p>
        </w:tc>
        <w:tc>
          <w:tcPr>
            <w:tcW w:w="675" w:type="dxa"/>
            <w:tcBorders>
              <w:top w:val="nil"/>
              <w:left w:val="nil"/>
              <w:bottom w:val="nil"/>
              <w:right w:val="single" w:sz="4" w:space="0" w:color="595A5B" w:themeColor="text1"/>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3.42</w:t>
            </w:r>
          </w:p>
        </w:tc>
        <w:tc>
          <w:tcPr>
            <w:tcW w:w="1258" w:type="dxa"/>
            <w:tcBorders>
              <w:top w:val="nil"/>
              <w:left w:val="single" w:sz="4" w:space="0" w:color="595A5B" w:themeColor="text1"/>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26</w:t>
            </w:r>
          </w:p>
        </w:tc>
        <w:tc>
          <w:tcPr>
            <w:tcW w:w="675" w:type="dxa"/>
            <w:tcBorders>
              <w:top w:val="nil"/>
              <w:left w:val="nil"/>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46</w:t>
            </w:r>
          </w:p>
        </w:tc>
        <w:tc>
          <w:tcPr>
            <w:tcW w:w="756" w:type="dxa"/>
            <w:tcBorders>
              <w:top w:val="nil"/>
              <w:left w:val="nil"/>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89</w:t>
            </w:r>
          </w:p>
        </w:tc>
        <w:tc>
          <w:tcPr>
            <w:tcW w:w="838" w:type="dxa"/>
            <w:tcBorders>
              <w:top w:val="nil"/>
              <w:left w:val="nil"/>
              <w:bottom w:val="nil"/>
              <w:right w:val="single" w:sz="4" w:space="0" w:color="595A5B" w:themeColor="text1"/>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375</w:t>
            </w:r>
          </w:p>
        </w:tc>
        <w:tc>
          <w:tcPr>
            <w:tcW w:w="1217" w:type="dxa"/>
            <w:tcBorders>
              <w:top w:val="nil"/>
              <w:left w:val="single" w:sz="4" w:space="0" w:color="595A5B" w:themeColor="text1"/>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0.05</w:t>
            </w:r>
          </w:p>
        </w:tc>
        <w:tc>
          <w:tcPr>
            <w:tcW w:w="756" w:type="dxa"/>
            <w:tcBorders>
              <w:top w:val="nil"/>
              <w:left w:val="nil"/>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0.08</w:t>
            </w:r>
          </w:p>
        </w:tc>
        <w:tc>
          <w:tcPr>
            <w:tcW w:w="838" w:type="dxa"/>
            <w:tcBorders>
              <w:top w:val="nil"/>
              <w:left w:val="nil"/>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0.45</w:t>
            </w:r>
          </w:p>
        </w:tc>
        <w:tc>
          <w:tcPr>
            <w:tcW w:w="756" w:type="dxa"/>
            <w:tcBorders>
              <w:top w:val="nil"/>
              <w:left w:val="nil"/>
              <w:bottom w:val="nil"/>
              <w:right w:val="nil"/>
            </w:tcBorders>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rPr>
            </w:pPr>
            <w:r w:rsidRPr="00885151">
              <w:rPr>
                <w:rFonts w:asciiTheme="minorHAnsi" w:hAnsiTheme="minorHAnsi" w:cstheme="minorHAnsi"/>
                <w:color w:val="595A5B" w:themeColor="accent4"/>
                <w:sz w:val="18"/>
                <w:szCs w:val="18"/>
              </w:rPr>
              <w:t>1.38</w:t>
            </w:r>
          </w:p>
        </w:tc>
      </w:tr>
    </w:tbl>
    <w:p w:rsidR="00CD045A" w:rsidRDefault="00CD045A" w:rsidP="00DB555F">
      <w:pPr>
        <w:pStyle w:val="NoteWide"/>
      </w:pPr>
    </w:p>
    <w:p w:rsidR="00CD045A" w:rsidRPr="00A30089" w:rsidRDefault="00CD045A" w:rsidP="00DB555F">
      <w:pPr>
        <w:pStyle w:val="NoteWide"/>
      </w:pPr>
      <w:r w:rsidRPr="00A30089">
        <w:t>Note</w:t>
      </w:r>
      <w:r>
        <w:t xml:space="preserve">s: </w:t>
      </w:r>
      <w:r w:rsidRPr="00910D66">
        <w:t>Electricity, gas, water and waste services</w:t>
      </w:r>
      <w:r>
        <w:t xml:space="preserve"> and </w:t>
      </w:r>
      <w:r w:rsidRPr="00910D66">
        <w:t>Information, media and telecommunications</w:t>
      </w:r>
      <w:r>
        <w:t xml:space="preserve"> ANZSIC industry d</w:t>
      </w:r>
      <w:r w:rsidRPr="002157A3">
        <w:t>ivisions are excluded due to the small number of observations.</w:t>
      </w:r>
      <w:r>
        <w:t xml:space="preserve"> Size of firm is by employee headcount.</w:t>
      </w:r>
    </w:p>
    <w:p w:rsidR="00CD045A" w:rsidRPr="00A30089" w:rsidRDefault="00CD045A" w:rsidP="00DB555F">
      <w:pPr>
        <w:pStyle w:val="SourceWide"/>
      </w:pPr>
      <w:r>
        <w:t xml:space="preserve">Source: </w:t>
      </w:r>
      <w:r w:rsidRPr="00683EED">
        <w:t xml:space="preserve">ABS (2015) </w:t>
      </w:r>
      <w:r>
        <w:t>Expanded</w:t>
      </w:r>
      <w:r w:rsidRPr="00683EED">
        <w:t xml:space="preserve"> Analytical </w:t>
      </w:r>
      <w:r>
        <w:t xml:space="preserve">Business </w:t>
      </w:r>
      <w:r w:rsidRPr="00683EED">
        <w:t>Longitudinal Database</w:t>
      </w:r>
      <w:r w:rsidR="00885151">
        <w:t xml:space="preserve"> 2001–02 to 2012–</w:t>
      </w:r>
      <w:r>
        <w:t>13</w:t>
      </w:r>
    </w:p>
    <w:p w:rsidR="00CD045A" w:rsidRDefault="00CD045A" w:rsidP="00DB555F">
      <w:pPr>
        <w:pStyle w:val="BodyText"/>
      </w:pPr>
    </w:p>
    <w:p w:rsidR="00CD045A" w:rsidRPr="000618FB" w:rsidRDefault="00CD045A" w:rsidP="00DB555F">
      <w:pPr>
        <w:pStyle w:val="CaptionWide"/>
      </w:pPr>
      <w:r w:rsidRPr="000618FB">
        <w:t xml:space="preserve">Table </w:t>
      </w:r>
      <w:r w:rsidR="00E76CB0">
        <w:t>B</w:t>
      </w:r>
      <w:r>
        <w:t>5: Median micro-start-up industry value added, employees and labour productivity by age, five year employment growth</w:t>
      </w:r>
      <w:r w:rsidR="00946388">
        <w:t xml:space="preserve"> performance and industry, 2006–</w:t>
      </w:r>
      <w:r>
        <w:t>2011</w:t>
      </w:r>
    </w:p>
    <w:tbl>
      <w:tblPr>
        <w:tblW w:w="14083" w:type="dxa"/>
        <w:tblInd w:w="91" w:type="dxa"/>
        <w:tblBorders>
          <w:right w:val="single" w:sz="4" w:space="0" w:color="FFFFFF" w:themeColor="text2"/>
        </w:tblBorders>
        <w:tblLook w:val="04A0" w:firstRow="1" w:lastRow="0" w:firstColumn="1" w:lastColumn="0" w:noHBand="0" w:noVBand="1"/>
      </w:tblPr>
      <w:tblGrid>
        <w:gridCol w:w="6"/>
        <w:gridCol w:w="3623"/>
        <w:gridCol w:w="1217"/>
        <w:gridCol w:w="754"/>
        <w:gridCol w:w="79"/>
        <w:gridCol w:w="677"/>
        <w:gridCol w:w="675"/>
        <w:gridCol w:w="1217"/>
        <w:gridCol w:w="675"/>
        <w:gridCol w:w="756"/>
        <w:gridCol w:w="837"/>
        <w:gridCol w:w="1217"/>
        <w:gridCol w:w="756"/>
        <w:gridCol w:w="78"/>
        <w:gridCol w:w="760"/>
        <w:gridCol w:w="756"/>
      </w:tblGrid>
      <w:tr w:rsidR="00CD045A" w:rsidRPr="006131B9" w:rsidTr="00997D7E">
        <w:trPr>
          <w:gridBefore w:val="1"/>
          <w:wBefore w:w="6" w:type="dxa"/>
          <w:trHeight w:val="396"/>
        </w:trPr>
        <w:tc>
          <w:tcPr>
            <w:tcW w:w="3624" w:type="dxa"/>
            <w:shd w:val="clear" w:color="auto" w:fill="22789A" w:themeFill="accent1"/>
            <w:noWrap/>
            <w:vAlign w:val="bottom"/>
            <w:hideMark/>
          </w:tcPr>
          <w:p w:rsidR="00CD045A" w:rsidRPr="00885151" w:rsidRDefault="00CD045A" w:rsidP="00DB555F">
            <w:pPr>
              <w:pStyle w:val="Tabletext"/>
              <w:rPr>
                <w:i/>
                <w:color w:val="FFFFFF" w:themeColor="background1"/>
                <w:lang w:eastAsia="en-AU"/>
              </w:rPr>
            </w:pPr>
          </w:p>
        </w:tc>
        <w:tc>
          <w:tcPr>
            <w:tcW w:w="3401" w:type="dxa"/>
            <w:gridSpan w:val="5"/>
            <w:tcBorders>
              <w:right w:val="single" w:sz="4" w:space="0" w:color="595A5B" w:themeColor="text1"/>
            </w:tcBorders>
            <w:shd w:val="clear" w:color="auto" w:fill="22789A" w:themeFill="accent1"/>
            <w:noWrap/>
            <w:vAlign w:val="bottom"/>
            <w:hideMark/>
          </w:tcPr>
          <w:p w:rsidR="00CD045A" w:rsidRPr="004619D1" w:rsidRDefault="00CD045A" w:rsidP="00DB555F">
            <w:pPr>
              <w:pStyle w:val="Tabletext"/>
              <w:jc w:val="center"/>
              <w:rPr>
                <w:b/>
                <w:i/>
                <w:color w:val="FFFFFF" w:themeColor="background1"/>
                <w:lang w:eastAsia="en-AU"/>
              </w:rPr>
            </w:pPr>
            <w:r w:rsidRPr="004619D1">
              <w:rPr>
                <w:b/>
                <w:i/>
                <w:color w:val="FFFFFF" w:themeColor="background1"/>
                <w:lang w:eastAsia="en-AU"/>
              </w:rPr>
              <w:t>Industry value added, $m</w:t>
            </w:r>
          </w:p>
        </w:tc>
        <w:tc>
          <w:tcPr>
            <w:tcW w:w="3485" w:type="dxa"/>
            <w:gridSpan w:val="4"/>
            <w:tcBorders>
              <w:left w:val="single" w:sz="4" w:space="0" w:color="595A5B" w:themeColor="text1"/>
              <w:right w:val="single" w:sz="4" w:space="0" w:color="595A5B" w:themeColor="text1"/>
            </w:tcBorders>
            <w:shd w:val="clear" w:color="auto" w:fill="22789A" w:themeFill="accent1"/>
            <w:noWrap/>
            <w:vAlign w:val="bottom"/>
            <w:hideMark/>
          </w:tcPr>
          <w:p w:rsidR="00CD045A" w:rsidRPr="004619D1" w:rsidRDefault="00CD045A" w:rsidP="00DB555F">
            <w:pPr>
              <w:pStyle w:val="Tabletext"/>
              <w:jc w:val="center"/>
              <w:rPr>
                <w:b/>
                <w:i/>
                <w:color w:val="FFFFFF" w:themeColor="background1"/>
                <w:lang w:eastAsia="en-AU"/>
              </w:rPr>
            </w:pPr>
            <w:r w:rsidRPr="004619D1">
              <w:rPr>
                <w:b/>
                <w:i/>
                <w:color w:val="FFFFFF" w:themeColor="background1"/>
                <w:lang w:eastAsia="en-AU"/>
              </w:rPr>
              <w:t>Number of employees</w:t>
            </w:r>
          </w:p>
        </w:tc>
        <w:tc>
          <w:tcPr>
            <w:tcW w:w="3567" w:type="dxa"/>
            <w:gridSpan w:val="5"/>
            <w:tcBorders>
              <w:left w:val="single" w:sz="4" w:space="0" w:color="595A5B" w:themeColor="text1"/>
              <w:right w:val="nil"/>
            </w:tcBorders>
            <w:shd w:val="clear" w:color="auto" w:fill="22789A" w:themeFill="accent1"/>
            <w:noWrap/>
            <w:vAlign w:val="bottom"/>
            <w:hideMark/>
          </w:tcPr>
          <w:p w:rsidR="00CD045A" w:rsidRPr="004619D1" w:rsidRDefault="00CD045A" w:rsidP="004619D1">
            <w:pPr>
              <w:pStyle w:val="Tabletext"/>
              <w:jc w:val="center"/>
              <w:rPr>
                <w:b/>
                <w:i/>
                <w:color w:val="FFFFFF" w:themeColor="background1"/>
                <w:lang w:eastAsia="en-AU"/>
              </w:rPr>
            </w:pPr>
            <w:r w:rsidRPr="004619D1">
              <w:rPr>
                <w:b/>
                <w:i/>
                <w:color w:val="FFFFFF" w:themeColor="background1"/>
                <w:lang w:eastAsia="en-AU"/>
              </w:rPr>
              <w:t>Labour productivity,</w:t>
            </w:r>
            <w:r w:rsidR="004619D1">
              <w:rPr>
                <w:b/>
                <w:i/>
                <w:color w:val="FFFFFF" w:themeColor="background1"/>
                <w:lang w:eastAsia="en-AU"/>
              </w:rPr>
              <w:br/>
            </w:r>
            <w:r w:rsidRPr="004619D1">
              <w:rPr>
                <w:b/>
                <w:i/>
                <w:color w:val="FFFFFF" w:themeColor="background1"/>
                <w:lang w:eastAsia="en-AU"/>
              </w:rPr>
              <w:t>$’000 per employee</w:t>
            </w:r>
          </w:p>
        </w:tc>
      </w:tr>
      <w:tr w:rsidR="00CD045A" w:rsidRPr="008B2361" w:rsidTr="00997D7E">
        <w:trPr>
          <w:gridBefore w:val="1"/>
          <w:wBefore w:w="6" w:type="dxa"/>
          <w:trHeight w:val="300"/>
        </w:trPr>
        <w:tc>
          <w:tcPr>
            <w:tcW w:w="3624" w:type="dxa"/>
            <w:shd w:val="clear" w:color="auto" w:fill="22789A" w:themeFill="accent1"/>
            <w:noWrap/>
            <w:vAlign w:val="bottom"/>
            <w:hideMark/>
          </w:tcPr>
          <w:p w:rsidR="00CD045A" w:rsidRPr="00885151" w:rsidRDefault="00CD045A" w:rsidP="00DB555F">
            <w:pPr>
              <w:pStyle w:val="Tabletext"/>
              <w:rPr>
                <w:i/>
                <w:color w:val="FFFFFF" w:themeColor="background1"/>
                <w:lang w:eastAsia="en-AU"/>
              </w:rPr>
            </w:pPr>
          </w:p>
        </w:tc>
        <w:tc>
          <w:tcPr>
            <w:tcW w:w="1216" w:type="dxa"/>
            <w:shd w:val="clear" w:color="auto" w:fill="22789A" w:themeFill="accent1"/>
            <w:noWrap/>
            <w:vAlign w:val="bottom"/>
            <w:hideMark/>
          </w:tcPr>
          <w:p w:rsidR="00CD045A" w:rsidRPr="00885151" w:rsidRDefault="00CD045A" w:rsidP="00DB555F">
            <w:pPr>
              <w:pStyle w:val="Tabletext"/>
              <w:jc w:val="center"/>
              <w:rPr>
                <w:i/>
                <w:color w:val="FFFFFF" w:themeColor="background1"/>
                <w:lang w:eastAsia="en-AU"/>
              </w:rPr>
            </w:pPr>
            <w:r w:rsidRPr="00885151">
              <w:rPr>
                <w:i/>
                <w:color w:val="FFFFFF" w:themeColor="background1"/>
                <w:lang w:eastAsia="en-AU"/>
              </w:rPr>
              <w:t>Employment at birth</w:t>
            </w:r>
          </w:p>
        </w:tc>
        <w:tc>
          <w:tcPr>
            <w:tcW w:w="2185" w:type="dxa"/>
            <w:gridSpan w:val="4"/>
            <w:tcBorders>
              <w:right w:val="single" w:sz="4" w:space="0" w:color="595A5B" w:themeColor="text1"/>
            </w:tcBorders>
            <w:shd w:val="clear" w:color="auto" w:fill="22789A" w:themeFill="accent1"/>
            <w:noWrap/>
            <w:vAlign w:val="bottom"/>
            <w:hideMark/>
          </w:tcPr>
          <w:p w:rsidR="00CD045A" w:rsidRPr="00885151" w:rsidRDefault="00CD045A" w:rsidP="00DB555F">
            <w:pPr>
              <w:pStyle w:val="Tabletext"/>
              <w:jc w:val="center"/>
              <w:rPr>
                <w:i/>
                <w:color w:val="FFFFFF" w:themeColor="background1"/>
                <w:lang w:eastAsia="en-AU"/>
              </w:rPr>
            </w:pPr>
            <w:r w:rsidRPr="00885151">
              <w:rPr>
                <w:i/>
                <w:color w:val="FFFFFF" w:themeColor="background1"/>
                <w:lang w:eastAsia="en-AU"/>
              </w:rPr>
              <w:t>Employment after five years</w:t>
            </w:r>
          </w:p>
        </w:tc>
        <w:tc>
          <w:tcPr>
            <w:tcW w:w="1217" w:type="dxa"/>
            <w:tcBorders>
              <w:left w:val="single" w:sz="4" w:space="0" w:color="595A5B" w:themeColor="text1"/>
            </w:tcBorders>
            <w:shd w:val="clear" w:color="auto" w:fill="22789A" w:themeFill="accent1"/>
            <w:noWrap/>
            <w:vAlign w:val="bottom"/>
            <w:hideMark/>
          </w:tcPr>
          <w:p w:rsidR="00CD045A" w:rsidRPr="00885151" w:rsidRDefault="00CD045A" w:rsidP="00DB555F">
            <w:pPr>
              <w:pStyle w:val="Tabletext"/>
              <w:jc w:val="center"/>
              <w:rPr>
                <w:i/>
                <w:color w:val="FFFFFF" w:themeColor="background1"/>
                <w:lang w:eastAsia="en-AU"/>
              </w:rPr>
            </w:pPr>
            <w:r w:rsidRPr="00885151">
              <w:rPr>
                <w:i/>
                <w:color w:val="FFFFFF" w:themeColor="background1"/>
                <w:lang w:eastAsia="en-AU"/>
              </w:rPr>
              <w:t>Employment at birth</w:t>
            </w:r>
          </w:p>
        </w:tc>
        <w:tc>
          <w:tcPr>
            <w:tcW w:w="2268" w:type="dxa"/>
            <w:gridSpan w:val="3"/>
            <w:tcBorders>
              <w:right w:val="single" w:sz="4" w:space="0" w:color="595A5B" w:themeColor="text1"/>
            </w:tcBorders>
            <w:shd w:val="clear" w:color="auto" w:fill="22789A" w:themeFill="accent1"/>
            <w:noWrap/>
            <w:vAlign w:val="bottom"/>
            <w:hideMark/>
          </w:tcPr>
          <w:p w:rsidR="00CD045A" w:rsidRPr="00885151" w:rsidRDefault="00CD045A" w:rsidP="00DB555F">
            <w:pPr>
              <w:pStyle w:val="Tabletext"/>
              <w:jc w:val="center"/>
              <w:rPr>
                <w:i/>
                <w:color w:val="FFFFFF" w:themeColor="background1"/>
                <w:lang w:eastAsia="en-AU"/>
              </w:rPr>
            </w:pPr>
            <w:r w:rsidRPr="00885151">
              <w:rPr>
                <w:i/>
                <w:color w:val="FFFFFF" w:themeColor="background1"/>
                <w:lang w:eastAsia="en-AU"/>
              </w:rPr>
              <w:t>Employment after five years</w:t>
            </w:r>
          </w:p>
        </w:tc>
        <w:tc>
          <w:tcPr>
            <w:tcW w:w="1217" w:type="dxa"/>
            <w:tcBorders>
              <w:left w:val="single" w:sz="4" w:space="0" w:color="595A5B" w:themeColor="text1"/>
            </w:tcBorders>
            <w:shd w:val="clear" w:color="auto" w:fill="22789A" w:themeFill="accent1"/>
            <w:noWrap/>
            <w:vAlign w:val="bottom"/>
            <w:hideMark/>
          </w:tcPr>
          <w:p w:rsidR="00CD045A" w:rsidRPr="00885151" w:rsidRDefault="00CD045A" w:rsidP="00DB555F">
            <w:pPr>
              <w:pStyle w:val="Tabletext"/>
              <w:jc w:val="center"/>
              <w:rPr>
                <w:i/>
                <w:color w:val="FFFFFF" w:themeColor="background1"/>
                <w:lang w:eastAsia="en-AU"/>
              </w:rPr>
            </w:pPr>
            <w:r w:rsidRPr="00885151">
              <w:rPr>
                <w:i/>
                <w:color w:val="FFFFFF" w:themeColor="background1"/>
                <w:lang w:eastAsia="en-AU"/>
              </w:rPr>
              <w:t>Employment at birth</w:t>
            </w:r>
          </w:p>
        </w:tc>
        <w:tc>
          <w:tcPr>
            <w:tcW w:w="2350" w:type="dxa"/>
            <w:gridSpan w:val="4"/>
            <w:tcBorders>
              <w:right w:val="nil"/>
            </w:tcBorders>
            <w:shd w:val="clear" w:color="auto" w:fill="22789A" w:themeFill="accent1"/>
            <w:noWrap/>
            <w:vAlign w:val="bottom"/>
            <w:hideMark/>
          </w:tcPr>
          <w:p w:rsidR="00CD045A" w:rsidRPr="00885151" w:rsidRDefault="00CD045A" w:rsidP="00DB555F">
            <w:pPr>
              <w:pStyle w:val="Tabletext"/>
              <w:jc w:val="center"/>
              <w:rPr>
                <w:i/>
                <w:color w:val="FFFFFF" w:themeColor="background1"/>
                <w:lang w:eastAsia="en-AU"/>
              </w:rPr>
            </w:pPr>
            <w:r w:rsidRPr="00885151">
              <w:rPr>
                <w:i/>
                <w:color w:val="FFFFFF" w:themeColor="background1"/>
                <w:lang w:eastAsia="en-AU"/>
              </w:rPr>
              <w:t>Employment after five years</w:t>
            </w:r>
          </w:p>
        </w:tc>
      </w:tr>
      <w:tr w:rsidR="00CD045A" w:rsidRPr="006131B9" w:rsidTr="00997D7E">
        <w:trPr>
          <w:gridBefore w:val="1"/>
          <w:wBefore w:w="6" w:type="dxa"/>
          <w:trHeight w:val="300"/>
        </w:trPr>
        <w:tc>
          <w:tcPr>
            <w:tcW w:w="3624" w:type="dxa"/>
            <w:shd w:val="clear" w:color="auto" w:fill="22789A" w:themeFill="accent1"/>
            <w:noWrap/>
            <w:vAlign w:val="bottom"/>
            <w:hideMark/>
          </w:tcPr>
          <w:p w:rsidR="00CD045A" w:rsidRPr="00885151" w:rsidRDefault="00CD045A" w:rsidP="00DB555F">
            <w:pPr>
              <w:pStyle w:val="Tabletext"/>
              <w:rPr>
                <w:i/>
                <w:color w:val="FFFFFF" w:themeColor="background1"/>
                <w:lang w:eastAsia="en-AU"/>
              </w:rPr>
            </w:pPr>
            <w:r w:rsidRPr="00885151">
              <w:rPr>
                <w:i/>
                <w:color w:val="FFFFFF" w:themeColor="background1"/>
                <w:lang w:eastAsia="en-AU"/>
              </w:rPr>
              <w:t>Industry division</w:t>
            </w:r>
          </w:p>
        </w:tc>
        <w:tc>
          <w:tcPr>
            <w:tcW w:w="1216" w:type="dxa"/>
            <w:shd w:val="clear" w:color="auto" w:fill="22789A" w:themeFill="accent1"/>
            <w:noWrap/>
            <w:vAlign w:val="bottom"/>
            <w:hideMark/>
          </w:tcPr>
          <w:p w:rsidR="00CD045A" w:rsidRPr="00885151" w:rsidRDefault="00CD045A" w:rsidP="00DB555F">
            <w:pPr>
              <w:pStyle w:val="Tabletext"/>
              <w:jc w:val="right"/>
              <w:rPr>
                <w:i/>
                <w:color w:val="FFFFFF" w:themeColor="background1"/>
                <w:lang w:eastAsia="en-AU"/>
              </w:rPr>
            </w:pPr>
            <w:r w:rsidRPr="00885151">
              <w:rPr>
                <w:i/>
                <w:color w:val="FFFFFF" w:themeColor="background1"/>
                <w:lang w:eastAsia="en-AU"/>
              </w:rPr>
              <w:t>0</w:t>
            </w:r>
            <w:r w:rsidR="00885151">
              <w:rPr>
                <w:i/>
                <w:color w:val="FFFFFF" w:themeColor="background1"/>
                <w:lang w:eastAsia="en-AU"/>
              </w:rPr>
              <w:t>–</w:t>
            </w:r>
            <w:r w:rsidRPr="00885151">
              <w:rPr>
                <w:i/>
                <w:color w:val="FFFFFF" w:themeColor="background1"/>
                <w:lang w:eastAsia="en-AU"/>
              </w:rPr>
              <w:t>9</w:t>
            </w:r>
          </w:p>
        </w:tc>
        <w:tc>
          <w:tcPr>
            <w:tcW w:w="754" w:type="dxa"/>
            <w:shd w:val="clear" w:color="auto" w:fill="22789A" w:themeFill="accent1"/>
            <w:noWrap/>
            <w:vAlign w:val="bottom"/>
            <w:hideMark/>
          </w:tcPr>
          <w:p w:rsidR="00CD045A" w:rsidRPr="00885151" w:rsidRDefault="00885151" w:rsidP="00DB555F">
            <w:pPr>
              <w:pStyle w:val="Tabletext"/>
              <w:jc w:val="right"/>
              <w:rPr>
                <w:i/>
                <w:color w:val="FFFFFF" w:themeColor="background1"/>
                <w:lang w:eastAsia="en-AU"/>
              </w:rPr>
            </w:pPr>
            <w:r>
              <w:rPr>
                <w:i/>
                <w:color w:val="FFFFFF" w:themeColor="background1"/>
                <w:lang w:eastAsia="en-AU"/>
              </w:rPr>
              <w:t>0–</w:t>
            </w:r>
            <w:r w:rsidR="00CD045A" w:rsidRPr="00885151">
              <w:rPr>
                <w:i/>
                <w:color w:val="FFFFFF" w:themeColor="background1"/>
                <w:lang w:eastAsia="en-AU"/>
              </w:rPr>
              <w:t>9</w:t>
            </w:r>
          </w:p>
        </w:tc>
        <w:tc>
          <w:tcPr>
            <w:tcW w:w="756" w:type="dxa"/>
            <w:gridSpan w:val="2"/>
            <w:shd w:val="clear" w:color="auto" w:fill="22789A" w:themeFill="accent1"/>
            <w:noWrap/>
            <w:vAlign w:val="bottom"/>
            <w:hideMark/>
          </w:tcPr>
          <w:p w:rsidR="00CD045A" w:rsidRPr="00885151" w:rsidRDefault="00885151" w:rsidP="00DB555F">
            <w:pPr>
              <w:pStyle w:val="Tabletext"/>
              <w:jc w:val="right"/>
              <w:rPr>
                <w:i/>
                <w:color w:val="FFFFFF" w:themeColor="background1"/>
                <w:lang w:eastAsia="en-AU"/>
              </w:rPr>
            </w:pPr>
            <w:r>
              <w:rPr>
                <w:i/>
                <w:color w:val="FFFFFF" w:themeColor="background1"/>
                <w:lang w:eastAsia="en-AU"/>
              </w:rPr>
              <w:t>10–</w:t>
            </w:r>
            <w:r w:rsidR="00CD045A" w:rsidRPr="00885151">
              <w:rPr>
                <w:i/>
                <w:color w:val="FFFFFF" w:themeColor="background1"/>
                <w:lang w:eastAsia="en-AU"/>
              </w:rPr>
              <w:t>19</w:t>
            </w:r>
          </w:p>
        </w:tc>
        <w:tc>
          <w:tcPr>
            <w:tcW w:w="675" w:type="dxa"/>
            <w:tcBorders>
              <w:right w:val="single" w:sz="4" w:space="0" w:color="595A5B" w:themeColor="text1"/>
            </w:tcBorders>
            <w:shd w:val="clear" w:color="auto" w:fill="22789A" w:themeFill="accent1"/>
            <w:noWrap/>
            <w:vAlign w:val="bottom"/>
            <w:hideMark/>
          </w:tcPr>
          <w:p w:rsidR="00CD045A" w:rsidRPr="00885151" w:rsidRDefault="00CD045A" w:rsidP="00DB555F">
            <w:pPr>
              <w:pStyle w:val="Tabletext"/>
              <w:jc w:val="right"/>
              <w:rPr>
                <w:i/>
                <w:color w:val="FFFFFF" w:themeColor="background1"/>
                <w:lang w:eastAsia="en-AU"/>
              </w:rPr>
            </w:pPr>
            <w:r w:rsidRPr="00885151">
              <w:rPr>
                <w:i/>
                <w:color w:val="FFFFFF" w:themeColor="background1"/>
                <w:lang w:eastAsia="en-AU"/>
              </w:rPr>
              <w:t>20+</w:t>
            </w:r>
          </w:p>
        </w:tc>
        <w:tc>
          <w:tcPr>
            <w:tcW w:w="1217" w:type="dxa"/>
            <w:tcBorders>
              <w:left w:val="single" w:sz="4" w:space="0" w:color="595A5B" w:themeColor="text1"/>
            </w:tcBorders>
            <w:shd w:val="clear" w:color="auto" w:fill="22789A" w:themeFill="accent1"/>
            <w:noWrap/>
            <w:vAlign w:val="bottom"/>
            <w:hideMark/>
          </w:tcPr>
          <w:p w:rsidR="00CD045A" w:rsidRPr="00885151" w:rsidRDefault="00885151" w:rsidP="00DB555F">
            <w:pPr>
              <w:pStyle w:val="Tabletext"/>
              <w:jc w:val="right"/>
              <w:rPr>
                <w:i/>
                <w:color w:val="FFFFFF" w:themeColor="background1"/>
                <w:lang w:eastAsia="en-AU"/>
              </w:rPr>
            </w:pPr>
            <w:r>
              <w:rPr>
                <w:i/>
                <w:color w:val="FFFFFF" w:themeColor="background1"/>
                <w:lang w:eastAsia="en-AU"/>
              </w:rPr>
              <w:t>0–</w:t>
            </w:r>
            <w:r w:rsidR="00CD045A" w:rsidRPr="00885151">
              <w:rPr>
                <w:i/>
                <w:color w:val="FFFFFF" w:themeColor="background1"/>
                <w:lang w:eastAsia="en-AU"/>
              </w:rPr>
              <w:t>9</w:t>
            </w:r>
          </w:p>
        </w:tc>
        <w:tc>
          <w:tcPr>
            <w:tcW w:w="675" w:type="dxa"/>
            <w:shd w:val="clear" w:color="auto" w:fill="22789A" w:themeFill="accent1"/>
            <w:noWrap/>
            <w:vAlign w:val="bottom"/>
            <w:hideMark/>
          </w:tcPr>
          <w:p w:rsidR="00CD045A" w:rsidRPr="00885151" w:rsidRDefault="00885151" w:rsidP="00DB555F">
            <w:pPr>
              <w:pStyle w:val="Tabletext"/>
              <w:jc w:val="right"/>
              <w:rPr>
                <w:i/>
                <w:color w:val="FFFFFF" w:themeColor="background1"/>
                <w:lang w:eastAsia="en-AU"/>
              </w:rPr>
            </w:pPr>
            <w:r>
              <w:rPr>
                <w:i/>
                <w:color w:val="FFFFFF" w:themeColor="background1"/>
                <w:lang w:eastAsia="en-AU"/>
              </w:rPr>
              <w:t>0–</w:t>
            </w:r>
            <w:r w:rsidR="00CD045A" w:rsidRPr="00885151">
              <w:rPr>
                <w:i/>
                <w:color w:val="FFFFFF" w:themeColor="background1"/>
                <w:lang w:eastAsia="en-AU"/>
              </w:rPr>
              <w:t>9</w:t>
            </w:r>
          </w:p>
        </w:tc>
        <w:tc>
          <w:tcPr>
            <w:tcW w:w="756" w:type="dxa"/>
            <w:shd w:val="clear" w:color="auto" w:fill="22789A" w:themeFill="accent1"/>
            <w:noWrap/>
            <w:vAlign w:val="bottom"/>
            <w:hideMark/>
          </w:tcPr>
          <w:p w:rsidR="00CD045A" w:rsidRPr="00885151" w:rsidRDefault="00885151" w:rsidP="00DB555F">
            <w:pPr>
              <w:pStyle w:val="Tabletext"/>
              <w:jc w:val="right"/>
              <w:rPr>
                <w:i/>
                <w:color w:val="FFFFFF" w:themeColor="background1"/>
                <w:lang w:eastAsia="en-AU"/>
              </w:rPr>
            </w:pPr>
            <w:r>
              <w:rPr>
                <w:i/>
                <w:color w:val="FFFFFF" w:themeColor="background1"/>
                <w:lang w:eastAsia="en-AU"/>
              </w:rPr>
              <w:t>10–</w:t>
            </w:r>
            <w:r w:rsidR="00CD045A" w:rsidRPr="00885151">
              <w:rPr>
                <w:i/>
                <w:color w:val="FFFFFF" w:themeColor="background1"/>
                <w:lang w:eastAsia="en-AU"/>
              </w:rPr>
              <w:t>19</w:t>
            </w:r>
          </w:p>
        </w:tc>
        <w:tc>
          <w:tcPr>
            <w:tcW w:w="837" w:type="dxa"/>
            <w:tcBorders>
              <w:bottom w:val="nil"/>
              <w:right w:val="single" w:sz="4" w:space="0" w:color="595A5B" w:themeColor="text1"/>
            </w:tcBorders>
            <w:shd w:val="clear" w:color="auto" w:fill="22789A" w:themeFill="accent1"/>
            <w:noWrap/>
            <w:vAlign w:val="bottom"/>
            <w:hideMark/>
          </w:tcPr>
          <w:p w:rsidR="00CD045A" w:rsidRPr="00885151" w:rsidRDefault="00CD045A" w:rsidP="00DB555F">
            <w:pPr>
              <w:pStyle w:val="Tabletext"/>
              <w:jc w:val="right"/>
              <w:rPr>
                <w:i/>
                <w:color w:val="FFFFFF" w:themeColor="background1"/>
                <w:lang w:eastAsia="en-AU"/>
              </w:rPr>
            </w:pPr>
            <w:r w:rsidRPr="00885151">
              <w:rPr>
                <w:i/>
                <w:color w:val="FFFFFF" w:themeColor="background1"/>
                <w:lang w:eastAsia="en-AU"/>
              </w:rPr>
              <w:t>20+</w:t>
            </w:r>
          </w:p>
        </w:tc>
        <w:tc>
          <w:tcPr>
            <w:tcW w:w="1217" w:type="dxa"/>
            <w:tcBorders>
              <w:left w:val="single" w:sz="4" w:space="0" w:color="595A5B" w:themeColor="text1"/>
            </w:tcBorders>
            <w:shd w:val="clear" w:color="auto" w:fill="22789A" w:themeFill="accent1"/>
            <w:noWrap/>
            <w:vAlign w:val="bottom"/>
            <w:hideMark/>
          </w:tcPr>
          <w:p w:rsidR="00CD045A" w:rsidRPr="00885151" w:rsidRDefault="00885151" w:rsidP="00DB555F">
            <w:pPr>
              <w:pStyle w:val="Tabletext"/>
              <w:jc w:val="right"/>
              <w:rPr>
                <w:i/>
                <w:color w:val="FFFFFF" w:themeColor="background1"/>
                <w:lang w:eastAsia="en-AU"/>
              </w:rPr>
            </w:pPr>
            <w:r>
              <w:rPr>
                <w:i/>
                <w:color w:val="FFFFFF" w:themeColor="background1"/>
                <w:lang w:eastAsia="en-AU"/>
              </w:rPr>
              <w:t>0–</w:t>
            </w:r>
            <w:r w:rsidR="00CD045A" w:rsidRPr="00885151">
              <w:rPr>
                <w:i/>
                <w:color w:val="FFFFFF" w:themeColor="background1"/>
                <w:lang w:eastAsia="en-AU"/>
              </w:rPr>
              <w:t>9</w:t>
            </w:r>
          </w:p>
        </w:tc>
        <w:tc>
          <w:tcPr>
            <w:tcW w:w="756" w:type="dxa"/>
            <w:shd w:val="clear" w:color="auto" w:fill="22789A" w:themeFill="accent1"/>
            <w:noWrap/>
            <w:vAlign w:val="bottom"/>
            <w:hideMark/>
          </w:tcPr>
          <w:p w:rsidR="00CD045A" w:rsidRPr="00885151" w:rsidRDefault="00885151" w:rsidP="00DB555F">
            <w:pPr>
              <w:pStyle w:val="Tabletext"/>
              <w:jc w:val="right"/>
              <w:rPr>
                <w:i/>
                <w:color w:val="FFFFFF" w:themeColor="background1"/>
                <w:lang w:eastAsia="en-AU"/>
              </w:rPr>
            </w:pPr>
            <w:r>
              <w:rPr>
                <w:i/>
                <w:color w:val="FFFFFF" w:themeColor="background1"/>
                <w:lang w:eastAsia="en-AU"/>
              </w:rPr>
              <w:t>0–</w:t>
            </w:r>
            <w:r w:rsidR="00CD045A" w:rsidRPr="00885151">
              <w:rPr>
                <w:i/>
                <w:color w:val="FFFFFF" w:themeColor="background1"/>
                <w:lang w:eastAsia="en-AU"/>
              </w:rPr>
              <w:t>9</w:t>
            </w:r>
          </w:p>
        </w:tc>
        <w:tc>
          <w:tcPr>
            <w:tcW w:w="838" w:type="dxa"/>
            <w:gridSpan w:val="2"/>
            <w:shd w:val="clear" w:color="auto" w:fill="22789A" w:themeFill="accent1"/>
            <w:noWrap/>
            <w:vAlign w:val="bottom"/>
            <w:hideMark/>
          </w:tcPr>
          <w:p w:rsidR="00CD045A" w:rsidRPr="00885151" w:rsidRDefault="00885151" w:rsidP="00DB555F">
            <w:pPr>
              <w:pStyle w:val="Tabletext"/>
              <w:jc w:val="right"/>
              <w:rPr>
                <w:i/>
                <w:color w:val="FFFFFF" w:themeColor="background1"/>
                <w:lang w:eastAsia="en-AU"/>
              </w:rPr>
            </w:pPr>
            <w:r>
              <w:rPr>
                <w:i/>
                <w:color w:val="FFFFFF" w:themeColor="background1"/>
                <w:lang w:eastAsia="en-AU"/>
              </w:rPr>
              <w:t>10–</w:t>
            </w:r>
            <w:r w:rsidR="00CD045A" w:rsidRPr="00885151">
              <w:rPr>
                <w:i/>
                <w:color w:val="FFFFFF" w:themeColor="background1"/>
                <w:lang w:eastAsia="en-AU"/>
              </w:rPr>
              <w:t>19</w:t>
            </w:r>
          </w:p>
        </w:tc>
        <w:tc>
          <w:tcPr>
            <w:tcW w:w="756" w:type="dxa"/>
            <w:tcBorders>
              <w:right w:val="nil"/>
            </w:tcBorders>
            <w:shd w:val="clear" w:color="auto" w:fill="22789A" w:themeFill="accent1"/>
            <w:noWrap/>
            <w:vAlign w:val="bottom"/>
            <w:hideMark/>
          </w:tcPr>
          <w:p w:rsidR="00CD045A" w:rsidRPr="00885151" w:rsidRDefault="00CD045A" w:rsidP="00DB555F">
            <w:pPr>
              <w:pStyle w:val="Tabletext"/>
              <w:jc w:val="right"/>
              <w:rPr>
                <w:i/>
                <w:color w:val="FFFFFF" w:themeColor="background1"/>
                <w:lang w:eastAsia="en-AU"/>
              </w:rPr>
            </w:pPr>
            <w:r w:rsidRPr="00885151">
              <w:rPr>
                <w:i/>
                <w:color w:val="FFFFFF" w:themeColor="background1"/>
                <w:lang w:eastAsia="en-AU"/>
              </w:rPr>
              <w:t>20+</w:t>
            </w:r>
          </w:p>
        </w:tc>
      </w:tr>
      <w:tr w:rsidR="00CD045A" w:rsidTr="00997D7E">
        <w:trPr>
          <w:trHeight w:val="300"/>
        </w:trPr>
        <w:tc>
          <w:tcPr>
            <w:tcW w:w="3630" w:type="dxa"/>
            <w:gridSpan w:val="2"/>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lang w:val="en-US"/>
              </w:rPr>
            </w:pPr>
            <w:r w:rsidRPr="00885151">
              <w:rPr>
                <w:rFonts w:asciiTheme="minorHAnsi" w:hAnsiTheme="minorHAnsi" w:cstheme="minorHAnsi"/>
                <w:color w:val="595A5B" w:themeColor="accent4"/>
                <w:sz w:val="18"/>
                <w:szCs w:val="18"/>
                <w:lang w:val="en-US"/>
              </w:rPr>
              <w:t>Agriculture, Forestry and fishing</w:t>
            </w:r>
          </w:p>
        </w:tc>
        <w:tc>
          <w:tcPr>
            <w:tcW w:w="1216" w:type="dxa"/>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0.04</w:t>
            </w:r>
          </w:p>
        </w:tc>
        <w:tc>
          <w:tcPr>
            <w:tcW w:w="833" w:type="dxa"/>
            <w:gridSpan w:val="2"/>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0.07</w:t>
            </w:r>
          </w:p>
        </w:tc>
        <w:tc>
          <w:tcPr>
            <w:tcW w:w="677" w:type="dxa"/>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0.24</w:t>
            </w:r>
          </w:p>
        </w:tc>
        <w:tc>
          <w:tcPr>
            <w:tcW w:w="675" w:type="dxa"/>
            <w:tcBorders>
              <w:right w:val="single" w:sz="4" w:space="0" w:color="595A5B" w:themeColor="text1"/>
            </w:tcBorders>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0.64</w:t>
            </w:r>
          </w:p>
        </w:tc>
        <w:tc>
          <w:tcPr>
            <w:tcW w:w="1217" w:type="dxa"/>
            <w:tcBorders>
              <w:left w:val="single" w:sz="4" w:space="0" w:color="595A5B" w:themeColor="text1"/>
            </w:tcBorders>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0</w:t>
            </w:r>
          </w:p>
        </w:tc>
        <w:tc>
          <w:tcPr>
            <w:tcW w:w="675" w:type="dxa"/>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0</w:t>
            </w:r>
          </w:p>
        </w:tc>
        <w:tc>
          <w:tcPr>
            <w:tcW w:w="756" w:type="dxa"/>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12</w:t>
            </w:r>
          </w:p>
        </w:tc>
        <w:tc>
          <w:tcPr>
            <w:tcW w:w="837" w:type="dxa"/>
            <w:tcBorders>
              <w:right w:val="single" w:sz="4" w:space="0" w:color="595A5B" w:themeColor="text1"/>
            </w:tcBorders>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28</w:t>
            </w:r>
          </w:p>
        </w:tc>
        <w:tc>
          <w:tcPr>
            <w:tcW w:w="1217" w:type="dxa"/>
            <w:tcBorders>
              <w:left w:val="single" w:sz="4" w:space="0" w:color="595A5B" w:themeColor="text1"/>
            </w:tcBorders>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9</w:t>
            </w:r>
          </w:p>
        </w:tc>
        <w:tc>
          <w:tcPr>
            <w:tcW w:w="834" w:type="dxa"/>
            <w:gridSpan w:val="2"/>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40</w:t>
            </w:r>
          </w:p>
        </w:tc>
        <w:tc>
          <w:tcPr>
            <w:tcW w:w="760" w:type="dxa"/>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19</w:t>
            </w:r>
          </w:p>
        </w:tc>
        <w:tc>
          <w:tcPr>
            <w:tcW w:w="756" w:type="dxa"/>
            <w:tcBorders>
              <w:right w:val="nil"/>
            </w:tcBorders>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19</w:t>
            </w:r>
          </w:p>
        </w:tc>
      </w:tr>
      <w:tr w:rsidR="00CD045A" w:rsidTr="00997D7E">
        <w:trPr>
          <w:trHeight w:val="300"/>
        </w:trPr>
        <w:tc>
          <w:tcPr>
            <w:tcW w:w="3630" w:type="dxa"/>
            <w:gridSpan w:val="2"/>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lang w:val="en-US"/>
              </w:rPr>
            </w:pPr>
            <w:r w:rsidRPr="00885151">
              <w:rPr>
                <w:rFonts w:asciiTheme="minorHAnsi" w:hAnsiTheme="minorHAnsi" w:cstheme="minorHAnsi"/>
                <w:color w:val="595A5B" w:themeColor="accent4"/>
                <w:sz w:val="18"/>
                <w:szCs w:val="18"/>
                <w:lang w:val="en-US"/>
              </w:rPr>
              <w:t>Mining</w:t>
            </w:r>
          </w:p>
        </w:tc>
        <w:tc>
          <w:tcPr>
            <w:tcW w:w="1216" w:type="dxa"/>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0.04</w:t>
            </w:r>
          </w:p>
        </w:tc>
        <w:tc>
          <w:tcPr>
            <w:tcW w:w="833" w:type="dxa"/>
            <w:gridSpan w:val="2"/>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0.02</w:t>
            </w:r>
          </w:p>
        </w:tc>
        <w:tc>
          <w:tcPr>
            <w:tcW w:w="677" w:type="dxa"/>
            <w:shd w:val="clear" w:color="auto" w:fill="CAE7F3" w:themeFill="accent1" w:themeFillTint="33"/>
            <w:noWrap/>
            <w:vAlign w:val="bottom"/>
            <w:hideMark/>
          </w:tcPr>
          <w:p w:rsidR="00CD045A" w:rsidRPr="00885151" w:rsidRDefault="00CD045A" w:rsidP="00DB555F">
            <w:pPr>
              <w:ind w:left="54"/>
              <w:rPr>
                <w:rFonts w:asciiTheme="minorHAnsi" w:hAnsiTheme="minorHAnsi" w:cstheme="minorHAnsi"/>
                <w:color w:val="595A5B" w:themeColor="accent4"/>
                <w:sz w:val="18"/>
              </w:rPr>
            </w:pPr>
          </w:p>
        </w:tc>
        <w:tc>
          <w:tcPr>
            <w:tcW w:w="675" w:type="dxa"/>
            <w:tcBorders>
              <w:right w:val="single" w:sz="4" w:space="0" w:color="595A5B" w:themeColor="text1"/>
            </w:tcBorders>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2.99</w:t>
            </w:r>
          </w:p>
        </w:tc>
        <w:tc>
          <w:tcPr>
            <w:tcW w:w="1217" w:type="dxa"/>
            <w:tcBorders>
              <w:left w:val="single" w:sz="4" w:space="0" w:color="595A5B" w:themeColor="text1"/>
            </w:tcBorders>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0</w:t>
            </w:r>
          </w:p>
        </w:tc>
        <w:tc>
          <w:tcPr>
            <w:tcW w:w="675" w:type="dxa"/>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2</w:t>
            </w:r>
          </w:p>
        </w:tc>
        <w:tc>
          <w:tcPr>
            <w:tcW w:w="756" w:type="dxa"/>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w:t>
            </w:r>
          </w:p>
        </w:tc>
        <w:tc>
          <w:tcPr>
            <w:tcW w:w="837" w:type="dxa"/>
            <w:tcBorders>
              <w:right w:val="single" w:sz="4" w:space="0" w:color="595A5B" w:themeColor="text1"/>
            </w:tcBorders>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44</w:t>
            </w:r>
          </w:p>
        </w:tc>
        <w:tc>
          <w:tcPr>
            <w:tcW w:w="1217" w:type="dxa"/>
            <w:tcBorders>
              <w:left w:val="single" w:sz="4" w:space="0" w:color="595A5B" w:themeColor="text1"/>
            </w:tcBorders>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-76</w:t>
            </w:r>
          </w:p>
        </w:tc>
        <w:tc>
          <w:tcPr>
            <w:tcW w:w="834" w:type="dxa"/>
            <w:gridSpan w:val="2"/>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-86</w:t>
            </w:r>
          </w:p>
        </w:tc>
        <w:tc>
          <w:tcPr>
            <w:tcW w:w="760" w:type="dxa"/>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w:t>
            </w:r>
          </w:p>
        </w:tc>
        <w:tc>
          <w:tcPr>
            <w:tcW w:w="756" w:type="dxa"/>
            <w:tcBorders>
              <w:right w:val="nil"/>
            </w:tcBorders>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60</w:t>
            </w:r>
          </w:p>
        </w:tc>
      </w:tr>
      <w:tr w:rsidR="00CD045A" w:rsidTr="00997D7E">
        <w:trPr>
          <w:trHeight w:val="300"/>
        </w:trPr>
        <w:tc>
          <w:tcPr>
            <w:tcW w:w="3630" w:type="dxa"/>
            <w:gridSpan w:val="2"/>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lang w:val="en-US"/>
              </w:rPr>
            </w:pPr>
            <w:r w:rsidRPr="00885151">
              <w:rPr>
                <w:rFonts w:asciiTheme="minorHAnsi" w:hAnsiTheme="minorHAnsi" w:cstheme="minorHAnsi"/>
                <w:color w:val="595A5B" w:themeColor="accent4"/>
                <w:sz w:val="18"/>
                <w:szCs w:val="18"/>
                <w:lang w:val="en-US"/>
              </w:rPr>
              <w:t>Manufacturing</w:t>
            </w:r>
          </w:p>
        </w:tc>
        <w:tc>
          <w:tcPr>
            <w:tcW w:w="1216" w:type="dxa"/>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0.04</w:t>
            </w:r>
          </w:p>
        </w:tc>
        <w:tc>
          <w:tcPr>
            <w:tcW w:w="833" w:type="dxa"/>
            <w:gridSpan w:val="2"/>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0.09</w:t>
            </w:r>
          </w:p>
        </w:tc>
        <w:tc>
          <w:tcPr>
            <w:tcW w:w="677" w:type="dxa"/>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0.48</w:t>
            </w:r>
          </w:p>
        </w:tc>
        <w:tc>
          <w:tcPr>
            <w:tcW w:w="675" w:type="dxa"/>
            <w:tcBorders>
              <w:right w:val="single" w:sz="4" w:space="0" w:color="595A5B" w:themeColor="text1"/>
            </w:tcBorders>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1.26</w:t>
            </w:r>
          </w:p>
        </w:tc>
        <w:tc>
          <w:tcPr>
            <w:tcW w:w="1217" w:type="dxa"/>
            <w:tcBorders>
              <w:left w:val="single" w:sz="4" w:space="0" w:color="595A5B" w:themeColor="text1"/>
            </w:tcBorders>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0</w:t>
            </w:r>
          </w:p>
        </w:tc>
        <w:tc>
          <w:tcPr>
            <w:tcW w:w="675" w:type="dxa"/>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1</w:t>
            </w:r>
          </w:p>
        </w:tc>
        <w:tc>
          <w:tcPr>
            <w:tcW w:w="756" w:type="dxa"/>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12</w:t>
            </w:r>
          </w:p>
        </w:tc>
        <w:tc>
          <w:tcPr>
            <w:tcW w:w="837" w:type="dxa"/>
            <w:tcBorders>
              <w:right w:val="single" w:sz="4" w:space="0" w:color="595A5B" w:themeColor="text1"/>
            </w:tcBorders>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28</w:t>
            </w:r>
          </w:p>
        </w:tc>
        <w:tc>
          <w:tcPr>
            <w:tcW w:w="1217" w:type="dxa"/>
            <w:tcBorders>
              <w:left w:val="single" w:sz="4" w:space="0" w:color="595A5B" w:themeColor="text1"/>
            </w:tcBorders>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20</w:t>
            </w:r>
          </w:p>
        </w:tc>
        <w:tc>
          <w:tcPr>
            <w:tcW w:w="834" w:type="dxa"/>
            <w:gridSpan w:val="2"/>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48</w:t>
            </w:r>
          </w:p>
        </w:tc>
        <w:tc>
          <w:tcPr>
            <w:tcW w:w="760" w:type="dxa"/>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38</w:t>
            </w:r>
          </w:p>
        </w:tc>
        <w:tc>
          <w:tcPr>
            <w:tcW w:w="756" w:type="dxa"/>
            <w:tcBorders>
              <w:right w:val="nil"/>
            </w:tcBorders>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39</w:t>
            </w:r>
          </w:p>
        </w:tc>
      </w:tr>
      <w:tr w:rsidR="00CD045A" w:rsidTr="00997D7E">
        <w:trPr>
          <w:trHeight w:val="300"/>
        </w:trPr>
        <w:tc>
          <w:tcPr>
            <w:tcW w:w="3630" w:type="dxa"/>
            <w:gridSpan w:val="2"/>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lang w:val="en-US"/>
              </w:rPr>
            </w:pPr>
            <w:r w:rsidRPr="00885151">
              <w:rPr>
                <w:rFonts w:asciiTheme="minorHAnsi" w:hAnsiTheme="minorHAnsi" w:cstheme="minorHAnsi"/>
                <w:color w:val="595A5B" w:themeColor="accent4"/>
                <w:sz w:val="18"/>
                <w:szCs w:val="18"/>
                <w:lang w:val="en-US"/>
              </w:rPr>
              <w:t>Construction</w:t>
            </w:r>
          </w:p>
        </w:tc>
        <w:tc>
          <w:tcPr>
            <w:tcW w:w="1216" w:type="dxa"/>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0.05</w:t>
            </w:r>
          </w:p>
        </w:tc>
        <w:tc>
          <w:tcPr>
            <w:tcW w:w="833" w:type="dxa"/>
            <w:gridSpan w:val="2"/>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0.08</w:t>
            </w:r>
          </w:p>
        </w:tc>
        <w:tc>
          <w:tcPr>
            <w:tcW w:w="677" w:type="dxa"/>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0.65</w:t>
            </w:r>
          </w:p>
        </w:tc>
        <w:tc>
          <w:tcPr>
            <w:tcW w:w="675" w:type="dxa"/>
            <w:tcBorders>
              <w:right w:val="single" w:sz="4" w:space="0" w:color="595A5B" w:themeColor="text1"/>
            </w:tcBorders>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1.45</w:t>
            </w:r>
          </w:p>
        </w:tc>
        <w:tc>
          <w:tcPr>
            <w:tcW w:w="1217" w:type="dxa"/>
            <w:tcBorders>
              <w:left w:val="single" w:sz="4" w:space="0" w:color="595A5B" w:themeColor="text1"/>
            </w:tcBorders>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0</w:t>
            </w:r>
          </w:p>
        </w:tc>
        <w:tc>
          <w:tcPr>
            <w:tcW w:w="675" w:type="dxa"/>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1</w:t>
            </w:r>
          </w:p>
        </w:tc>
        <w:tc>
          <w:tcPr>
            <w:tcW w:w="756" w:type="dxa"/>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13</w:t>
            </w:r>
          </w:p>
        </w:tc>
        <w:tc>
          <w:tcPr>
            <w:tcW w:w="837" w:type="dxa"/>
            <w:tcBorders>
              <w:right w:val="single" w:sz="4" w:space="0" w:color="595A5B" w:themeColor="text1"/>
            </w:tcBorders>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28</w:t>
            </w:r>
          </w:p>
        </w:tc>
        <w:tc>
          <w:tcPr>
            <w:tcW w:w="1217" w:type="dxa"/>
            <w:tcBorders>
              <w:left w:val="single" w:sz="4" w:space="0" w:color="595A5B" w:themeColor="text1"/>
            </w:tcBorders>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31</w:t>
            </w:r>
          </w:p>
        </w:tc>
        <w:tc>
          <w:tcPr>
            <w:tcW w:w="834" w:type="dxa"/>
            <w:gridSpan w:val="2"/>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59</w:t>
            </w:r>
          </w:p>
        </w:tc>
        <w:tc>
          <w:tcPr>
            <w:tcW w:w="760" w:type="dxa"/>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51</w:t>
            </w:r>
          </w:p>
        </w:tc>
        <w:tc>
          <w:tcPr>
            <w:tcW w:w="756" w:type="dxa"/>
            <w:tcBorders>
              <w:right w:val="nil"/>
            </w:tcBorders>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50</w:t>
            </w:r>
          </w:p>
        </w:tc>
      </w:tr>
      <w:tr w:rsidR="00CD045A" w:rsidTr="00997D7E">
        <w:trPr>
          <w:trHeight w:val="300"/>
        </w:trPr>
        <w:tc>
          <w:tcPr>
            <w:tcW w:w="3630" w:type="dxa"/>
            <w:gridSpan w:val="2"/>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lang w:val="en-US"/>
              </w:rPr>
            </w:pPr>
            <w:r w:rsidRPr="00885151">
              <w:rPr>
                <w:rFonts w:asciiTheme="minorHAnsi" w:hAnsiTheme="minorHAnsi" w:cstheme="minorHAnsi"/>
                <w:color w:val="595A5B" w:themeColor="accent4"/>
                <w:sz w:val="18"/>
                <w:szCs w:val="18"/>
                <w:lang w:val="en-US"/>
              </w:rPr>
              <w:t>Wholesale trade</w:t>
            </w:r>
          </w:p>
        </w:tc>
        <w:tc>
          <w:tcPr>
            <w:tcW w:w="1216" w:type="dxa"/>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0.03</w:t>
            </w:r>
          </w:p>
        </w:tc>
        <w:tc>
          <w:tcPr>
            <w:tcW w:w="833" w:type="dxa"/>
            <w:gridSpan w:val="2"/>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0.09</w:t>
            </w:r>
          </w:p>
        </w:tc>
        <w:tc>
          <w:tcPr>
            <w:tcW w:w="677" w:type="dxa"/>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0.70</w:t>
            </w:r>
          </w:p>
        </w:tc>
        <w:tc>
          <w:tcPr>
            <w:tcW w:w="675" w:type="dxa"/>
            <w:tcBorders>
              <w:right w:val="single" w:sz="4" w:space="0" w:color="595A5B" w:themeColor="text1"/>
            </w:tcBorders>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1.52</w:t>
            </w:r>
          </w:p>
        </w:tc>
        <w:tc>
          <w:tcPr>
            <w:tcW w:w="1217" w:type="dxa"/>
            <w:tcBorders>
              <w:left w:val="single" w:sz="4" w:space="0" w:color="595A5B" w:themeColor="text1"/>
            </w:tcBorders>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0</w:t>
            </w:r>
          </w:p>
        </w:tc>
        <w:tc>
          <w:tcPr>
            <w:tcW w:w="675" w:type="dxa"/>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1</w:t>
            </w:r>
          </w:p>
        </w:tc>
        <w:tc>
          <w:tcPr>
            <w:tcW w:w="756" w:type="dxa"/>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13</w:t>
            </w:r>
          </w:p>
        </w:tc>
        <w:tc>
          <w:tcPr>
            <w:tcW w:w="837" w:type="dxa"/>
            <w:tcBorders>
              <w:right w:val="single" w:sz="4" w:space="0" w:color="595A5B" w:themeColor="text1"/>
            </w:tcBorders>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28</w:t>
            </w:r>
          </w:p>
        </w:tc>
        <w:tc>
          <w:tcPr>
            <w:tcW w:w="1217" w:type="dxa"/>
            <w:tcBorders>
              <w:left w:val="single" w:sz="4" w:space="0" w:color="595A5B" w:themeColor="text1"/>
            </w:tcBorders>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14</w:t>
            </w:r>
          </w:p>
        </w:tc>
        <w:tc>
          <w:tcPr>
            <w:tcW w:w="834" w:type="dxa"/>
            <w:gridSpan w:val="2"/>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56</w:t>
            </w:r>
          </w:p>
        </w:tc>
        <w:tc>
          <w:tcPr>
            <w:tcW w:w="760" w:type="dxa"/>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54</w:t>
            </w:r>
          </w:p>
        </w:tc>
        <w:tc>
          <w:tcPr>
            <w:tcW w:w="756" w:type="dxa"/>
            <w:tcBorders>
              <w:right w:val="nil"/>
            </w:tcBorders>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48</w:t>
            </w:r>
          </w:p>
        </w:tc>
      </w:tr>
      <w:tr w:rsidR="00CD045A" w:rsidTr="00997D7E">
        <w:trPr>
          <w:trHeight w:val="300"/>
        </w:trPr>
        <w:tc>
          <w:tcPr>
            <w:tcW w:w="3630" w:type="dxa"/>
            <w:gridSpan w:val="2"/>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lang w:val="en-US"/>
              </w:rPr>
            </w:pPr>
            <w:r w:rsidRPr="00885151">
              <w:rPr>
                <w:rFonts w:asciiTheme="minorHAnsi" w:hAnsiTheme="minorHAnsi" w:cstheme="minorHAnsi"/>
                <w:color w:val="595A5B" w:themeColor="accent4"/>
                <w:sz w:val="18"/>
                <w:szCs w:val="18"/>
                <w:lang w:val="en-US"/>
              </w:rPr>
              <w:t>Retail trade</w:t>
            </w:r>
          </w:p>
        </w:tc>
        <w:tc>
          <w:tcPr>
            <w:tcW w:w="1216" w:type="dxa"/>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0.02</w:t>
            </w:r>
          </w:p>
        </w:tc>
        <w:tc>
          <w:tcPr>
            <w:tcW w:w="833" w:type="dxa"/>
            <w:gridSpan w:val="2"/>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0.08</w:t>
            </w:r>
          </w:p>
        </w:tc>
        <w:tc>
          <w:tcPr>
            <w:tcW w:w="677" w:type="dxa"/>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0.42</w:t>
            </w:r>
          </w:p>
        </w:tc>
        <w:tc>
          <w:tcPr>
            <w:tcW w:w="675" w:type="dxa"/>
            <w:tcBorders>
              <w:right w:val="single" w:sz="4" w:space="0" w:color="595A5B" w:themeColor="text1"/>
            </w:tcBorders>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0.76</w:t>
            </w:r>
          </w:p>
        </w:tc>
        <w:tc>
          <w:tcPr>
            <w:tcW w:w="1217" w:type="dxa"/>
            <w:tcBorders>
              <w:left w:val="single" w:sz="4" w:space="0" w:color="595A5B" w:themeColor="text1"/>
            </w:tcBorders>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0</w:t>
            </w:r>
          </w:p>
        </w:tc>
        <w:tc>
          <w:tcPr>
            <w:tcW w:w="675" w:type="dxa"/>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1</w:t>
            </w:r>
          </w:p>
        </w:tc>
        <w:tc>
          <w:tcPr>
            <w:tcW w:w="756" w:type="dxa"/>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12</w:t>
            </w:r>
          </w:p>
        </w:tc>
        <w:tc>
          <w:tcPr>
            <w:tcW w:w="837" w:type="dxa"/>
            <w:tcBorders>
              <w:right w:val="single" w:sz="4" w:space="0" w:color="595A5B" w:themeColor="text1"/>
            </w:tcBorders>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27</w:t>
            </w:r>
          </w:p>
        </w:tc>
        <w:tc>
          <w:tcPr>
            <w:tcW w:w="1217" w:type="dxa"/>
            <w:tcBorders>
              <w:left w:val="single" w:sz="4" w:space="0" w:color="595A5B" w:themeColor="text1"/>
            </w:tcBorders>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10</w:t>
            </w:r>
          </w:p>
        </w:tc>
        <w:tc>
          <w:tcPr>
            <w:tcW w:w="834" w:type="dxa"/>
            <w:gridSpan w:val="2"/>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40</w:t>
            </w:r>
          </w:p>
        </w:tc>
        <w:tc>
          <w:tcPr>
            <w:tcW w:w="760" w:type="dxa"/>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34</w:t>
            </w:r>
          </w:p>
        </w:tc>
        <w:tc>
          <w:tcPr>
            <w:tcW w:w="756" w:type="dxa"/>
            <w:tcBorders>
              <w:right w:val="nil"/>
            </w:tcBorders>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27</w:t>
            </w:r>
          </w:p>
        </w:tc>
      </w:tr>
      <w:tr w:rsidR="00CD045A" w:rsidTr="00997D7E">
        <w:trPr>
          <w:trHeight w:val="300"/>
        </w:trPr>
        <w:tc>
          <w:tcPr>
            <w:tcW w:w="3630" w:type="dxa"/>
            <w:gridSpan w:val="2"/>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lang w:val="en-US"/>
              </w:rPr>
            </w:pPr>
            <w:r w:rsidRPr="00885151">
              <w:rPr>
                <w:rFonts w:asciiTheme="minorHAnsi" w:hAnsiTheme="minorHAnsi" w:cstheme="minorHAnsi"/>
                <w:color w:val="595A5B" w:themeColor="accent4"/>
                <w:sz w:val="18"/>
                <w:szCs w:val="18"/>
                <w:lang w:val="en-US"/>
              </w:rPr>
              <w:t>Accommodation and food services</w:t>
            </w:r>
          </w:p>
        </w:tc>
        <w:tc>
          <w:tcPr>
            <w:tcW w:w="1216" w:type="dxa"/>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0.02</w:t>
            </w:r>
          </w:p>
        </w:tc>
        <w:tc>
          <w:tcPr>
            <w:tcW w:w="833" w:type="dxa"/>
            <w:gridSpan w:val="2"/>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0.08</w:t>
            </w:r>
          </w:p>
        </w:tc>
        <w:tc>
          <w:tcPr>
            <w:tcW w:w="677" w:type="dxa"/>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0.30</w:t>
            </w:r>
          </w:p>
        </w:tc>
        <w:tc>
          <w:tcPr>
            <w:tcW w:w="675" w:type="dxa"/>
            <w:tcBorders>
              <w:right w:val="single" w:sz="4" w:space="0" w:color="595A5B" w:themeColor="text1"/>
            </w:tcBorders>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0.57</w:t>
            </w:r>
          </w:p>
        </w:tc>
        <w:tc>
          <w:tcPr>
            <w:tcW w:w="1217" w:type="dxa"/>
            <w:tcBorders>
              <w:left w:val="single" w:sz="4" w:space="0" w:color="595A5B" w:themeColor="text1"/>
            </w:tcBorders>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1</w:t>
            </w:r>
          </w:p>
        </w:tc>
        <w:tc>
          <w:tcPr>
            <w:tcW w:w="675" w:type="dxa"/>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2</w:t>
            </w:r>
          </w:p>
        </w:tc>
        <w:tc>
          <w:tcPr>
            <w:tcW w:w="756" w:type="dxa"/>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13</w:t>
            </w:r>
          </w:p>
        </w:tc>
        <w:tc>
          <w:tcPr>
            <w:tcW w:w="837" w:type="dxa"/>
            <w:tcBorders>
              <w:right w:val="single" w:sz="4" w:space="0" w:color="595A5B" w:themeColor="text1"/>
            </w:tcBorders>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30</w:t>
            </w:r>
          </w:p>
        </w:tc>
        <w:tc>
          <w:tcPr>
            <w:tcW w:w="1217" w:type="dxa"/>
            <w:tcBorders>
              <w:left w:val="single" w:sz="4" w:space="0" w:color="595A5B" w:themeColor="text1"/>
            </w:tcBorders>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6</w:t>
            </w:r>
          </w:p>
        </w:tc>
        <w:tc>
          <w:tcPr>
            <w:tcW w:w="834" w:type="dxa"/>
            <w:gridSpan w:val="2"/>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34</w:t>
            </w:r>
          </w:p>
        </w:tc>
        <w:tc>
          <w:tcPr>
            <w:tcW w:w="760" w:type="dxa"/>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23</w:t>
            </w:r>
          </w:p>
        </w:tc>
        <w:tc>
          <w:tcPr>
            <w:tcW w:w="756" w:type="dxa"/>
            <w:tcBorders>
              <w:right w:val="nil"/>
            </w:tcBorders>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19</w:t>
            </w:r>
          </w:p>
        </w:tc>
      </w:tr>
      <w:tr w:rsidR="00CD045A" w:rsidTr="00997D7E">
        <w:trPr>
          <w:trHeight w:val="300"/>
        </w:trPr>
        <w:tc>
          <w:tcPr>
            <w:tcW w:w="3630" w:type="dxa"/>
            <w:gridSpan w:val="2"/>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lang w:val="en-US"/>
              </w:rPr>
            </w:pPr>
            <w:r w:rsidRPr="00885151">
              <w:rPr>
                <w:rFonts w:asciiTheme="minorHAnsi" w:hAnsiTheme="minorHAnsi" w:cstheme="minorHAnsi"/>
                <w:color w:val="595A5B" w:themeColor="accent4"/>
                <w:sz w:val="18"/>
                <w:szCs w:val="18"/>
                <w:lang w:val="en-US"/>
              </w:rPr>
              <w:t>Transport, postal and warehousing</w:t>
            </w:r>
          </w:p>
        </w:tc>
        <w:tc>
          <w:tcPr>
            <w:tcW w:w="1216" w:type="dxa"/>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0.04</w:t>
            </w:r>
          </w:p>
        </w:tc>
        <w:tc>
          <w:tcPr>
            <w:tcW w:w="833" w:type="dxa"/>
            <w:gridSpan w:val="2"/>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0.07</w:t>
            </w:r>
          </w:p>
        </w:tc>
        <w:tc>
          <w:tcPr>
            <w:tcW w:w="677" w:type="dxa"/>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0.55</w:t>
            </w:r>
          </w:p>
        </w:tc>
        <w:tc>
          <w:tcPr>
            <w:tcW w:w="675" w:type="dxa"/>
            <w:tcBorders>
              <w:right w:val="single" w:sz="4" w:space="0" w:color="595A5B" w:themeColor="text1"/>
            </w:tcBorders>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1.41</w:t>
            </w:r>
          </w:p>
        </w:tc>
        <w:tc>
          <w:tcPr>
            <w:tcW w:w="1217" w:type="dxa"/>
            <w:tcBorders>
              <w:left w:val="single" w:sz="4" w:space="0" w:color="595A5B" w:themeColor="text1"/>
            </w:tcBorders>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0</w:t>
            </w:r>
          </w:p>
        </w:tc>
        <w:tc>
          <w:tcPr>
            <w:tcW w:w="675" w:type="dxa"/>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1</w:t>
            </w:r>
          </w:p>
        </w:tc>
        <w:tc>
          <w:tcPr>
            <w:tcW w:w="756" w:type="dxa"/>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12</w:t>
            </w:r>
          </w:p>
        </w:tc>
        <w:tc>
          <w:tcPr>
            <w:tcW w:w="837" w:type="dxa"/>
            <w:tcBorders>
              <w:right w:val="single" w:sz="4" w:space="0" w:color="595A5B" w:themeColor="text1"/>
            </w:tcBorders>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32</w:t>
            </w:r>
          </w:p>
        </w:tc>
        <w:tc>
          <w:tcPr>
            <w:tcW w:w="1217" w:type="dxa"/>
            <w:tcBorders>
              <w:left w:val="single" w:sz="4" w:space="0" w:color="595A5B" w:themeColor="text1"/>
            </w:tcBorders>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31</w:t>
            </w:r>
          </w:p>
        </w:tc>
        <w:tc>
          <w:tcPr>
            <w:tcW w:w="834" w:type="dxa"/>
            <w:gridSpan w:val="2"/>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53</w:t>
            </w:r>
          </w:p>
        </w:tc>
        <w:tc>
          <w:tcPr>
            <w:tcW w:w="760" w:type="dxa"/>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43</w:t>
            </w:r>
          </w:p>
        </w:tc>
        <w:tc>
          <w:tcPr>
            <w:tcW w:w="756" w:type="dxa"/>
            <w:tcBorders>
              <w:right w:val="nil"/>
            </w:tcBorders>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42</w:t>
            </w:r>
          </w:p>
        </w:tc>
      </w:tr>
      <w:tr w:rsidR="00CD045A" w:rsidTr="00997D7E">
        <w:trPr>
          <w:trHeight w:val="300"/>
        </w:trPr>
        <w:tc>
          <w:tcPr>
            <w:tcW w:w="3630" w:type="dxa"/>
            <w:gridSpan w:val="2"/>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lang w:val="en-US"/>
              </w:rPr>
            </w:pPr>
            <w:r w:rsidRPr="00885151">
              <w:rPr>
                <w:rFonts w:asciiTheme="minorHAnsi" w:hAnsiTheme="minorHAnsi" w:cstheme="minorHAnsi"/>
                <w:color w:val="595A5B" w:themeColor="accent4"/>
                <w:sz w:val="18"/>
                <w:szCs w:val="18"/>
                <w:lang w:val="en-US"/>
              </w:rPr>
              <w:t>Financial and insurance services</w:t>
            </w:r>
          </w:p>
        </w:tc>
        <w:tc>
          <w:tcPr>
            <w:tcW w:w="1216" w:type="dxa"/>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0.04</w:t>
            </w:r>
          </w:p>
        </w:tc>
        <w:tc>
          <w:tcPr>
            <w:tcW w:w="833" w:type="dxa"/>
            <w:gridSpan w:val="2"/>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0.10</w:t>
            </w:r>
          </w:p>
        </w:tc>
        <w:tc>
          <w:tcPr>
            <w:tcW w:w="677" w:type="dxa"/>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0.66</w:t>
            </w:r>
          </w:p>
        </w:tc>
        <w:tc>
          <w:tcPr>
            <w:tcW w:w="675" w:type="dxa"/>
            <w:tcBorders>
              <w:right w:val="single" w:sz="4" w:space="0" w:color="595A5B" w:themeColor="text1"/>
            </w:tcBorders>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2.00</w:t>
            </w:r>
          </w:p>
        </w:tc>
        <w:tc>
          <w:tcPr>
            <w:tcW w:w="1217" w:type="dxa"/>
            <w:tcBorders>
              <w:left w:val="single" w:sz="4" w:space="0" w:color="595A5B" w:themeColor="text1"/>
            </w:tcBorders>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1</w:t>
            </w:r>
          </w:p>
        </w:tc>
        <w:tc>
          <w:tcPr>
            <w:tcW w:w="675" w:type="dxa"/>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0</w:t>
            </w:r>
          </w:p>
        </w:tc>
        <w:tc>
          <w:tcPr>
            <w:tcW w:w="756" w:type="dxa"/>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13</w:t>
            </w:r>
          </w:p>
        </w:tc>
        <w:tc>
          <w:tcPr>
            <w:tcW w:w="837" w:type="dxa"/>
            <w:tcBorders>
              <w:right w:val="single" w:sz="4" w:space="0" w:color="595A5B" w:themeColor="text1"/>
            </w:tcBorders>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25</w:t>
            </w:r>
          </w:p>
        </w:tc>
        <w:tc>
          <w:tcPr>
            <w:tcW w:w="1217" w:type="dxa"/>
            <w:tcBorders>
              <w:left w:val="single" w:sz="4" w:space="0" w:color="595A5B" w:themeColor="text1"/>
            </w:tcBorders>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0</w:t>
            </w:r>
          </w:p>
        </w:tc>
        <w:tc>
          <w:tcPr>
            <w:tcW w:w="834" w:type="dxa"/>
            <w:gridSpan w:val="2"/>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51</w:t>
            </w:r>
          </w:p>
        </w:tc>
        <w:tc>
          <w:tcPr>
            <w:tcW w:w="760" w:type="dxa"/>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54</w:t>
            </w:r>
          </w:p>
        </w:tc>
        <w:tc>
          <w:tcPr>
            <w:tcW w:w="756" w:type="dxa"/>
            <w:tcBorders>
              <w:right w:val="nil"/>
            </w:tcBorders>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53</w:t>
            </w:r>
          </w:p>
        </w:tc>
      </w:tr>
      <w:tr w:rsidR="00CD045A" w:rsidTr="00997D7E">
        <w:trPr>
          <w:trHeight w:val="300"/>
        </w:trPr>
        <w:tc>
          <w:tcPr>
            <w:tcW w:w="3630" w:type="dxa"/>
            <w:gridSpan w:val="2"/>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lang w:val="en-US"/>
              </w:rPr>
            </w:pPr>
            <w:r w:rsidRPr="00885151">
              <w:rPr>
                <w:rFonts w:asciiTheme="minorHAnsi" w:hAnsiTheme="minorHAnsi" w:cstheme="minorHAnsi"/>
                <w:color w:val="595A5B" w:themeColor="accent4"/>
                <w:sz w:val="18"/>
                <w:szCs w:val="18"/>
                <w:lang w:val="en-US"/>
              </w:rPr>
              <w:t>Rental, hiring and real estate services</w:t>
            </w:r>
          </w:p>
        </w:tc>
        <w:tc>
          <w:tcPr>
            <w:tcW w:w="1216" w:type="dxa"/>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0.06</w:t>
            </w:r>
          </w:p>
        </w:tc>
        <w:tc>
          <w:tcPr>
            <w:tcW w:w="833" w:type="dxa"/>
            <w:gridSpan w:val="2"/>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0.09</w:t>
            </w:r>
          </w:p>
        </w:tc>
        <w:tc>
          <w:tcPr>
            <w:tcW w:w="677" w:type="dxa"/>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0.59</w:t>
            </w:r>
          </w:p>
        </w:tc>
        <w:tc>
          <w:tcPr>
            <w:tcW w:w="675" w:type="dxa"/>
            <w:tcBorders>
              <w:right w:val="single" w:sz="4" w:space="0" w:color="595A5B" w:themeColor="text1"/>
            </w:tcBorders>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1.62</w:t>
            </w:r>
          </w:p>
        </w:tc>
        <w:tc>
          <w:tcPr>
            <w:tcW w:w="1217" w:type="dxa"/>
            <w:tcBorders>
              <w:left w:val="single" w:sz="4" w:space="0" w:color="595A5B" w:themeColor="text1"/>
            </w:tcBorders>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0</w:t>
            </w:r>
          </w:p>
        </w:tc>
        <w:tc>
          <w:tcPr>
            <w:tcW w:w="675" w:type="dxa"/>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0</w:t>
            </w:r>
          </w:p>
        </w:tc>
        <w:tc>
          <w:tcPr>
            <w:tcW w:w="756" w:type="dxa"/>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13</w:t>
            </w:r>
          </w:p>
        </w:tc>
        <w:tc>
          <w:tcPr>
            <w:tcW w:w="837" w:type="dxa"/>
            <w:tcBorders>
              <w:right w:val="single" w:sz="4" w:space="0" w:color="595A5B" w:themeColor="text1"/>
            </w:tcBorders>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30</w:t>
            </w:r>
          </w:p>
        </w:tc>
        <w:tc>
          <w:tcPr>
            <w:tcW w:w="1217" w:type="dxa"/>
            <w:tcBorders>
              <w:left w:val="single" w:sz="4" w:space="0" w:color="595A5B" w:themeColor="text1"/>
            </w:tcBorders>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18</w:t>
            </w:r>
          </w:p>
        </w:tc>
        <w:tc>
          <w:tcPr>
            <w:tcW w:w="834" w:type="dxa"/>
            <w:gridSpan w:val="2"/>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53</w:t>
            </w:r>
          </w:p>
        </w:tc>
        <w:tc>
          <w:tcPr>
            <w:tcW w:w="760" w:type="dxa"/>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45</w:t>
            </w:r>
          </w:p>
        </w:tc>
        <w:tc>
          <w:tcPr>
            <w:tcW w:w="756" w:type="dxa"/>
            <w:tcBorders>
              <w:right w:val="nil"/>
            </w:tcBorders>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52</w:t>
            </w:r>
          </w:p>
        </w:tc>
      </w:tr>
      <w:tr w:rsidR="00CD045A" w:rsidTr="00997D7E">
        <w:trPr>
          <w:trHeight w:val="300"/>
        </w:trPr>
        <w:tc>
          <w:tcPr>
            <w:tcW w:w="3630" w:type="dxa"/>
            <w:gridSpan w:val="2"/>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lang w:val="en-US"/>
              </w:rPr>
            </w:pPr>
            <w:r w:rsidRPr="00885151">
              <w:rPr>
                <w:rFonts w:asciiTheme="minorHAnsi" w:hAnsiTheme="minorHAnsi" w:cstheme="minorHAnsi"/>
                <w:color w:val="595A5B" w:themeColor="accent4"/>
                <w:sz w:val="18"/>
                <w:szCs w:val="18"/>
                <w:lang w:val="en-US"/>
              </w:rPr>
              <w:t>Professional, scientific and technical services</w:t>
            </w:r>
          </w:p>
        </w:tc>
        <w:tc>
          <w:tcPr>
            <w:tcW w:w="1216" w:type="dxa"/>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0.06</w:t>
            </w:r>
          </w:p>
        </w:tc>
        <w:tc>
          <w:tcPr>
            <w:tcW w:w="833" w:type="dxa"/>
            <w:gridSpan w:val="2"/>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0.11</w:t>
            </w:r>
          </w:p>
        </w:tc>
        <w:tc>
          <w:tcPr>
            <w:tcW w:w="677" w:type="dxa"/>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0.71</w:t>
            </w:r>
          </w:p>
        </w:tc>
        <w:tc>
          <w:tcPr>
            <w:tcW w:w="675" w:type="dxa"/>
            <w:tcBorders>
              <w:right w:val="single" w:sz="4" w:space="0" w:color="595A5B" w:themeColor="text1"/>
            </w:tcBorders>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2.16</w:t>
            </w:r>
          </w:p>
        </w:tc>
        <w:tc>
          <w:tcPr>
            <w:tcW w:w="1217" w:type="dxa"/>
            <w:tcBorders>
              <w:left w:val="single" w:sz="4" w:space="0" w:color="595A5B" w:themeColor="text1"/>
            </w:tcBorders>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0</w:t>
            </w:r>
          </w:p>
        </w:tc>
        <w:tc>
          <w:tcPr>
            <w:tcW w:w="675" w:type="dxa"/>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1</w:t>
            </w:r>
          </w:p>
        </w:tc>
        <w:tc>
          <w:tcPr>
            <w:tcW w:w="756" w:type="dxa"/>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12</w:t>
            </w:r>
          </w:p>
        </w:tc>
        <w:tc>
          <w:tcPr>
            <w:tcW w:w="837" w:type="dxa"/>
            <w:tcBorders>
              <w:right w:val="single" w:sz="4" w:space="0" w:color="595A5B" w:themeColor="text1"/>
            </w:tcBorders>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29</w:t>
            </w:r>
          </w:p>
        </w:tc>
        <w:tc>
          <w:tcPr>
            <w:tcW w:w="1217" w:type="dxa"/>
            <w:tcBorders>
              <w:left w:val="single" w:sz="4" w:space="0" w:color="595A5B" w:themeColor="text1"/>
            </w:tcBorders>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38</w:t>
            </w:r>
          </w:p>
        </w:tc>
        <w:tc>
          <w:tcPr>
            <w:tcW w:w="834" w:type="dxa"/>
            <w:gridSpan w:val="2"/>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70</w:t>
            </w:r>
          </w:p>
        </w:tc>
        <w:tc>
          <w:tcPr>
            <w:tcW w:w="760" w:type="dxa"/>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57</w:t>
            </w:r>
          </w:p>
        </w:tc>
        <w:tc>
          <w:tcPr>
            <w:tcW w:w="756" w:type="dxa"/>
            <w:tcBorders>
              <w:right w:val="nil"/>
            </w:tcBorders>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65</w:t>
            </w:r>
          </w:p>
        </w:tc>
      </w:tr>
      <w:tr w:rsidR="00CD045A" w:rsidTr="00997D7E">
        <w:trPr>
          <w:trHeight w:val="300"/>
        </w:trPr>
        <w:tc>
          <w:tcPr>
            <w:tcW w:w="3630" w:type="dxa"/>
            <w:gridSpan w:val="2"/>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lang w:val="en-US"/>
              </w:rPr>
            </w:pPr>
            <w:r w:rsidRPr="00885151">
              <w:rPr>
                <w:rFonts w:asciiTheme="minorHAnsi" w:hAnsiTheme="minorHAnsi" w:cstheme="minorHAnsi"/>
                <w:color w:val="595A5B" w:themeColor="accent4"/>
                <w:sz w:val="18"/>
                <w:szCs w:val="18"/>
                <w:lang w:val="en-US"/>
              </w:rPr>
              <w:t>Administrative and support services</w:t>
            </w:r>
          </w:p>
        </w:tc>
        <w:tc>
          <w:tcPr>
            <w:tcW w:w="1216" w:type="dxa"/>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0.04</w:t>
            </w:r>
          </w:p>
        </w:tc>
        <w:tc>
          <w:tcPr>
            <w:tcW w:w="833" w:type="dxa"/>
            <w:gridSpan w:val="2"/>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0.08</w:t>
            </w:r>
          </w:p>
        </w:tc>
        <w:tc>
          <w:tcPr>
            <w:tcW w:w="677" w:type="dxa"/>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0.44</w:t>
            </w:r>
          </w:p>
        </w:tc>
        <w:tc>
          <w:tcPr>
            <w:tcW w:w="675" w:type="dxa"/>
            <w:tcBorders>
              <w:right w:val="single" w:sz="4" w:space="0" w:color="595A5B" w:themeColor="text1"/>
            </w:tcBorders>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1.60</w:t>
            </w:r>
          </w:p>
        </w:tc>
        <w:tc>
          <w:tcPr>
            <w:tcW w:w="1217" w:type="dxa"/>
            <w:tcBorders>
              <w:left w:val="single" w:sz="4" w:space="0" w:color="595A5B" w:themeColor="text1"/>
            </w:tcBorders>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0</w:t>
            </w:r>
          </w:p>
        </w:tc>
        <w:tc>
          <w:tcPr>
            <w:tcW w:w="675" w:type="dxa"/>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1</w:t>
            </w:r>
          </w:p>
        </w:tc>
        <w:tc>
          <w:tcPr>
            <w:tcW w:w="756" w:type="dxa"/>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12</w:t>
            </w:r>
          </w:p>
        </w:tc>
        <w:tc>
          <w:tcPr>
            <w:tcW w:w="837" w:type="dxa"/>
            <w:tcBorders>
              <w:right w:val="single" w:sz="4" w:space="0" w:color="595A5B" w:themeColor="text1"/>
            </w:tcBorders>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36</w:t>
            </w:r>
          </w:p>
        </w:tc>
        <w:tc>
          <w:tcPr>
            <w:tcW w:w="1217" w:type="dxa"/>
            <w:tcBorders>
              <w:left w:val="single" w:sz="4" w:space="0" w:color="595A5B" w:themeColor="text1"/>
            </w:tcBorders>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20</w:t>
            </w:r>
          </w:p>
        </w:tc>
        <w:tc>
          <w:tcPr>
            <w:tcW w:w="834" w:type="dxa"/>
            <w:gridSpan w:val="2"/>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44</w:t>
            </w:r>
          </w:p>
        </w:tc>
        <w:tc>
          <w:tcPr>
            <w:tcW w:w="760" w:type="dxa"/>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36</w:t>
            </w:r>
          </w:p>
        </w:tc>
        <w:tc>
          <w:tcPr>
            <w:tcW w:w="756" w:type="dxa"/>
            <w:tcBorders>
              <w:right w:val="nil"/>
            </w:tcBorders>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31</w:t>
            </w:r>
          </w:p>
        </w:tc>
      </w:tr>
      <w:tr w:rsidR="00CD045A" w:rsidTr="00997D7E">
        <w:trPr>
          <w:trHeight w:val="300"/>
        </w:trPr>
        <w:tc>
          <w:tcPr>
            <w:tcW w:w="3630" w:type="dxa"/>
            <w:gridSpan w:val="2"/>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lang w:val="en-US"/>
              </w:rPr>
            </w:pPr>
            <w:r w:rsidRPr="00885151">
              <w:rPr>
                <w:rFonts w:asciiTheme="minorHAnsi" w:hAnsiTheme="minorHAnsi" w:cstheme="minorHAnsi"/>
                <w:color w:val="595A5B" w:themeColor="accent4"/>
                <w:sz w:val="18"/>
                <w:szCs w:val="18"/>
                <w:lang w:val="en-US"/>
              </w:rPr>
              <w:t>Education and Training</w:t>
            </w:r>
          </w:p>
        </w:tc>
        <w:tc>
          <w:tcPr>
            <w:tcW w:w="1216" w:type="dxa"/>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0.04</w:t>
            </w:r>
          </w:p>
        </w:tc>
        <w:tc>
          <w:tcPr>
            <w:tcW w:w="833" w:type="dxa"/>
            <w:gridSpan w:val="2"/>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0.08</w:t>
            </w:r>
          </w:p>
        </w:tc>
        <w:tc>
          <w:tcPr>
            <w:tcW w:w="677" w:type="dxa"/>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0.37</w:t>
            </w:r>
          </w:p>
        </w:tc>
        <w:tc>
          <w:tcPr>
            <w:tcW w:w="675" w:type="dxa"/>
            <w:tcBorders>
              <w:right w:val="single" w:sz="4" w:space="0" w:color="595A5B" w:themeColor="text1"/>
            </w:tcBorders>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1.04</w:t>
            </w:r>
          </w:p>
        </w:tc>
        <w:tc>
          <w:tcPr>
            <w:tcW w:w="1217" w:type="dxa"/>
            <w:tcBorders>
              <w:left w:val="single" w:sz="4" w:space="0" w:color="595A5B" w:themeColor="text1"/>
            </w:tcBorders>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0</w:t>
            </w:r>
          </w:p>
        </w:tc>
        <w:tc>
          <w:tcPr>
            <w:tcW w:w="675" w:type="dxa"/>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1</w:t>
            </w:r>
          </w:p>
        </w:tc>
        <w:tc>
          <w:tcPr>
            <w:tcW w:w="756" w:type="dxa"/>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14</w:t>
            </w:r>
          </w:p>
        </w:tc>
        <w:tc>
          <w:tcPr>
            <w:tcW w:w="837" w:type="dxa"/>
            <w:tcBorders>
              <w:right w:val="single" w:sz="4" w:space="0" w:color="595A5B" w:themeColor="text1"/>
            </w:tcBorders>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31</w:t>
            </w:r>
          </w:p>
        </w:tc>
        <w:tc>
          <w:tcPr>
            <w:tcW w:w="1217" w:type="dxa"/>
            <w:tcBorders>
              <w:left w:val="single" w:sz="4" w:space="0" w:color="595A5B" w:themeColor="text1"/>
            </w:tcBorders>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12</w:t>
            </w:r>
          </w:p>
        </w:tc>
        <w:tc>
          <w:tcPr>
            <w:tcW w:w="834" w:type="dxa"/>
            <w:gridSpan w:val="2"/>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40</w:t>
            </w:r>
          </w:p>
        </w:tc>
        <w:tc>
          <w:tcPr>
            <w:tcW w:w="760" w:type="dxa"/>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26</w:t>
            </w:r>
          </w:p>
        </w:tc>
        <w:tc>
          <w:tcPr>
            <w:tcW w:w="756" w:type="dxa"/>
            <w:tcBorders>
              <w:right w:val="nil"/>
            </w:tcBorders>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27</w:t>
            </w:r>
          </w:p>
        </w:tc>
      </w:tr>
      <w:tr w:rsidR="00CD045A" w:rsidTr="00997D7E">
        <w:trPr>
          <w:trHeight w:val="300"/>
        </w:trPr>
        <w:tc>
          <w:tcPr>
            <w:tcW w:w="3630" w:type="dxa"/>
            <w:gridSpan w:val="2"/>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lang w:val="en-US"/>
              </w:rPr>
            </w:pPr>
            <w:r w:rsidRPr="00885151">
              <w:rPr>
                <w:rFonts w:asciiTheme="minorHAnsi" w:hAnsiTheme="minorHAnsi" w:cstheme="minorHAnsi"/>
                <w:color w:val="595A5B" w:themeColor="accent4"/>
                <w:sz w:val="18"/>
                <w:szCs w:val="18"/>
                <w:lang w:val="en-US"/>
              </w:rPr>
              <w:t>Health care and social assistance</w:t>
            </w:r>
          </w:p>
        </w:tc>
        <w:tc>
          <w:tcPr>
            <w:tcW w:w="1216" w:type="dxa"/>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0.06</w:t>
            </w:r>
          </w:p>
        </w:tc>
        <w:tc>
          <w:tcPr>
            <w:tcW w:w="833" w:type="dxa"/>
            <w:gridSpan w:val="2"/>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0.16</w:t>
            </w:r>
          </w:p>
        </w:tc>
        <w:tc>
          <w:tcPr>
            <w:tcW w:w="677" w:type="dxa"/>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0.50</w:t>
            </w:r>
          </w:p>
        </w:tc>
        <w:tc>
          <w:tcPr>
            <w:tcW w:w="675" w:type="dxa"/>
            <w:tcBorders>
              <w:right w:val="single" w:sz="4" w:space="0" w:color="595A5B" w:themeColor="text1"/>
            </w:tcBorders>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1.00</w:t>
            </w:r>
          </w:p>
        </w:tc>
        <w:tc>
          <w:tcPr>
            <w:tcW w:w="1217" w:type="dxa"/>
            <w:tcBorders>
              <w:left w:val="single" w:sz="4" w:space="0" w:color="595A5B" w:themeColor="text1"/>
            </w:tcBorders>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0</w:t>
            </w:r>
          </w:p>
        </w:tc>
        <w:tc>
          <w:tcPr>
            <w:tcW w:w="675" w:type="dxa"/>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1</w:t>
            </w:r>
          </w:p>
        </w:tc>
        <w:tc>
          <w:tcPr>
            <w:tcW w:w="756" w:type="dxa"/>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12</w:t>
            </w:r>
          </w:p>
        </w:tc>
        <w:tc>
          <w:tcPr>
            <w:tcW w:w="837" w:type="dxa"/>
            <w:tcBorders>
              <w:right w:val="single" w:sz="4" w:space="0" w:color="595A5B" w:themeColor="text1"/>
            </w:tcBorders>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28</w:t>
            </w:r>
          </w:p>
        </w:tc>
        <w:tc>
          <w:tcPr>
            <w:tcW w:w="1217" w:type="dxa"/>
            <w:tcBorders>
              <w:left w:val="single" w:sz="4" w:space="0" w:color="595A5B" w:themeColor="text1"/>
            </w:tcBorders>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31</w:t>
            </w:r>
          </w:p>
        </w:tc>
        <w:tc>
          <w:tcPr>
            <w:tcW w:w="834" w:type="dxa"/>
            <w:gridSpan w:val="2"/>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82</w:t>
            </w:r>
          </w:p>
        </w:tc>
        <w:tc>
          <w:tcPr>
            <w:tcW w:w="760" w:type="dxa"/>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39</w:t>
            </w:r>
          </w:p>
        </w:tc>
        <w:tc>
          <w:tcPr>
            <w:tcW w:w="756" w:type="dxa"/>
            <w:tcBorders>
              <w:right w:val="nil"/>
            </w:tcBorders>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34</w:t>
            </w:r>
          </w:p>
        </w:tc>
      </w:tr>
      <w:tr w:rsidR="00CD045A" w:rsidTr="00997D7E">
        <w:trPr>
          <w:trHeight w:val="300"/>
        </w:trPr>
        <w:tc>
          <w:tcPr>
            <w:tcW w:w="3630" w:type="dxa"/>
            <w:gridSpan w:val="2"/>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lang w:val="en-US"/>
              </w:rPr>
            </w:pPr>
            <w:r w:rsidRPr="00885151">
              <w:rPr>
                <w:rFonts w:asciiTheme="minorHAnsi" w:hAnsiTheme="minorHAnsi" w:cstheme="minorHAnsi"/>
                <w:color w:val="595A5B" w:themeColor="accent4"/>
                <w:sz w:val="18"/>
                <w:szCs w:val="18"/>
                <w:lang w:val="en-US"/>
              </w:rPr>
              <w:t>Arts and recreation services</w:t>
            </w:r>
          </w:p>
        </w:tc>
        <w:tc>
          <w:tcPr>
            <w:tcW w:w="1216" w:type="dxa"/>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0.04</w:t>
            </w:r>
          </w:p>
        </w:tc>
        <w:tc>
          <w:tcPr>
            <w:tcW w:w="833" w:type="dxa"/>
            <w:gridSpan w:val="2"/>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0.06</w:t>
            </w:r>
          </w:p>
        </w:tc>
        <w:tc>
          <w:tcPr>
            <w:tcW w:w="677" w:type="dxa"/>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0.28</w:t>
            </w:r>
          </w:p>
        </w:tc>
        <w:tc>
          <w:tcPr>
            <w:tcW w:w="675" w:type="dxa"/>
            <w:tcBorders>
              <w:right w:val="single" w:sz="4" w:space="0" w:color="595A5B" w:themeColor="text1"/>
            </w:tcBorders>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w:t>
            </w:r>
          </w:p>
        </w:tc>
        <w:tc>
          <w:tcPr>
            <w:tcW w:w="1217" w:type="dxa"/>
            <w:tcBorders>
              <w:left w:val="single" w:sz="4" w:space="0" w:color="595A5B" w:themeColor="text1"/>
            </w:tcBorders>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0</w:t>
            </w:r>
          </w:p>
        </w:tc>
        <w:tc>
          <w:tcPr>
            <w:tcW w:w="675" w:type="dxa"/>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0</w:t>
            </w:r>
          </w:p>
        </w:tc>
        <w:tc>
          <w:tcPr>
            <w:tcW w:w="756" w:type="dxa"/>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14</w:t>
            </w:r>
          </w:p>
        </w:tc>
        <w:tc>
          <w:tcPr>
            <w:tcW w:w="837" w:type="dxa"/>
            <w:tcBorders>
              <w:right w:val="single" w:sz="4" w:space="0" w:color="595A5B" w:themeColor="text1"/>
            </w:tcBorders>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w:t>
            </w:r>
          </w:p>
        </w:tc>
        <w:tc>
          <w:tcPr>
            <w:tcW w:w="1217" w:type="dxa"/>
            <w:tcBorders>
              <w:left w:val="single" w:sz="4" w:space="0" w:color="595A5B" w:themeColor="text1"/>
            </w:tcBorders>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8</w:t>
            </w:r>
          </w:p>
        </w:tc>
        <w:tc>
          <w:tcPr>
            <w:tcW w:w="834" w:type="dxa"/>
            <w:gridSpan w:val="2"/>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32</w:t>
            </w:r>
          </w:p>
        </w:tc>
        <w:tc>
          <w:tcPr>
            <w:tcW w:w="760" w:type="dxa"/>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22</w:t>
            </w:r>
          </w:p>
        </w:tc>
        <w:tc>
          <w:tcPr>
            <w:tcW w:w="756" w:type="dxa"/>
            <w:tcBorders>
              <w:right w:val="nil"/>
            </w:tcBorders>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w:t>
            </w:r>
          </w:p>
        </w:tc>
      </w:tr>
      <w:tr w:rsidR="00CD045A" w:rsidTr="00997D7E">
        <w:trPr>
          <w:trHeight w:val="300"/>
        </w:trPr>
        <w:tc>
          <w:tcPr>
            <w:tcW w:w="3630" w:type="dxa"/>
            <w:gridSpan w:val="2"/>
            <w:shd w:val="clear" w:color="auto" w:fill="CAE7F3" w:themeFill="accent1" w:themeFillTint="33"/>
            <w:noWrap/>
            <w:vAlign w:val="bottom"/>
            <w:hideMark/>
          </w:tcPr>
          <w:p w:rsidR="00CD045A" w:rsidRPr="00885151" w:rsidRDefault="00CD045A" w:rsidP="00DB555F">
            <w:pPr>
              <w:ind w:left="0"/>
              <w:jc w:val="right"/>
              <w:rPr>
                <w:rFonts w:asciiTheme="minorHAnsi" w:hAnsiTheme="minorHAnsi" w:cstheme="minorHAnsi"/>
                <w:color w:val="595A5B" w:themeColor="accent4"/>
                <w:sz w:val="18"/>
                <w:szCs w:val="18"/>
                <w:lang w:val="en-US"/>
              </w:rPr>
            </w:pPr>
            <w:r w:rsidRPr="00885151">
              <w:rPr>
                <w:rFonts w:asciiTheme="minorHAnsi" w:hAnsiTheme="minorHAnsi" w:cstheme="minorHAnsi"/>
                <w:color w:val="595A5B" w:themeColor="accent4"/>
                <w:sz w:val="18"/>
                <w:szCs w:val="18"/>
                <w:lang w:val="en-US"/>
              </w:rPr>
              <w:t>Other services</w:t>
            </w:r>
          </w:p>
        </w:tc>
        <w:tc>
          <w:tcPr>
            <w:tcW w:w="1216" w:type="dxa"/>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0.04</w:t>
            </w:r>
          </w:p>
        </w:tc>
        <w:tc>
          <w:tcPr>
            <w:tcW w:w="833" w:type="dxa"/>
            <w:gridSpan w:val="2"/>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0.08</w:t>
            </w:r>
          </w:p>
        </w:tc>
        <w:tc>
          <w:tcPr>
            <w:tcW w:w="677" w:type="dxa"/>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0.40</w:t>
            </w:r>
          </w:p>
        </w:tc>
        <w:tc>
          <w:tcPr>
            <w:tcW w:w="675" w:type="dxa"/>
            <w:tcBorders>
              <w:right w:val="single" w:sz="4" w:space="0" w:color="595A5B" w:themeColor="text1"/>
            </w:tcBorders>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1.61</w:t>
            </w:r>
          </w:p>
        </w:tc>
        <w:tc>
          <w:tcPr>
            <w:tcW w:w="1217" w:type="dxa"/>
            <w:tcBorders>
              <w:left w:val="single" w:sz="4" w:space="0" w:color="595A5B" w:themeColor="text1"/>
            </w:tcBorders>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0</w:t>
            </w:r>
          </w:p>
        </w:tc>
        <w:tc>
          <w:tcPr>
            <w:tcW w:w="675" w:type="dxa"/>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1</w:t>
            </w:r>
          </w:p>
        </w:tc>
        <w:tc>
          <w:tcPr>
            <w:tcW w:w="756" w:type="dxa"/>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12</w:t>
            </w:r>
          </w:p>
        </w:tc>
        <w:tc>
          <w:tcPr>
            <w:tcW w:w="837" w:type="dxa"/>
            <w:tcBorders>
              <w:right w:val="single" w:sz="4" w:space="0" w:color="595A5B" w:themeColor="text1"/>
            </w:tcBorders>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30</w:t>
            </w:r>
          </w:p>
        </w:tc>
        <w:tc>
          <w:tcPr>
            <w:tcW w:w="1217" w:type="dxa"/>
            <w:tcBorders>
              <w:left w:val="single" w:sz="4" w:space="0" w:color="595A5B" w:themeColor="text1"/>
            </w:tcBorders>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17</w:t>
            </w:r>
          </w:p>
        </w:tc>
        <w:tc>
          <w:tcPr>
            <w:tcW w:w="834" w:type="dxa"/>
            <w:gridSpan w:val="2"/>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40</w:t>
            </w:r>
          </w:p>
        </w:tc>
        <w:tc>
          <w:tcPr>
            <w:tcW w:w="760" w:type="dxa"/>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34</w:t>
            </w:r>
          </w:p>
        </w:tc>
        <w:tc>
          <w:tcPr>
            <w:tcW w:w="756" w:type="dxa"/>
            <w:tcBorders>
              <w:right w:val="nil"/>
            </w:tcBorders>
            <w:shd w:val="clear" w:color="auto" w:fill="CAE7F3" w:themeFill="accent1" w:themeFillTint="33"/>
            <w:noWrap/>
            <w:vAlign w:val="bottom"/>
            <w:hideMark/>
          </w:tcPr>
          <w:p w:rsidR="00CD045A" w:rsidRPr="00885151" w:rsidRDefault="00CD045A" w:rsidP="00DB555F">
            <w:pPr>
              <w:ind w:left="54"/>
              <w:jc w:val="right"/>
              <w:rPr>
                <w:rFonts w:asciiTheme="minorHAnsi" w:hAnsiTheme="minorHAnsi" w:cstheme="minorHAnsi"/>
                <w:color w:val="595A5B" w:themeColor="accent4"/>
                <w:sz w:val="18"/>
              </w:rPr>
            </w:pPr>
            <w:r w:rsidRPr="00885151">
              <w:rPr>
                <w:rFonts w:asciiTheme="minorHAnsi" w:hAnsiTheme="minorHAnsi" w:cstheme="minorHAnsi"/>
                <w:color w:val="595A5B" w:themeColor="accent4"/>
                <w:sz w:val="18"/>
              </w:rPr>
              <w:t>41</w:t>
            </w:r>
          </w:p>
        </w:tc>
      </w:tr>
    </w:tbl>
    <w:p w:rsidR="00CD045A" w:rsidRDefault="00CD045A" w:rsidP="00DB555F">
      <w:pPr>
        <w:pStyle w:val="NoteWide"/>
      </w:pPr>
    </w:p>
    <w:p w:rsidR="00CD045A" w:rsidRPr="00A30089" w:rsidRDefault="00CD045A" w:rsidP="00DB555F">
      <w:pPr>
        <w:pStyle w:val="NoteWide"/>
      </w:pPr>
      <w:r w:rsidRPr="00A30089">
        <w:t>Note</w:t>
      </w:r>
      <w:r>
        <w:t xml:space="preserve">s: </w:t>
      </w:r>
      <w:r w:rsidRPr="00910D66">
        <w:t>Electricity, gas, water and waste services</w:t>
      </w:r>
      <w:r>
        <w:t xml:space="preserve"> and </w:t>
      </w:r>
      <w:r w:rsidRPr="00910D66">
        <w:t>Information, media and telecommunications</w:t>
      </w:r>
      <w:r>
        <w:t xml:space="preserve"> ANZSIC industry d</w:t>
      </w:r>
      <w:r w:rsidRPr="002157A3">
        <w:t>ivisions are excluded due to the small number of observations.</w:t>
      </w:r>
      <w:r>
        <w:t xml:space="preserve"> Size of firm is by employee headcount. Labour productivity was estimated as Industry value added per employee.</w:t>
      </w:r>
    </w:p>
    <w:p w:rsidR="00CD045A" w:rsidRPr="00A30089" w:rsidRDefault="00CD045A" w:rsidP="00DB555F">
      <w:pPr>
        <w:pStyle w:val="SourceWide"/>
      </w:pPr>
      <w:r>
        <w:t xml:space="preserve">Source: </w:t>
      </w:r>
      <w:r w:rsidRPr="00683EED">
        <w:t xml:space="preserve">ABS (2015) </w:t>
      </w:r>
      <w:r>
        <w:t>Expanded</w:t>
      </w:r>
      <w:r w:rsidRPr="00683EED">
        <w:t xml:space="preserve"> Analytical </w:t>
      </w:r>
      <w:r>
        <w:t xml:space="preserve">Business </w:t>
      </w:r>
      <w:r w:rsidRPr="00683EED">
        <w:t>Longitudinal Database</w:t>
      </w:r>
      <w:r w:rsidR="00885151">
        <w:t xml:space="preserve"> 2001–02 to 2012–</w:t>
      </w:r>
      <w:r>
        <w:t>13</w:t>
      </w:r>
    </w:p>
    <w:p w:rsidR="00CD045A" w:rsidRDefault="00CD045A" w:rsidP="00DB555F">
      <w:pPr>
        <w:pStyle w:val="BodyText"/>
      </w:pPr>
    </w:p>
    <w:p w:rsidR="00CD045A" w:rsidRDefault="00CD045A" w:rsidP="00DB555F">
      <w:pPr>
        <w:pStyle w:val="BodyText"/>
        <w:sectPr w:rsidR="00CD045A" w:rsidSect="00DB555F">
          <w:headerReference w:type="default" r:id="rId50"/>
          <w:pgSz w:w="16838" w:h="11906" w:orient="landscape" w:code="9"/>
          <w:pgMar w:top="1440" w:right="1440" w:bottom="1440" w:left="1440" w:header="709" w:footer="709" w:gutter="0"/>
          <w:cols w:space="708"/>
          <w:docGrid w:linePitch="360"/>
        </w:sectPr>
      </w:pPr>
    </w:p>
    <w:p w:rsidR="00CD045A" w:rsidRDefault="00CD045A" w:rsidP="00DB555F">
      <w:pPr>
        <w:pStyle w:val="CaptionWide"/>
      </w:pPr>
      <w:r w:rsidRPr="000618FB">
        <w:t xml:space="preserve">Table </w:t>
      </w:r>
      <w:r w:rsidR="00E76CB0">
        <w:t>B</w:t>
      </w:r>
      <w:r>
        <w:t>6: Median micro-start-up capital expenditure by age, five year employment growth performance and industry, 2006</w:t>
      </w:r>
      <w:r w:rsidR="00655A02">
        <w:t>–</w:t>
      </w:r>
      <w:r>
        <w:t>2011</w:t>
      </w:r>
    </w:p>
    <w:tbl>
      <w:tblPr>
        <w:tblW w:w="9089" w:type="dxa"/>
        <w:tblInd w:w="91" w:type="dxa"/>
        <w:tblLayout w:type="fixed"/>
        <w:tblLook w:val="04A0" w:firstRow="1" w:lastRow="0" w:firstColumn="1" w:lastColumn="0" w:noHBand="0" w:noVBand="1"/>
      </w:tblPr>
      <w:tblGrid>
        <w:gridCol w:w="3629"/>
        <w:gridCol w:w="1491"/>
        <w:gridCol w:w="1323"/>
        <w:gridCol w:w="1323"/>
        <w:gridCol w:w="1323"/>
      </w:tblGrid>
      <w:tr w:rsidR="00CD045A" w:rsidRPr="006131B9" w:rsidTr="00F1780B">
        <w:trPr>
          <w:trHeight w:val="396"/>
        </w:trPr>
        <w:tc>
          <w:tcPr>
            <w:tcW w:w="3629" w:type="dxa"/>
            <w:tcBorders>
              <w:right w:val="single" w:sz="4" w:space="0" w:color="595A5B" w:themeColor="text1"/>
            </w:tcBorders>
            <w:shd w:val="clear" w:color="auto" w:fill="22789A" w:themeFill="accent1"/>
            <w:noWrap/>
            <w:vAlign w:val="bottom"/>
            <w:hideMark/>
          </w:tcPr>
          <w:p w:rsidR="00CD045A" w:rsidRPr="006131B9" w:rsidRDefault="00CD045A" w:rsidP="00DB555F">
            <w:pPr>
              <w:pStyle w:val="Tabletext"/>
              <w:rPr>
                <w:color w:val="FFFFFF" w:themeColor="background1"/>
                <w:lang w:eastAsia="en-AU"/>
              </w:rPr>
            </w:pPr>
          </w:p>
        </w:tc>
        <w:tc>
          <w:tcPr>
            <w:tcW w:w="5460" w:type="dxa"/>
            <w:gridSpan w:val="4"/>
            <w:tcBorders>
              <w:left w:val="single" w:sz="4" w:space="0" w:color="595A5B" w:themeColor="text1"/>
            </w:tcBorders>
            <w:shd w:val="clear" w:color="auto" w:fill="22789A" w:themeFill="accent1"/>
            <w:noWrap/>
            <w:vAlign w:val="bottom"/>
            <w:hideMark/>
          </w:tcPr>
          <w:p w:rsidR="00CD045A" w:rsidRPr="004619D1" w:rsidRDefault="00CD045A" w:rsidP="00DB555F">
            <w:pPr>
              <w:pStyle w:val="Tabletext"/>
              <w:jc w:val="center"/>
              <w:rPr>
                <w:b/>
                <w:color w:val="FFFFFF" w:themeColor="background1"/>
                <w:lang w:eastAsia="en-AU"/>
              </w:rPr>
            </w:pPr>
            <w:r w:rsidRPr="004619D1">
              <w:rPr>
                <w:b/>
                <w:color w:val="FFFFFF" w:themeColor="background1"/>
                <w:lang w:eastAsia="en-AU"/>
              </w:rPr>
              <w:t>Capital expenditure, $m</w:t>
            </w:r>
          </w:p>
        </w:tc>
      </w:tr>
      <w:tr w:rsidR="00CD045A" w:rsidRPr="008B2361" w:rsidTr="00F1780B">
        <w:trPr>
          <w:trHeight w:val="300"/>
        </w:trPr>
        <w:tc>
          <w:tcPr>
            <w:tcW w:w="3629" w:type="dxa"/>
            <w:tcBorders>
              <w:right w:val="single" w:sz="4" w:space="0" w:color="595A5B" w:themeColor="text1"/>
            </w:tcBorders>
            <w:shd w:val="clear" w:color="auto" w:fill="22789A" w:themeFill="accent1"/>
            <w:noWrap/>
            <w:vAlign w:val="bottom"/>
            <w:hideMark/>
          </w:tcPr>
          <w:p w:rsidR="00CD045A" w:rsidRPr="008B2361" w:rsidRDefault="00CD045A" w:rsidP="00DB555F">
            <w:pPr>
              <w:pStyle w:val="Tabletext"/>
              <w:rPr>
                <w:color w:val="FFFFFF" w:themeColor="background1"/>
                <w:lang w:eastAsia="en-AU"/>
              </w:rPr>
            </w:pPr>
          </w:p>
        </w:tc>
        <w:tc>
          <w:tcPr>
            <w:tcW w:w="1491" w:type="dxa"/>
            <w:tcBorders>
              <w:left w:val="single" w:sz="4" w:space="0" w:color="595A5B" w:themeColor="text1"/>
            </w:tcBorders>
            <w:shd w:val="clear" w:color="auto" w:fill="22789A" w:themeFill="accent1"/>
            <w:noWrap/>
            <w:vAlign w:val="bottom"/>
            <w:hideMark/>
          </w:tcPr>
          <w:p w:rsidR="00CD045A" w:rsidRPr="008B2361" w:rsidRDefault="00CD045A" w:rsidP="004619D1">
            <w:pPr>
              <w:pStyle w:val="Tabletext"/>
              <w:jc w:val="right"/>
              <w:rPr>
                <w:color w:val="FFFFFF" w:themeColor="background1"/>
                <w:lang w:eastAsia="en-AU"/>
              </w:rPr>
            </w:pPr>
            <w:r>
              <w:rPr>
                <w:color w:val="FFFFFF" w:themeColor="background1"/>
                <w:lang w:eastAsia="en-AU"/>
              </w:rPr>
              <w:t>Employment</w:t>
            </w:r>
            <w:r w:rsidR="004619D1">
              <w:rPr>
                <w:color w:val="FFFFFF" w:themeColor="background1"/>
                <w:lang w:eastAsia="en-AU"/>
              </w:rPr>
              <w:br/>
            </w:r>
            <w:r>
              <w:rPr>
                <w:color w:val="FFFFFF" w:themeColor="background1"/>
                <w:lang w:eastAsia="en-AU"/>
              </w:rPr>
              <w:t>at birth</w:t>
            </w:r>
          </w:p>
        </w:tc>
        <w:tc>
          <w:tcPr>
            <w:tcW w:w="3969" w:type="dxa"/>
            <w:gridSpan w:val="3"/>
            <w:shd w:val="clear" w:color="auto" w:fill="22789A" w:themeFill="accent1"/>
            <w:noWrap/>
            <w:vAlign w:val="bottom"/>
            <w:hideMark/>
          </w:tcPr>
          <w:p w:rsidR="00CD045A" w:rsidRPr="008B2361" w:rsidRDefault="00CD045A" w:rsidP="004619D1">
            <w:pPr>
              <w:pStyle w:val="Tabletext"/>
              <w:jc w:val="center"/>
              <w:rPr>
                <w:color w:val="FFFFFF" w:themeColor="background1"/>
                <w:lang w:eastAsia="en-AU"/>
              </w:rPr>
            </w:pPr>
            <w:r>
              <w:rPr>
                <w:color w:val="FFFFFF" w:themeColor="background1"/>
                <w:lang w:eastAsia="en-AU"/>
              </w:rPr>
              <w:t xml:space="preserve">Employment </w:t>
            </w:r>
            <w:r w:rsidRPr="008B2361">
              <w:rPr>
                <w:color w:val="FFFFFF" w:themeColor="background1"/>
                <w:lang w:eastAsia="en-AU"/>
              </w:rPr>
              <w:t>after five years</w:t>
            </w:r>
          </w:p>
        </w:tc>
      </w:tr>
      <w:tr w:rsidR="00CD045A" w:rsidRPr="006131B9" w:rsidTr="00F1780B">
        <w:trPr>
          <w:trHeight w:val="403"/>
        </w:trPr>
        <w:tc>
          <w:tcPr>
            <w:tcW w:w="3629" w:type="dxa"/>
            <w:tcBorders>
              <w:right w:val="single" w:sz="4" w:space="0" w:color="595A5B" w:themeColor="text1"/>
            </w:tcBorders>
            <w:shd w:val="clear" w:color="auto" w:fill="22789A" w:themeFill="accent1"/>
            <w:noWrap/>
            <w:vAlign w:val="bottom"/>
            <w:hideMark/>
          </w:tcPr>
          <w:p w:rsidR="00CD045A" w:rsidRPr="006131B9" w:rsidRDefault="00CD045A" w:rsidP="000078F3">
            <w:pPr>
              <w:pStyle w:val="Tabletext"/>
              <w:jc w:val="right"/>
              <w:rPr>
                <w:color w:val="FFFFFF" w:themeColor="background1"/>
                <w:lang w:eastAsia="en-AU"/>
              </w:rPr>
            </w:pPr>
            <w:r w:rsidRPr="008B2361">
              <w:rPr>
                <w:color w:val="FFFFFF" w:themeColor="background1"/>
                <w:lang w:eastAsia="en-AU"/>
              </w:rPr>
              <w:t>Industry</w:t>
            </w:r>
            <w:r w:rsidRPr="006131B9">
              <w:rPr>
                <w:color w:val="FFFFFF" w:themeColor="background1"/>
                <w:lang w:eastAsia="en-AU"/>
              </w:rPr>
              <w:t xml:space="preserve"> division</w:t>
            </w:r>
          </w:p>
        </w:tc>
        <w:tc>
          <w:tcPr>
            <w:tcW w:w="1491" w:type="dxa"/>
            <w:tcBorders>
              <w:left w:val="single" w:sz="4" w:space="0" w:color="595A5B" w:themeColor="text1"/>
            </w:tcBorders>
            <w:shd w:val="clear" w:color="auto" w:fill="22789A" w:themeFill="accent1"/>
            <w:noWrap/>
            <w:vAlign w:val="bottom"/>
            <w:hideMark/>
          </w:tcPr>
          <w:p w:rsidR="00CD045A" w:rsidRPr="006131B9" w:rsidRDefault="00885151" w:rsidP="004619D1">
            <w:pPr>
              <w:pStyle w:val="Tabletext"/>
              <w:jc w:val="right"/>
              <w:rPr>
                <w:color w:val="FFFFFF" w:themeColor="background1"/>
                <w:lang w:eastAsia="en-AU"/>
              </w:rPr>
            </w:pPr>
            <w:r>
              <w:rPr>
                <w:color w:val="FFFFFF" w:themeColor="background1"/>
                <w:lang w:eastAsia="en-AU"/>
              </w:rPr>
              <w:t>0–</w:t>
            </w:r>
            <w:r w:rsidR="00CD045A" w:rsidRPr="006131B9">
              <w:rPr>
                <w:color w:val="FFFFFF" w:themeColor="background1"/>
                <w:lang w:eastAsia="en-AU"/>
              </w:rPr>
              <w:t>9</w:t>
            </w:r>
          </w:p>
        </w:tc>
        <w:tc>
          <w:tcPr>
            <w:tcW w:w="1323" w:type="dxa"/>
            <w:shd w:val="clear" w:color="auto" w:fill="22789A" w:themeFill="accent1"/>
            <w:noWrap/>
            <w:vAlign w:val="bottom"/>
            <w:hideMark/>
          </w:tcPr>
          <w:p w:rsidR="00CD045A" w:rsidRPr="006131B9" w:rsidRDefault="00885151" w:rsidP="00DB555F">
            <w:pPr>
              <w:pStyle w:val="Tabletext"/>
              <w:jc w:val="right"/>
              <w:rPr>
                <w:color w:val="FFFFFF" w:themeColor="background1"/>
                <w:lang w:eastAsia="en-AU"/>
              </w:rPr>
            </w:pPr>
            <w:r>
              <w:rPr>
                <w:color w:val="FFFFFF" w:themeColor="background1"/>
                <w:lang w:eastAsia="en-AU"/>
              </w:rPr>
              <w:t>0–</w:t>
            </w:r>
            <w:r w:rsidR="00CD045A" w:rsidRPr="006131B9">
              <w:rPr>
                <w:color w:val="FFFFFF" w:themeColor="background1"/>
                <w:lang w:eastAsia="en-AU"/>
              </w:rPr>
              <w:t>9</w:t>
            </w:r>
          </w:p>
        </w:tc>
        <w:tc>
          <w:tcPr>
            <w:tcW w:w="1323" w:type="dxa"/>
            <w:shd w:val="clear" w:color="auto" w:fill="22789A" w:themeFill="accent1"/>
            <w:noWrap/>
            <w:vAlign w:val="bottom"/>
            <w:hideMark/>
          </w:tcPr>
          <w:p w:rsidR="00CD045A" w:rsidRPr="006131B9" w:rsidRDefault="00885151" w:rsidP="00DB555F">
            <w:pPr>
              <w:pStyle w:val="Tabletext"/>
              <w:jc w:val="right"/>
              <w:rPr>
                <w:color w:val="FFFFFF" w:themeColor="background1"/>
                <w:lang w:eastAsia="en-AU"/>
              </w:rPr>
            </w:pPr>
            <w:r>
              <w:rPr>
                <w:color w:val="FFFFFF" w:themeColor="background1"/>
                <w:lang w:eastAsia="en-AU"/>
              </w:rPr>
              <w:t>10–</w:t>
            </w:r>
            <w:r w:rsidR="00CD045A" w:rsidRPr="006131B9">
              <w:rPr>
                <w:color w:val="FFFFFF" w:themeColor="background1"/>
                <w:lang w:eastAsia="en-AU"/>
              </w:rPr>
              <w:t>19</w:t>
            </w:r>
          </w:p>
        </w:tc>
        <w:tc>
          <w:tcPr>
            <w:tcW w:w="1323" w:type="dxa"/>
            <w:shd w:val="clear" w:color="auto" w:fill="22789A" w:themeFill="accent1"/>
            <w:noWrap/>
            <w:vAlign w:val="bottom"/>
            <w:hideMark/>
          </w:tcPr>
          <w:p w:rsidR="00CD045A" w:rsidRPr="006131B9" w:rsidRDefault="00CD045A" w:rsidP="00DB555F">
            <w:pPr>
              <w:pStyle w:val="Tabletext"/>
              <w:jc w:val="right"/>
              <w:rPr>
                <w:color w:val="FFFFFF" w:themeColor="background1"/>
                <w:lang w:eastAsia="en-AU"/>
              </w:rPr>
            </w:pPr>
            <w:r w:rsidRPr="006131B9">
              <w:rPr>
                <w:color w:val="FFFFFF" w:themeColor="background1"/>
                <w:lang w:eastAsia="en-AU"/>
              </w:rPr>
              <w:t>20+</w:t>
            </w:r>
          </w:p>
        </w:tc>
      </w:tr>
      <w:tr w:rsidR="00CD045A" w:rsidRPr="00150F37" w:rsidTr="00F1780B">
        <w:trPr>
          <w:trHeight w:val="300"/>
        </w:trPr>
        <w:tc>
          <w:tcPr>
            <w:tcW w:w="3629" w:type="dxa"/>
            <w:tcBorders>
              <w:right w:val="single" w:sz="4" w:space="0" w:color="595A5B" w:themeColor="text1"/>
            </w:tcBorders>
            <w:shd w:val="clear" w:color="auto" w:fill="CAE7F3" w:themeFill="accent1" w:themeFillTint="33"/>
            <w:noWrap/>
            <w:vAlign w:val="bottom"/>
            <w:hideMark/>
          </w:tcPr>
          <w:p w:rsidR="00CD045A" w:rsidRPr="00885151" w:rsidRDefault="00CD045A" w:rsidP="00DB555F">
            <w:pPr>
              <w:ind w:left="0"/>
              <w:jc w:val="right"/>
              <w:rPr>
                <w:color w:val="595A5B" w:themeColor="accent4"/>
                <w:sz w:val="18"/>
                <w:szCs w:val="18"/>
                <w:lang w:val="en-US"/>
              </w:rPr>
            </w:pPr>
            <w:r w:rsidRPr="00885151">
              <w:rPr>
                <w:color w:val="595A5B" w:themeColor="accent4"/>
                <w:sz w:val="18"/>
                <w:szCs w:val="18"/>
                <w:lang w:val="en-US"/>
              </w:rPr>
              <w:t>Agriculture, Forestry and fishing</w:t>
            </w:r>
          </w:p>
        </w:tc>
        <w:tc>
          <w:tcPr>
            <w:tcW w:w="1491" w:type="dxa"/>
            <w:tcBorders>
              <w:left w:val="single" w:sz="4" w:space="0" w:color="595A5B" w:themeColor="text1"/>
            </w:tcBorders>
            <w:shd w:val="clear" w:color="auto" w:fill="CAE7F3" w:themeFill="accent1" w:themeFillTint="33"/>
            <w:noWrap/>
            <w:vAlign w:val="bottom"/>
            <w:hideMark/>
          </w:tcPr>
          <w:p w:rsidR="00CD045A" w:rsidRPr="00885151" w:rsidRDefault="00CD045A" w:rsidP="004619D1">
            <w:pPr>
              <w:ind w:left="0"/>
              <w:jc w:val="right"/>
              <w:rPr>
                <w:color w:val="595A5B" w:themeColor="accent4"/>
                <w:sz w:val="18"/>
                <w:szCs w:val="18"/>
                <w:lang w:val="en-US"/>
              </w:rPr>
            </w:pPr>
            <w:r w:rsidRPr="00885151">
              <w:rPr>
                <w:color w:val="595A5B" w:themeColor="accent4"/>
                <w:sz w:val="18"/>
                <w:szCs w:val="18"/>
                <w:lang w:val="en-US"/>
              </w:rPr>
              <w:t>2,832</w:t>
            </w:r>
          </w:p>
        </w:tc>
        <w:tc>
          <w:tcPr>
            <w:tcW w:w="1323" w:type="dxa"/>
            <w:shd w:val="clear" w:color="auto" w:fill="CAE7F3" w:themeFill="accent1" w:themeFillTint="33"/>
            <w:noWrap/>
            <w:vAlign w:val="bottom"/>
            <w:hideMark/>
          </w:tcPr>
          <w:p w:rsidR="00CD045A" w:rsidRPr="00885151" w:rsidRDefault="00CD045A" w:rsidP="00DB555F">
            <w:pPr>
              <w:ind w:left="0"/>
              <w:jc w:val="right"/>
              <w:rPr>
                <w:color w:val="595A5B" w:themeColor="accent4"/>
                <w:sz w:val="18"/>
                <w:szCs w:val="18"/>
                <w:lang w:val="en-US"/>
              </w:rPr>
            </w:pPr>
            <w:r w:rsidRPr="00885151">
              <w:rPr>
                <w:color w:val="595A5B" w:themeColor="accent4"/>
                <w:sz w:val="18"/>
                <w:szCs w:val="18"/>
                <w:lang w:val="en-US"/>
              </w:rPr>
              <w:t>5,424</w:t>
            </w:r>
          </w:p>
        </w:tc>
        <w:tc>
          <w:tcPr>
            <w:tcW w:w="1323" w:type="dxa"/>
            <w:shd w:val="clear" w:color="auto" w:fill="CAE7F3" w:themeFill="accent1" w:themeFillTint="33"/>
            <w:noWrap/>
            <w:vAlign w:val="bottom"/>
            <w:hideMark/>
          </w:tcPr>
          <w:p w:rsidR="00CD045A" w:rsidRPr="00885151" w:rsidRDefault="00CD045A" w:rsidP="00DB555F">
            <w:pPr>
              <w:ind w:left="0"/>
              <w:jc w:val="right"/>
              <w:rPr>
                <w:color w:val="595A5B" w:themeColor="accent4"/>
                <w:sz w:val="18"/>
                <w:szCs w:val="18"/>
                <w:lang w:val="en-US"/>
              </w:rPr>
            </w:pPr>
            <w:r w:rsidRPr="00885151">
              <w:rPr>
                <w:color w:val="595A5B" w:themeColor="accent4"/>
                <w:sz w:val="18"/>
                <w:szCs w:val="18"/>
                <w:lang w:val="en-US"/>
              </w:rPr>
              <w:t>17,438</w:t>
            </w:r>
          </w:p>
        </w:tc>
        <w:tc>
          <w:tcPr>
            <w:tcW w:w="1323" w:type="dxa"/>
            <w:shd w:val="clear" w:color="auto" w:fill="CAE7F3" w:themeFill="accent1" w:themeFillTint="33"/>
            <w:noWrap/>
            <w:vAlign w:val="bottom"/>
            <w:hideMark/>
          </w:tcPr>
          <w:p w:rsidR="00CD045A" w:rsidRPr="00885151" w:rsidRDefault="00CD045A" w:rsidP="00DB555F">
            <w:pPr>
              <w:ind w:left="0"/>
              <w:jc w:val="right"/>
              <w:rPr>
                <w:color w:val="595A5B" w:themeColor="accent4"/>
                <w:sz w:val="18"/>
                <w:szCs w:val="18"/>
                <w:lang w:val="en-US"/>
              </w:rPr>
            </w:pPr>
            <w:r w:rsidRPr="00885151">
              <w:rPr>
                <w:color w:val="595A5B" w:themeColor="accent4"/>
                <w:sz w:val="18"/>
                <w:szCs w:val="18"/>
                <w:lang w:val="en-US"/>
              </w:rPr>
              <w:t>46,994</w:t>
            </w:r>
          </w:p>
        </w:tc>
      </w:tr>
      <w:tr w:rsidR="00CD045A" w:rsidRPr="00150F37" w:rsidTr="00F1780B">
        <w:trPr>
          <w:trHeight w:val="300"/>
        </w:trPr>
        <w:tc>
          <w:tcPr>
            <w:tcW w:w="3629" w:type="dxa"/>
            <w:tcBorders>
              <w:right w:val="single" w:sz="4" w:space="0" w:color="595A5B" w:themeColor="text1"/>
            </w:tcBorders>
            <w:shd w:val="clear" w:color="auto" w:fill="CAE7F3" w:themeFill="accent1" w:themeFillTint="33"/>
            <w:noWrap/>
            <w:vAlign w:val="bottom"/>
            <w:hideMark/>
          </w:tcPr>
          <w:p w:rsidR="00CD045A" w:rsidRPr="00885151" w:rsidRDefault="00CD045A" w:rsidP="00DB555F">
            <w:pPr>
              <w:ind w:left="0"/>
              <w:jc w:val="right"/>
              <w:rPr>
                <w:color w:val="595A5B" w:themeColor="accent4"/>
                <w:sz w:val="18"/>
                <w:szCs w:val="18"/>
                <w:lang w:val="en-US"/>
              </w:rPr>
            </w:pPr>
            <w:r w:rsidRPr="00885151">
              <w:rPr>
                <w:color w:val="595A5B" w:themeColor="accent4"/>
                <w:sz w:val="18"/>
                <w:szCs w:val="18"/>
                <w:lang w:val="en-US"/>
              </w:rPr>
              <w:t>Mining</w:t>
            </w:r>
          </w:p>
        </w:tc>
        <w:tc>
          <w:tcPr>
            <w:tcW w:w="1491" w:type="dxa"/>
            <w:tcBorders>
              <w:left w:val="single" w:sz="4" w:space="0" w:color="595A5B" w:themeColor="text1"/>
            </w:tcBorders>
            <w:shd w:val="clear" w:color="auto" w:fill="CAE7F3" w:themeFill="accent1" w:themeFillTint="33"/>
            <w:noWrap/>
            <w:vAlign w:val="bottom"/>
            <w:hideMark/>
          </w:tcPr>
          <w:p w:rsidR="00CD045A" w:rsidRPr="00885151" w:rsidRDefault="00CD045A" w:rsidP="004619D1">
            <w:pPr>
              <w:ind w:left="0"/>
              <w:jc w:val="right"/>
              <w:rPr>
                <w:color w:val="595A5B" w:themeColor="accent4"/>
                <w:sz w:val="18"/>
                <w:szCs w:val="18"/>
                <w:lang w:val="en-US"/>
              </w:rPr>
            </w:pPr>
            <w:r w:rsidRPr="00885151">
              <w:rPr>
                <w:color w:val="595A5B" w:themeColor="accent4"/>
                <w:sz w:val="18"/>
                <w:szCs w:val="18"/>
                <w:lang w:val="en-US"/>
              </w:rPr>
              <w:t>3,011</w:t>
            </w:r>
          </w:p>
        </w:tc>
        <w:tc>
          <w:tcPr>
            <w:tcW w:w="1323" w:type="dxa"/>
            <w:shd w:val="clear" w:color="auto" w:fill="CAE7F3" w:themeFill="accent1" w:themeFillTint="33"/>
            <w:noWrap/>
            <w:vAlign w:val="bottom"/>
            <w:hideMark/>
          </w:tcPr>
          <w:p w:rsidR="00CD045A" w:rsidRPr="00885151" w:rsidRDefault="00CD045A" w:rsidP="00DB555F">
            <w:pPr>
              <w:ind w:left="0"/>
              <w:jc w:val="right"/>
              <w:rPr>
                <w:color w:val="595A5B" w:themeColor="accent4"/>
                <w:sz w:val="18"/>
                <w:szCs w:val="18"/>
                <w:lang w:val="en-US"/>
              </w:rPr>
            </w:pPr>
            <w:r w:rsidRPr="00885151">
              <w:rPr>
                <w:color w:val="595A5B" w:themeColor="accent4"/>
                <w:sz w:val="18"/>
                <w:szCs w:val="18"/>
                <w:lang w:val="en-US"/>
              </w:rPr>
              <w:t>1,855</w:t>
            </w:r>
          </w:p>
        </w:tc>
        <w:tc>
          <w:tcPr>
            <w:tcW w:w="1323" w:type="dxa"/>
            <w:shd w:val="clear" w:color="auto" w:fill="CAE7F3" w:themeFill="accent1" w:themeFillTint="33"/>
            <w:noWrap/>
            <w:vAlign w:val="bottom"/>
            <w:hideMark/>
          </w:tcPr>
          <w:p w:rsidR="00CD045A" w:rsidRPr="00885151" w:rsidRDefault="00CD045A" w:rsidP="00DB555F">
            <w:pPr>
              <w:ind w:left="0"/>
              <w:jc w:val="right"/>
              <w:rPr>
                <w:color w:val="595A5B" w:themeColor="accent4"/>
                <w:sz w:val="18"/>
                <w:szCs w:val="18"/>
                <w:lang w:val="en-US"/>
              </w:rPr>
            </w:pPr>
            <w:r w:rsidRPr="00885151">
              <w:rPr>
                <w:color w:val="595A5B" w:themeColor="accent4"/>
                <w:sz w:val="18"/>
                <w:szCs w:val="18"/>
                <w:lang w:val="en-US"/>
              </w:rPr>
              <w:t>-</w:t>
            </w:r>
          </w:p>
        </w:tc>
        <w:tc>
          <w:tcPr>
            <w:tcW w:w="1323" w:type="dxa"/>
            <w:shd w:val="clear" w:color="auto" w:fill="CAE7F3" w:themeFill="accent1" w:themeFillTint="33"/>
            <w:noWrap/>
            <w:vAlign w:val="bottom"/>
            <w:hideMark/>
          </w:tcPr>
          <w:p w:rsidR="00CD045A" w:rsidRPr="00885151" w:rsidRDefault="00CD045A" w:rsidP="00DB555F">
            <w:pPr>
              <w:ind w:left="0"/>
              <w:jc w:val="right"/>
              <w:rPr>
                <w:color w:val="595A5B" w:themeColor="accent4"/>
                <w:sz w:val="18"/>
                <w:szCs w:val="18"/>
                <w:lang w:val="en-US"/>
              </w:rPr>
            </w:pPr>
            <w:r w:rsidRPr="00885151">
              <w:rPr>
                <w:color w:val="595A5B" w:themeColor="accent4"/>
                <w:sz w:val="18"/>
                <w:szCs w:val="18"/>
                <w:lang w:val="en-US"/>
              </w:rPr>
              <w:t>921,435</w:t>
            </w:r>
          </w:p>
        </w:tc>
      </w:tr>
      <w:tr w:rsidR="00CD045A" w:rsidRPr="00150F37" w:rsidTr="00F1780B">
        <w:trPr>
          <w:trHeight w:val="300"/>
        </w:trPr>
        <w:tc>
          <w:tcPr>
            <w:tcW w:w="3629" w:type="dxa"/>
            <w:tcBorders>
              <w:right w:val="single" w:sz="4" w:space="0" w:color="595A5B" w:themeColor="text1"/>
            </w:tcBorders>
            <w:shd w:val="clear" w:color="auto" w:fill="CAE7F3" w:themeFill="accent1" w:themeFillTint="33"/>
            <w:noWrap/>
            <w:vAlign w:val="bottom"/>
            <w:hideMark/>
          </w:tcPr>
          <w:p w:rsidR="00CD045A" w:rsidRPr="00885151" w:rsidRDefault="00CD045A" w:rsidP="00DB555F">
            <w:pPr>
              <w:ind w:left="0"/>
              <w:jc w:val="right"/>
              <w:rPr>
                <w:color w:val="595A5B" w:themeColor="accent4"/>
                <w:sz w:val="18"/>
                <w:szCs w:val="18"/>
                <w:lang w:val="en-US"/>
              </w:rPr>
            </w:pPr>
            <w:r w:rsidRPr="00885151">
              <w:rPr>
                <w:color w:val="595A5B" w:themeColor="accent4"/>
                <w:sz w:val="18"/>
                <w:szCs w:val="18"/>
                <w:lang w:val="en-US"/>
              </w:rPr>
              <w:t>Manufacturing</w:t>
            </w:r>
          </w:p>
        </w:tc>
        <w:tc>
          <w:tcPr>
            <w:tcW w:w="1491" w:type="dxa"/>
            <w:tcBorders>
              <w:left w:val="single" w:sz="4" w:space="0" w:color="595A5B" w:themeColor="text1"/>
            </w:tcBorders>
            <w:shd w:val="clear" w:color="auto" w:fill="CAE7F3" w:themeFill="accent1" w:themeFillTint="33"/>
            <w:noWrap/>
            <w:vAlign w:val="bottom"/>
            <w:hideMark/>
          </w:tcPr>
          <w:p w:rsidR="00CD045A" w:rsidRPr="00885151" w:rsidRDefault="00CD045A" w:rsidP="004619D1">
            <w:pPr>
              <w:ind w:left="0"/>
              <w:jc w:val="right"/>
              <w:rPr>
                <w:color w:val="595A5B" w:themeColor="accent4"/>
                <w:sz w:val="18"/>
                <w:szCs w:val="18"/>
                <w:lang w:val="en-US"/>
              </w:rPr>
            </w:pPr>
            <w:r w:rsidRPr="00885151">
              <w:rPr>
                <w:color w:val="595A5B" w:themeColor="accent4"/>
                <w:sz w:val="18"/>
                <w:szCs w:val="18"/>
                <w:lang w:val="en-US"/>
              </w:rPr>
              <w:t>864</w:t>
            </w:r>
          </w:p>
        </w:tc>
        <w:tc>
          <w:tcPr>
            <w:tcW w:w="1323" w:type="dxa"/>
            <w:shd w:val="clear" w:color="auto" w:fill="CAE7F3" w:themeFill="accent1" w:themeFillTint="33"/>
            <w:noWrap/>
            <w:vAlign w:val="bottom"/>
            <w:hideMark/>
          </w:tcPr>
          <w:p w:rsidR="00CD045A" w:rsidRPr="00885151" w:rsidRDefault="00CD045A" w:rsidP="00DB555F">
            <w:pPr>
              <w:ind w:left="0"/>
              <w:jc w:val="right"/>
              <w:rPr>
                <w:color w:val="595A5B" w:themeColor="accent4"/>
                <w:sz w:val="18"/>
                <w:szCs w:val="18"/>
                <w:lang w:val="en-US"/>
              </w:rPr>
            </w:pPr>
            <w:r w:rsidRPr="00885151">
              <w:rPr>
                <w:color w:val="595A5B" w:themeColor="accent4"/>
                <w:sz w:val="18"/>
                <w:szCs w:val="18"/>
                <w:lang w:val="en-US"/>
              </w:rPr>
              <w:t>0</w:t>
            </w:r>
          </w:p>
        </w:tc>
        <w:tc>
          <w:tcPr>
            <w:tcW w:w="1323" w:type="dxa"/>
            <w:shd w:val="clear" w:color="auto" w:fill="CAE7F3" w:themeFill="accent1" w:themeFillTint="33"/>
            <w:noWrap/>
            <w:vAlign w:val="bottom"/>
            <w:hideMark/>
          </w:tcPr>
          <w:p w:rsidR="00CD045A" w:rsidRPr="00885151" w:rsidRDefault="00CD045A" w:rsidP="00DB555F">
            <w:pPr>
              <w:ind w:left="0"/>
              <w:jc w:val="right"/>
              <w:rPr>
                <w:color w:val="595A5B" w:themeColor="accent4"/>
                <w:sz w:val="18"/>
                <w:szCs w:val="18"/>
                <w:lang w:val="en-US"/>
              </w:rPr>
            </w:pPr>
            <w:r w:rsidRPr="00885151">
              <w:rPr>
                <w:color w:val="595A5B" w:themeColor="accent4"/>
                <w:sz w:val="18"/>
                <w:szCs w:val="18"/>
                <w:lang w:val="en-US"/>
              </w:rPr>
              <w:t>6,005</w:t>
            </w:r>
          </w:p>
        </w:tc>
        <w:tc>
          <w:tcPr>
            <w:tcW w:w="1323" w:type="dxa"/>
            <w:shd w:val="clear" w:color="auto" w:fill="CAE7F3" w:themeFill="accent1" w:themeFillTint="33"/>
            <w:noWrap/>
            <w:vAlign w:val="bottom"/>
            <w:hideMark/>
          </w:tcPr>
          <w:p w:rsidR="00CD045A" w:rsidRPr="00885151" w:rsidRDefault="00CD045A" w:rsidP="00DB555F">
            <w:pPr>
              <w:ind w:left="0"/>
              <w:jc w:val="right"/>
              <w:rPr>
                <w:color w:val="595A5B" w:themeColor="accent4"/>
                <w:sz w:val="18"/>
                <w:szCs w:val="18"/>
                <w:lang w:val="en-US"/>
              </w:rPr>
            </w:pPr>
            <w:r w:rsidRPr="00885151">
              <w:rPr>
                <w:color w:val="595A5B" w:themeColor="accent4"/>
                <w:sz w:val="18"/>
                <w:szCs w:val="18"/>
                <w:lang w:val="en-US"/>
              </w:rPr>
              <w:t>27,561</w:t>
            </w:r>
          </w:p>
        </w:tc>
      </w:tr>
      <w:tr w:rsidR="00CD045A" w:rsidRPr="00150F37" w:rsidTr="00F1780B">
        <w:trPr>
          <w:trHeight w:val="300"/>
        </w:trPr>
        <w:tc>
          <w:tcPr>
            <w:tcW w:w="3629" w:type="dxa"/>
            <w:tcBorders>
              <w:right w:val="single" w:sz="4" w:space="0" w:color="595A5B" w:themeColor="text1"/>
            </w:tcBorders>
            <w:shd w:val="clear" w:color="auto" w:fill="CAE7F3" w:themeFill="accent1" w:themeFillTint="33"/>
            <w:noWrap/>
            <w:vAlign w:val="bottom"/>
            <w:hideMark/>
          </w:tcPr>
          <w:p w:rsidR="00CD045A" w:rsidRPr="00885151" w:rsidRDefault="00CD045A" w:rsidP="00DB555F">
            <w:pPr>
              <w:ind w:left="0"/>
              <w:jc w:val="right"/>
              <w:rPr>
                <w:color w:val="595A5B" w:themeColor="accent4"/>
                <w:sz w:val="18"/>
                <w:szCs w:val="18"/>
                <w:lang w:val="en-US"/>
              </w:rPr>
            </w:pPr>
            <w:r w:rsidRPr="00885151">
              <w:rPr>
                <w:color w:val="595A5B" w:themeColor="accent4"/>
                <w:sz w:val="18"/>
                <w:szCs w:val="18"/>
                <w:lang w:val="en-US"/>
              </w:rPr>
              <w:t>Construction</w:t>
            </w:r>
          </w:p>
        </w:tc>
        <w:tc>
          <w:tcPr>
            <w:tcW w:w="1491" w:type="dxa"/>
            <w:tcBorders>
              <w:left w:val="single" w:sz="4" w:space="0" w:color="595A5B" w:themeColor="text1"/>
            </w:tcBorders>
            <w:shd w:val="clear" w:color="auto" w:fill="CAE7F3" w:themeFill="accent1" w:themeFillTint="33"/>
            <w:noWrap/>
            <w:vAlign w:val="bottom"/>
            <w:hideMark/>
          </w:tcPr>
          <w:p w:rsidR="00CD045A" w:rsidRPr="00885151" w:rsidRDefault="00CD045A" w:rsidP="004619D1">
            <w:pPr>
              <w:ind w:left="0"/>
              <w:jc w:val="right"/>
              <w:rPr>
                <w:color w:val="595A5B" w:themeColor="accent4"/>
                <w:sz w:val="18"/>
                <w:szCs w:val="18"/>
                <w:lang w:val="en-US"/>
              </w:rPr>
            </w:pPr>
            <w:r w:rsidRPr="00885151">
              <w:rPr>
                <w:color w:val="595A5B" w:themeColor="accent4"/>
                <w:sz w:val="18"/>
                <w:szCs w:val="18"/>
                <w:lang w:val="en-US"/>
              </w:rPr>
              <w:t>0</w:t>
            </w:r>
          </w:p>
        </w:tc>
        <w:tc>
          <w:tcPr>
            <w:tcW w:w="1323" w:type="dxa"/>
            <w:shd w:val="clear" w:color="auto" w:fill="CAE7F3" w:themeFill="accent1" w:themeFillTint="33"/>
            <w:noWrap/>
            <w:vAlign w:val="bottom"/>
            <w:hideMark/>
          </w:tcPr>
          <w:p w:rsidR="00CD045A" w:rsidRPr="00885151" w:rsidRDefault="00CD045A" w:rsidP="00DB555F">
            <w:pPr>
              <w:ind w:left="0"/>
              <w:jc w:val="right"/>
              <w:rPr>
                <w:color w:val="595A5B" w:themeColor="accent4"/>
                <w:sz w:val="18"/>
                <w:szCs w:val="18"/>
                <w:lang w:val="en-US"/>
              </w:rPr>
            </w:pPr>
            <w:r w:rsidRPr="00885151">
              <w:rPr>
                <w:color w:val="595A5B" w:themeColor="accent4"/>
                <w:sz w:val="18"/>
                <w:szCs w:val="18"/>
                <w:lang w:val="en-US"/>
              </w:rPr>
              <w:t>0</w:t>
            </w:r>
          </w:p>
        </w:tc>
        <w:tc>
          <w:tcPr>
            <w:tcW w:w="1323" w:type="dxa"/>
            <w:shd w:val="clear" w:color="auto" w:fill="CAE7F3" w:themeFill="accent1" w:themeFillTint="33"/>
            <w:noWrap/>
            <w:vAlign w:val="bottom"/>
            <w:hideMark/>
          </w:tcPr>
          <w:p w:rsidR="00CD045A" w:rsidRPr="00885151" w:rsidRDefault="00CD045A" w:rsidP="00DB555F">
            <w:pPr>
              <w:ind w:left="0"/>
              <w:jc w:val="right"/>
              <w:rPr>
                <w:color w:val="595A5B" w:themeColor="accent4"/>
                <w:sz w:val="18"/>
                <w:szCs w:val="18"/>
                <w:lang w:val="en-US"/>
              </w:rPr>
            </w:pPr>
            <w:r w:rsidRPr="00885151">
              <w:rPr>
                <w:color w:val="595A5B" w:themeColor="accent4"/>
                <w:sz w:val="18"/>
                <w:szCs w:val="18"/>
                <w:lang w:val="en-US"/>
              </w:rPr>
              <w:t>11,035</w:t>
            </w:r>
          </w:p>
        </w:tc>
        <w:tc>
          <w:tcPr>
            <w:tcW w:w="1323" w:type="dxa"/>
            <w:shd w:val="clear" w:color="auto" w:fill="CAE7F3" w:themeFill="accent1" w:themeFillTint="33"/>
            <w:noWrap/>
            <w:vAlign w:val="bottom"/>
            <w:hideMark/>
          </w:tcPr>
          <w:p w:rsidR="00CD045A" w:rsidRPr="00885151" w:rsidRDefault="00CD045A" w:rsidP="00DB555F">
            <w:pPr>
              <w:ind w:left="0"/>
              <w:jc w:val="right"/>
              <w:rPr>
                <w:color w:val="595A5B" w:themeColor="accent4"/>
                <w:sz w:val="18"/>
                <w:szCs w:val="18"/>
                <w:lang w:val="en-US"/>
              </w:rPr>
            </w:pPr>
            <w:r w:rsidRPr="00885151">
              <w:rPr>
                <w:color w:val="595A5B" w:themeColor="accent4"/>
                <w:sz w:val="18"/>
                <w:szCs w:val="18"/>
                <w:lang w:val="en-US"/>
              </w:rPr>
              <w:t>41,620</w:t>
            </w:r>
          </w:p>
        </w:tc>
      </w:tr>
      <w:tr w:rsidR="00CD045A" w:rsidRPr="00150F37" w:rsidTr="00F1780B">
        <w:trPr>
          <w:trHeight w:val="300"/>
        </w:trPr>
        <w:tc>
          <w:tcPr>
            <w:tcW w:w="3629" w:type="dxa"/>
            <w:tcBorders>
              <w:right w:val="single" w:sz="4" w:space="0" w:color="595A5B" w:themeColor="text1"/>
            </w:tcBorders>
            <w:shd w:val="clear" w:color="auto" w:fill="CAE7F3" w:themeFill="accent1" w:themeFillTint="33"/>
            <w:noWrap/>
            <w:vAlign w:val="bottom"/>
            <w:hideMark/>
          </w:tcPr>
          <w:p w:rsidR="00CD045A" w:rsidRPr="00885151" w:rsidRDefault="00CD045A" w:rsidP="00DB555F">
            <w:pPr>
              <w:ind w:left="0"/>
              <w:jc w:val="right"/>
              <w:rPr>
                <w:color w:val="595A5B" w:themeColor="accent4"/>
                <w:sz w:val="18"/>
                <w:szCs w:val="18"/>
                <w:lang w:val="en-US"/>
              </w:rPr>
            </w:pPr>
            <w:r w:rsidRPr="00885151">
              <w:rPr>
                <w:color w:val="595A5B" w:themeColor="accent4"/>
                <w:sz w:val="18"/>
                <w:szCs w:val="18"/>
                <w:lang w:val="en-US"/>
              </w:rPr>
              <w:t>Wholesale trade</w:t>
            </w:r>
          </w:p>
        </w:tc>
        <w:tc>
          <w:tcPr>
            <w:tcW w:w="1491" w:type="dxa"/>
            <w:tcBorders>
              <w:left w:val="single" w:sz="4" w:space="0" w:color="595A5B" w:themeColor="text1"/>
            </w:tcBorders>
            <w:shd w:val="clear" w:color="auto" w:fill="CAE7F3" w:themeFill="accent1" w:themeFillTint="33"/>
            <w:noWrap/>
            <w:vAlign w:val="bottom"/>
            <w:hideMark/>
          </w:tcPr>
          <w:p w:rsidR="00CD045A" w:rsidRPr="00885151" w:rsidRDefault="00CD045A" w:rsidP="004619D1">
            <w:pPr>
              <w:ind w:left="0"/>
              <w:jc w:val="right"/>
              <w:rPr>
                <w:color w:val="595A5B" w:themeColor="accent4"/>
                <w:sz w:val="18"/>
                <w:szCs w:val="18"/>
                <w:lang w:val="en-US"/>
              </w:rPr>
            </w:pPr>
            <w:r w:rsidRPr="00885151">
              <w:rPr>
                <w:color w:val="595A5B" w:themeColor="accent4"/>
                <w:sz w:val="18"/>
                <w:szCs w:val="18"/>
                <w:lang w:val="en-US"/>
              </w:rPr>
              <w:t>0</w:t>
            </w:r>
          </w:p>
        </w:tc>
        <w:tc>
          <w:tcPr>
            <w:tcW w:w="1323" w:type="dxa"/>
            <w:shd w:val="clear" w:color="auto" w:fill="CAE7F3" w:themeFill="accent1" w:themeFillTint="33"/>
            <w:noWrap/>
            <w:vAlign w:val="bottom"/>
            <w:hideMark/>
          </w:tcPr>
          <w:p w:rsidR="00CD045A" w:rsidRPr="00885151" w:rsidRDefault="00CD045A" w:rsidP="00DB555F">
            <w:pPr>
              <w:ind w:left="0"/>
              <w:jc w:val="right"/>
              <w:rPr>
                <w:color w:val="595A5B" w:themeColor="accent4"/>
                <w:sz w:val="18"/>
                <w:szCs w:val="18"/>
                <w:lang w:val="en-US"/>
              </w:rPr>
            </w:pPr>
            <w:r w:rsidRPr="00885151">
              <w:rPr>
                <w:color w:val="595A5B" w:themeColor="accent4"/>
                <w:sz w:val="18"/>
                <w:szCs w:val="18"/>
                <w:lang w:val="en-US"/>
              </w:rPr>
              <w:t>0</w:t>
            </w:r>
          </w:p>
        </w:tc>
        <w:tc>
          <w:tcPr>
            <w:tcW w:w="1323" w:type="dxa"/>
            <w:shd w:val="clear" w:color="auto" w:fill="CAE7F3" w:themeFill="accent1" w:themeFillTint="33"/>
            <w:noWrap/>
            <w:vAlign w:val="bottom"/>
            <w:hideMark/>
          </w:tcPr>
          <w:p w:rsidR="00CD045A" w:rsidRPr="00885151" w:rsidRDefault="00CD045A" w:rsidP="00DB555F">
            <w:pPr>
              <w:ind w:left="0"/>
              <w:jc w:val="right"/>
              <w:rPr>
                <w:color w:val="595A5B" w:themeColor="accent4"/>
                <w:sz w:val="18"/>
                <w:szCs w:val="18"/>
                <w:lang w:val="en-US"/>
              </w:rPr>
            </w:pPr>
            <w:r w:rsidRPr="00885151">
              <w:rPr>
                <w:color w:val="595A5B" w:themeColor="accent4"/>
                <w:sz w:val="18"/>
                <w:szCs w:val="18"/>
                <w:lang w:val="en-US"/>
              </w:rPr>
              <w:t>13,404</w:t>
            </w:r>
          </w:p>
        </w:tc>
        <w:tc>
          <w:tcPr>
            <w:tcW w:w="1323" w:type="dxa"/>
            <w:shd w:val="clear" w:color="auto" w:fill="CAE7F3" w:themeFill="accent1" w:themeFillTint="33"/>
            <w:noWrap/>
            <w:vAlign w:val="bottom"/>
            <w:hideMark/>
          </w:tcPr>
          <w:p w:rsidR="00CD045A" w:rsidRPr="00885151" w:rsidRDefault="00CD045A" w:rsidP="00DB555F">
            <w:pPr>
              <w:ind w:left="0"/>
              <w:jc w:val="right"/>
              <w:rPr>
                <w:color w:val="595A5B" w:themeColor="accent4"/>
                <w:sz w:val="18"/>
                <w:szCs w:val="18"/>
                <w:lang w:val="en-US"/>
              </w:rPr>
            </w:pPr>
            <w:r w:rsidRPr="00885151">
              <w:rPr>
                <w:color w:val="595A5B" w:themeColor="accent4"/>
                <w:sz w:val="18"/>
                <w:szCs w:val="18"/>
                <w:lang w:val="en-US"/>
              </w:rPr>
              <w:t>55,725</w:t>
            </w:r>
          </w:p>
        </w:tc>
      </w:tr>
      <w:tr w:rsidR="00CD045A" w:rsidRPr="00150F37" w:rsidTr="00F1780B">
        <w:trPr>
          <w:trHeight w:val="300"/>
        </w:trPr>
        <w:tc>
          <w:tcPr>
            <w:tcW w:w="3629" w:type="dxa"/>
            <w:tcBorders>
              <w:right w:val="single" w:sz="4" w:space="0" w:color="595A5B" w:themeColor="text1"/>
            </w:tcBorders>
            <w:shd w:val="clear" w:color="auto" w:fill="CAE7F3" w:themeFill="accent1" w:themeFillTint="33"/>
            <w:noWrap/>
            <w:vAlign w:val="bottom"/>
            <w:hideMark/>
          </w:tcPr>
          <w:p w:rsidR="00CD045A" w:rsidRPr="00885151" w:rsidRDefault="00CD045A" w:rsidP="00DB555F">
            <w:pPr>
              <w:ind w:left="0"/>
              <w:jc w:val="right"/>
              <w:rPr>
                <w:color w:val="595A5B" w:themeColor="accent4"/>
                <w:sz w:val="18"/>
                <w:szCs w:val="18"/>
                <w:lang w:val="en-US"/>
              </w:rPr>
            </w:pPr>
            <w:r w:rsidRPr="00885151">
              <w:rPr>
                <w:color w:val="595A5B" w:themeColor="accent4"/>
                <w:sz w:val="18"/>
                <w:szCs w:val="18"/>
                <w:lang w:val="en-US"/>
              </w:rPr>
              <w:t>Retail trade</w:t>
            </w:r>
          </w:p>
        </w:tc>
        <w:tc>
          <w:tcPr>
            <w:tcW w:w="1491" w:type="dxa"/>
            <w:tcBorders>
              <w:left w:val="single" w:sz="4" w:space="0" w:color="595A5B" w:themeColor="text1"/>
            </w:tcBorders>
            <w:shd w:val="clear" w:color="auto" w:fill="CAE7F3" w:themeFill="accent1" w:themeFillTint="33"/>
            <w:noWrap/>
            <w:vAlign w:val="bottom"/>
            <w:hideMark/>
          </w:tcPr>
          <w:p w:rsidR="00CD045A" w:rsidRPr="00885151" w:rsidRDefault="00CD045A" w:rsidP="004619D1">
            <w:pPr>
              <w:ind w:left="0"/>
              <w:jc w:val="right"/>
              <w:rPr>
                <w:color w:val="595A5B" w:themeColor="accent4"/>
                <w:sz w:val="18"/>
                <w:szCs w:val="18"/>
                <w:lang w:val="en-US"/>
              </w:rPr>
            </w:pPr>
            <w:r w:rsidRPr="00885151">
              <w:rPr>
                <w:color w:val="595A5B" w:themeColor="accent4"/>
                <w:sz w:val="18"/>
                <w:szCs w:val="18"/>
                <w:lang w:val="en-US"/>
              </w:rPr>
              <w:t>949</w:t>
            </w:r>
          </w:p>
        </w:tc>
        <w:tc>
          <w:tcPr>
            <w:tcW w:w="1323" w:type="dxa"/>
            <w:shd w:val="clear" w:color="auto" w:fill="CAE7F3" w:themeFill="accent1" w:themeFillTint="33"/>
            <w:noWrap/>
            <w:vAlign w:val="bottom"/>
            <w:hideMark/>
          </w:tcPr>
          <w:p w:rsidR="00CD045A" w:rsidRPr="00885151" w:rsidRDefault="00CD045A" w:rsidP="00DB555F">
            <w:pPr>
              <w:ind w:left="0"/>
              <w:jc w:val="right"/>
              <w:rPr>
                <w:color w:val="595A5B" w:themeColor="accent4"/>
                <w:sz w:val="18"/>
                <w:szCs w:val="18"/>
                <w:lang w:val="en-US"/>
              </w:rPr>
            </w:pPr>
            <w:r w:rsidRPr="00885151">
              <w:rPr>
                <w:color w:val="595A5B" w:themeColor="accent4"/>
                <w:sz w:val="18"/>
                <w:szCs w:val="18"/>
                <w:lang w:val="en-US"/>
              </w:rPr>
              <w:t>0</w:t>
            </w:r>
          </w:p>
        </w:tc>
        <w:tc>
          <w:tcPr>
            <w:tcW w:w="1323" w:type="dxa"/>
            <w:shd w:val="clear" w:color="auto" w:fill="CAE7F3" w:themeFill="accent1" w:themeFillTint="33"/>
            <w:noWrap/>
            <w:vAlign w:val="bottom"/>
            <w:hideMark/>
          </w:tcPr>
          <w:p w:rsidR="00CD045A" w:rsidRPr="00885151" w:rsidRDefault="00CD045A" w:rsidP="00DB555F">
            <w:pPr>
              <w:ind w:left="0"/>
              <w:jc w:val="right"/>
              <w:rPr>
                <w:color w:val="595A5B" w:themeColor="accent4"/>
                <w:sz w:val="18"/>
                <w:szCs w:val="18"/>
                <w:lang w:val="en-US"/>
              </w:rPr>
            </w:pPr>
            <w:r w:rsidRPr="00885151">
              <w:rPr>
                <w:color w:val="595A5B" w:themeColor="accent4"/>
                <w:sz w:val="18"/>
                <w:szCs w:val="18"/>
                <w:lang w:val="en-US"/>
              </w:rPr>
              <w:t>1,176</w:t>
            </w:r>
          </w:p>
        </w:tc>
        <w:tc>
          <w:tcPr>
            <w:tcW w:w="1323" w:type="dxa"/>
            <w:shd w:val="clear" w:color="auto" w:fill="CAE7F3" w:themeFill="accent1" w:themeFillTint="33"/>
            <w:noWrap/>
            <w:vAlign w:val="bottom"/>
            <w:hideMark/>
          </w:tcPr>
          <w:p w:rsidR="00CD045A" w:rsidRPr="00885151" w:rsidRDefault="00CD045A" w:rsidP="00DB555F">
            <w:pPr>
              <w:ind w:left="0"/>
              <w:jc w:val="right"/>
              <w:rPr>
                <w:color w:val="595A5B" w:themeColor="accent4"/>
                <w:sz w:val="18"/>
                <w:szCs w:val="18"/>
                <w:lang w:val="en-US"/>
              </w:rPr>
            </w:pPr>
            <w:r w:rsidRPr="00885151">
              <w:rPr>
                <w:color w:val="595A5B" w:themeColor="accent4"/>
                <w:sz w:val="18"/>
                <w:szCs w:val="18"/>
                <w:lang w:val="en-US"/>
              </w:rPr>
              <w:t>10,770</w:t>
            </w:r>
          </w:p>
        </w:tc>
      </w:tr>
      <w:tr w:rsidR="00CD045A" w:rsidRPr="00150F37" w:rsidTr="00F1780B">
        <w:trPr>
          <w:trHeight w:val="300"/>
        </w:trPr>
        <w:tc>
          <w:tcPr>
            <w:tcW w:w="3629" w:type="dxa"/>
            <w:tcBorders>
              <w:right w:val="single" w:sz="4" w:space="0" w:color="595A5B" w:themeColor="text1"/>
            </w:tcBorders>
            <w:shd w:val="clear" w:color="auto" w:fill="CAE7F3" w:themeFill="accent1" w:themeFillTint="33"/>
            <w:noWrap/>
            <w:vAlign w:val="bottom"/>
            <w:hideMark/>
          </w:tcPr>
          <w:p w:rsidR="00CD045A" w:rsidRPr="00885151" w:rsidRDefault="00CD045A" w:rsidP="00DB555F">
            <w:pPr>
              <w:ind w:left="0"/>
              <w:jc w:val="right"/>
              <w:rPr>
                <w:color w:val="595A5B" w:themeColor="accent4"/>
                <w:sz w:val="18"/>
                <w:szCs w:val="18"/>
                <w:lang w:val="en-US"/>
              </w:rPr>
            </w:pPr>
            <w:r w:rsidRPr="00885151">
              <w:rPr>
                <w:color w:val="595A5B" w:themeColor="accent4"/>
                <w:sz w:val="18"/>
                <w:szCs w:val="18"/>
                <w:lang w:val="en-US"/>
              </w:rPr>
              <w:t>Accommodation and food services</w:t>
            </w:r>
          </w:p>
        </w:tc>
        <w:tc>
          <w:tcPr>
            <w:tcW w:w="1491" w:type="dxa"/>
            <w:tcBorders>
              <w:left w:val="single" w:sz="4" w:space="0" w:color="595A5B" w:themeColor="text1"/>
            </w:tcBorders>
            <w:shd w:val="clear" w:color="auto" w:fill="CAE7F3" w:themeFill="accent1" w:themeFillTint="33"/>
            <w:noWrap/>
            <w:vAlign w:val="bottom"/>
            <w:hideMark/>
          </w:tcPr>
          <w:p w:rsidR="00CD045A" w:rsidRPr="00885151" w:rsidRDefault="00CD045A" w:rsidP="004619D1">
            <w:pPr>
              <w:ind w:left="0"/>
              <w:jc w:val="right"/>
              <w:rPr>
                <w:color w:val="595A5B" w:themeColor="accent4"/>
                <w:sz w:val="18"/>
                <w:szCs w:val="18"/>
                <w:lang w:val="en-US"/>
              </w:rPr>
            </w:pPr>
            <w:r w:rsidRPr="00885151">
              <w:rPr>
                <w:color w:val="595A5B" w:themeColor="accent4"/>
                <w:sz w:val="18"/>
                <w:szCs w:val="18"/>
                <w:lang w:val="en-US"/>
              </w:rPr>
              <w:t>1,795</w:t>
            </w:r>
          </w:p>
        </w:tc>
        <w:tc>
          <w:tcPr>
            <w:tcW w:w="1323" w:type="dxa"/>
            <w:shd w:val="clear" w:color="auto" w:fill="CAE7F3" w:themeFill="accent1" w:themeFillTint="33"/>
            <w:noWrap/>
            <w:vAlign w:val="bottom"/>
            <w:hideMark/>
          </w:tcPr>
          <w:p w:rsidR="00CD045A" w:rsidRPr="00885151" w:rsidRDefault="00CD045A" w:rsidP="00DB555F">
            <w:pPr>
              <w:ind w:left="0"/>
              <w:jc w:val="right"/>
              <w:rPr>
                <w:color w:val="595A5B" w:themeColor="accent4"/>
                <w:sz w:val="18"/>
                <w:szCs w:val="18"/>
                <w:lang w:val="en-US"/>
              </w:rPr>
            </w:pPr>
            <w:r w:rsidRPr="00885151">
              <w:rPr>
                <w:color w:val="595A5B" w:themeColor="accent4"/>
                <w:sz w:val="18"/>
                <w:szCs w:val="18"/>
                <w:lang w:val="en-US"/>
              </w:rPr>
              <w:t>0</w:t>
            </w:r>
          </w:p>
        </w:tc>
        <w:tc>
          <w:tcPr>
            <w:tcW w:w="1323" w:type="dxa"/>
            <w:shd w:val="clear" w:color="auto" w:fill="CAE7F3" w:themeFill="accent1" w:themeFillTint="33"/>
            <w:noWrap/>
            <w:vAlign w:val="bottom"/>
            <w:hideMark/>
          </w:tcPr>
          <w:p w:rsidR="00CD045A" w:rsidRPr="00885151" w:rsidRDefault="00CD045A" w:rsidP="00DB555F">
            <w:pPr>
              <w:ind w:left="0"/>
              <w:jc w:val="right"/>
              <w:rPr>
                <w:color w:val="595A5B" w:themeColor="accent4"/>
                <w:sz w:val="18"/>
                <w:szCs w:val="18"/>
                <w:lang w:val="en-US"/>
              </w:rPr>
            </w:pPr>
            <w:r w:rsidRPr="00885151">
              <w:rPr>
                <w:color w:val="595A5B" w:themeColor="accent4"/>
                <w:sz w:val="18"/>
                <w:szCs w:val="18"/>
                <w:lang w:val="en-US"/>
              </w:rPr>
              <w:t>0</w:t>
            </w:r>
          </w:p>
        </w:tc>
        <w:tc>
          <w:tcPr>
            <w:tcW w:w="1323" w:type="dxa"/>
            <w:shd w:val="clear" w:color="auto" w:fill="CAE7F3" w:themeFill="accent1" w:themeFillTint="33"/>
            <w:noWrap/>
            <w:vAlign w:val="bottom"/>
            <w:hideMark/>
          </w:tcPr>
          <w:p w:rsidR="00CD045A" w:rsidRPr="00885151" w:rsidRDefault="00CD045A" w:rsidP="00DB555F">
            <w:pPr>
              <w:ind w:left="0"/>
              <w:jc w:val="right"/>
              <w:rPr>
                <w:color w:val="595A5B" w:themeColor="accent4"/>
                <w:sz w:val="18"/>
                <w:szCs w:val="18"/>
                <w:lang w:val="en-US"/>
              </w:rPr>
            </w:pPr>
            <w:r w:rsidRPr="00885151">
              <w:rPr>
                <w:color w:val="595A5B" w:themeColor="accent4"/>
                <w:sz w:val="18"/>
                <w:szCs w:val="18"/>
                <w:lang w:val="en-US"/>
              </w:rPr>
              <w:t>3,605</w:t>
            </w:r>
          </w:p>
        </w:tc>
      </w:tr>
      <w:tr w:rsidR="00CD045A" w:rsidRPr="00150F37" w:rsidTr="00F1780B">
        <w:trPr>
          <w:trHeight w:val="300"/>
        </w:trPr>
        <w:tc>
          <w:tcPr>
            <w:tcW w:w="3629" w:type="dxa"/>
            <w:tcBorders>
              <w:right w:val="single" w:sz="4" w:space="0" w:color="595A5B" w:themeColor="text1"/>
            </w:tcBorders>
            <w:shd w:val="clear" w:color="auto" w:fill="CAE7F3" w:themeFill="accent1" w:themeFillTint="33"/>
            <w:noWrap/>
            <w:vAlign w:val="bottom"/>
            <w:hideMark/>
          </w:tcPr>
          <w:p w:rsidR="00CD045A" w:rsidRPr="00885151" w:rsidRDefault="00CD045A" w:rsidP="00DB555F">
            <w:pPr>
              <w:ind w:left="0"/>
              <w:jc w:val="right"/>
              <w:rPr>
                <w:color w:val="595A5B" w:themeColor="accent4"/>
                <w:sz w:val="18"/>
                <w:szCs w:val="18"/>
                <w:lang w:val="en-US"/>
              </w:rPr>
            </w:pPr>
            <w:r w:rsidRPr="00885151">
              <w:rPr>
                <w:color w:val="595A5B" w:themeColor="accent4"/>
                <w:sz w:val="18"/>
                <w:szCs w:val="18"/>
                <w:lang w:val="en-US"/>
              </w:rPr>
              <w:t>Transport, postal and warehousing</w:t>
            </w:r>
          </w:p>
        </w:tc>
        <w:tc>
          <w:tcPr>
            <w:tcW w:w="1491" w:type="dxa"/>
            <w:tcBorders>
              <w:left w:val="single" w:sz="4" w:space="0" w:color="595A5B" w:themeColor="text1"/>
            </w:tcBorders>
            <w:shd w:val="clear" w:color="auto" w:fill="CAE7F3" w:themeFill="accent1" w:themeFillTint="33"/>
            <w:noWrap/>
            <w:vAlign w:val="bottom"/>
            <w:hideMark/>
          </w:tcPr>
          <w:p w:rsidR="00CD045A" w:rsidRPr="00885151" w:rsidRDefault="00CD045A" w:rsidP="004619D1">
            <w:pPr>
              <w:ind w:left="0"/>
              <w:jc w:val="right"/>
              <w:rPr>
                <w:color w:val="595A5B" w:themeColor="accent4"/>
                <w:sz w:val="18"/>
                <w:szCs w:val="18"/>
                <w:lang w:val="en-US"/>
              </w:rPr>
            </w:pPr>
            <w:r w:rsidRPr="00885151">
              <w:rPr>
                <w:color w:val="595A5B" w:themeColor="accent4"/>
                <w:sz w:val="18"/>
                <w:szCs w:val="18"/>
                <w:lang w:val="en-US"/>
              </w:rPr>
              <w:t>191</w:t>
            </w:r>
          </w:p>
        </w:tc>
        <w:tc>
          <w:tcPr>
            <w:tcW w:w="1323" w:type="dxa"/>
            <w:shd w:val="clear" w:color="auto" w:fill="CAE7F3" w:themeFill="accent1" w:themeFillTint="33"/>
            <w:noWrap/>
            <w:vAlign w:val="bottom"/>
            <w:hideMark/>
          </w:tcPr>
          <w:p w:rsidR="00CD045A" w:rsidRPr="00885151" w:rsidRDefault="00CD045A" w:rsidP="00DB555F">
            <w:pPr>
              <w:ind w:left="0"/>
              <w:jc w:val="right"/>
              <w:rPr>
                <w:color w:val="595A5B" w:themeColor="accent4"/>
                <w:sz w:val="18"/>
                <w:szCs w:val="18"/>
                <w:lang w:val="en-US"/>
              </w:rPr>
            </w:pPr>
            <w:r w:rsidRPr="00885151">
              <w:rPr>
                <w:color w:val="595A5B" w:themeColor="accent4"/>
                <w:sz w:val="18"/>
                <w:szCs w:val="18"/>
                <w:lang w:val="en-US"/>
              </w:rPr>
              <w:t>0</w:t>
            </w:r>
          </w:p>
        </w:tc>
        <w:tc>
          <w:tcPr>
            <w:tcW w:w="1323" w:type="dxa"/>
            <w:shd w:val="clear" w:color="auto" w:fill="CAE7F3" w:themeFill="accent1" w:themeFillTint="33"/>
            <w:noWrap/>
            <w:vAlign w:val="bottom"/>
            <w:hideMark/>
          </w:tcPr>
          <w:p w:rsidR="00CD045A" w:rsidRPr="00885151" w:rsidRDefault="00CD045A" w:rsidP="00DB555F">
            <w:pPr>
              <w:ind w:left="0"/>
              <w:jc w:val="right"/>
              <w:rPr>
                <w:color w:val="595A5B" w:themeColor="accent4"/>
                <w:sz w:val="18"/>
                <w:szCs w:val="18"/>
                <w:lang w:val="en-US"/>
              </w:rPr>
            </w:pPr>
            <w:r w:rsidRPr="00885151">
              <w:rPr>
                <w:color w:val="595A5B" w:themeColor="accent4"/>
                <w:sz w:val="18"/>
                <w:szCs w:val="18"/>
                <w:lang w:val="en-US"/>
              </w:rPr>
              <w:t>24,214</w:t>
            </w:r>
          </w:p>
        </w:tc>
        <w:tc>
          <w:tcPr>
            <w:tcW w:w="1323" w:type="dxa"/>
            <w:shd w:val="clear" w:color="auto" w:fill="CAE7F3" w:themeFill="accent1" w:themeFillTint="33"/>
            <w:noWrap/>
            <w:vAlign w:val="bottom"/>
            <w:hideMark/>
          </w:tcPr>
          <w:p w:rsidR="00CD045A" w:rsidRPr="00885151" w:rsidRDefault="00CD045A" w:rsidP="00DB555F">
            <w:pPr>
              <w:ind w:left="0"/>
              <w:jc w:val="right"/>
              <w:rPr>
                <w:color w:val="595A5B" w:themeColor="accent4"/>
                <w:sz w:val="18"/>
                <w:szCs w:val="18"/>
                <w:lang w:val="en-US"/>
              </w:rPr>
            </w:pPr>
            <w:r w:rsidRPr="00885151">
              <w:rPr>
                <w:color w:val="595A5B" w:themeColor="accent4"/>
                <w:sz w:val="18"/>
                <w:szCs w:val="18"/>
                <w:lang w:val="en-US"/>
              </w:rPr>
              <w:t>20,000</w:t>
            </w:r>
          </w:p>
        </w:tc>
      </w:tr>
      <w:tr w:rsidR="00CD045A" w:rsidRPr="00150F37" w:rsidTr="00F1780B">
        <w:trPr>
          <w:trHeight w:val="300"/>
        </w:trPr>
        <w:tc>
          <w:tcPr>
            <w:tcW w:w="3629" w:type="dxa"/>
            <w:tcBorders>
              <w:right w:val="single" w:sz="4" w:space="0" w:color="595A5B" w:themeColor="text1"/>
            </w:tcBorders>
            <w:shd w:val="clear" w:color="auto" w:fill="CAE7F3" w:themeFill="accent1" w:themeFillTint="33"/>
            <w:noWrap/>
            <w:vAlign w:val="bottom"/>
            <w:hideMark/>
          </w:tcPr>
          <w:p w:rsidR="00CD045A" w:rsidRPr="00885151" w:rsidRDefault="00CD045A" w:rsidP="00DB555F">
            <w:pPr>
              <w:ind w:left="0"/>
              <w:jc w:val="right"/>
              <w:rPr>
                <w:color w:val="595A5B" w:themeColor="accent4"/>
                <w:sz w:val="18"/>
                <w:szCs w:val="18"/>
                <w:lang w:val="en-US"/>
              </w:rPr>
            </w:pPr>
            <w:r w:rsidRPr="00885151">
              <w:rPr>
                <w:color w:val="595A5B" w:themeColor="accent4"/>
                <w:sz w:val="18"/>
                <w:szCs w:val="18"/>
                <w:lang w:val="en-US"/>
              </w:rPr>
              <w:t>Financial and insurance services</w:t>
            </w:r>
          </w:p>
        </w:tc>
        <w:tc>
          <w:tcPr>
            <w:tcW w:w="1491" w:type="dxa"/>
            <w:tcBorders>
              <w:left w:val="single" w:sz="4" w:space="0" w:color="595A5B" w:themeColor="text1"/>
            </w:tcBorders>
            <w:shd w:val="clear" w:color="auto" w:fill="CAE7F3" w:themeFill="accent1" w:themeFillTint="33"/>
            <w:noWrap/>
            <w:vAlign w:val="bottom"/>
            <w:hideMark/>
          </w:tcPr>
          <w:p w:rsidR="00CD045A" w:rsidRPr="00885151" w:rsidRDefault="00CD045A" w:rsidP="004619D1">
            <w:pPr>
              <w:ind w:left="0"/>
              <w:jc w:val="right"/>
              <w:rPr>
                <w:color w:val="595A5B" w:themeColor="accent4"/>
                <w:sz w:val="18"/>
                <w:szCs w:val="18"/>
                <w:lang w:val="en-US"/>
              </w:rPr>
            </w:pPr>
            <w:r w:rsidRPr="00885151">
              <w:rPr>
                <w:color w:val="595A5B" w:themeColor="accent4"/>
                <w:sz w:val="18"/>
                <w:szCs w:val="18"/>
                <w:lang w:val="en-US"/>
              </w:rPr>
              <w:t>0</w:t>
            </w:r>
          </w:p>
        </w:tc>
        <w:tc>
          <w:tcPr>
            <w:tcW w:w="1323" w:type="dxa"/>
            <w:shd w:val="clear" w:color="auto" w:fill="CAE7F3" w:themeFill="accent1" w:themeFillTint="33"/>
            <w:noWrap/>
            <w:vAlign w:val="bottom"/>
            <w:hideMark/>
          </w:tcPr>
          <w:p w:rsidR="00CD045A" w:rsidRPr="00885151" w:rsidRDefault="00CD045A" w:rsidP="00DB555F">
            <w:pPr>
              <w:ind w:left="0"/>
              <w:jc w:val="right"/>
              <w:rPr>
                <w:color w:val="595A5B" w:themeColor="accent4"/>
                <w:sz w:val="18"/>
                <w:szCs w:val="18"/>
                <w:lang w:val="en-US"/>
              </w:rPr>
            </w:pPr>
            <w:r w:rsidRPr="00885151">
              <w:rPr>
                <w:color w:val="595A5B" w:themeColor="accent4"/>
                <w:sz w:val="18"/>
                <w:szCs w:val="18"/>
                <w:lang w:val="en-US"/>
              </w:rPr>
              <w:t>0</w:t>
            </w:r>
          </w:p>
        </w:tc>
        <w:tc>
          <w:tcPr>
            <w:tcW w:w="1323" w:type="dxa"/>
            <w:shd w:val="clear" w:color="auto" w:fill="CAE7F3" w:themeFill="accent1" w:themeFillTint="33"/>
            <w:noWrap/>
            <w:vAlign w:val="bottom"/>
            <w:hideMark/>
          </w:tcPr>
          <w:p w:rsidR="00CD045A" w:rsidRPr="00885151" w:rsidRDefault="00CD045A" w:rsidP="00DB555F">
            <w:pPr>
              <w:ind w:left="0"/>
              <w:jc w:val="right"/>
              <w:rPr>
                <w:color w:val="595A5B" w:themeColor="accent4"/>
                <w:sz w:val="18"/>
                <w:szCs w:val="18"/>
                <w:lang w:val="en-US"/>
              </w:rPr>
            </w:pPr>
            <w:r w:rsidRPr="00885151">
              <w:rPr>
                <w:color w:val="595A5B" w:themeColor="accent4"/>
                <w:sz w:val="18"/>
                <w:szCs w:val="18"/>
                <w:lang w:val="en-US"/>
              </w:rPr>
              <w:t>3,988</w:t>
            </w:r>
          </w:p>
        </w:tc>
        <w:tc>
          <w:tcPr>
            <w:tcW w:w="1323" w:type="dxa"/>
            <w:shd w:val="clear" w:color="auto" w:fill="CAE7F3" w:themeFill="accent1" w:themeFillTint="33"/>
            <w:noWrap/>
            <w:vAlign w:val="bottom"/>
            <w:hideMark/>
          </w:tcPr>
          <w:p w:rsidR="00CD045A" w:rsidRPr="00885151" w:rsidRDefault="00CD045A" w:rsidP="00DB555F">
            <w:pPr>
              <w:ind w:left="0"/>
              <w:jc w:val="right"/>
              <w:rPr>
                <w:color w:val="595A5B" w:themeColor="accent4"/>
                <w:sz w:val="18"/>
                <w:szCs w:val="18"/>
                <w:lang w:val="en-US"/>
              </w:rPr>
            </w:pPr>
            <w:r w:rsidRPr="00885151">
              <w:rPr>
                <w:color w:val="595A5B" w:themeColor="accent4"/>
                <w:sz w:val="18"/>
                <w:szCs w:val="18"/>
                <w:lang w:val="en-US"/>
              </w:rPr>
              <w:t>25,660</w:t>
            </w:r>
          </w:p>
        </w:tc>
      </w:tr>
      <w:tr w:rsidR="00CD045A" w:rsidRPr="00150F37" w:rsidTr="00F1780B">
        <w:trPr>
          <w:trHeight w:val="300"/>
        </w:trPr>
        <w:tc>
          <w:tcPr>
            <w:tcW w:w="3629" w:type="dxa"/>
            <w:tcBorders>
              <w:right w:val="single" w:sz="4" w:space="0" w:color="595A5B" w:themeColor="text1"/>
            </w:tcBorders>
            <w:shd w:val="clear" w:color="auto" w:fill="CAE7F3" w:themeFill="accent1" w:themeFillTint="33"/>
            <w:noWrap/>
            <w:vAlign w:val="bottom"/>
            <w:hideMark/>
          </w:tcPr>
          <w:p w:rsidR="00CD045A" w:rsidRPr="00885151" w:rsidRDefault="00CD045A" w:rsidP="00DB555F">
            <w:pPr>
              <w:ind w:left="0"/>
              <w:jc w:val="right"/>
              <w:rPr>
                <w:color w:val="595A5B" w:themeColor="accent4"/>
                <w:sz w:val="18"/>
                <w:szCs w:val="18"/>
                <w:lang w:val="en-US"/>
              </w:rPr>
            </w:pPr>
            <w:r w:rsidRPr="00885151">
              <w:rPr>
                <w:color w:val="595A5B" w:themeColor="accent4"/>
                <w:sz w:val="18"/>
                <w:szCs w:val="18"/>
                <w:lang w:val="en-US"/>
              </w:rPr>
              <w:t>Rental, hiring and real estate services</w:t>
            </w:r>
          </w:p>
        </w:tc>
        <w:tc>
          <w:tcPr>
            <w:tcW w:w="1491" w:type="dxa"/>
            <w:tcBorders>
              <w:left w:val="single" w:sz="4" w:space="0" w:color="595A5B" w:themeColor="text1"/>
            </w:tcBorders>
            <w:shd w:val="clear" w:color="auto" w:fill="CAE7F3" w:themeFill="accent1" w:themeFillTint="33"/>
            <w:noWrap/>
            <w:vAlign w:val="bottom"/>
            <w:hideMark/>
          </w:tcPr>
          <w:p w:rsidR="00CD045A" w:rsidRPr="00885151" w:rsidRDefault="00CD045A" w:rsidP="004619D1">
            <w:pPr>
              <w:ind w:left="0"/>
              <w:jc w:val="right"/>
              <w:rPr>
                <w:color w:val="595A5B" w:themeColor="accent4"/>
                <w:sz w:val="18"/>
                <w:szCs w:val="18"/>
                <w:lang w:val="en-US"/>
              </w:rPr>
            </w:pPr>
            <w:r w:rsidRPr="00885151">
              <w:rPr>
                <w:color w:val="595A5B" w:themeColor="accent4"/>
                <w:sz w:val="18"/>
                <w:szCs w:val="18"/>
                <w:lang w:val="en-US"/>
              </w:rPr>
              <w:t>0</w:t>
            </w:r>
          </w:p>
        </w:tc>
        <w:tc>
          <w:tcPr>
            <w:tcW w:w="1323" w:type="dxa"/>
            <w:shd w:val="clear" w:color="auto" w:fill="CAE7F3" w:themeFill="accent1" w:themeFillTint="33"/>
            <w:noWrap/>
            <w:vAlign w:val="bottom"/>
            <w:hideMark/>
          </w:tcPr>
          <w:p w:rsidR="00CD045A" w:rsidRPr="00885151" w:rsidRDefault="00CD045A" w:rsidP="00DB555F">
            <w:pPr>
              <w:ind w:left="0"/>
              <w:jc w:val="right"/>
              <w:rPr>
                <w:color w:val="595A5B" w:themeColor="accent4"/>
                <w:sz w:val="18"/>
                <w:szCs w:val="18"/>
                <w:lang w:val="en-US"/>
              </w:rPr>
            </w:pPr>
            <w:r w:rsidRPr="00885151">
              <w:rPr>
                <w:color w:val="595A5B" w:themeColor="accent4"/>
                <w:sz w:val="18"/>
                <w:szCs w:val="18"/>
                <w:lang w:val="en-US"/>
              </w:rPr>
              <w:t>0</w:t>
            </w:r>
          </w:p>
        </w:tc>
        <w:tc>
          <w:tcPr>
            <w:tcW w:w="1323" w:type="dxa"/>
            <w:shd w:val="clear" w:color="auto" w:fill="CAE7F3" w:themeFill="accent1" w:themeFillTint="33"/>
            <w:noWrap/>
            <w:vAlign w:val="bottom"/>
            <w:hideMark/>
          </w:tcPr>
          <w:p w:rsidR="00CD045A" w:rsidRPr="00885151" w:rsidRDefault="00CD045A" w:rsidP="00DB555F">
            <w:pPr>
              <w:ind w:left="0"/>
              <w:jc w:val="right"/>
              <w:rPr>
                <w:color w:val="595A5B" w:themeColor="accent4"/>
                <w:sz w:val="18"/>
                <w:szCs w:val="18"/>
                <w:lang w:val="en-US"/>
              </w:rPr>
            </w:pPr>
            <w:r w:rsidRPr="00885151">
              <w:rPr>
                <w:color w:val="595A5B" w:themeColor="accent4"/>
                <w:sz w:val="18"/>
                <w:szCs w:val="18"/>
                <w:lang w:val="en-US"/>
              </w:rPr>
              <w:t>8,082</w:t>
            </w:r>
          </w:p>
        </w:tc>
        <w:tc>
          <w:tcPr>
            <w:tcW w:w="1323" w:type="dxa"/>
            <w:shd w:val="clear" w:color="auto" w:fill="CAE7F3" w:themeFill="accent1" w:themeFillTint="33"/>
            <w:noWrap/>
            <w:vAlign w:val="bottom"/>
            <w:hideMark/>
          </w:tcPr>
          <w:p w:rsidR="00CD045A" w:rsidRPr="00885151" w:rsidRDefault="00CD045A" w:rsidP="00DB555F">
            <w:pPr>
              <w:ind w:left="0"/>
              <w:jc w:val="right"/>
              <w:rPr>
                <w:color w:val="595A5B" w:themeColor="accent4"/>
                <w:sz w:val="18"/>
                <w:szCs w:val="18"/>
                <w:lang w:val="en-US"/>
              </w:rPr>
            </w:pPr>
            <w:r w:rsidRPr="00885151">
              <w:rPr>
                <w:color w:val="595A5B" w:themeColor="accent4"/>
                <w:sz w:val="18"/>
                <w:szCs w:val="18"/>
                <w:lang w:val="en-US"/>
              </w:rPr>
              <w:t>28,021</w:t>
            </w:r>
          </w:p>
        </w:tc>
      </w:tr>
      <w:tr w:rsidR="00CD045A" w:rsidRPr="00150F37" w:rsidTr="00F1780B">
        <w:trPr>
          <w:trHeight w:val="300"/>
        </w:trPr>
        <w:tc>
          <w:tcPr>
            <w:tcW w:w="3629" w:type="dxa"/>
            <w:tcBorders>
              <w:right w:val="single" w:sz="4" w:space="0" w:color="595A5B" w:themeColor="text1"/>
            </w:tcBorders>
            <w:shd w:val="clear" w:color="auto" w:fill="CAE7F3" w:themeFill="accent1" w:themeFillTint="33"/>
            <w:noWrap/>
            <w:vAlign w:val="bottom"/>
            <w:hideMark/>
          </w:tcPr>
          <w:p w:rsidR="00CD045A" w:rsidRPr="00885151" w:rsidRDefault="00CD045A" w:rsidP="00DB555F">
            <w:pPr>
              <w:ind w:left="0"/>
              <w:jc w:val="right"/>
              <w:rPr>
                <w:color w:val="595A5B" w:themeColor="accent4"/>
                <w:sz w:val="18"/>
                <w:szCs w:val="18"/>
                <w:lang w:val="en-US"/>
              </w:rPr>
            </w:pPr>
            <w:r w:rsidRPr="00885151">
              <w:rPr>
                <w:color w:val="595A5B" w:themeColor="accent4"/>
                <w:sz w:val="18"/>
                <w:szCs w:val="18"/>
                <w:lang w:val="en-US"/>
              </w:rPr>
              <w:t>Professional, scientific and technical services</w:t>
            </w:r>
          </w:p>
        </w:tc>
        <w:tc>
          <w:tcPr>
            <w:tcW w:w="1491" w:type="dxa"/>
            <w:tcBorders>
              <w:left w:val="single" w:sz="4" w:space="0" w:color="595A5B" w:themeColor="text1"/>
            </w:tcBorders>
            <w:shd w:val="clear" w:color="auto" w:fill="CAE7F3" w:themeFill="accent1" w:themeFillTint="33"/>
            <w:noWrap/>
            <w:vAlign w:val="bottom"/>
            <w:hideMark/>
          </w:tcPr>
          <w:p w:rsidR="00CD045A" w:rsidRPr="00885151" w:rsidRDefault="00CD045A" w:rsidP="004619D1">
            <w:pPr>
              <w:ind w:left="0"/>
              <w:jc w:val="right"/>
              <w:rPr>
                <w:color w:val="595A5B" w:themeColor="accent4"/>
                <w:sz w:val="18"/>
                <w:szCs w:val="18"/>
                <w:lang w:val="en-US"/>
              </w:rPr>
            </w:pPr>
            <w:r w:rsidRPr="00885151">
              <w:rPr>
                <w:color w:val="595A5B" w:themeColor="accent4"/>
                <w:sz w:val="18"/>
                <w:szCs w:val="18"/>
                <w:lang w:val="en-US"/>
              </w:rPr>
              <w:t>0</w:t>
            </w:r>
          </w:p>
        </w:tc>
        <w:tc>
          <w:tcPr>
            <w:tcW w:w="1323" w:type="dxa"/>
            <w:shd w:val="clear" w:color="auto" w:fill="CAE7F3" w:themeFill="accent1" w:themeFillTint="33"/>
            <w:noWrap/>
            <w:vAlign w:val="bottom"/>
            <w:hideMark/>
          </w:tcPr>
          <w:p w:rsidR="00CD045A" w:rsidRPr="00885151" w:rsidRDefault="00CD045A" w:rsidP="00DB555F">
            <w:pPr>
              <w:ind w:left="0"/>
              <w:jc w:val="right"/>
              <w:rPr>
                <w:color w:val="595A5B" w:themeColor="accent4"/>
                <w:sz w:val="18"/>
                <w:szCs w:val="18"/>
                <w:lang w:val="en-US"/>
              </w:rPr>
            </w:pPr>
            <w:r w:rsidRPr="00885151">
              <w:rPr>
                <w:color w:val="595A5B" w:themeColor="accent4"/>
                <w:sz w:val="18"/>
                <w:szCs w:val="18"/>
                <w:lang w:val="en-US"/>
              </w:rPr>
              <w:t>0</w:t>
            </w:r>
          </w:p>
        </w:tc>
        <w:tc>
          <w:tcPr>
            <w:tcW w:w="1323" w:type="dxa"/>
            <w:shd w:val="clear" w:color="auto" w:fill="CAE7F3" w:themeFill="accent1" w:themeFillTint="33"/>
            <w:noWrap/>
            <w:vAlign w:val="bottom"/>
            <w:hideMark/>
          </w:tcPr>
          <w:p w:rsidR="00CD045A" w:rsidRPr="00885151" w:rsidRDefault="00CD045A" w:rsidP="00DB555F">
            <w:pPr>
              <w:ind w:left="0"/>
              <w:jc w:val="right"/>
              <w:rPr>
                <w:color w:val="595A5B" w:themeColor="accent4"/>
                <w:sz w:val="18"/>
                <w:szCs w:val="18"/>
                <w:lang w:val="en-US"/>
              </w:rPr>
            </w:pPr>
            <w:r w:rsidRPr="00885151">
              <w:rPr>
                <w:color w:val="595A5B" w:themeColor="accent4"/>
                <w:sz w:val="18"/>
                <w:szCs w:val="18"/>
                <w:lang w:val="en-US"/>
              </w:rPr>
              <w:t>5,143</w:t>
            </w:r>
          </w:p>
        </w:tc>
        <w:tc>
          <w:tcPr>
            <w:tcW w:w="1323" w:type="dxa"/>
            <w:shd w:val="clear" w:color="auto" w:fill="CAE7F3" w:themeFill="accent1" w:themeFillTint="33"/>
            <w:noWrap/>
            <w:vAlign w:val="bottom"/>
            <w:hideMark/>
          </w:tcPr>
          <w:p w:rsidR="00CD045A" w:rsidRPr="00885151" w:rsidRDefault="00CD045A" w:rsidP="00DB555F">
            <w:pPr>
              <w:ind w:left="0"/>
              <w:jc w:val="right"/>
              <w:rPr>
                <w:color w:val="595A5B" w:themeColor="accent4"/>
                <w:sz w:val="18"/>
                <w:szCs w:val="18"/>
                <w:lang w:val="en-US"/>
              </w:rPr>
            </w:pPr>
            <w:r w:rsidRPr="00885151">
              <w:rPr>
                <w:color w:val="595A5B" w:themeColor="accent4"/>
                <w:sz w:val="18"/>
                <w:szCs w:val="18"/>
                <w:lang w:val="en-US"/>
              </w:rPr>
              <w:t>23,692</w:t>
            </w:r>
          </w:p>
        </w:tc>
      </w:tr>
      <w:tr w:rsidR="00CD045A" w:rsidRPr="00150F37" w:rsidTr="00F1780B">
        <w:trPr>
          <w:trHeight w:val="300"/>
        </w:trPr>
        <w:tc>
          <w:tcPr>
            <w:tcW w:w="3629" w:type="dxa"/>
            <w:tcBorders>
              <w:right w:val="single" w:sz="4" w:space="0" w:color="595A5B" w:themeColor="text1"/>
            </w:tcBorders>
            <w:shd w:val="clear" w:color="auto" w:fill="CAE7F3" w:themeFill="accent1" w:themeFillTint="33"/>
            <w:noWrap/>
            <w:vAlign w:val="bottom"/>
            <w:hideMark/>
          </w:tcPr>
          <w:p w:rsidR="00CD045A" w:rsidRPr="00885151" w:rsidRDefault="00CD045A" w:rsidP="00DB555F">
            <w:pPr>
              <w:ind w:left="0"/>
              <w:jc w:val="right"/>
              <w:rPr>
                <w:color w:val="595A5B" w:themeColor="accent4"/>
                <w:sz w:val="18"/>
                <w:szCs w:val="18"/>
                <w:lang w:val="en-US"/>
              </w:rPr>
            </w:pPr>
            <w:r w:rsidRPr="00885151">
              <w:rPr>
                <w:color w:val="595A5B" w:themeColor="accent4"/>
                <w:sz w:val="18"/>
                <w:szCs w:val="18"/>
                <w:lang w:val="en-US"/>
              </w:rPr>
              <w:t>Administrative and support services</w:t>
            </w:r>
          </w:p>
        </w:tc>
        <w:tc>
          <w:tcPr>
            <w:tcW w:w="1491" w:type="dxa"/>
            <w:tcBorders>
              <w:left w:val="single" w:sz="4" w:space="0" w:color="595A5B" w:themeColor="text1"/>
            </w:tcBorders>
            <w:shd w:val="clear" w:color="auto" w:fill="CAE7F3" w:themeFill="accent1" w:themeFillTint="33"/>
            <w:noWrap/>
            <w:vAlign w:val="bottom"/>
            <w:hideMark/>
          </w:tcPr>
          <w:p w:rsidR="00CD045A" w:rsidRPr="00885151" w:rsidRDefault="00CD045A" w:rsidP="004619D1">
            <w:pPr>
              <w:ind w:left="0"/>
              <w:jc w:val="right"/>
              <w:rPr>
                <w:color w:val="595A5B" w:themeColor="accent4"/>
                <w:sz w:val="18"/>
                <w:szCs w:val="18"/>
                <w:lang w:val="en-US"/>
              </w:rPr>
            </w:pPr>
            <w:r w:rsidRPr="00885151">
              <w:rPr>
                <w:color w:val="595A5B" w:themeColor="accent4"/>
                <w:sz w:val="18"/>
                <w:szCs w:val="18"/>
                <w:lang w:val="en-US"/>
              </w:rPr>
              <w:t>0</w:t>
            </w:r>
          </w:p>
        </w:tc>
        <w:tc>
          <w:tcPr>
            <w:tcW w:w="1323" w:type="dxa"/>
            <w:shd w:val="clear" w:color="auto" w:fill="CAE7F3" w:themeFill="accent1" w:themeFillTint="33"/>
            <w:noWrap/>
            <w:vAlign w:val="bottom"/>
            <w:hideMark/>
          </w:tcPr>
          <w:p w:rsidR="00CD045A" w:rsidRPr="00885151" w:rsidRDefault="00CD045A" w:rsidP="00DB555F">
            <w:pPr>
              <w:ind w:left="0"/>
              <w:jc w:val="right"/>
              <w:rPr>
                <w:color w:val="595A5B" w:themeColor="accent4"/>
                <w:sz w:val="18"/>
                <w:szCs w:val="18"/>
                <w:lang w:val="en-US"/>
              </w:rPr>
            </w:pPr>
            <w:r w:rsidRPr="00885151">
              <w:rPr>
                <w:color w:val="595A5B" w:themeColor="accent4"/>
                <w:sz w:val="18"/>
                <w:szCs w:val="18"/>
                <w:lang w:val="en-US"/>
              </w:rPr>
              <w:t>0</w:t>
            </w:r>
          </w:p>
        </w:tc>
        <w:tc>
          <w:tcPr>
            <w:tcW w:w="1323" w:type="dxa"/>
            <w:shd w:val="clear" w:color="auto" w:fill="CAE7F3" w:themeFill="accent1" w:themeFillTint="33"/>
            <w:noWrap/>
            <w:vAlign w:val="bottom"/>
            <w:hideMark/>
          </w:tcPr>
          <w:p w:rsidR="00CD045A" w:rsidRPr="00885151" w:rsidRDefault="00CD045A" w:rsidP="00DB555F">
            <w:pPr>
              <w:ind w:left="0"/>
              <w:jc w:val="right"/>
              <w:rPr>
                <w:color w:val="595A5B" w:themeColor="accent4"/>
                <w:sz w:val="18"/>
                <w:szCs w:val="18"/>
                <w:lang w:val="en-US"/>
              </w:rPr>
            </w:pPr>
            <w:r w:rsidRPr="00885151">
              <w:rPr>
                <w:color w:val="595A5B" w:themeColor="accent4"/>
                <w:sz w:val="18"/>
                <w:szCs w:val="18"/>
                <w:lang w:val="en-US"/>
              </w:rPr>
              <w:t>1,909</w:t>
            </w:r>
          </w:p>
        </w:tc>
        <w:tc>
          <w:tcPr>
            <w:tcW w:w="1323" w:type="dxa"/>
            <w:shd w:val="clear" w:color="auto" w:fill="CAE7F3" w:themeFill="accent1" w:themeFillTint="33"/>
            <w:noWrap/>
            <w:vAlign w:val="bottom"/>
            <w:hideMark/>
          </w:tcPr>
          <w:p w:rsidR="00CD045A" w:rsidRPr="00885151" w:rsidRDefault="00CD045A" w:rsidP="00DB555F">
            <w:pPr>
              <w:ind w:left="0"/>
              <w:jc w:val="right"/>
              <w:rPr>
                <w:color w:val="595A5B" w:themeColor="accent4"/>
                <w:sz w:val="18"/>
                <w:szCs w:val="18"/>
                <w:lang w:val="en-US"/>
              </w:rPr>
            </w:pPr>
            <w:r w:rsidRPr="00885151">
              <w:rPr>
                <w:color w:val="595A5B" w:themeColor="accent4"/>
                <w:sz w:val="18"/>
                <w:szCs w:val="18"/>
                <w:lang w:val="en-US"/>
              </w:rPr>
              <w:t>5,061</w:t>
            </w:r>
          </w:p>
        </w:tc>
      </w:tr>
      <w:tr w:rsidR="00CD045A" w:rsidRPr="00150F37" w:rsidTr="00F1780B">
        <w:trPr>
          <w:trHeight w:val="300"/>
        </w:trPr>
        <w:tc>
          <w:tcPr>
            <w:tcW w:w="3629" w:type="dxa"/>
            <w:tcBorders>
              <w:right w:val="single" w:sz="4" w:space="0" w:color="595A5B" w:themeColor="text1"/>
            </w:tcBorders>
            <w:shd w:val="clear" w:color="auto" w:fill="CAE7F3" w:themeFill="accent1" w:themeFillTint="33"/>
            <w:noWrap/>
            <w:vAlign w:val="bottom"/>
            <w:hideMark/>
          </w:tcPr>
          <w:p w:rsidR="00CD045A" w:rsidRPr="00885151" w:rsidRDefault="00CD045A" w:rsidP="00DB555F">
            <w:pPr>
              <w:ind w:left="0"/>
              <w:jc w:val="right"/>
              <w:rPr>
                <w:color w:val="595A5B" w:themeColor="accent4"/>
                <w:sz w:val="18"/>
                <w:szCs w:val="18"/>
                <w:lang w:val="en-US"/>
              </w:rPr>
            </w:pPr>
            <w:r w:rsidRPr="00885151">
              <w:rPr>
                <w:color w:val="595A5B" w:themeColor="accent4"/>
                <w:sz w:val="18"/>
                <w:szCs w:val="18"/>
                <w:lang w:val="en-US"/>
              </w:rPr>
              <w:t>Education and Training</w:t>
            </w:r>
          </w:p>
        </w:tc>
        <w:tc>
          <w:tcPr>
            <w:tcW w:w="1491" w:type="dxa"/>
            <w:tcBorders>
              <w:left w:val="single" w:sz="4" w:space="0" w:color="595A5B" w:themeColor="text1"/>
            </w:tcBorders>
            <w:shd w:val="clear" w:color="auto" w:fill="CAE7F3" w:themeFill="accent1" w:themeFillTint="33"/>
            <w:noWrap/>
            <w:vAlign w:val="bottom"/>
            <w:hideMark/>
          </w:tcPr>
          <w:p w:rsidR="00CD045A" w:rsidRPr="00885151" w:rsidRDefault="00CD045A" w:rsidP="004619D1">
            <w:pPr>
              <w:ind w:left="0"/>
              <w:jc w:val="right"/>
              <w:rPr>
                <w:color w:val="595A5B" w:themeColor="accent4"/>
                <w:sz w:val="18"/>
                <w:szCs w:val="18"/>
                <w:lang w:val="en-US"/>
              </w:rPr>
            </w:pPr>
            <w:r w:rsidRPr="00885151">
              <w:rPr>
                <w:color w:val="595A5B" w:themeColor="accent4"/>
                <w:sz w:val="18"/>
                <w:szCs w:val="18"/>
                <w:lang w:val="en-US"/>
              </w:rPr>
              <w:t>0</w:t>
            </w:r>
          </w:p>
        </w:tc>
        <w:tc>
          <w:tcPr>
            <w:tcW w:w="1323" w:type="dxa"/>
            <w:shd w:val="clear" w:color="auto" w:fill="CAE7F3" w:themeFill="accent1" w:themeFillTint="33"/>
            <w:noWrap/>
            <w:vAlign w:val="bottom"/>
            <w:hideMark/>
          </w:tcPr>
          <w:p w:rsidR="00CD045A" w:rsidRPr="00885151" w:rsidRDefault="00CD045A" w:rsidP="00DB555F">
            <w:pPr>
              <w:ind w:left="0"/>
              <w:jc w:val="right"/>
              <w:rPr>
                <w:color w:val="595A5B" w:themeColor="accent4"/>
                <w:sz w:val="18"/>
                <w:szCs w:val="18"/>
                <w:lang w:val="en-US"/>
              </w:rPr>
            </w:pPr>
            <w:r w:rsidRPr="00885151">
              <w:rPr>
                <w:color w:val="595A5B" w:themeColor="accent4"/>
                <w:sz w:val="18"/>
                <w:szCs w:val="18"/>
                <w:lang w:val="en-US"/>
              </w:rPr>
              <w:t>0</w:t>
            </w:r>
          </w:p>
        </w:tc>
        <w:tc>
          <w:tcPr>
            <w:tcW w:w="1323" w:type="dxa"/>
            <w:shd w:val="clear" w:color="auto" w:fill="CAE7F3" w:themeFill="accent1" w:themeFillTint="33"/>
            <w:noWrap/>
            <w:vAlign w:val="bottom"/>
            <w:hideMark/>
          </w:tcPr>
          <w:p w:rsidR="00CD045A" w:rsidRPr="00885151" w:rsidRDefault="00CD045A" w:rsidP="00DB555F">
            <w:pPr>
              <w:ind w:left="0"/>
              <w:jc w:val="right"/>
              <w:rPr>
                <w:color w:val="595A5B" w:themeColor="accent4"/>
                <w:sz w:val="18"/>
                <w:szCs w:val="18"/>
                <w:lang w:val="en-US"/>
              </w:rPr>
            </w:pPr>
            <w:r w:rsidRPr="00885151">
              <w:rPr>
                <w:color w:val="595A5B" w:themeColor="accent4"/>
                <w:sz w:val="18"/>
                <w:szCs w:val="18"/>
                <w:lang w:val="en-US"/>
              </w:rPr>
              <w:t>4,968</w:t>
            </w:r>
          </w:p>
        </w:tc>
        <w:tc>
          <w:tcPr>
            <w:tcW w:w="1323" w:type="dxa"/>
            <w:shd w:val="clear" w:color="auto" w:fill="CAE7F3" w:themeFill="accent1" w:themeFillTint="33"/>
            <w:noWrap/>
            <w:vAlign w:val="bottom"/>
            <w:hideMark/>
          </w:tcPr>
          <w:p w:rsidR="00CD045A" w:rsidRPr="00885151" w:rsidRDefault="00CD045A" w:rsidP="00DB555F">
            <w:pPr>
              <w:ind w:left="0"/>
              <w:jc w:val="right"/>
              <w:rPr>
                <w:color w:val="595A5B" w:themeColor="accent4"/>
                <w:sz w:val="18"/>
                <w:szCs w:val="18"/>
                <w:lang w:val="en-US"/>
              </w:rPr>
            </w:pPr>
            <w:r w:rsidRPr="00885151">
              <w:rPr>
                <w:color w:val="595A5B" w:themeColor="accent4"/>
                <w:sz w:val="18"/>
                <w:szCs w:val="18"/>
                <w:lang w:val="en-US"/>
              </w:rPr>
              <w:t>48,529</w:t>
            </w:r>
          </w:p>
        </w:tc>
      </w:tr>
      <w:tr w:rsidR="00CD045A" w:rsidRPr="00150F37" w:rsidTr="00F1780B">
        <w:trPr>
          <w:trHeight w:val="300"/>
        </w:trPr>
        <w:tc>
          <w:tcPr>
            <w:tcW w:w="3629" w:type="dxa"/>
            <w:tcBorders>
              <w:right w:val="single" w:sz="4" w:space="0" w:color="595A5B" w:themeColor="text1"/>
            </w:tcBorders>
            <w:shd w:val="clear" w:color="auto" w:fill="CAE7F3" w:themeFill="accent1" w:themeFillTint="33"/>
            <w:noWrap/>
            <w:vAlign w:val="bottom"/>
            <w:hideMark/>
          </w:tcPr>
          <w:p w:rsidR="00CD045A" w:rsidRPr="00885151" w:rsidRDefault="00CD045A" w:rsidP="00DB555F">
            <w:pPr>
              <w:ind w:left="0"/>
              <w:jc w:val="right"/>
              <w:rPr>
                <w:color w:val="595A5B" w:themeColor="accent4"/>
                <w:sz w:val="18"/>
                <w:szCs w:val="18"/>
                <w:lang w:val="en-US"/>
              </w:rPr>
            </w:pPr>
            <w:r w:rsidRPr="00885151">
              <w:rPr>
                <w:color w:val="595A5B" w:themeColor="accent4"/>
                <w:sz w:val="18"/>
                <w:szCs w:val="18"/>
                <w:lang w:val="en-US"/>
              </w:rPr>
              <w:t>Health care and social assistance</w:t>
            </w:r>
          </w:p>
        </w:tc>
        <w:tc>
          <w:tcPr>
            <w:tcW w:w="1491" w:type="dxa"/>
            <w:tcBorders>
              <w:left w:val="single" w:sz="4" w:space="0" w:color="595A5B" w:themeColor="text1"/>
            </w:tcBorders>
            <w:shd w:val="clear" w:color="auto" w:fill="CAE7F3" w:themeFill="accent1" w:themeFillTint="33"/>
            <w:noWrap/>
            <w:vAlign w:val="bottom"/>
            <w:hideMark/>
          </w:tcPr>
          <w:p w:rsidR="00CD045A" w:rsidRPr="00885151" w:rsidRDefault="00CD045A" w:rsidP="004619D1">
            <w:pPr>
              <w:ind w:left="0"/>
              <w:jc w:val="right"/>
              <w:rPr>
                <w:color w:val="595A5B" w:themeColor="accent4"/>
                <w:sz w:val="18"/>
                <w:szCs w:val="18"/>
                <w:lang w:val="en-US"/>
              </w:rPr>
            </w:pPr>
            <w:r w:rsidRPr="00885151">
              <w:rPr>
                <w:color w:val="595A5B" w:themeColor="accent4"/>
                <w:sz w:val="18"/>
                <w:szCs w:val="18"/>
                <w:lang w:val="en-US"/>
              </w:rPr>
              <w:t>0</w:t>
            </w:r>
          </w:p>
        </w:tc>
        <w:tc>
          <w:tcPr>
            <w:tcW w:w="1323" w:type="dxa"/>
            <w:shd w:val="clear" w:color="auto" w:fill="CAE7F3" w:themeFill="accent1" w:themeFillTint="33"/>
            <w:noWrap/>
            <w:vAlign w:val="bottom"/>
            <w:hideMark/>
          </w:tcPr>
          <w:p w:rsidR="00CD045A" w:rsidRPr="00885151" w:rsidRDefault="00CD045A" w:rsidP="00DB555F">
            <w:pPr>
              <w:ind w:left="0"/>
              <w:jc w:val="right"/>
              <w:rPr>
                <w:color w:val="595A5B" w:themeColor="accent4"/>
                <w:sz w:val="18"/>
                <w:szCs w:val="18"/>
                <w:lang w:val="en-US"/>
              </w:rPr>
            </w:pPr>
            <w:r w:rsidRPr="00885151">
              <w:rPr>
                <w:color w:val="595A5B" w:themeColor="accent4"/>
                <w:sz w:val="18"/>
                <w:szCs w:val="18"/>
                <w:lang w:val="en-US"/>
              </w:rPr>
              <w:t>0</w:t>
            </w:r>
          </w:p>
        </w:tc>
        <w:tc>
          <w:tcPr>
            <w:tcW w:w="1323" w:type="dxa"/>
            <w:shd w:val="clear" w:color="auto" w:fill="CAE7F3" w:themeFill="accent1" w:themeFillTint="33"/>
            <w:noWrap/>
            <w:vAlign w:val="bottom"/>
            <w:hideMark/>
          </w:tcPr>
          <w:p w:rsidR="00CD045A" w:rsidRPr="00885151" w:rsidRDefault="00CD045A" w:rsidP="00DB555F">
            <w:pPr>
              <w:ind w:left="0"/>
              <w:jc w:val="right"/>
              <w:rPr>
                <w:color w:val="595A5B" w:themeColor="accent4"/>
                <w:sz w:val="18"/>
                <w:szCs w:val="18"/>
                <w:lang w:val="en-US"/>
              </w:rPr>
            </w:pPr>
            <w:r w:rsidRPr="00885151">
              <w:rPr>
                <w:color w:val="595A5B" w:themeColor="accent4"/>
                <w:sz w:val="18"/>
                <w:szCs w:val="18"/>
                <w:lang w:val="en-US"/>
              </w:rPr>
              <w:t>3,698</w:t>
            </w:r>
          </w:p>
        </w:tc>
        <w:tc>
          <w:tcPr>
            <w:tcW w:w="1323" w:type="dxa"/>
            <w:shd w:val="clear" w:color="auto" w:fill="CAE7F3" w:themeFill="accent1" w:themeFillTint="33"/>
            <w:noWrap/>
            <w:vAlign w:val="bottom"/>
            <w:hideMark/>
          </w:tcPr>
          <w:p w:rsidR="00CD045A" w:rsidRPr="00885151" w:rsidRDefault="00CD045A" w:rsidP="00DB555F">
            <w:pPr>
              <w:ind w:left="0"/>
              <w:jc w:val="right"/>
              <w:rPr>
                <w:color w:val="595A5B" w:themeColor="accent4"/>
                <w:sz w:val="18"/>
                <w:szCs w:val="18"/>
                <w:lang w:val="en-US"/>
              </w:rPr>
            </w:pPr>
            <w:r w:rsidRPr="00885151">
              <w:rPr>
                <w:color w:val="595A5B" w:themeColor="accent4"/>
                <w:sz w:val="18"/>
                <w:szCs w:val="18"/>
                <w:lang w:val="en-US"/>
              </w:rPr>
              <w:t>10,044</w:t>
            </w:r>
          </w:p>
        </w:tc>
      </w:tr>
      <w:tr w:rsidR="00CD045A" w:rsidRPr="00150F37" w:rsidTr="00F1780B">
        <w:trPr>
          <w:trHeight w:val="300"/>
        </w:trPr>
        <w:tc>
          <w:tcPr>
            <w:tcW w:w="3629" w:type="dxa"/>
            <w:tcBorders>
              <w:right w:val="single" w:sz="4" w:space="0" w:color="595A5B" w:themeColor="text1"/>
            </w:tcBorders>
            <w:shd w:val="clear" w:color="auto" w:fill="CAE7F3" w:themeFill="accent1" w:themeFillTint="33"/>
            <w:noWrap/>
            <w:vAlign w:val="bottom"/>
            <w:hideMark/>
          </w:tcPr>
          <w:p w:rsidR="00CD045A" w:rsidRPr="00885151" w:rsidRDefault="00CD045A" w:rsidP="00DB555F">
            <w:pPr>
              <w:ind w:left="0"/>
              <w:jc w:val="right"/>
              <w:rPr>
                <w:color w:val="595A5B" w:themeColor="accent4"/>
                <w:sz w:val="18"/>
                <w:szCs w:val="18"/>
                <w:lang w:val="en-US"/>
              </w:rPr>
            </w:pPr>
            <w:r w:rsidRPr="00885151">
              <w:rPr>
                <w:color w:val="595A5B" w:themeColor="accent4"/>
                <w:sz w:val="18"/>
                <w:szCs w:val="18"/>
                <w:lang w:val="en-US"/>
              </w:rPr>
              <w:t>Arts and recreation services</w:t>
            </w:r>
          </w:p>
        </w:tc>
        <w:tc>
          <w:tcPr>
            <w:tcW w:w="1491" w:type="dxa"/>
            <w:tcBorders>
              <w:left w:val="single" w:sz="4" w:space="0" w:color="595A5B" w:themeColor="text1"/>
            </w:tcBorders>
            <w:shd w:val="clear" w:color="auto" w:fill="CAE7F3" w:themeFill="accent1" w:themeFillTint="33"/>
            <w:noWrap/>
            <w:vAlign w:val="bottom"/>
            <w:hideMark/>
          </w:tcPr>
          <w:p w:rsidR="00CD045A" w:rsidRPr="00885151" w:rsidRDefault="00CD045A" w:rsidP="004619D1">
            <w:pPr>
              <w:ind w:left="0"/>
              <w:jc w:val="right"/>
              <w:rPr>
                <w:color w:val="595A5B" w:themeColor="accent4"/>
                <w:sz w:val="18"/>
                <w:szCs w:val="18"/>
                <w:lang w:val="en-US"/>
              </w:rPr>
            </w:pPr>
            <w:r w:rsidRPr="00885151">
              <w:rPr>
                <w:color w:val="595A5B" w:themeColor="accent4"/>
                <w:sz w:val="18"/>
                <w:szCs w:val="18"/>
                <w:lang w:val="en-US"/>
              </w:rPr>
              <w:t>0</w:t>
            </w:r>
          </w:p>
        </w:tc>
        <w:tc>
          <w:tcPr>
            <w:tcW w:w="1323" w:type="dxa"/>
            <w:shd w:val="clear" w:color="auto" w:fill="CAE7F3" w:themeFill="accent1" w:themeFillTint="33"/>
            <w:noWrap/>
            <w:vAlign w:val="bottom"/>
            <w:hideMark/>
          </w:tcPr>
          <w:p w:rsidR="00CD045A" w:rsidRPr="00885151" w:rsidRDefault="00CD045A" w:rsidP="00DB555F">
            <w:pPr>
              <w:ind w:left="0"/>
              <w:jc w:val="right"/>
              <w:rPr>
                <w:color w:val="595A5B" w:themeColor="accent4"/>
                <w:sz w:val="18"/>
                <w:szCs w:val="18"/>
                <w:lang w:val="en-US"/>
              </w:rPr>
            </w:pPr>
            <w:r w:rsidRPr="00885151">
              <w:rPr>
                <w:color w:val="595A5B" w:themeColor="accent4"/>
                <w:sz w:val="18"/>
                <w:szCs w:val="18"/>
                <w:lang w:val="en-US"/>
              </w:rPr>
              <w:t>0</w:t>
            </w:r>
          </w:p>
        </w:tc>
        <w:tc>
          <w:tcPr>
            <w:tcW w:w="1323" w:type="dxa"/>
            <w:shd w:val="clear" w:color="auto" w:fill="CAE7F3" w:themeFill="accent1" w:themeFillTint="33"/>
            <w:noWrap/>
            <w:vAlign w:val="bottom"/>
            <w:hideMark/>
          </w:tcPr>
          <w:p w:rsidR="00CD045A" w:rsidRPr="00885151" w:rsidRDefault="00CD045A" w:rsidP="00DB555F">
            <w:pPr>
              <w:ind w:left="0"/>
              <w:jc w:val="right"/>
              <w:rPr>
                <w:color w:val="595A5B" w:themeColor="accent4"/>
                <w:sz w:val="18"/>
                <w:szCs w:val="18"/>
                <w:lang w:val="en-US"/>
              </w:rPr>
            </w:pPr>
            <w:r w:rsidRPr="00885151">
              <w:rPr>
                <w:color w:val="595A5B" w:themeColor="accent4"/>
                <w:sz w:val="18"/>
                <w:szCs w:val="18"/>
                <w:lang w:val="en-US"/>
              </w:rPr>
              <w:t>0</w:t>
            </w:r>
          </w:p>
        </w:tc>
        <w:tc>
          <w:tcPr>
            <w:tcW w:w="1323" w:type="dxa"/>
            <w:shd w:val="clear" w:color="auto" w:fill="CAE7F3" w:themeFill="accent1" w:themeFillTint="33"/>
            <w:noWrap/>
            <w:vAlign w:val="bottom"/>
            <w:hideMark/>
          </w:tcPr>
          <w:p w:rsidR="00CD045A" w:rsidRPr="00885151" w:rsidRDefault="00CD045A" w:rsidP="00DB555F">
            <w:pPr>
              <w:ind w:left="0"/>
              <w:jc w:val="right"/>
              <w:rPr>
                <w:color w:val="595A5B" w:themeColor="accent4"/>
                <w:sz w:val="18"/>
                <w:szCs w:val="18"/>
                <w:lang w:val="en-US"/>
              </w:rPr>
            </w:pPr>
            <w:r w:rsidRPr="00885151">
              <w:rPr>
                <w:color w:val="595A5B" w:themeColor="accent4"/>
                <w:sz w:val="18"/>
                <w:szCs w:val="18"/>
                <w:lang w:val="en-US"/>
              </w:rPr>
              <w:t>-</w:t>
            </w:r>
          </w:p>
        </w:tc>
      </w:tr>
      <w:tr w:rsidR="00CD045A" w:rsidRPr="00150F37" w:rsidTr="00F1780B">
        <w:trPr>
          <w:trHeight w:val="300"/>
        </w:trPr>
        <w:tc>
          <w:tcPr>
            <w:tcW w:w="3629" w:type="dxa"/>
            <w:tcBorders>
              <w:right w:val="single" w:sz="4" w:space="0" w:color="595A5B" w:themeColor="text1"/>
            </w:tcBorders>
            <w:shd w:val="clear" w:color="auto" w:fill="CAE7F3" w:themeFill="accent1" w:themeFillTint="33"/>
            <w:noWrap/>
            <w:vAlign w:val="bottom"/>
            <w:hideMark/>
          </w:tcPr>
          <w:p w:rsidR="00CD045A" w:rsidRPr="00885151" w:rsidRDefault="00CD045A" w:rsidP="00DB555F">
            <w:pPr>
              <w:ind w:left="0"/>
              <w:jc w:val="right"/>
              <w:rPr>
                <w:color w:val="595A5B" w:themeColor="accent4"/>
                <w:sz w:val="18"/>
                <w:szCs w:val="18"/>
                <w:lang w:val="en-US"/>
              </w:rPr>
            </w:pPr>
            <w:r w:rsidRPr="00885151">
              <w:rPr>
                <w:color w:val="595A5B" w:themeColor="accent4"/>
                <w:sz w:val="18"/>
                <w:szCs w:val="18"/>
                <w:lang w:val="en-US"/>
              </w:rPr>
              <w:t>Other services</w:t>
            </w:r>
          </w:p>
        </w:tc>
        <w:tc>
          <w:tcPr>
            <w:tcW w:w="1491" w:type="dxa"/>
            <w:tcBorders>
              <w:left w:val="single" w:sz="4" w:space="0" w:color="595A5B" w:themeColor="text1"/>
            </w:tcBorders>
            <w:shd w:val="clear" w:color="auto" w:fill="CAE7F3" w:themeFill="accent1" w:themeFillTint="33"/>
            <w:noWrap/>
            <w:vAlign w:val="bottom"/>
            <w:hideMark/>
          </w:tcPr>
          <w:p w:rsidR="00CD045A" w:rsidRPr="00885151" w:rsidRDefault="00CD045A" w:rsidP="004619D1">
            <w:pPr>
              <w:ind w:left="0"/>
              <w:jc w:val="right"/>
              <w:rPr>
                <w:color w:val="595A5B" w:themeColor="accent4"/>
                <w:sz w:val="18"/>
                <w:szCs w:val="18"/>
                <w:lang w:val="en-US"/>
              </w:rPr>
            </w:pPr>
            <w:r w:rsidRPr="00885151">
              <w:rPr>
                <w:color w:val="595A5B" w:themeColor="accent4"/>
                <w:sz w:val="18"/>
                <w:szCs w:val="18"/>
                <w:lang w:val="en-US"/>
              </w:rPr>
              <w:t>461</w:t>
            </w:r>
          </w:p>
        </w:tc>
        <w:tc>
          <w:tcPr>
            <w:tcW w:w="1323" w:type="dxa"/>
            <w:shd w:val="clear" w:color="auto" w:fill="CAE7F3" w:themeFill="accent1" w:themeFillTint="33"/>
            <w:noWrap/>
            <w:vAlign w:val="bottom"/>
            <w:hideMark/>
          </w:tcPr>
          <w:p w:rsidR="00CD045A" w:rsidRPr="00885151" w:rsidRDefault="00CD045A" w:rsidP="00DB555F">
            <w:pPr>
              <w:ind w:left="0"/>
              <w:jc w:val="right"/>
              <w:rPr>
                <w:color w:val="595A5B" w:themeColor="accent4"/>
                <w:sz w:val="18"/>
                <w:szCs w:val="18"/>
                <w:lang w:val="en-US"/>
              </w:rPr>
            </w:pPr>
            <w:r w:rsidRPr="00885151">
              <w:rPr>
                <w:color w:val="595A5B" w:themeColor="accent4"/>
                <w:sz w:val="18"/>
                <w:szCs w:val="18"/>
                <w:lang w:val="en-US"/>
              </w:rPr>
              <w:t>0</w:t>
            </w:r>
          </w:p>
        </w:tc>
        <w:tc>
          <w:tcPr>
            <w:tcW w:w="1323" w:type="dxa"/>
            <w:shd w:val="clear" w:color="auto" w:fill="CAE7F3" w:themeFill="accent1" w:themeFillTint="33"/>
            <w:noWrap/>
            <w:vAlign w:val="bottom"/>
            <w:hideMark/>
          </w:tcPr>
          <w:p w:rsidR="00CD045A" w:rsidRPr="00885151" w:rsidRDefault="00CD045A" w:rsidP="00DB555F">
            <w:pPr>
              <w:ind w:left="0"/>
              <w:jc w:val="right"/>
              <w:rPr>
                <w:color w:val="595A5B" w:themeColor="accent4"/>
                <w:sz w:val="18"/>
                <w:szCs w:val="18"/>
                <w:lang w:val="en-US"/>
              </w:rPr>
            </w:pPr>
            <w:r w:rsidRPr="00885151">
              <w:rPr>
                <w:color w:val="595A5B" w:themeColor="accent4"/>
                <w:sz w:val="18"/>
                <w:szCs w:val="18"/>
                <w:lang w:val="en-US"/>
              </w:rPr>
              <w:t>2,100</w:t>
            </w:r>
          </w:p>
        </w:tc>
        <w:tc>
          <w:tcPr>
            <w:tcW w:w="1323" w:type="dxa"/>
            <w:shd w:val="clear" w:color="auto" w:fill="CAE7F3" w:themeFill="accent1" w:themeFillTint="33"/>
            <w:noWrap/>
            <w:vAlign w:val="bottom"/>
            <w:hideMark/>
          </w:tcPr>
          <w:p w:rsidR="00CD045A" w:rsidRPr="00885151" w:rsidRDefault="00CD045A" w:rsidP="00DB555F">
            <w:pPr>
              <w:ind w:left="0"/>
              <w:jc w:val="right"/>
              <w:rPr>
                <w:color w:val="595A5B" w:themeColor="accent4"/>
                <w:sz w:val="18"/>
                <w:szCs w:val="18"/>
                <w:lang w:val="en-US"/>
              </w:rPr>
            </w:pPr>
            <w:r w:rsidRPr="00885151">
              <w:rPr>
                <w:color w:val="595A5B" w:themeColor="accent4"/>
                <w:sz w:val="18"/>
                <w:szCs w:val="18"/>
                <w:lang w:val="en-US"/>
              </w:rPr>
              <w:t>53,140</w:t>
            </w:r>
          </w:p>
        </w:tc>
      </w:tr>
    </w:tbl>
    <w:p w:rsidR="00CD045A" w:rsidRPr="00CD045A" w:rsidRDefault="00CD045A" w:rsidP="00CD045A">
      <w:pPr>
        <w:pStyle w:val="PlaceholderWide"/>
      </w:pPr>
    </w:p>
    <w:p w:rsidR="00CD045A" w:rsidRPr="00A30089" w:rsidRDefault="00CD045A" w:rsidP="00DB555F">
      <w:pPr>
        <w:pStyle w:val="NoteWide"/>
      </w:pPr>
      <w:r w:rsidRPr="00A30089">
        <w:t>Note</w:t>
      </w:r>
      <w:r>
        <w:t xml:space="preserve">s: </w:t>
      </w:r>
      <w:r w:rsidRPr="00910D66">
        <w:t>Electricity, gas, water and waste services</w:t>
      </w:r>
      <w:r>
        <w:t xml:space="preserve"> and </w:t>
      </w:r>
      <w:r w:rsidRPr="00910D66">
        <w:t>Information, media and telecommunications</w:t>
      </w:r>
      <w:r>
        <w:t xml:space="preserve"> ANZSIC industry d</w:t>
      </w:r>
      <w:r w:rsidRPr="002157A3">
        <w:t>ivisions are excluded due to the small number of observations.</w:t>
      </w:r>
      <w:r>
        <w:t xml:space="preserve"> Size of firm is by employee headcount.</w:t>
      </w:r>
    </w:p>
    <w:p w:rsidR="00CD045A" w:rsidRPr="00A30089" w:rsidRDefault="00CD045A" w:rsidP="00DB555F">
      <w:pPr>
        <w:pStyle w:val="SourceWide"/>
      </w:pPr>
      <w:r>
        <w:t xml:space="preserve">Source: </w:t>
      </w:r>
      <w:r w:rsidRPr="00683EED">
        <w:t xml:space="preserve">ABS (2015) </w:t>
      </w:r>
      <w:r>
        <w:t>Expanded</w:t>
      </w:r>
      <w:r w:rsidRPr="00683EED">
        <w:t xml:space="preserve"> Analytical </w:t>
      </w:r>
      <w:r>
        <w:t xml:space="preserve">Business </w:t>
      </w:r>
      <w:r w:rsidRPr="00683EED">
        <w:t>Longitudinal Database</w:t>
      </w:r>
      <w:r w:rsidR="00885151">
        <w:t xml:space="preserve"> 2001–02 to 2012–</w:t>
      </w:r>
      <w:r>
        <w:t>13</w:t>
      </w:r>
    </w:p>
    <w:p w:rsidR="00CD045A" w:rsidRDefault="00CD045A" w:rsidP="00522B16">
      <w:pPr>
        <w:pStyle w:val="BodyText"/>
      </w:pPr>
    </w:p>
    <w:p w:rsidR="00522B16" w:rsidRDefault="00AA3A65" w:rsidP="00EB0BE4">
      <w:pPr>
        <w:pStyle w:val="Appendixheading1"/>
        <w:numPr>
          <w:ilvl w:val="0"/>
          <w:numId w:val="0"/>
        </w:numPr>
        <w:ind w:left="2551" w:hanging="357"/>
      </w:pPr>
      <w:r>
        <w:t>References</w:t>
      </w:r>
    </w:p>
    <w:p w:rsidR="00AA3A65" w:rsidRDefault="00AA3A65" w:rsidP="00AA3A65">
      <w:pPr>
        <w:pStyle w:val="BodyText"/>
        <w:spacing w:after="120" w:line="240" w:lineRule="auto"/>
      </w:pPr>
      <w:r>
        <w:t xml:space="preserve">Alinejad M, Balaguer A &amp; Hendrickson L (2015) </w:t>
      </w:r>
      <w:r w:rsidRPr="00F25335">
        <w:rPr>
          <w:i/>
        </w:rPr>
        <w:t>Financing innovation and entrepreneurship in Australia,</w:t>
      </w:r>
      <w:r w:rsidRPr="00F25335">
        <w:t xml:space="preserve"> </w:t>
      </w:r>
      <w:r>
        <w:t>Department of Industry and Science, Office of the Chief Economist (forthcoming)</w:t>
      </w:r>
    </w:p>
    <w:p w:rsidR="00AA3A65" w:rsidRPr="007C6393" w:rsidRDefault="00AA3A65" w:rsidP="00AA3A65">
      <w:pPr>
        <w:pStyle w:val="BodyText"/>
        <w:spacing w:after="120" w:line="240" w:lineRule="auto"/>
      </w:pPr>
      <w:r w:rsidRPr="007C6393">
        <w:t>Australian Bureau of Statistics (ABS; 2013</w:t>
      </w:r>
      <w:r>
        <w:t>a</w:t>
      </w:r>
      <w:r w:rsidRPr="007C6393">
        <w:t xml:space="preserve">) </w:t>
      </w:r>
      <w:r w:rsidRPr="007C6393">
        <w:rPr>
          <w:i/>
        </w:rPr>
        <w:t>Australian National Accounts: National Income, Expenditure and Product, December 2013,</w:t>
      </w:r>
      <w:r w:rsidRPr="007C6393">
        <w:t xml:space="preserve"> Cat. No. 5206.0</w:t>
      </w:r>
    </w:p>
    <w:p w:rsidR="0051396B" w:rsidRPr="002A6334" w:rsidRDefault="0051396B" w:rsidP="0051396B">
      <w:pPr>
        <w:pStyle w:val="BodyText"/>
        <w:spacing w:after="120" w:line="240" w:lineRule="auto"/>
      </w:pPr>
      <w:r w:rsidRPr="002A6334">
        <w:t xml:space="preserve">ABS (2001) </w:t>
      </w:r>
      <w:r w:rsidRPr="002A6334">
        <w:rPr>
          <w:i/>
          <w:iCs/>
        </w:rPr>
        <w:t>Small Business in Australian</w:t>
      </w:r>
      <w:r w:rsidRPr="002A6334">
        <w:t>, Cat. No. 1321.0</w:t>
      </w:r>
    </w:p>
    <w:p w:rsidR="0051396B" w:rsidRPr="00193F31" w:rsidRDefault="00AA3A65" w:rsidP="0051396B">
      <w:pPr>
        <w:pStyle w:val="BodyText"/>
        <w:spacing w:after="120" w:line="240" w:lineRule="auto"/>
      </w:pPr>
      <w:r w:rsidRPr="00193F31">
        <w:t>ABS (2013</w:t>
      </w:r>
      <w:r>
        <w:t>b</w:t>
      </w:r>
      <w:r w:rsidRPr="00193F31">
        <w:t xml:space="preserve">) </w:t>
      </w:r>
      <w:r w:rsidRPr="00193F31">
        <w:rPr>
          <w:i/>
        </w:rPr>
        <w:t>Microdata: Australian Ce</w:t>
      </w:r>
      <w:r>
        <w:rPr>
          <w:i/>
        </w:rPr>
        <w:t>nsus Longitudinal Dataset, 2006</w:t>
      </w:r>
      <w:r>
        <w:rPr>
          <w:rFonts w:cstheme="minorHAnsi"/>
          <w:i/>
        </w:rPr>
        <w:t>–</w:t>
      </w:r>
      <w:r w:rsidRPr="00193F31">
        <w:rPr>
          <w:i/>
        </w:rPr>
        <w:t>2011</w:t>
      </w:r>
      <w:r w:rsidRPr="00193F31">
        <w:t>, Cat. No. 2080.0</w:t>
      </w:r>
    </w:p>
    <w:p w:rsidR="00AA3A65" w:rsidRPr="00193F31" w:rsidRDefault="00AA3A65" w:rsidP="00AA3A65">
      <w:pPr>
        <w:pStyle w:val="BodyText"/>
        <w:spacing w:after="120" w:line="240" w:lineRule="auto"/>
      </w:pPr>
      <w:r w:rsidRPr="00193F31">
        <w:t xml:space="preserve">ABS (2015) </w:t>
      </w:r>
      <w:r w:rsidRPr="00193F31">
        <w:rPr>
          <w:i/>
        </w:rPr>
        <w:t>Venture Capital and Later Stage Private Equity</w:t>
      </w:r>
      <w:r>
        <w:t>, Australia, 2013</w:t>
      </w:r>
      <w:r>
        <w:rPr>
          <w:rFonts w:cstheme="minorHAnsi"/>
        </w:rPr>
        <w:t>–</w:t>
      </w:r>
      <w:r w:rsidRPr="00193F31">
        <w:t>14, Cat. No. 5678.0</w:t>
      </w:r>
    </w:p>
    <w:p w:rsidR="00AA3A65" w:rsidRPr="00B14590" w:rsidRDefault="00AA3A65" w:rsidP="00AA3A65">
      <w:pPr>
        <w:pStyle w:val="BodyText"/>
        <w:spacing w:after="120" w:line="240" w:lineRule="auto"/>
      </w:pPr>
      <w:r w:rsidRPr="00B14590">
        <w:t>Acemoglu D</w:t>
      </w:r>
      <w:r>
        <w:t>,</w:t>
      </w:r>
      <w:r w:rsidRPr="00B14590">
        <w:t xml:space="preserve"> Akcigit</w:t>
      </w:r>
      <w:r>
        <w:t xml:space="preserve"> U</w:t>
      </w:r>
      <w:r w:rsidRPr="00B14590">
        <w:t>, Bloom</w:t>
      </w:r>
      <w:r>
        <w:t xml:space="preserve"> N &amp; </w:t>
      </w:r>
      <w:r w:rsidRPr="00B14590">
        <w:t>Kerr</w:t>
      </w:r>
      <w:r>
        <w:t xml:space="preserve"> WR</w:t>
      </w:r>
      <w:r w:rsidRPr="00B14590">
        <w:t xml:space="preserve"> </w:t>
      </w:r>
      <w:r>
        <w:t>(</w:t>
      </w:r>
      <w:r w:rsidRPr="00B14590">
        <w:t>2013</w:t>
      </w:r>
      <w:r>
        <w:t>) Innovation, reallocation, and g</w:t>
      </w:r>
      <w:r w:rsidRPr="00B14590">
        <w:t xml:space="preserve">rowth. </w:t>
      </w:r>
      <w:r w:rsidRPr="00B14590">
        <w:rPr>
          <w:i/>
        </w:rPr>
        <w:t>NBER Working Paper</w:t>
      </w:r>
      <w:r>
        <w:t xml:space="preserve"> </w:t>
      </w:r>
      <w:r w:rsidRPr="00B14590">
        <w:t>18993.</w:t>
      </w:r>
    </w:p>
    <w:p w:rsidR="00AA3A65" w:rsidRDefault="00AA3A65" w:rsidP="00AA3A65">
      <w:pPr>
        <w:pStyle w:val="BodyText"/>
        <w:spacing w:after="120" w:line="240" w:lineRule="auto"/>
      </w:pPr>
      <w:r>
        <w:t xml:space="preserve">Balaguer A, Pachernegg T &amp; Hendrickson L (2015) </w:t>
      </w:r>
      <w:r w:rsidRPr="00F25335">
        <w:rPr>
          <w:i/>
        </w:rPr>
        <w:t>The influence of R&amp;D on firm performance in Australia</w:t>
      </w:r>
      <w:r>
        <w:t>, Department of Industry and Science, Office of the Chief Economist (forthcoming)</w:t>
      </w:r>
    </w:p>
    <w:p w:rsidR="00AA3A65" w:rsidRPr="009D20C3" w:rsidRDefault="00AA3A65" w:rsidP="00AA3A65">
      <w:pPr>
        <w:pStyle w:val="BodyText"/>
        <w:spacing w:after="120" w:line="240" w:lineRule="auto"/>
      </w:pPr>
      <w:r w:rsidRPr="009D20C3">
        <w:t>Balasubramanian</w:t>
      </w:r>
      <w:r>
        <w:t xml:space="preserve"> N &amp;</w:t>
      </w:r>
      <w:r w:rsidRPr="009D20C3">
        <w:t xml:space="preserve"> Sivadasan</w:t>
      </w:r>
      <w:r>
        <w:t xml:space="preserve"> J (</w:t>
      </w:r>
      <w:r w:rsidRPr="009D20C3">
        <w:t>2011</w:t>
      </w:r>
      <w:r>
        <w:t>) What h</w:t>
      </w:r>
      <w:r w:rsidRPr="009D20C3">
        <w:t xml:space="preserve">appens </w:t>
      </w:r>
      <w:r>
        <w:t>w</w:t>
      </w:r>
      <w:r w:rsidRPr="009D20C3">
        <w:t xml:space="preserve">hen </w:t>
      </w:r>
      <w:r>
        <w:t>f</w:t>
      </w:r>
      <w:r w:rsidRPr="009D20C3">
        <w:t xml:space="preserve">irms </w:t>
      </w:r>
      <w:r>
        <w:t>p</w:t>
      </w:r>
      <w:r w:rsidRPr="009D20C3">
        <w:t>atent?</w:t>
      </w:r>
      <w:r>
        <w:t xml:space="preserve"> New evidence from US</w:t>
      </w:r>
      <w:r w:rsidRPr="009D20C3">
        <w:t xml:space="preserve"> </w:t>
      </w:r>
      <w:r>
        <w:t>e</w:t>
      </w:r>
      <w:r w:rsidRPr="009D20C3">
        <w:t xml:space="preserve">conomic </w:t>
      </w:r>
      <w:r>
        <w:t>c</w:t>
      </w:r>
      <w:r w:rsidRPr="009D20C3">
        <w:t xml:space="preserve">ensus </w:t>
      </w:r>
      <w:r>
        <w:t>d</w:t>
      </w:r>
      <w:r w:rsidRPr="009D20C3">
        <w:t>ata.</w:t>
      </w:r>
      <w:r>
        <w:t xml:space="preserve"> </w:t>
      </w:r>
      <w:r w:rsidRPr="009D20C3">
        <w:rPr>
          <w:i/>
        </w:rPr>
        <w:t>Review of Economics and Statistics</w:t>
      </w:r>
      <w:r w:rsidRPr="009D20C3">
        <w:t xml:space="preserve"> </w:t>
      </w:r>
      <w:r w:rsidRPr="000078F3">
        <w:t>93(</w:t>
      </w:r>
      <w:r w:rsidRPr="009D20C3">
        <w:t xml:space="preserve">1): </w:t>
      </w:r>
      <w:r w:rsidR="00F1780B">
        <w:t>126–46</w:t>
      </w:r>
    </w:p>
    <w:p w:rsidR="00AA3A65" w:rsidRDefault="00AA3A65" w:rsidP="00AA3A65">
      <w:pPr>
        <w:pStyle w:val="BodyText"/>
        <w:spacing w:after="120" w:line="240" w:lineRule="auto"/>
      </w:pPr>
      <w:r>
        <w:t xml:space="preserve">Bartelsman EJ &amp; Doms M (2000) Understanding productivity: Lessons from longitudinal microdata, </w:t>
      </w:r>
      <w:r w:rsidRPr="00527C98">
        <w:rPr>
          <w:i/>
        </w:rPr>
        <w:t>Journal of Economic Literature</w:t>
      </w:r>
      <w:r>
        <w:t xml:space="preserve"> </w:t>
      </w:r>
      <w:r w:rsidRPr="000078F3">
        <w:t>38</w:t>
      </w:r>
      <w:r w:rsidR="00F1780B">
        <w:t>(3): 569–94</w:t>
      </w:r>
      <w:r>
        <w:t xml:space="preserve"> </w:t>
      </w:r>
    </w:p>
    <w:p w:rsidR="00AA3A65" w:rsidRDefault="00AA3A65" w:rsidP="00AA3A65">
      <w:pPr>
        <w:pStyle w:val="BodyText"/>
        <w:spacing w:after="120" w:line="240" w:lineRule="auto"/>
      </w:pPr>
      <w:r w:rsidRPr="008C73D2">
        <w:t>Coad</w:t>
      </w:r>
      <w:r>
        <w:t xml:space="preserve"> </w:t>
      </w:r>
      <w:r w:rsidRPr="008C73D2">
        <w:t>A</w:t>
      </w:r>
      <w:r>
        <w:t xml:space="preserve">, </w:t>
      </w:r>
      <w:r w:rsidRPr="008C73D2">
        <w:t>Daunfeldt</w:t>
      </w:r>
      <w:r>
        <w:t xml:space="preserve"> S</w:t>
      </w:r>
      <w:r w:rsidR="00655A02">
        <w:t>–</w:t>
      </w:r>
      <w:r>
        <w:t>O</w:t>
      </w:r>
      <w:r w:rsidRPr="008C73D2">
        <w:t xml:space="preserve"> </w:t>
      </w:r>
      <w:r>
        <w:t xml:space="preserve">&amp; </w:t>
      </w:r>
      <w:r w:rsidRPr="008C73D2">
        <w:t>Halvarsson</w:t>
      </w:r>
      <w:r>
        <w:t xml:space="preserve"> </w:t>
      </w:r>
      <w:r w:rsidRPr="008C73D2">
        <w:t>D</w:t>
      </w:r>
      <w:r>
        <w:t xml:space="preserve"> (</w:t>
      </w:r>
      <w:r w:rsidRPr="008C73D2">
        <w:t>2015</w:t>
      </w:r>
      <w:r>
        <w:t>)</w:t>
      </w:r>
      <w:r w:rsidRPr="008C73D2">
        <w:t xml:space="preserve"> </w:t>
      </w:r>
      <w:r w:rsidRPr="008C73D2">
        <w:rPr>
          <w:i/>
        </w:rPr>
        <w:t xml:space="preserve">Bursting into </w:t>
      </w:r>
      <w:r>
        <w:rPr>
          <w:i/>
        </w:rPr>
        <w:t>l</w:t>
      </w:r>
      <w:r w:rsidRPr="008C73D2">
        <w:rPr>
          <w:i/>
        </w:rPr>
        <w:t xml:space="preserve">ife: Firm </w:t>
      </w:r>
      <w:r>
        <w:rPr>
          <w:i/>
        </w:rPr>
        <w:t>g</w:t>
      </w:r>
      <w:r w:rsidRPr="008C73D2">
        <w:rPr>
          <w:i/>
        </w:rPr>
        <w:t xml:space="preserve">rowth and </w:t>
      </w:r>
      <w:r>
        <w:rPr>
          <w:i/>
        </w:rPr>
        <w:t>g</w:t>
      </w:r>
      <w:r w:rsidRPr="008C73D2">
        <w:rPr>
          <w:i/>
        </w:rPr>
        <w:t xml:space="preserve">rowth </w:t>
      </w:r>
      <w:r>
        <w:rPr>
          <w:i/>
        </w:rPr>
        <w:t>p</w:t>
      </w:r>
      <w:r w:rsidRPr="008C73D2">
        <w:rPr>
          <w:i/>
        </w:rPr>
        <w:t xml:space="preserve">ersistence by </w:t>
      </w:r>
      <w:r>
        <w:rPr>
          <w:i/>
        </w:rPr>
        <w:t>a</w:t>
      </w:r>
      <w:r w:rsidRPr="008C73D2">
        <w:rPr>
          <w:i/>
        </w:rPr>
        <w:t>ge</w:t>
      </w:r>
      <w:r>
        <w:rPr>
          <w:i/>
        </w:rPr>
        <w:t>,</w:t>
      </w:r>
      <w:r w:rsidRPr="008C73D2">
        <w:t xml:space="preserve"> </w:t>
      </w:r>
      <w:r>
        <w:t xml:space="preserve">Social Science Research Network </w:t>
      </w:r>
      <w:r w:rsidRPr="008C73D2">
        <w:t>(June 10, 2015).</w:t>
      </w:r>
    </w:p>
    <w:p w:rsidR="00AA3A65" w:rsidRDefault="00AA3A65" w:rsidP="00AA3A65">
      <w:pPr>
        <w:pStyle w:val="BodyText"/>
        <w:spacing w:after="120" w:line="240" w:lineRule="auto"/>
      </w:pPr>
      <w:r>
        <w:t>Criscuolo C</w:t>
      </w:r>
      <w:r w:rsidRPr="00C63FF4">
        <w:t xml:space="preserve">, Gal PN </w:t>
      </w:r>
      <w:r>
        <w:t xml:space="preserve">&amp; </w:t>
      </w:r>
      <w:r w:rsidRPr="00C63FF4">
        <w:t xml:space="preserve">Menon C (2014) </w:t>
      </w:r>
      <w:r w:rsidRPr="00C63FF4">
        <w:rPr>
          <w:i/>
        </w:rPr>
        <w:t xml:space="preserve">The </w:t>
      </w:r>
      <w:r>
        <w:rPr>
          <w:i/>
        </w:rPr>
        <w:t>d</w:t>
      </w:r>
      <w:r w:rsidRPr="00C63FF4">
        <w:rPr>
          <w:i/>
        </w:rPr>
        <w:t xml:space="preserve">ynamics of </w:t>
      </w:r>
      <w:r>
        <w:rPr>
          <w:i/>
        </w:rPr>
        <w:t>e</w:t>
      </w:r>
      <w:r w:rsidRPr="00C63FF4">
        <w:rPr>
          <w:i/>
        </w:rPr>
        <w:t xml:space="preserve">mployment </w:t>
      </w:r>
      <w:r>
        <w:rPr>
          <w:i/>
        </w:rPr>
        <w:t>g</w:t>
      </w:r>
      <w:r w:rsidRPr="00C63FF4">
        <w:rPr>
          <w:i/>
        </w:rPr>
        <w:t xml:space="preserve">rowth: New </w:t>
      </w:r>
      <w:r>
        <w:rPr>
          <w:i/>
        </w:rPr>
        <w:t>e</w:t>
      </w:r>
      <w:r w:rsidRPr="00C63FF4">
        <w:rPr>
          <w:i/>
        </w:rPr>
        <w:t xml:space="preserve">vidence from 18 </w:t>
      </w:r>
      <w:r>
        <w:rPr>
          <w:i/>
        </w:rPr>
        <w:t>c</w:t>
      </w:r>
      <w:r w:rsidRPr="00C63FF4">
        <w:rPr>
          <w:i/>
        </w:rPr>
        <w:t>ountries</w:t>
      </w:r>
      <w:r w:rsidRPr="00C63FF4">
        <w:t xml:space="preserve">, OECD Science, Technology and Industry Policy Papers no. 14, OECD Publishing, </w:t>
      </w:r>
      <w:hyperlink r:id="rId51" w:history="1">
        <w:r w:rsidRPr="00FD1287">
          <w:rPr>
            <w:rStyle w:val="Hyperlink"/>
          </w:rPr>
          <w:t>http://dx.doi.org/10.1787/5jz417hj6hg6-en</w:t>
        </w:r>
      </w:hyperlink>
      <w:r>
        <w:t xml:space="preserve"> </w:t>
      </w:r>
    </w:p>
    <w:p w:rsidR="00AA3A65" w:rsidRPr="00CB3221" w:rsidRDefault="00AA3A65" w:rsidP="00AA3A65">
      <w:pPr>
        <w:pStyle w:val="BodyText"/>
        <w:spacing w:after="120" w:line="240" w:lineRule="auto"/>
        <w:rPr>
          <w:b/>
        </w:rPr>
      </w:pPr>
      <w:r>
        <w:t xml:space="preserve">Davidsson P &amp; Wiklund P (2013) Introduction, In, </w:t>
      </w:r>
      <w:r w:rsidRPr="0013391C">
        <w:rPr>
          <w:i/>
        </w:rPr>
        <w:t>New perspectives on firm growth</w:t>
      </w:r>
      <w:r>
        <w:t xml:space="preserve"> (Davidsson P &amp; Wiklund P, Eds) Edward Elgar, Cheltenham, UK</w:t>
      </w:r>
    </w:p>
    <w:p w:rsidR="00AA3A65" w:rsidRDefault="00AA3A65" w:rsidP="00AA3A65">
      <w:pPr>
        <w:pStyle w:val="BodyText"/>
        <w:spacing w:after="120" w:line="240" w:lineRule="auto"/>
      </w:pPr>
      <w:r>
        <w:t xml:space="preserve">Davidsson P, Steffens P &amp; Fitzsimmons J (2013) Growing profitable or growing from profits: putting the horse in front of the cart? In, </w:t>
      </w:r>
      <w:r w:rsidRPr="0013391C">
        <w:rPr>
          <w:i/>
        </w:rPr>
        <w:t>New perspectives on firm growth</w:t>
      </w:r>
      <w:r>
        <w:t xml:space="preserve"> (Davidsson P &amp; Wiklund P, Eds) Edward Elgar, Cheltenham, UK</w:t>
      </w:r>
    </w:p>
    <w:p w:rsidR="00AA3A65" w:rsidRDefault="00AA3A65" w:rsidP="00AA3A65">
      <w:pPr>
        <w:pStyle w:val="BodyText"/>
        <w:spacing w:after="120" w:line="240" w:lineRule="auto"/>
      </w:pPr>
      <w:r>
        <w:t xml:space="preserve">Decker R, Haltiwanger J, Jarmin R &amp; Miranda J (2014) The role of entrepreneurship in US job creation and economic dynamism, </w:t>
      </w:r>
      <w:r w:rsidRPr="00A9730F">
        <w:rPr>
          <w:i/>
        </w:rPr>
        <w:t>The Journal of Economic Perspectives</w:t>
      </w:r>
      <w:r>
        <w:t xml:space="preserve"> </w:t>
      </w:r>
      <w:r w:rsidRPr="000078F3">
        <w:t>28</w:t>
      </w:r>
      <w:r>
        <w:t>(3):3</w:t>
      </w:r>
      <w:r>
        <w:rPr>
          <w:rFonts w:cstheme="minorHAnsi"/>
        </w:rPr>
        <w:t>–</w:t>
      </w:r>
      <w:r>
        <w:t>24</w:t>
      </w:r>
    </w:p>
    <w:p w:rsidR="00AA3A65" w:rsidRDefault="00AA3A65" w:rsidP="00AA3A65">
      <w:pPr>
        <w:pStyle w:val="BodyText"/>
        <w:spacing w:after="120" w:line="240" w:lineRule="auto"/>
      </w:pPr>
      <w:r>
        <w:t xml:space="preserve">Delmar F &amp; Wiklund P (2013) The effect of small firm managers’ growth motivation on growth: A longitudinal study. In, </w:t>
      </w:r>
      <w:r w:rsidRPr="0013391C">
        <w:rPr>
          <w:i/>
        </w:rPr>
        <w:t>New perspectives on firm growth</w:t>
      </w:r>
      <w:r>
        <w:t xml:space="preserve"> (Davidsson P &amp; Wiklund P, Eds) Edward Elgar, Cheltenham, UK</w:t>
      </w:r>
    </w:p>
    <w:p w:rsidR="00AA3A65" w:rsidRPr="00193F31" w:rsidRDefault="00AA3A65" w:rsidP="00AA3A65">
      <w:pPr>
        <w:pStyle w:val="BodyText"/>
        <w:spacing w:after="120" w:line="240" w:lineRule="auto"/>
      </w:pPr>
      <w:r w:rsidRPr="00193F31">
        <w:t xml:space="preserve">Department of Industry and Science (2014) </w:t>
      </w:r>
      <w:r w:rsidRPr="00193F31">
        <w:rPr>
          <w:i/>
        </w:rPr>
        <w:t xml:space="preserve">Australian </w:t>
      </w:r>
      <w:r>
        <w:rPr>
          <w:i/>
        </w:rPr>
        <w:t>I</w:t>
      </w:r>
      <w:r w:rsidRPr="00193F31">
        <w:rPr>
          <w:i/>
        </w:rPr>
        <w:t>nnovation System report 2014</w:t>
      </w:r>
      <w:r w:rsidRPr="00193F31">
        <w:t xml:space="preserve">, </w:t>
      </w:r>
      <w:hyperlink r:id="rId52" w:history="1">
        <w:r w:rsidRPr="00193F31">
          <w:rPr>
            <w:rStyle w:val="Hyperlink"/>
          </w:rPr>
          <w:t>www.industry.gov.au/innovationreport</w:t>
        </w:r>
      </w:hyperlink>
      <w:r w:rsidRPr="00193F31">
        <w:t xml:space="preserve"> </w:t>
      </w:r>
    </w:p>
    <w:p w:rsidR="00AA3A65" w:rsidRDefault="00AA3A65" w:rsidP="00AA3A65">
      <w:pPr>
        <w:pStyle w:val="BodyText"/>
        <w:spacing w:after="120" w:line="240" w:lineRule="auto"/>
        <w:rPr>
          <w:szCs w:val="16"/>
        </w:rPr>
      </w:pPr>
      <w:r>
        <w:rPr>
          <w:szCs w:val="16"/>
        </w:rPr>
        <w:t xml:space="preserve">Fagerberg JE (2013) Innovation: A new guide, </w:t>
      </w:r>
      <w:r w:rsidRPr="00BE331C">
        <w:rPr>
          <w:i/>
          <w:szCs w:val="16"/>
        </w:rPr>
        <w:t>TIK Working Papers on Innovation Studies</w:t>
      </w:r>
      <w:r>
        <w:rPr>
          <w:szCs w:val="16"/>
        </w:rPr>
        <w:t>,</w:t>
      </w:r>
      <w:r w:rsidRPr="00BE331C">
        <w:rPr>
          <w:szCs w:val="16"/>
        </w:rPr>
        <w:t xml:space="preserve"> No. </w:t>
      </w:r>
      <w:r w:rsidRPr="000078F3">
        <w:rPr>
          <w:szCs w:val="16"/>
        </w:rPr>
        <w:t>20131119</w:t>
      </w:r>
    </w:p>
    <w:p w:rsidR="00AA3A65" w:rsidRDefault="00AA3A65" w:rsidP="00AA3A65">
      <w:pPr>
        <w:pStyle w:val="BodyText"/>
        <w:spacing w:after="120" w:line="240" w:lineRule="auto"/>
        <w:rPr>
          <w:szCs w:val="16"/>
        </w:rPr>
      </w:pPr>
      <w:r w:rsidRPr="00527C98">
        <w:rPr>
          <w:szCs w:val="16"/>
        </w:rPr>
        <w:t>Foster L, Haltiwanger</w:t>
      </w:r>
      <w:r>
        <w:rPr>
          <w:szCs w:val="16"/>
        </w:rPr>
        <w:t xml:space="preserve"> J</w:t>
      </w:r>
      <w:r w:rsidRPr="00527C98">
        <w:rPr>
          <w:szCs w:val="16"/>
        </w:rPr>
        <w:t xml:space="preserve"> </w:t>
      </w:r>
      <w:r>
        <w:rPr>
          <w:szCs w:val="16"/>
        </w:rPr>
        <w:t xml:space="preserve">&amp; </w:t>
      </w:r>
      <w:r w:rsidRPr="00527C98">
        <w:rPr>
          <w:szCs w:val="16"/>
        </w:rPr>
        <w:t>Krizan</w:t>
      </w:r>
      <w:r>
        <w:rPr>
          <w:szCs w:val="16"/>
        </w:rPr>
        <w:t xml:space="preserve"> CJ (</w:t>
      </w:r>
      <w:r w:rsidRPr="00527C98">
        <w:rPr>
          <w:szCs w:val="16"/>
        </w:rPr>
        <w:t>2001</w:t>
      </w:r>
      <w:r>
        <w:rPr>
          <w:szCs w:val="16"/>
        </w:rPr>
        <w:t>)</w:t>
      </w:r>
      <w:r w:rsidRPr="00527C98">
        <w:rPr>
          <w:szCs w:val="16"/>
        </w:rPr>
        <w:t xml:space="preserve"> </w:t>
      </w:r>
      <w:r>
        <w:rPr>
          <w:szCs w:val="16"/>
        </w:rPr>
        <w:t>‘</w:t>
      </w:r>
      <w:r w:rsidRPr="00527C98">
        <w:rPr>
          <w:szCs w:val="16"/>
        </w:rPr>
        <w:t xml:space="preserve">Aggregate </w:t>
      </w:r>
      <w:r>
        <w:rPr>
          <w:szCs w:val="16"/>
        </w:rPr>
        <w:t>p</w:t>
      </w:r>
      <w:r w:rsidRPr="00527C98">
        <w:rPr>
          <w:szCs w:val="16"/>
        </w:rPr>
        <w:t xml:space="preserve">roductivity </w:t>
      </w:r>
      <w:r>
        <w:rPr>
          <w:szCs w:val="16"/>
        </w:rPr>
        <w:t>g</w:t>
      </w:r>
      <w:r w:rsidRPr="00527C98">
        <w:rPr>
          <w:szCs w:val="16"/>
        </w:rPr>
        <w:t>rowth: Lessons from</w:t>
      </w:r>
      <w:r>
        <w:rPr>
          <w:szCs w:val="16"/>
        </w:rPr>
        <w:t xml:space="preserve"> microeconomic evidence,’</w:t>
      </w:r>
      <w:r w:rsidRPr="00527C98">
        <w:rPr>
          <w:szCs w:val="16"/>
        </w:rPr>
        <w:t xml:space="preserve"> In</w:t>
      </w:r>
      <w:r>
        <w:rPr>
          <w:szCs w:val="16"/>
        </w:rPr>
        <w:t>,</w:t>
      </w:r>
      <w:r w:rsidRPr="00527C98">
        <w:rPr>
          <w:szCs w:val="16"/>
        </w:rPr>
        <w:t xml:space="preserve"> </w:t>
      </w:r>
      <w:r w:rsidRPr="00527C98">
        <w:rPr>
          <w:i/>
          <w:szCs w:val="16"/>
        </w:rPr>
        <w:t>New Developments in Productivity Analysis</w:t>
      </w:r>
      <w:r w:rsidRPr="00527C98">
        <w:rPr>
          <w:szCs w:val="16"/>
        </w:rPr>
        <w:t xml:space="preserve"> </w:t>
      </w:r>
      <w:r>
        <w:rPr>
          <w:szCs w:val="16"/>
        </w:rPr>
        <w:t>(E</w:t>
      </w:r>
      <w:r w:rsidRPr="00527C98">
        <w:rPr>
          <w:szCs w:val="16"/>
        </w:rPr>
        <w:t>d</w:t>
      </w:r>
      <w:r>
        <w:rPr>
          <w:szCs w:val="16"/>
        </w:rPr>
        <w:t>s</w:t>
      </w:r>
      <w:r w:rsidRPr="00527C98">
        <w:rPr>
          <w:szCs w:val="16"/>
        </w:rPr>
        <w:t>. Hulten</w:t>
      </w:r>
      <w:r>
        <w:rPr>
          <w:szCs w:val="16"/>
        </w:rPr>
        <w:t xml:space="preserve"> CR</w:t>
      </w:r>
      <w:r w:rsidRPr="00527C98">
        <w:rPr>
          <w:szCs w:val="16"/>
        </w:rPr>
        <w:t>, Dean</w:t>
      </w:r>
      <w:r>
        <w:rPr>
          <w:szCs w:val="16"/>
        </w:rPr>
        <w:t xml:space="preserve"> ER</w:t>
      </w:r>
      <w:r w:rsidRPr="00527C98">
        <w:rPr>
          <w:szCs w:val="16"/>
        </w:rPr>
        <w:t xml:space="preserve"> </w:t>
      </w:r>
      <w:r>
        <w:rPr>
          <w:szCs w:val="16"/>
        </w:rPr>
        <w:t xml:space="preserve">&amp; </w:t>
      </w:r>
      <w:r w:rsidRPr="00527C98">
        <w:rPr>
          <w:szCs w:val="16"/>
        </w:rPr>
        <w:t>Harper</w:t>
      </w:r>
      <w:r>
        <w:rPr>
          <w:szCs w:val="16"/>
        </w:rPr>
        <w:t xml:space="preserve"> MJ)</w:t>
      </w:r>
      <w:r w:rsidRPr="00527C98">
        <w:rPr>
          <w:szCs w:val="16"/>
        </w:rPr>
        <w:t xml:space="preserve"> </w:t>
      </w:r>
      <w:r>
        <w:rPr>
          <w:szCs w:val="16"/>
        </w:rPr>
        <w:t>p</w:t>
      </w:r>
      <w:r w:rsidRPr="00527C98">
        <w:rPr>
          <w:szCs w:val="16"/>
        </w:rPr>
        <w:t>303–63</w:t>
      </w:r>
      <w:r>
        <w:rPr>
          <w:szCs w:val="16"/>
        </w:rPr>
        <w:t xml:space="preserve">, </w:t>
      </w:r>
      <w:r w:rsidRPr="00527C98">
        <w:rPr>
          <w:szCs w:val="16"/>
        </w:rPr>
        <w:t>University of Chicago Press</w:t>
      </w:r>
      <w:r>
        <w:rPr>
          <w:szCs w:val="16"/>
        </w:rPr>
        <w:t>,</w:t>
      </w:r>
      <w:r w:rsidRPr="00527C98">
        <w:rPr>
          <w:szCs w:val="16"/>
        </w:rPr>
        <w:t xml:space="preserve"> Chicago</w:t>
      </w:r>
      <w:r>
        <w:rPr>
          <w:szCs w:val="16"/>
        </w:rPr>
        <w:t xml:space="preserve"> </w:t>
      </w:r>
      <w:r w:rsidR="00F1780B">
        <w:rPr>
          <w:szCs w:val="16"/>
        </w:rPr>
        <w:t>and London</w:t>
      </w:r>
    </w:p>
    <w:p w:rsidR="00AA3A65" w:rsidRDefault="00AA3A65" w:rsidP="00AA3A65">
      <w:pPr>
        <w:pStyle w:val="BodyText"/>
        <w:spacing w:after="120" w:line="240" w:lineRule="auto"/>
        <w:rPr>
          <w:szCs w:val="16"/>
        </w:rPr>
      </w:pPr>
      <w:r w:rsidRPr="0070730E">
        <w:rPr>
          <w:szCs w:val="16"/>
        </w:rPr>
        <w:t>Foster</w:t>
      </w:r>
      <w:r>
        <w:rPr>
          <w:szCs w:val="16"/>
        </w:rPr>
        <w:t xml:space="preserve"> </w:t>
      </w:r>
      <w:r w:rsidRPr="0070730E">
        <w:rPr>
          <w:szCs w:val="16"/>
        </w:rPr>
        <w:t>L, Haltiwanger</w:t>
      </w:r>
      <w:r>
        <w:rPr>
          <w:szCs w:val="16"/>
        </w:rPr>
        <w:t xml:space="preserve"> J &amp; </w:t>
      </w:r>
      <w:r w:rsidRPr="0070730E">
        <w:rPr>
          <w:szCs w:val="16"/>
        </w:rPr>
        <w:t>Syverson</w:t>
      </w:r>
      <w:r>
        <w:rPr>
          <w:szCs w:val="16"/>
        </w:rPr>
        <w:t xml:space="preserve"> C (2008) </w:t>
      </w:r>
      <w:r w:rsidRPr="0070730E">
        <w:rPr>
          <w:szCs w:val="16"/>
        </w:rPr>
        <w:t xml:space="preserve">Reallocation, </w:t>
      </w:r>
      <w:r>
        <w:rPr>
          <w:szCs w:val="16"/>
        </w:rPr>
        <w:t>f</w:t>
      </w:r>
      <w:r w:rsidRPr="0070730E">
        <w:rPr>
          <w:szCs w:val="16"/>
        </w:rPr>
        <w:t xml:space="preserve">irm </w:t>
      </w:r>
      <w:r>
        <w:rPr>
          <w:szCs w:val="16"/>
        </w:rPr>
        <w:t>t</w:t>
      </w:r>
      <w:r w:rsidRPr="0070730E">
        <w:rPr>
          <w:szCs w:val="16"/>
        </w:rPr>
        <w:t xml:space="preserve">urnover, and </w:t>
      </w:r>
      <w:r>
        <w:rPr>
          <w:szCs w:val="16"/>
        </w:rPr>
        <w:t>e</w:t>
      </w:r>
      <w:r w:rsidRPr="0070730E">
        <w:rPr>
          <w:szCs w:val="16"/>
        </w:rPr>
        <w:t>fficiency:</w:t>
      </w:r>
      <w:r>
        <w:rPr>
          <w:szCs w:val="16"/>
        </w:rPr>
        <w:t xml:space="preserve"> </w:t>
      </w:r>
      <w:r w:rsidRPr="0070730E">
        <w:rPr>
          <w:szCs w:val="16"/>
        </w:rPr>
        <w:t xml:space="preserve">Selection on </w:t>
      </w:r>
      <w:r>
        <w:rPr>
          <w:szCs w:val="16"/>
        </w:rPr>
        <w:t>p</w:t>
      </w:r>
      <w:r w:rsidRPr="0070730E">
        <w:rPr>
          <w:szCs w:val="16"/>
        </w:rPr>
        <w:t xml:space="preserve">roductivity or </w:t>
      </w:r>
      <w:r>
        <w:rPr>
          <w:szCs w:val="16"/>
        </w:rPr>
        <w:t>p</w:t>
      </w:r>
      <w:r w:rsidRPr="0070730E">
        <w:rPr>
          <w:szCs w:val="16"/>
        </w:rPr>
        <w:t xml:space="preserve">rofitability? </w:t>
      </w:r>
      <w:r w:rsidRPr="0070730E">
        <w:rPr>
          <w:i/>
          <w:szCs w:val="16"/>
        </w:rPr>
        <w:t>American Economic Review</w:t>
      </w:r>
      <w:r w:rsidRPr="0070730E">
        <w:rPr>
          <w:szCs w:val="16"/>
        </w:rPr>
        <w:t xml:space="preserve"> </w:t>
      </w:r>
      <w:r w:rsidRPr="000078F3">
        <w:rPr>
          <w:szCs w:val="16"/>
        </w:rPr>
        <w:t>98</w:t>
      </w:r>
      <w:r w:rsidR="00F1780B">
        <w:rPr>
          <w:szCs w:val="16"/>
        </w:rPr>
        <w:t>(1): 394–425</w:t>
      </w:r>
    </w:p>
    <w:p w:rsidR="00AA3A65" w:rsidRPr="004E1831" w:rsidRDefault="00AA3A65" w:rsidP="00AA3A65">
      <w:pPr>
        <w:pStyle w:val="BodyText"/>
        <w:spacing w:after="120" w:line="240" w:lineRule="auto"/>
        <w:rPr>
          <w:b/>
          <w:szCs w:val="16"/>
        </w:rPr>
      </w:pPr>
      <w:r>
        <w:rPr>
          <w:szCs w:val="16"/>
        </w:rPr>
        <w:t xml:space="preserve">Fritsch M &amp; </w:t>
      </w:r>
      <w:r w:rsidRPr="00D30756">
        <w:rPr>
          <w:szCs w:val="16"/>
        </w:rPr>
        <w:t>Changoluisa</w:t>
      </w:r>
      <w:r>
        <w:rPr>
          <w:szCs w:val="16"/>
        </w:rPr>
        <w:t xml:space="preserve"> J (2014) </w:t>
      </w:r>
      <w:r w:rsidRPr="004A4642">
        <w:rPr>
          <w:szCs w:val="16"/>
        </w:rPr>
        <w:t>New firm formation and the productivity of manufacturing incumbents: Effects and mechanisms</w:t>
      </w:r>
      <w:r>
        <w:rPr>
          <w:szCs w:val="16"/>
        </w:rPr>
        <w:t xml:space="preserve">, </w:t>
      </w:r>
      <w:r w:rsidRPr="004A4642">
        <w:rPr>
          <w:i/>
          <w:szCs w:val="16"/>
        </w:rPr>
        <w:t>Jena Economic Research Papers</w:t>
      </w:r>
      <w:r w:rsidRPr="00D30756">
        <w:rPr>
          <w:szCs w:val="16"/>
        </w:rPr>
        <w:t xml:space="preserve"> 2014 </w:t>
      </w:r>
      <w:r>
        <w:rPr>
          <w:szCs w:val="16"/>
        </w:rPr>
        <w:t>–</w:t>
      </w:r>
      <w:r w:rsidRPr="00D30756">
        <w:rPr>
          <w:szCs w:val="16"/>
        </w:rPr>
        <w:t xml:space="preserve"> </w:t>
      </w:r>
      <w:r w:rsidRPr="000078F3">
        <w:rPr>
          <w:szCs w:val="16"/>
        </w:rPr>
        <w:t>025</w:t>
      </w:r>
    </w:p>
    <w:p w:rsidR="00AA3A65" w:rsidRDefault="00AA3A65" w:rsidP="00AA3A65">
      <w:pPr>
        <w:pStyle w:val="BodyText"/>
        <w:spacing w:after="120" w:line="240" w:lineRule="auto"/>
        <w:rPr>
          <w:rFonts w:ascii="Arial" w:hAnsi="Arial" w:cs="Arial"/>
          <w:szCs w:val="20"/>
        </w:rPr>
      </w:pPr>
      <w:r>
        <w:rPr>
          <w:rFonts w:ascii="Arial" w:hAnsi="Arial" w:cs="Arial"/>
          <w:szCs w:val="20"/>
        </w:rPr>
        <w:t xml:space="preserve">Hassan S &amp; Drake P (2015) </w:t>
      </w:r>
      <w:r w:rsidRPr="004A4642">
        <w:rPr>
          <w:rFonts w:ascii="Arial" w:hAnsi="Arial" w:cs="Arial"/>
          <w:i/>
          <w:szCs w:val="20"/>
        </w:rPr>
        <w:t>The geography of Australian innovative entrepreneurship</w:t>
      </w:r>
      <w:r>
        <w:rPr>
          <w:rFonts w:ascii="Arial" w:hAnsi="Arial" w:cs="Arial"/>
          <w:szCs w:val="20"/>
        </w:rPr>
        <w:t xml:space="preserve">, </w:t>
      </w:r>
      <w:r>
        <w:t>Department of Industry and Science, Office of the Chief Economist (forthcoming)</w:t>
      </w:r>
    </w:p>
    <w:p w:rsidR="00AA3A65" w:rsidRDefault="00AA3A65" w:rsidP="00AA3A65">
      <w:pPr>
        <w:pStyle w:val="BodyText"/>
        <w:spacing w:after="120" w:line="240" w:lineRule="auto"/>
        <w:rPr>
          <w:rFonts w:ascii="Arial" w:hAnsi="Arial" w:cs="Arial"/>
          <w:szCs w:val="20"/>
        </w:rPr>
      </w:pPr>
      <w:r>
        <w:rPr>
          <w:rFonts w:ascii="Arial" w:hAnsi="Arial" w:cs="Arial"/>
          <w:szCs w:val="20"/>
        </w:rPr>
        <w:t xml:space="preserve">Hathaway I &amp; Litan R (2014) </w:t>
      </w:r>
      <w:r w:rsidRPr="009A098B">
        <w:rPr>
          <w:rFonts w:ascii="Arial" w:hAnsi="Arial" w:cs="Arial"/>
          <w:i/>
          <w:szCs w:val="20"/>
        </w:rPr>
        <w:t>The other ageing of America: The increasing dominance of older firms</w:t>
      </w:r>
      <w:r>
        <w:rPr>
          <w:rFonts w:ascii="Arial" w:hAnsi="Arial" w:cs="Arial"/>
          <w:szCs w:val="20"/>
        </w:rPr>
        <w:t>, Brookings Institute Research Paper</w:t>
      </w:r>
    </w:p>
    <w:p w:rsidR="00AA3A65" w:rsidRDefault="00AA3A65" w:rsidP="00AA3A65">
      <w:pPr>
        <w:pStyle w:val="BodyText"/>
        <w:spacing w:after="120" w:line="240" w:lineRule="auto"/>
        <w:rPr>
          <w:rFonts w:ascii="Arial" w:hAnsi="Arial" w:cs="Arial"/>
          <w:szCs w:val="20"/>
        </w:rPr>
      </w:pPr>
      <w:r>
        <w:rPr>
          <w:rFonts w:ascii="Arial" w:hAnsi="Arial" w:cs="Arial"/>
          <w:szCs w:val="20"/>
        </w:rPr>
        <w:t xml:space="preserve">Hethy-Maier T &amp; Schmieder JF (2013) Does the use of worker flows improve the analysis of establishment turnover? Evidence from German Administrative Data, </w:t>
      </w:r>
      <w:r w:rsidRPr="00CC3AE0">
        <w:rPr>
          <w:rFonts w:ascii="Arial" w:hAnsi="Arial" w:cs="Arial"/>
          <w:i/>
          <w:szCs w:val="20"/>
        </w:rPr>
        <w:t>NBER Working Paper</w:t>
      </w:r>
      <w:r>
        <w:rPr>
          <w:rFonts w:ascii="Arial" w:hAnsi="Arial" w:cs="Arial"/>
          <w:szCs w:val="20"/>
        </w:rPr>
        <w:t xml:space="preserve"> </w:t>
      </w:r>
      <w:r w:rsidR="00F1780B">
        <w:rPr>
          <w:rFonts w:ascii="Arial" w:hAnsi="Arial" w:cs="Arial"/>
          <w:szCs w:val="20"/>
        </w:rPr>
        <w:t>19730</w:t>
      </w:r>
    </w:p>
    <w:p w:rsidR="00AA3A65" w:rsidRDefault="00AA3A65" w:rsidP="00AA3A65">
      <w:pPr>
        <w:pStyle w:val="BodyText"/>
        <w:spacing w:after="120" w:line="240" w:lineRule="auto"/>
        <w:rPr>
          <w:szCs w:val="16"/>
        </w:rPr>
      </w:pPr>
      <w:r w:rsidRPr="00987A4E">
        <w:rPr>
          <w:szCs w:val="16"/>
        </w:rPr>
        <w:t xml:space="preserve">Lentz R </w:t>
      </w:r>
      <w:r>
        <w:rPr>
          <w:szCs w:val="16"/>
        </w:rPr>
        <w:t xml:space="preserve">&amp; </w:t>
      </w:r>
      <w:r w:rsidRPr="00987A4E">
        <w:rPr>
          <w:szCs w:val="16"/>
        </w:rPr>
        <w:t>Mortensen</w:t>
      </w:r>
      <w:r>
        <w:rPr>
          <w:szCs w:val="16"/>
        </w:rPr>
        <w:t xml:space="preserve"> DT</w:t>
      </w:r>
      <w:r w:rsidRPr="00987A4E">
        <w:rPr>
          <w:szCs w:val="16"/>
        </w:rPr>
        <w:t xml:space="preserve"> </w:t>
      </w:r>
      <w:r>
        <w:rPr>
          <w:szCs w:val="16"/>
        </w:rPr>
        <w:t>(</w:t>
      </w:r>
      <w:r w:rsidRPr="00987A4E">
        <w:rPr>
          <w:szCs w:val="16"/>
        </w:rPr>
        <w:t>2008</w:t>
      </w:r>
      <w:r>
        <w:rPr>
          <w:szCs w:val="16"/>
        </w:rPr>
        <w:t>)</w:t>
      </w:r>
      <w:r w:rsidRPr="00987A4E">
        <w:rPr>
          <w:szCs w:val="16"/>
        </w:rPr>
        <w:t xml:space="preserve"> An</w:t>
      </w:r>
      <w:r>
        <w:rPr>
          <w:szCs w:val="16"/>
        </w:rPr>
        <w:t xml:space="preserve"> e</w:t>
      </w:r>
      <w:r w:rsidRPr="00987A4E">
        <w:rPr>
          <w:szCs w:val="16"/>
        </w:rPr>
        <w:t xml:space="preserve">mpirical </w:t>
      </w:r>
      <w:r>
        <w:rPr>
          <w:szCs w:val="16"/>
        </w:rPr>
        <w:t>m</w:t>
      </w:r>
      <w:r w:rsidRPr="00987A4E">
        <w:rPr>
          <w:szCs w:val="16"/>
        </w:rPr>
        <w:t xml:space="preserve">odel of </w:t>
      </w:r>
      <w:r>
        <w:rPr>
          <w:szCs w:val="16"/>
        </w:rPr>
        <w:t>g</w:t>
      </w:r>
      <w:r w:rsidRPr="00987A4E">
        <w:rPr>
          <w:szCs w:val="16"/>
        </w:rPr>
        <w:t xml:space="preserve">rowth through </w:t>
      </w:r>
      <w:r>
        <w:rPr>
          <w:szCs w:val="16"/>
        </w:rPr>
        <w:t>p</w:t>
      </w:r>
      <w:r w:rsidRPr="00987A4E">
        <w:rPr>
          <w:szCs w:val="16"/>
        </w:rPr>
        <w:t xml:space="preserve">roduct </w:t>
      </w:r>
      <w:r>
        <w:rPr>
          <w:szCs w:val="16"/>
        </w:rPr>
        <w:t>i</w:t>
      </w:r>
      <w:r w:rsidRPr="00987A4E">
        <w:rPr>
          <w:szCs w:val="16"/>
        </w:rPr>
        <w:t>nnovation</w:t>
      </w:r>
      <w:r>
        <w:rPr>
          <w:szCs w:val="16"/>
        </w:rPr>
        <w:t xml:space="preserve">, </w:t>
      </w:r>
      <w:r w:rsidRPr="00527C98">
        <w:rPr>
          <w:i/>
          <w:szCs w:val="16"/>
        </w:rPr>
        <w:t>Econometrica</w:t>
      </w:r>
      <w:r w:rsidRPr="00987A4E">
        <w:rPr>
          <w:szCs w:val="16"/>
        </w:rPr>
        <w:t xml:space="preserve"> </w:t>
      </w:r>
      <w:r w:rsidRPr="000078F3">
        <w:rPr>
          <w:szCs w:val="16"/>
        </w:rPr>
        <w:t>76</w:t>
      </w:r>
      <w:r w:rsidR="00F1780B">
        <w:rPr>
          <w:szCs w:val="16"/>
        </w:rPr>
        <w:t>(6): 1317–73</w:t>
      </w:r>
    </w:p>
    <w:p w:rsidR="00AA3A65" w:rsidRDefault="00AA3A65" w:rsidP="00AA3A65">
      <w:pPr>
        <w:pStyle w:val="BodyText"/>
        <w:spacing w:after="120" w:line="240" w:lineRule="auto"/>
      </w:pPr>
      <w:r>
        <w:rPr>
          <w:szCs w:val="16"/>
        </w:rPr>
        <w:t xml:space="preserve">Loderer C, Neusser K &amp; </w:t>
      </w:r>
      <w:r w:rsidRPr="00C91730">
        <w:rPr>
          <w:szCs w:val="16"/>
        </w:rPr>
        <w:t>Waelchli</w:t>
      </w:r>
      <w:r>
        <w:rPr>
          <w:szCs w:val="16"/>
        </w:rPr>
        <w:t xml:space="preserve"> U (2011) ‘Firm age and survival’, </w:t>
      </w:r>
      <w:r w:rsidR="00F1780B">
        <w:rPr>
          <w:i/>
          <w:szCs w:val="16"/>
        </w:rPr>
        <w:t>Available at SSRN 1430408</w:t>
      </w:r>
    </w:p>
    <w:p w:rsidR="00AA3A65" w:rsidRDefault="00AA3A65" w:rsidP="00AA3A65">
      <w:pPr>
        <w:pStyle w:val="BodyText"/>
        <w:spacing w:after="120" w:line="240" w:lineRule="auto"/>
      </w:pPr>
      <w:r>
        <w:t>Menon C, Criscuolo C &amp; Calvino G (2015)</w:t>
      </w:r>
      <w:r w:rsidRPr="00BE6520">
        <w:t xml:space="preserve"> </w:t>
      </w:r>
      <w:r w:rsidRPr="00BE6520">
        <w:rPr>
          <w:i/>
        </w:rPr>
        <w:t xml:space="preserve">DYNEMP V.2 Progress report: Cross-country evidence on </w:t>
      </w:r>
      <w:r>
        <w:rPr>
          <w:i/>
        </w:rPr>
        <w:t>start-up</w:t>
      </w:r>
      <w:r w:rsidRPr="00BE6520">
        <w:rPr>
          <w:i/>
        </w:rPr>
        <w:t xml:space="preserve"> dynamics</w:t>
      </w:r>
      <w:r w:rsidRPr="00BE6520">
        <w:t>,</w:t>
      </w:r>
      <w:r>
        <w:t xml:space="preserve"> OECD, </w:t>
      </w:r>
      <w:r w:rsidRPr="00BE6520">
        <w:t>DSTI/IND(2015)5</w:t>
      </w:r>
    </w:p>
    <w:p w:rsidR="00AA3A65" w:rsidRDefault="00AA3A65" w:rsidP="00AA3A65">
      <w:pPr>
        <w:pStyle w:val="BodyText"/>
        <w:spacing w:after="120" w:line="240" w:lineRule="auto"/>
      </w:pPr>
      <w:r w:rsidRPr="00C549D5">
        <w:t xml:space="preserve">Nyugen T &amp; Hansell D (2014) Firm dynamics and productivity growth in Australian manufacturing and </w:t>
      </w:r>
      <w:r>
        <w:t xml:space="preserve">firm </w:t>
      </w:r>
      <w:r w:rsidRPr="00C549D5">
        <w:t xml:space="preserve">services, </w:t>
      </w:r>
      <w:r w:rsidRPr="00C549D5">
        <w:rPr>
          <w:i/>
        </w:rPr>
        <w:t>ABS Research Paper</w:t>
      </w:r>
      <w:r>
        <w:t xml:space="preserve"> 1351.0.55.052 </w:t>
      </w:r>
    </w:p>
    <w:p w:rsidR="00AA3A65" w:rsidRPr="004659FB" w:rsidRDefault="00AA3A65" w:rsidP="00AA3A65">
      <w:pPr>
        <w:pStyle w:val="BodyText"/>
        <w:spacing w:after="120" w:line="240" w:lineRule="auto"/>
      </w:pPr>
      <w:r w:rsidRPr="004659FB">
        <w:t xml:space="preserve">OECD (2007) </w:t>
      </w:r>
      <w:r w:rsidRPr="004659FB">
        <w:rPr>
          <w:i/>
        </w:rPr>
        <w:t>The contribution of economic geography to GDP per capita</w:t>
      </w:r>
      <w:r w:rsidRPr="004659FB">
        <w:t>, OECD, Paris ECO/CPE/WP1(2007)12</w:t>
      </w:r>
    </w:p>
    <w:p w:rsidR="00AA3A65" w:rsidRDefault="00AA3A65" w:rsidP="00AA3A65">
      <w:pPr>
        <w:pStyle w:val="BodyText"/>
        <w:spacing w:after="120" w:line="240" w:lineRule="auto"/>
      </w:pPr>
      <w:r>
        <w:t xml:space="preserve">OECD (2015) </w:t>
      </w:r>
      <w:r w:rsidRPr="00DC19F0">
        <w:rPr>
          <w:i/>
        </w:rPr>
        <w:t>OECD Innovation Strategy 2015</w:t>
      </w:r>
      <w:r>
        <w:t>, OECD, Paris, forthcoming</w:t>
      </w:r>
    </w:p>
    <w:p w:rsidR="00AA3A65" w:rsidRDefault="00AA3A65" w:rsidP="00AA3A65">
      <w:pPr>
        <w:pStyle w:val="BodyText"/>
        <w:spacing w:after="120" w:line="240" w:lineRule="auto"/>
      </w:pPr>
      <w:r w:rsidRPr="001F4ADA">
        <w:t xml:space="preserve">Schumpeter J (1942) </w:t>
      </w:r>
      <w:r w:rsidRPr="001F4ADA">
        <w:rPr>
          <w:i/>
        </w:rPr>
        <w:t xml:space="preserve">Capitalism, </w:t>
      </w:r>
      <w:r>
        <w:rPr>
          <w:i/>
        </w:rPr>
        <w:t>s</w:t>
      </w:r>
      <w:r w:rsidRPr="001F4ADA">
        <w:rPr>
          <w:i/>
        </w:rPr>
        <w:t xml:space="preserve">ocialism, and </w:t>
      </w:r>
      <w:r>
        <w:rPr>
          <w:i/>
        </w:rPr>
        <w:t>d</w:t>
      </w:r>
      <w:r w:rsidRPr="001F4ADA">
        <w:rPr>
          <w:i/>
        </w:rPr>
        <w:t>emocracy</w:t>
      </w:r>
      <w:r>
        <w:t>,</w:t>
      </w:r>
      <w:r w:rsidRPr="001F4ADA">
        <w:t xml:space="preserve"> Harper &amp; Bros.</w:t>
      </w:r>
      <w:r>
        <w:t xml:space="preserve"> </w:t>
      </w:r>
      <w:r w:rsidRPr="001F4ADA">
        <w:t>New Y</w:t>
      </w:r>
      <w:r>
        <w:t>ork</w:t>
      </w:r>
    </w:p>
    <w:p w:rsidR="00AA3A65" w:rsidRDefault="00AA3A65" w:rsidP="00AA3A65">
      <w:pPr>
        <w:spacing w:after="120"/>
      </w:pPr>
      <w:r>
        <w:t xml:space="preserve">Smith R &amp; Hendrickson L (2015) </w:t>
      </w:r>
      <w:r>
        <w:rPr>
          <w:i/>
          <w:iCs/>
        </w:rPr>
        <w:t>Firm age and performance in Australia</w:t>
      </w:r>
      <w:r>
        <w:t>, Department of Industry and Science, Office of the Chief Economist (forthcoming)</w:t>
      </w:r>
    </w:p>
    <w:p w:rsidR="00AA3A65" w:rsidRPr="0058041B" w:rsidRDefault="00AA3A65" w:rsidP="00AA3A65">
      <w:pPr>
        <w:pStyle w:val="BodyText"/>
        <w:spacing w:after="120" w:line="240" w:lineRule="auto"/>
      </w:pPr>
      <w:r w:rsidRPr="0058041B">
        <w:t xml:space="preserve">Steffens P </w:t>
      </w:r>
      <w:r>
        <w:t>&amp;</w:t>
      </w:r>
      <w:r w:rsidRPr="0058041B">
        <w:t xml:space="preserve"> Hechavarria D (2015) </w:t>
      </w:r>
      <w:r w:rsidRPr="0058041B">
        <w:rPr>
          <w:i/>
        </w:rPr>
        <w:t>Global Entrepreneurship Monitor (GEM): 2014 Australia Report</w:t>
      </w:r>
      <w:r w:rsidRPr="0058041B">
        <w:t xml:space="preserve"> for Department of Industry and Science. Australian Centre for Entrepreneurship Research, QUT </w:t>
      </w:r>
      <w:r>
        <w:t xml:space="preserve">Business </w:t>
      </w:r>
      <w:r w:rsidRPr="0058041B">
        <w:t>School, Queensland University of Technology, Brisbane</w:t>
      </w:r>
    </w:p>
    <w:p w:rsidR="00AA3A65" w:rsidRDefault="00AA3A65" w:rsidP="00AA3A65">
      <w:pPr>
        <w:spacing w:after="120"/>
      </w:pPr>
      <w:r>
        <w:t xml:space="preserve">Swanepoel JA &amp; Harrison AW (2015) </w:t>
      </w:r>
      <w:r w:rsidRPr="00CD5C32">
        <w:rPr>
          <w:i/>
        </w:rPr>
        <w:t>The business size distribution in Australia</w:t>
      </w:r>
      <w:r>
        <w:t xml:space="preserve">, Department of Industry and Science, Office of the </w:t>
      </w:r>
      <w:r w:rsidR="00CA3F1C">
        <w:t>Chief Economist Research Paper (forthcoming)</w:t>
      </w:r>
    </w:p>
    <w:p w:rsidR="00522B16" w:rsidRDefault="00AA3A65" w:rsidP="00EB0BE4">
      <w:pPr>
        <w:pStyle w:val="BodyText"/>
        <w:spacing w:after="120" w:line="240" w:lineRule="auto"/>
      </w:pPr>
      <w:r>
        <w:t>Syverson C</w:t>
      </w:r>
      <w:r w:rsidRPr="009D20C3">
        <w:t xml:space="preserve"> </w:t>
      </w:r>
      <w:r>
        <w:t>(</w:t>
      </w:r>
      <w:r w:rsidRPr="009D20C3">
        <w:t>2011</w:t>
      </w:r>
      <w:r>
        <w:t>) What determines p</w:t>
      </w:r>
      <w:r w:rsidRPr="009D20C3">
        <w:t xml:space="preserve">roductivity? </w:t>
      </w:r>
      <w:r w:rsidRPr="009D20C3">
        <w:rPr>
          <w:i/>
        </w:rPr>
        <w:t>Journal of Economic Literature</w:t>
      </w:r>
      <w:r w:rsidRPr="009D20C3">
        <w:t xml:space="preserve"> </w:t>
      </w:r>
      <w:r w:rsidRPr="000078F3">
        <w:t>49</w:t>
      </w:r>
      <w:r>
        <w:t>(2): 326</w:t>
      </w:r>
      <w:r>
        <w:rPr>
          <w:rFonts w:cstheme="minorHAnsi"/>
        </w:rPr>
        <w:t>–</w:t>
      </w:r>
      <w:r>
        <w:t>65</w:t>
      </w:r>
    </w:p>
    <w:sectPr w:rsidR="00522B16" w:rsidSect="00CD045A">
      <w:footerReference w:type="default" r:id="rId53"/>
      <w:footerReference w:type="first" r:id="rId5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3942" w:rsidRDefault="00A13942" w:rsidP="00F244EA">
      <w:r>
        <w:separator/>
      </w:r>
    </w:p>
  </w:endnote>
  <w:endnote w:type="continuationSeparator" w:id="0">
    <w:p w:rsidR="00A13942" w:rsidRDefault="00A13942" w:rsidP="00F24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942" w:rsidRDefault="00A139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942" w:rsidRDefault="00A1394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942" w:rsidRDefault="00A1394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942" w:rsidRPr="000078F3" w:rsidRDefault="00A13942" w:rsidP="00EB1BB4">
    <w:pPr>
      <w:pStyle w:val="Footer"/>
      <w:ind w:left="2127"/>
      <w:jc w:val="right"/>
      <w:rPr>
        <w:color w:val="595A5B" w:themeColor="accent4"/>
      </w:rPr>
    </w:pPr>
    <w:r w:rsidRPr="000078F3">
      <w:rPr>
        <w:color w:val="595A5B" w:themeColor="accent4"/>
      </w:rPr>
      <w:t>The employment dynamics of Australian entrepreneurship</w:t>
    </w:r>
    <w:r w:rsidRPr="00C36689">
      <w:rPr>
        <w:color w:val="C979A7" w:themeColor="accent5"/>
      </w:rPr>
      <w:tab/>
    </w:r>
    <w:sdt>
      <w:sdtPr>
        <w:rPr>
          <w:color w:val="C979A7" w:themeColor="accent5"/>
        </w:rPr>
        <w:id w:val="-1535262468"/>
        <w:docPartObj>
          <w:docPartGallery w:val="Page Numbers (Bottom of Page)"/>
          <w:docPartUnique/>
        </w:docPartObj>
      </w:sdtPr>
      <w:sdtEndPr>
        <w:rPr>
          <w:noProof/>
          <w:color w:val="595A5B" w:themeColor="accent4"/>
        </w:rPr>
      </w:sdtEndPr>
      <w:sdtContent>
        <w:r w:rsidRPr="000078F3">
          <w:rPr>
            <w:color w:val="595A5B" w:themeColor="accent4"/>
          </w:rPr>
          <w:fldChar w:fldCharType="begin"/>
        </w:r>
        <w:r w:rsidRPr="000078F3">
          <w:rPr>
            <w:color w:val="595A5B" w:themeColor="accent4"/>
          </w:rPr>
          <w:instrText xml:space="preserve"> PAGE   \* MERGEFORMAT </w:instrText>
        </w:r>
        <w:r w:rsidRPr="000078F3">
          <w:rPr>
            <w:color w:val="595A5B" w:themeColor="accent4"/>
          </w:rPr>
          <w:fldChar w:fldCharType="separate"/>
        </w:r>
        <w:r w:rsidR="00847E99">
          <w:rPr>
            <w:noProof/>
            <w:color w:val="595A5B" w:themeColor="accent4"/>
          </w:rPr>
          <w:t>28</w:t>
        </w:r>
        <w:r w:rsidRPr="000078F3">
          <w:rPr>
            <w:noProof/>
            <w:color w:val="595A5B" w:themeColor="accent4"/>
          </w:rPr>
          <w:fldChar w:fldCharType="end"/>
        </w:r>
      </w:sdtContent>
    </w:sdt>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942" w:rsidRDefault="00A1394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942" w:rsidRPr="001C2E57" w:rsidRDefault="00A13942" w:rsidP="00F244EA">
    <w:pPr>
      <w:pStyle w:val="Footer"/>
    </w:pPr>
    <w:r w:rsidRPr="001C2E57">
      <w:fldChar w:fldCharType="begin"/>
    </w:r>
    <w:r w:rsidRPr="001C2E57">
      <w:instrText>IF</w:instrText>
    </w:r>
    <w:fldSimple w:instr=" STYLEREF &quot;Title Heading&quot; \* Charformat ">
      <w:r w:rsidR="00847E99">
        <w:rPr>
          <w:noProof/>
        </w:rPr>
        <w:instrText>The employment dynamics of Australian entrepreneurship</w:instrText>
      </w:r>
    </w:fldSimple>
    <w:r w:rsidRPr="001C2E57">
      <w:instrText xml:space="preserve"> &lt;&gt; "Error*" </w:instrText>
    </w:r>
    <w:fldSimple w:instr=" STYLEREF &quot;Title Heading&quot; \* Charformat ">
      <w:r w:rsidR="00847E99">
        <w:rPr>
          <w:noProof/>
        </w:rPr>
        <w:instrText>The employment dynamics of Australian entrepreneurship</w:instrText>
      </w:r>
    </w:fldSimple>
    <w:r w:rsidRPr="001C2E57">
      <w:instrText xml:space="preserve"> </w:instrText>
    </w:r>
    <w:r w:rsidRPr="001C2E57">
      <w:fldChar w:fldCharType="separate"/>
    </w:r>
    <w:r w:rsidR="00847E99">
      <w:rPr>
        <w:noProof/>
      </w:rPr>
      <w:t>The employment dynamics of Australian entrepreneurship</w:t>
    </w:r>
    <w:r w:rsidRPr="001C2E57">
      <w:fldChar w:fldCharType="end"/>
    </w:r>
    <w:r>
      <w:ptab w:relativeTo="margin" w:alignment="right" w:leader="none"/>
    </w:r>
    <w:r>
      <w:fldChar w:fldCharType="begin"/>
    </w:r>
    <w:r>
      <w:instrText xml:space="preserve"> PAGE   \* MERGEFORMAT </w:instrText>
    </w:r>
    <w:r>
      <w:fldChar w:fldCharType="separate"/>
    </w:r>
    <w:r w:rsidR="00847E99">
      <w:rPr>
        <w:noProof/>
      </w:rPr>
      <w:t>43</w:t>
    </w:r>
    <w:r>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942" w:rsidRPr="001C2E57" w:rsidRDefault="00A13942" w:rsidP="007A59E6">
    <w:pPr>
      <w:pStyle w:val="Footer"/>
    </w:pPr>
    <w:r w:rsidRPr="001C2E57">
      <w:fldChar w:fldCharType="begin"/>
    </w:r>
    <w:r w:rsidRPr="001C2E57">
      <w:instrText>IF</w:instrText>
    </w:r>
    <w:fldSimple w:instr=" STYLEREF &quot;Title Heading&quot; \* Charformat ">
      <w:r>
        <w:rPr>
          <w:noProof/>
        </w:rPr>
        <w:instrText>The employment dynamics of Australian entrepreneurship</w:instrText>
      </w:r>
    </w:fldSimple>
    <w:r w:rsidRPr="001C2E57">
      <w:instrText xml:space="preserve"> &lt;&gt; "Error*" </w:instrText>
    </w:r>
    <w:fldSimple w:instr=" STYLEREF &quot;Title Heading&quot; \* Charformat ">
      <w:r>
        <w:rPr>
          <w:noProof/>
        </w:rPr>
        <w:instrText>The employment dynamics of Australian entrepreneurship</w:instrText>
      </w:r>
    </w:fldSimple>
    <w:r w:rsidRPr="001C2E57">
      <w:instrText xml:space="preserve"> </w:instrText>
    </w:r>
    <w:r w:rsidRPr="001C2E57">
      <w:fldChar w:fldCharType="separate"/>
    </w:r>
    <w:r>
      <w:rPr>
        <w:noProof/>
      </w:rPr>
      <w:t>The employment dynamics of Australian entrepreneurship</w:t>
    </w:r>
    <w:r w:rsidRPr="001C2E57">
      <w:fldChar w:fldCharType="end"/>
    </w:r>
    <w:r>
      <w:ptab w:relativeTo="margin" w:alignment="right" w:leader="none"/>
    </w:r>
    <w:r>
      <w:fldChar w:fldCharType="begin"/>
    </w:r>
    <w:r>
      <w:instrText xml:space="preserve"> PAGE   \* MERGEFORMAT </w:instrText>
    </w:r>
    <w:r>
      <w:fldChar w:fldCharType="separate"/>
    </w:r>
    <w:r>
      <w:rPr>
        <w:noProof/>
      </w:rPr>
      <w:t>1</w:t>
    </w:r>
    <w:r>
      <w:rPr>
        <w:noProof/>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942" w:rsidRPr="001C2E57" w:rsidRDefault="00A13942" w:rsidP="00F244EA">
    <w:pPr>
      <w:pStyle w:val="Footer"/>
    </w:pPr>
    <w:r w:rsidRPr="001C2E57">
      <w:fldChar w:fldCharType="begin"/>
    </w:r>
    <w:r w:rsidRPr="001C2E57">
      <w:instrText>IF</w:instrText>
    </w:r>
    <w:fldSimple w:instr=" STYLEREF &quot;Title Heading&quot; \* Charformat ">
      <w:r w:rsidR="00847E99">
        <w:rPr>
          <w:noProof/>
        </w:rPr>
        <w:instrText>The employment dynamics of Australian entrepreneurship</w:instrText>
      </w:r>
    </w:fldSimple>
    <w:r w:rsidRPr="001C2E57">
      <w:instrText xml:space="preserve"> &lt;&gt; "Error*" </w:instrText>
    </w:r>
    <w:fldSimple w:instr=" STYLEREF &quot;Title Heading&quot; \* Charformat ">
      <w:r w:rsidR="00847E99">
        <w:rPr>
          <w:noProof/>
        </w:rPr>
        <w:instrText>The employment dynamics of Australian entrepreneurship</w:instrText>
      </w:r>
    </w:fldSimple>
    <w:r w:rsidRPr="001C2E57">
      <w:instrText xml:space="preserve"> </w:instrText>
    </w:r>
    <w:r w:rsidRPr="001C2E57">
      <w:fldChar w:fldCharType="separate"/>
    </w:r>
    <w:r w:rsidR="00847E99">
      <w:rPr>
        <w:noProof/>
      </w:rPr>
      <w:t>The employment dynamics of Australian entrepreneurship</w:t>
    </w:r>
    <w:r w:rsidRPr="001C2E57">
      <w:fldChar w:fldCharType="end"/>
    </w:r>
    <w:r>
      <w:ptab w:relativeTo="margin" w:alignment="right" w:leader="none"/>
    </w:r>
    <w:r>
      <w:fldChar w:fldCharType="begin"/>
    </w:r>
    <w:r>
      <w:instrText xml:space="preserve"> PAGE   \* MERGEFORMAT </w:instrText>
    </w:r>
    <w:r>
      <w:fldChar w:fldCharType="separate"/>
    </w:r>
    <w:r w:rsidR="00847E99">
      <w:rPr>
        <w:noProof/>
      </w:rPr>
      <w:t>46</w:t>
    </w:r>
    <w:r>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942" w:rsidRPr="001C2E57" w:rsidRDefault="00A13942" w:rsidP="007A59E6">
    <w:pPr>
      <w:pStyle w:val="Footer"/>
    </w:pPr>
    <w:r w:rsidRPr="001C2E57">
      <w:fldChar w:fldCharType="begin"/>
    </w:r>
    <w:r w:rsidRPr="001C2E57">
      <w:instrText>IF</w:instrText>
    </w:r>
    <w:fldSimple w:instr=" STYLEREF &quot;Title Heading&quot; \* Charformat ">
      <w:r>
        <w:rPr>
          <w:noProof/>
        </w:rPr>
        <w:instrText>The employment dynamics of Australian entrepreneurship</w:instrText>
      </w:r>
    </w:fldSimple>
    <w:r w:rsidRPr="001C2E57">
      <w:instrText xml:space="preserve"> &lt;&gt; "Error*" </w:instrText>
    </w:r>
    <w:fldSimple w:instr=" STYLEREF &quot;Title Heading&quot; \* Charformat ">
      <w:r>
        <w:rPr>
          <w:noProof/>
        </w:rPr>
        <w:instrText>The employment dynamics of Australian entrepreneurship</w:instrText>
      </w:r>
    </w:fldSimple>
    <w:r w:rsidRPr="001C2E57">
      <w:instrText xml:space="preserve"> </w:instrText>
    </w:r>
    <w:r w:rsidRPr="001C2E57">
      <w:fldChar w:fldCharType="separate"/>
    </w:r>
    <w:r>
      <w:rPr>
        <w:noProof/>
      </w:rPr>
      <w:t>The employment dynamics of Australian entrepreneurship</w:t>
    </w:r>
    <w:r w:rsidRPr="001C2E57">
      <w:fldChar w:fldCharType="end"/>
    </w:r>
    <w:r>
      <w:ptab w:relativeTo="margin" w:alignment="right" w:leader="none"/>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3942" w:rsidRDefault="00A13942" w:rsidP="00F244EA">
      <w:r>
        <w:separator/>
      </w:r>
    </w:p>
  </w:footnote>
  <w:footnote w:type="continuationSeparator" w:id="0">
    <w:p w:rsidR="00A13942" w:rsidRDefault="00A13942" w:rsidP="00F244EA">
      <w:r>
        <w:continuationSeparator/>
      </w:r>
    </w:p>
  </w:footnote>
  <w:footnote w:id="1">
    <w:p w:rsidR="00A13942" w:rsidRDefault="00A13942" w:rsidP="004D4E31">
      <w:pPr>
        <w:pStyle w:val="FootnoteText"/>
        <w:ind w:left="2275" w:hanging="115"/>
      </w:pPr>
      <w:r>
        <w:rPr>
          <w:rStyle w:val="FootnoteReference"/>
        </w:rPr>
        <w:footnoteRef/>
      </w:r>
      <w:r>
        <w:t xml:space="preserve"> Syverson (2011)</w:t>
      </w:r>
    </w:p>
  </w:footnote>
  <w:footnote w:id="2">
    <w:p w:rsidR="00A13942" w:rsidRDefault="00A13942" w:rsidP="004D4E31">
      <w:pPr>
        <w:pStyle w:val="FootnoteText"/>
        <w:ind w:left="2275" w:hanging="115"/>
      </w:pPr>
      <w:r>
        <w:rPr>
          <w:rStyle w:val="FootnoteReference"/>
        </w:rPr>
        <w:footnoteRef/>
      </w:r>
      <w:r>
        <w:t xml:space="preserve"> </w:t>
      </w:r>
      <w:r w:rsidRPr="00870F4B">
        <w:t xml:space="preserve">Schumpeter </w:t>
      </w:r>
      <w:r>
        <w:t>(</w:t>
      </w:r>
      <w:r w:rsidRPr="00870F4B">
        <w:t>1942</w:t>
      </w:r>
      <w:r>
        <w:t>)</w:t>
      </w:r>
    </w:p>
  </w:footnote>
  <w:footnote w:id="3">
    <w:p w:rsidR="00A13942" w:rsidRDefault="00A13942" w:rsidP="004D4E31">
      <w:pPr>
        <w:pStyle w:val="FootnoteText"/>
        <w:ind w:left="2275" w:hanging="115"/>
      </w:pPr>
      <w:r>
        <w:rPr>
          <w:rStyle w:val="FootnoteReference"/>
        </w:rPr>
        <w:footnoteRef/>
      </w:r>
      <w:r>
        <w:t xml:space="preserve"> Davidsson &amp; Wiklund (2013)</w:t>
      </w:r>
    </w:p>
  </w:footnote>
  <w:footnote w:id="4">
    <w:p w:rsidR="00A13942" w:rsidRDefault="00A13942" w:rsidP="004D4E31">
      <w:pPr>
        <w:pStyle w:val="FootnoteText"/>
        <w:ind w:left="2275" w:hanging="115"/>
      </w:pPr>
      <w:r>
        <w:rPr>
          <w:rStyle w:val="FootnoteReference"/>
        </w:rPr>
        <w:footnoteRef/>
      </w:r>
      <w:r>
        <w:t xml:space="preserve"> We are interested in employment growth as a means to achieve economic and social inclusion policy objectives rather than considering growth as an end in itself.</w:t>
      </w:r>
    </w:p>
  </w:footnote>
  <w:footnote w:id="5">
    <w:p w:rsidR="00A13942" w:rsidRPr="009A46F7" w:rsidRDefault="00A13942" w:rsidP="004D4E31">
      <w:pPr>
        <w:pStyle w:val="FootnoteText"/>
        <w:ind w:left="2275" w:hanging="115"/>
        <w:rPr>
          <w:lang w:val="en-US"/>
        </w:rPr>
      </w:pPr>
      <w:r>
        <w:rPr>
          <w:rStyle w:val="FootnoteReference"/>
        </w:rPr>
        <w:footnoteRef/>
      </w:r>
      <w:r>
        <w:t xml:space="preserve"> Micro-drivers of aggregate productivity </w:t>
      </w:r>
      <w:hyperlink r:id="rId1" w:history="1">
        <w:r w:rsidRPr="00785991">
          <w:rPr>
            <w:rStyle w:val="Hyperlink"/>
            <w:lang w:val="en-US"/>
          </w:rPr>
          <w:t>http://www.oecd.org/sti/Flyer_Multiprod.pdf</w:t>
        </w:r>
      </w:hyperlink>
      <w:r>
        <w:rPr>
          <w:lang w:val="en-US"/>
        </w:rPr>
        <w:t xml:space="preserve"> </w:t>
      </w:r>
    </w:p>
  </w:footnote>
  <w:footnote w:id="6">
    <w:p w:rsidR="00A13942" w:rsidRDefault="00A13942" w:rsidP="004D4E31">
      <w:pPr>
        <w:pStyle w:val="FootnoteText"/>
        <w:ind w:left="2275" w:hanging="115"/>
      </w:pPr>
      <w:r>
        <w:rPr>
          <w:rStyle w:val="FootnoteReference"/>
        </w:rPr>
        <w:footnoteRef/>
      </w:r>
      <w:r>
        <w:t xml:space="preserve"> </w:t>
      </w:r>
      <w:r w:rsidRPr="00D10256">
        <w:t xml:space="preserve">Criscuolo </w:t>
      </w:r>
      <w:r w:rsidRPr="00D10256">
        <w:rPr>
          <w:i/>
        </w:rPr>
        <w:t>et al</w:t>
      </w:r>
      <w:r w:rsidRPr="00D10256">
        <w:t xml:space="preserve">. </w:t>
      </w:r>
      <w:r>
        <w:t>(</w:t>
      </w:r>
      <w:r w:rsidRPr="00D10256">
        <w:t>2014</w:t>
      </w:r>
      <w:r>
        <w:t>)</w:t>
      </w:r>
    </w:p>
  </w:footnote>
  <w:footnote w:id="7">
    <w:p w:rsidR="00A13942" w:rsidRDefault="00A13942">
      <w:pPr>
        <w:pStyle w:val="FootnoteText"/>
      </w:pPr>
      <w:r>
        <w:rPr>
          <w:rStyle w:val="FootnoteReference"/>
        </w:rPr>
        <w:footnoteRef/>
      </w:r>
      <w:r>
        <w:t xml:space="preserve"> Note that t</w:t>
      </w:r>
      <w:r w:rsidRPr="00507D7B">
        <w:t xml:space="preserve">hese numbers will be slightly higher than </w:t>
      </w:r>
      <w:r>
        <w:t xml:space="preserve">the ABS Counts of Australian Businesses (cat. no. 8165.0) </w:t>
      </w:r>
      <w:r w:rsidRPr="00507D7B">
        <w:t>due to furth</w:t>
      </w:r>
      <w:r>
        <w:t xml:space="preserve">er scope differences applied to that ABS product. </w:t>
      </w:r>
    </w:p>
  </w:footnote>
  <w:footnote w:id="8">
    <w:p w:rsidR="00A13942" w:rsidRDefault="00A13942" w:rsidP="00E645E9">
      <w:pPr>
        <w:pStyle w:val="FootnoteText"/>
      </w:pPr>
      <w:r>
        <w:rPr>
          <w:rStyle w:val="FootnoteReference"/>
        </w:rPr>
        <w:footnoteRef/>
      </w:r>
      <w:r>
        <w:t xml:space="preserve"> </w:t>
      </w:r>
      <w:hyperlink r:id="rId2" w:history="1">
        <w:r w:rsidRPr="00407E29">
          <w:rPr>
            <w:rStyle w:val="Hyperlink"/>
          </w:rPr>
          <w:t>http://www.abs.gov.au/ausstats/abs@.nsf/mf/8171.0?OpenDocument</w:t>
        </w:r>
      </w:hyperlink>
      <w:r>
        <w:t xml:space="preserve"> </w:t>
      </w:r>
    </w:p>
  </w:footnote>
  <w:footnote w:id="9">
    <w:p w:rsidR="00A13942" w:rsidRPr="006F18E0" w:rsidRDefault="00A13942" w:rsidP="000420D9">
      <w:pPr>
        <w:pStyle w:val="FootnoteText"/>
        <w:rPr>
          <w:lang w:val="en-US"/>
        </w:rPr>
      </w:pPr>
      <w:r>
        <w:rPr>
          <w:rStyle w:val="FootnoteReference"/>
        </w:rPr>
        <w:footnoteRef/>
      </w:r>
      <w:r>
        <w:t xml:space="preserve"> T</w:t>
      </w:r>
      <w:r w:rsidRPr="001E5593">
        <w:t xml:space="preserve">hose </w:t>
      </w:r>
      <w:r>
        <w:t xml:space="preserve">firms </w:t>
      </w:r>
      <w:r w:rsidRPr="001E5593">
        <w:t xml:space="preserve">with </w:t>
      </w:r>
      <w:r>
        <w:t>0</w:t>
      </w:r>
      <w:r>
        <w:rPr>
          <w:rFonts w:cs="Arial"/>
        </w:rPr>
        <w:t>–</w:t>
      </w:r>
      <w:r>
        <w:t>9</w:t>
      </w:r>
      <w:r w:rsidRPr="001E5593">
        <w:t xml:space="preserve"> employees</w:t>
      </w:r>
      <w:r>
        <w:t xml:space="preserve"> according to the OECD.</w:t>
      </w:r>
    </w:p>
  </w:footnote>
  <w:footnote w:id="10">
    <w:p w:rsidR="00A13942" w:rsidRDefault="00A13942">
      <w:pPr>
        <w:pStyle w:val="FootnoteText"/>
      </w:pPr>
      <w:r>
        <w:rPr>
          <w:rStyle w:val="FootnoteReference"/>
        </w:rPr>
        <w:footnoteRef/>
      </w:r>
      <w:r>
        <w:t xml:space="preserve"> Criscuolo </w:t>
      </w:r>
      <w:r w:rsidRPr="00423A34">
        <w:rPr>
          <w:i/>
        </w:rPr>
        <w:t>et al</w:t>
      </w:r>
      <w:r>
        <w:t>. (2014)</w:t>
      </w:r>
    </w:p>
  </w:footnote>
  <w:footnote w:id="11">
    <w:p w:rsidR="00A13942" w:rsidRPr="009539FC" w:rsidRDefault="00A13942" w:rsidP="007F1812">
      <w:pPr>
        <w:pStyle w:val="FootnoteText"/>
        <w:ind w:left="2275" w:hanging="115"/>
        <w:rPr>
          <w:lang w:val="en-US"/>
        </w:rPr>
      </w:pPr>
      <w:r>
        <w:rPr>
          <w:rStyle w:val="FootnoteReference"/>
        </w:rPr>
        <w:footnoteRef/>
      </w:r>
      <w:r>
        <w:t xml:space="preserve"> </w:t>
      </w:r>
      <w:r w:rsidRPr="009539FC">
        <w:t>While the general trend is clear, Australian figures are harder to interpret due to the introduction of the GST.</w:t>
      </w:r>
    </w:p>
  </w:footnote>
  <w:footnote w:id="12">
    <w:p w:rsidR="00A13942" w:rsidRDefault="00A13942" w:rsidP="007F1812">
      <w:pPr>
        <w:pStyle w:val="FootnoteText"/>
      </w:pPr>
      <w:r>
        <w:rPr>
          <w:rStyle w:val="FootnoteReference"/>
        </w:rPr>
        <w:footnoteRef/>
      </w:r>
      <w:r>
        <w:t xml:space="preserve"> Note that some sectors are excluded from scope of the DynEmp project. </w:t>
      </w:r>
      <w:r w:rsidRPr="007C6435">
        <w:t xml:space="preserve">These are: </w:t>
      </w:r>
      <w:r w:rsidRPr="009A3C0C">
        <w:t xml:space="preserve">Agriculture, Mining, </w:t>
      </w:r>
      <w:r w:rsidRPr="00853D53">
        <w:t>Electricity, Gas, Water and Waste Services</w:t>
      </w:r>
      <w:r>
        <w:t xml:space="preserve">, </w:t>
      </w:r>
      <w:r w:rsidRPr="009A3C0C">
        <w:t>Financial and Insurance Services, Public Administration and Safety, Education and Training, Health Care and Social Assistance, Arts and Recreation Services and Other Services</w:t>
      </w:r>
      <w:r w:rsidRPr="007C6435">
        <w:t xml:space="preserve">. Refer to </w:t>
      </w:r>
      <w:r w:rsidRPr="009A3C0C">
        <w:t xml:space="preserve">Criscuolo </w:t>
      </w:r>
      <w:r w:rsidRPr="0084781B">
        <w:rPr>
          <w:i/>
        </w:rPr>
        <w:t xml:space="preserve">et al. </w:t>
      </w:r>
      <w:r w:rsidRPr="009A3C0C">
        <w:t>(2014</w:t>
      </w:r>
      <w:r w:rsidRPr="007C6435">
        <w:t xml:space="preserve">), pp. </w:t>
      </w:r>
      <w:r>
        <w:t>17</w:t>
      </w:r>
      <w:r>
        <w:rPr>
          <w:rFonts w:cs="Arial"/>
        </w:rPr>
        <w:t>–</w:t>
      </w:r>
      <w:r w:rsidRPr="009A3C0C">
        <w:t>24</w:t>
      </w:r>
      <w:r w:rsidRPr="007C6435">
        <w:t xml:space="preserve"> for details on methodology.</w:t>
      </w:r>
    </w:p>
  </w:footnote>
  <w:footnote w:id="13">
    <w:p w:rsidR="00A13942" w:rsidRDefault="00A13942" w:rsidP="007F1812">
      <w:pPr>
        <w:pStyle w:val="Footnote"/>
      </w:pPr>
      <w:r>
        <w:rPr>
          <w:rStyle w:val="FootnoteReference"/>
        </w:rPr>
        <w:footnoteRef/>
      </w:r>
      <w:r>
        <w:t xml:space="preserve"> See the Technical Appendix of OECD (2015)</w:t>
      </w:r>
      <w:r w:rsidRPr="00BE6520">
        <w:rPr>
          <w:rFonts w:eastAsiaTheme="minorHAnsi"/>
          <w:sz w:val="20"/>
          <w:szCs w:val="22"/>
        </w:rPr>
        <w:t xml:space="preserve"> </w:t>
      </w:r>
      <w:r w:rsidRPr="00BE6520">
        <w:rPr>
          <w:rFonts w:eastAsiaTheme="minorHAnsi"/>
          <w:i/>
        </w:rPr>
        <w:t xml:space="preserve">DYNEMP V.2 </w:t>
      </w:r>
      <w:r w:rsidRPr="00BE6520">
        <w:rPr>
          <w:i/>
        </w:rPr>
        <w:t>Progress report</w:t>
      </w:r>
      <w:r w:rsidRPr="00BE6520">
        <w:rPr>
          <w:rFonts w:eastAsiaTheme="minorHAnsi"/>
          <w:i/>
        </w:rPr>
        <w:t xml:space="preserve">: </w:t>
      </w:r>
      <w:r w:rsidRPr="00BE6520">
        <w:rPr>
          <w:i/>
        </w:rPr>
        <w:t xml:space="preserve">Cross-country evidence on </w:t>
      </w:r>
      <w:r>
        <w:rPr>
          <w:i/>
        </w:rPr>
        <w:t>start-up</w:t>
      </w:r>
      <w:r w:rsidRPr="00BE6520">
        <w:rPr>
          <w:i/>
        </w:rPr>
        <w:t xml:space="preserve"> dynamics</w:t>
      </w:r>
      <w:r w:rsidRPr="00BE6520">
        <w:t>,</w:t>
      </w:r>
      <w:r>
        <w:t xml:space="preserve"> </w:t>
      </w:r>
      <w:r w:rsidRPr="00BE6520">
        <w:t>DSTI/IND(2015)5</w:t>
      </w:r>
    </w:p>
  </w:footnote>
  <w:footnote w:id="14">
    <w:p w:rsidR="00A13942" w:rsidRDefault="00A13942" w:rsidP="007F1812">
      <w:pPr>
        <w:pStyle w:val="FootnoteText"/>
        <w:ind w:left="2275" w:hanging="115"/>
      </w:pPr>
      <w:r>
        <w:rPr>
          <w:rStyle w:val="FootnoteReference"/>
        </w:rPr>
        <w:footnoteRef/>
      </w:r>
      <w:r>
        <w:t xml:space="preserve"> At the time of this publication </w:t>
      </w:r>
      <w:r w:rsidRPr="00533D16">
        <w:t>only 12 other OECD</w:t>
      </w:r>
      <w:r>
        <w:t xml:space="preserve"> countries were included in the cross-country analysis by the OECD. See OECD (2015)</w:t>
      </w:r>
      <w:r w:rsidRPr="00BE6520">
        <w:rPr>
          <w:rFonts w:eastAsiaTheme="minorHAnsi"/>
          <w:sz w:val="20"/>
        </w:rPr>
        <w:t xml:space="preserve"> </w:t>
      </w:r>
      <w:r w:rsidRPr="00BE6520">
        <w:rPr>
          <w:rFonts w:eastAsiaTheme="minorHAnsi"/>
          <w:i/>
        </w:rPr>
        <w:t xml:space="preserve">DYNEMP V.2 </w:t>
      </w:r>
      <w:r w:rsidRPr="00BE6520">
        <w:rPr>
          <w:i/>
        </w:rPr>
        <w:t>Progress report</w:t>
      </w:r>
      <w:r w:rsidRPr="00BE6520">
        <w:rPr>
          <w:rFonts w:eastAsiaTheme="minorHAnsi"/>
          <w:i/>
        </w:rPr>
        <w:t xml:space="preserve">: </w:t>
      </w:r>
      <w:r w:rsidRPr="00BE6520">
        <w:rPr>
          <w:i/>
        </w:rPr>
        <w:t xml:space="preserve">Cross-country evidence on </w:t>
      </w:r>
      <w:r>
        <w:rPr>
          <w:i/>
        </w:rPr>
        <w:t>start-up</w:t>
      </w:r>
      <w:r w:rsidRPr="00BE6520">
        <w:rPr>
          <w:i/>
        </w:rPr>
        <w:t xml:space="preserve"> dynamics</w:t>
      </w:r>
      <w:r w:rsidRPr="00BE6520">
        <w:t>,</w:t>
      </w:r>
      <w:r>
        <w:t xml:space="preserve"> </w:t>
      </w:r>
      <w:r w:rsidRPr="00BE6520">
        <w:t>DSTI/IND(2015)5</w:t>
      </w:r>
    </w:p>
  </w:footnote>
  <w:footnote w:id="15">
    <w:p w:rsidR="00A13942" w:rsidRDefault="00A13942">
      <w:pPr>
        <w:pStyle w:val="FootnoteText"/>
      </w:pPr>
      <w:r>
        <w:rPr>
          <w:rStyle w:val="FootnoteReference"/>
        </w:rPr>
        <w:footnoteRef/>
      </w:r>
      <w:r>
        <w:t xml:space="preserve"> Menon </w:t>
      </w:r>
      <w:r w:rsidRPr="00AF373C">
        <w:rPr>
          <w:i/>
        </w:rPr>
        <w:t>et al</w:t>
      </w:r>
      <w:r>
        <w:t>. (2015)</w:t>
      </w:r>
    </w:p>
  </w:footnote>
  <w:footnote w:id="16">
    <w:p w:rsidR="00A13942" w:rsidRDefault="00A13942" w:rsidP="007F1812">
      <w:pPr>
        <w:pStyle w:val="FootnoteText"/>
      </w:pPr>
      <w:r>
        <w:rPr>
          <w:rStyle w:val="FootnoteReference"/>
        </w:rPr>
        <w:footnoteRef/>
      </w:r>
      <w:r>
        <w:t xml:space="preserve"> See comment on the Mining boom in the Discussion.</w:t>
      </w:r>
    </w:p>
  </w:footnote>
  <w:footnote w:id="17">
    <w:p w:rsidR="00A13942" w:rsidRPr="009539FC" w:rsidRDefault="00A13942" w:rsidP="007F1812">
      <w:pPr>
        <w:pStyle w:val="FootnoteText"/>
        <w:rPr>
          <w:lang w:val="en-US"/>
        </w:rPr>
      </w:pPr>
      <w:r>
        <w:rPr>
          <w:rStyle w:val="FootnoteReference"/>
        </w:rPr>
        <w:footnoteRef/>
      </w:r>
      <w:r>
        <w:t xml:space="preserve"> </w:t>
      </w:r>
      <w:r w:rsidRPr="009539FC">
        <w:t xml:space="preserve">Administrative and Support Services also has double </w:t>
      </w:r>
      <w:r>
        <w:t xml:space="preserve">the employment growth per firm </w:t>
      </w:r>
      <w:r w:rsidRPr="009539FC">
        <w:t>but this result is in part due to labour recruitment services filing PAYG data for employees they place in different firms.</w:t>
      </w:r>
    </w:p>
  </w:footnote>
  <w:footnote w:id="18">
    <w:p w:rsidR="00A13942" w:rsidRDefault="00A13942" w:rsidP="007F1812">
      <w:pPr>
        <w:pStyle w:val="FootnoteText"/>
      </w:pPr>
      <w:r>
        <w:rPr>
          <w:rStyle w:val="FootnoteReference"/>
        </w:rPr>
        <w:footnoteRef/>
      </w:r>
      <w:r>
        <w:t xml:space="preserve"> The relative differences are the same regardless of CPI or GDP adjustment as we don’t have industry specific deflators.</w:t>
      </w:r>
    </w:p>
  </w:footnote>
  <w:footnote w:id="19">
    <w:p w:rsidR="00A13942" w:rsidRDefault="00A13942" w:rsidP="006F7D59">
      <w:pPr>
        <w:pStyle w:val="FootnoteText"/>
      </w:pPr>
      <w:r>
        <w:rPr>
          <w:rStyle w:val="FootnoteReference"/>
        </w:rPr>
        <w:footnoteRef/>
      </w:r>
      <w:r>
        <w:t xml:space="preserve"> Countries examined include </w:t>
      </w:r>
      <w:r w:rsidRPr="00551FCF">
        <w:t xml:space="preserve">Austria, Belgium, </w:t>
      </w:r>
      <w:r>
        <w:t xml:space="preserve">Brazil, Denmark, </w:t>
      </w:r>
      <w:r w:rsidRPr="00551FCF">
        <w:t xml:space="preserve">Finland, </w:t>
      </w:r>
      <w:r>
        <w:t xml:space="preserve">France, </w:t>
      </w:r>
      <w:r w:rsidRPr="00551FCF">
        <w:t>Hungary, Italy, Japan</w:t>
      </w:r>
      <w:r>
        <w:t>,</w:t>
      </w:r>
      <w:r w:rsidRPr="00551FCF">
        <w:t xml:space="preserve"> Luxembourg, the Netherlands,</w:t>
      </w:r>
      <w:r w:rsidRPr="00820370">
        <w:t xml:space="preserve"> </w:t>
      </w:r>
      <w:r w:rsidRPr="00551FCF">
        <w:t>New Zealand</w:t>
      </w:r>
      <w:r>
        <w:t>,</w:t>
      </w:r>
      <w:r w:rsidRPr="00551FCF">
        <w:t xml:space="preserve"> Norway</w:t>
      </w:r>
      <w:r>
        <w:t>,</w:t>
      </w:r>
      <w:r w:rsidRPr="00551FCF">
        <w:t xml:space="preserve"> </w:t>
      </w:r>
      <w:r>
        <w:t xml:space="preserve">Portugal, </w:t>
      </w:r>
      <w:r w:rsidRPr="00551FCF">
        <w:t>Spain,</w:t>
      </w:r>
      <w:r>
        <w:t xml:space="preserve"> </w:t>
      </w:r>
      <w:r w:rsidRPr="00551FCF">
        <w:t>Sweden</w:t>
      </w:r>
      <w:r>
        <w:t>,</w:t>
      </w:r>
      <w:r w:rsidRPr="00551FCF">
        <w:t xml:space="preserve"> the United Kingdom and the United States</w:t>
      </w:r>
      <w:r>
        <w:t>.</w:t>
      </w:r>
    </w:p>
  </w:footnote>
  <w:footnote w:id="20">
    <w:p w:rsidR="00A13942" w:rsidRDefault="00A13942" w:rsidP="00A54B78">
      <w:pPr>
        <w:pStyle w:val="FootnoteText"/>
      </w:pPr>
      <w:r>
        <w:rPr>
          <w:rStyle w:val="FootnoteReference"/>
        </w:rPr>
        <w:footnoteRef/>
      </w:r>
      <w:r>
        <w:t xml:space="preserve"> Criscuolo </w:t>
      </w:r>
      <w:r w:rsidRPr="00574768">
        <w:rPr>
          <w:i/>
        </w:rPr>
        <w:t>et al</w:t>
      </w:r>
      <w:r>
        <w:t xml:space="preserve">. (2014), Menon </w:t>
      </w:r>
      <w:r w:rsidRPr="00824978">
        <w:rPr>
          <w:i/>
        </w:rPr>
        <w:t>et al</w:t>
      </w:r>
      <w:r>
        <w:t>. (2015)</w:t>
      </w:r>
    </w:p>
  </w:footnote>
  <w:footnote w:id="21">
    <w:p w:rsidR="00A13942" w:rsidRDefault="00A13942" w:rsidP="00A54B78">
      <w:pPr>
        <w:pStyle w:val="FootnoteText"/>
      </w:pPr>
      <w:r>
        <w:rPr>
          <w:rStyle w:val="FootnoteReference"/>
        </w:rPr>
        <w:footnoteRef/>
      </w:r>
      <w:r>
        <w:t xml:space="preserve"> Department of Industry (2014),</w:t>
      </w:r>
      <w:r w:rsidRPr="00910848">
        <w:t xml:space="preserve"> Steffens &amp; Hechavarria </w:t>
      </w:r>
      <w:r>
        <w:t>(</w:t>
      </w:r>
      <w:r w:rsidRPr="00910848">
        <w:t>2015)</w:t>
      </w:r>
    </w:p>
  </w:footnote>
  <w:footnote w:id="22">
    <w:p w:rsidR="00A13942" w:rsidRDefault="00A13942" w:rsidP="00A54B78">
      <w:pPr>
        <w:pStyle w:val="FootnoteText"/>
      </w:pPr>
      <w:r>
        <w:rPr>
          <w:rStyle w:val="FootnoteReference"/>
        </w:rPr>
        <w:footnoteRef/>
      </w:r>
      <w:r>
        <w:t xml:space="preserve"> </w:t>
      </w:r>
      <w:r w:rsidRPr="0090737B">
        <w:t xml:space="preserve">Decker </w:t>
      </w:r>
      <w:r w:rsidRPr="0090737B">
        <w:rPr>
          <w:i/>
        </w:rPr>
        <w:t>et al</w:t>
      </w:r>
      <w:r>
        <w:rPr>
          <w:i/>
        </w:rPr>
        <w:t xml:space="preserve"> </w:t>
      </w:r>
      <w:r w:rsidRPr="0090737B">
        <w:rPr>
          <w:i/>
        </w:rPr>
        <w:t>.</w:t>
      </w:r>
      <w:r w:rsidRPr="007656CB">
        <w:t>(2014)</w:t>
      </w:r>
    </w:p>
  </w:footnote>
  <w:footnote w:id="23">
    <w:p w:rsidR="00A13942" w:rsidRDefault="00A13942" w:rsidP="00A54B78">
      <w:pPr>
        <w:pStyle w:val="FootnoteText"/>
      </w:pPr>
      <w:r>
        <w:rPr>
          <w:rStyle w:val="FootnoteReference"/>
        </w:rPr>
        <w:footnoteRef/>
      </w:r>
      <w:r>
        <w:t xml:space="preserve"> Export Council of Australia (2014) </w:t>
      </w:r>
      <w:r w:rsidRPr="00BD0F40">
        <w:rPr>
          <w:i/>
        </w:rPr>
        <w:t xml:space="preserve">Australian International </w:t>
      </w:r>
      <w:r>
        <w:rPr>
          <w:i/>
        </w:rPr>
        <w:t xml:space="preserve">Firm </w:t>
      </w:r>
      <w:r w:rsidRPr="00BD0F40">
        <w:rPr>
          <w:i/>
        </w:rPr>
        <w:t>Survey 2014</w:t>
      </w:r>
      <w:r>
        <w:t xml:space="preserve">, </w:t>
      </w:r>
      <w:hyperlink r:id="rId3" w:history="1">
        <w:r w:rsidRPr="00996592">
          <w:rPr>
            <w:rStyle w:val="Hyperlink"/>
          </w:rPr>
          <w:t>http://www.export.org.au/eca/trade-insights/background</w:t>
        </w:r>
      </w:hyperlink>
      <w:r>
        <w:t xml:space="preserve"> </w:t>
      </w:r>
    </w:p>
  </w:footnote>
  <w:footnote w:id="24">
    <w:p w:rsidR="00A13942" w:rsidRDefault="00A13942">
      <w:pPr>
        <w:pStyle w:val="FootnoteText"/>
      </w:pPr>
      <w:r>
        <w:rPr>
          <w:rStyle w:val="FootnoteReference"/>
        </w:rPr>
        <w:footnoteRef/>
      </w:r>
      <w:r>
        <w:t xml:space="preserve"> Syverson (2011)</w:t>
      </w:r>
    </w:p>
  </w:footnote>
  <w:footnote w:id="25">
    <w:p w:rsidR="00A13942" w:rsidRPr="00467559" w:rsidRDefault="00A13942" w:rsidP="008B462B">
      <w:pPr>
        <w:pStyle w:val="FootnoteText"/>
        <w:rPr>
          <w:lang w:val="en-US"/>
        </w:rPr>
      </w:pPr>
      <w:r>
        <w:rPr>
          <w:rStyle w:val="FootnoteReference"/>
        </w:rPr>
        <w:footnoteRef/>
      </w:r>
      <w:r>
        <w:t xml:space="preserve"> </w:t>
      </w:r>
      <w:r>
        <w:rPr>
          <w:lang w:val="en-US"/>
        </w:rPr>
        <w:t>Use of an FTE measure changed the absolute scale of the results but not the relative differences.</w:t>
      </w:r>
    </w:p>
  </w:footnote>
  <w:footnote w:id="26">
    <w:p w:rsidR="00A13942" w:rsidRDefault="00A13942" w:rsidP="003F2FC5">
      <w:pPr>
        <w:pStyle w:val="FootnoteText"/>
      </w:pPr>
      <w:r>
        <w:rPr>
          <w:rStyle w:val="FootnoteReference"/>
        </w:rPr>
        <w:footnoteRef/>
      </w:r>
      <w:r>
        <w:t xml:space="preserve"> Haltiwanger &amp; Syverson (2008)</w:t>
      </w:r>
    </w:p>
  </w:footnote>
  <w:footnote w:id="27">
    <w:p w:rsidR="00A13942" w:rsidRDefault="00A13942" w:rsidP="003F2FC5">
      <w:pPr>
        <w:pStyle w:val="FootnoteText"/>
      </w:pPr>
      <w:r>
        <w:rPr>
          <w:rStyle w:val="FootnoteReference"/>
        </w:rPr>
        <w:footnoteRef/>
      </w:r>
      <w:r>
        <w:t xml:space="preserve"> Fagerberg 2013,</w:t>
      </w:r>
      <w:r w:rsidRPr="00910848">
        <w:t xml:space="preserve"> Davidsson </w:t>
      </w:r>
      <w:r w:rsidRPr="00910848">
        <w:rPr>
          <w:i/>
        </w:rPr>
        <w:t>et al</w:t>
      </w:r>
      <w:r w:rsidRPr="00910848">
        <w:t xml:space="preserve">. </w:t>
      </w:r>
      <w:r>
        <w:t>(</w:t>
      </w:r>
      <w:r w:rsidRPr="00910848">
        <w:t>2013)</w:t>
      </w:r>
    </w:p>
  </w:footnote>
  <w:footnote w:id="28">
    <w:p w:rsidR="00A13942" w:rsidRDefault="00A13942" w:rsidP="003F2FC5">
      <w:pPr>
        <w:pStyle w:val="FootnoteText"/>
      </w:pPr>
      <w:r>
        <w:rPr>
          <w:rStyle w:val="FootnoteReference"/>
        </w:rPr>
        <w:footnoteRef/>
      </w:r>
      <w:r>
        <w:t xml:space="preserve"> </w:t>
      </w:r>
      <w:r w:rsidRPr="00795D6D">
        <w:t>Acemoglu</w:t>
      </w:r>
      <w:r>
        <w:t xml:space="preserve"> </w:t>
      </w:r>
      <w:r w:rsidRPr="00E635F2">
        <w:rPr>
          <w:i/>
        </w:rPr>
        <w:t>et al</w:t>
      </w:r>
      <w:r>
        <w:t>. (</w:t>
      </w:r>
      <w:r w:rsidRPr="00795D6D">
        <w:t>2013)</w:t>
      </w:r>
    </w:p>
  </w:footnote>
  <w:footnote w:id="29">
    <w:p w:rsidR="00A13942" w:rsidRDefault="00A13942">
      <w:pPr>
        <w:pStyle w:val="FootnoteText"/>
      </w:pPr>
      <w:r>
        <w:rPr>
          <w:rStyle w:val="FootnoteReference"/>
        </w:rPr>
        <w:footnoteRef/>
      </w:r>
      <w:r>
        <w:t xml:space="preserve"> </w:t>
      </w:r>
      <w:r w:rsidRPr="0058041B">
        <w:t xml:space="preserve">Steffens </w:t>
      </w:r>
      <w:r>
        <w:t>&amp;</w:t>
      </w:r>
      <w:r w:rsidRPr="0058041B">
        <w:t xml:space="preserve"> Hechavarria</w:t>
      </w:r>
      <w:r>
        <w:t xml:space="preserve"> (2015)</w:t>
      </w:r>
    </w:p>
  </w:footnote>
  <w:footnote w:id="30">
    <w:p w:rsidR="00A13942" w:rsidRPr="00E53EC7" w:rsidRDefault="00A13942" w:rsidP="007F1812">
      <w:pPr>
        <w:pStyle w:val="FootnoteText"/>
        <w:rPr>
          <w:lang w:val="en-US"/>
        </w:rPr>
      </w:pPr>
      <w:r>
        <w:rPr>
          <w:rStyle w:val="FootnoteReference"/>
        </w:rPr>
        <w:footnoteRef/>
      </w:r>
      <w:r>
        <w:t xml:space="preserve"> </w:t>
      </w:r>
      <w:hyperlink r:id="rId4" w:history="1">
        <w:r w:rsidRPr="00884662">
          <w:rPr>
            <w:rStyle w:val="Hyperlink"/>
          </w:rPr>
          <w:t>http://unstats.un.org/unsd/cr/registry/regcst.asp?Cl=27</w:t>
        </w:r>
      </w:hyperlink>
      <w:r>
        <w:t xml:space="preserve"> </w:t>
      </w:r>
    </w:p>
  </w:footnote>
  <w:footnote w:id="31">
    <w:p w:rsidR="00A13942" w:rsidRDefault="00A13942" w:rsidP="007F1812">
      <w:pPr>
        <w:pStyle w:val="Footnote"/>
      </w:pPr>
      <w:r>
        <w:rPr>
          <w:rStyle w:val="FootnoteReference"/>
        </w:rPr>
        <w:footnoteRef/>
      </w:r>
      <w:r>
        <w:t xml:space="preserve"> See the Technical Appendix of Menon </w:t>
      </w:r>
      <w:r w:rsidRPr="00C549D5">
        <w:rPr>
          <w:i/>
        </w:rPr>
        <w:t>et al</w:t>
      </w:r>
      <w:r>
        <w:t>. (2015)</w:t>
      </w:r>
      <w:r w:rsidRPr="00BE6520">
        <w:rPr>
          <w:rFonts w:eastAsiaTheme="minorHAnsi"/>
          <w:sz w:val="20"/>
          <w:szCs w:val="22"/>
        </w:rPr>
        <w:t xml:space="preserve"> </w:t>
      </w:r>
      <w:r w:rsidRPr="00BE6520">
        <w:rPr>
          <w:rFonts w:eastAsiaTheme="minorHAnsi"/>
          <w:i/>
        </w:rPr>
        <w:t xml:space="preserve">DYNEMP V.2 </w:t>
      </w:r>
      <w:r w:rsidRPr="00BE6520">
        <w:rPr>
          <w:i/>
        </w:rPr>
        <w:t>Progress report</w:t>
      </w:r>
      <w:r w:rsidRPr="00BE6520">
        <w:rPr>
          <w:rFonts w:eastAsiaTheme="minorHAnsi"/>
          <w:i/>
        </w:rPr>
        <w:t xml:space="preserve">: </w:t>
      </w:r>
      <w:r w:rsidRPr="00BE6520">
        <w:rPr>
          <w:i/>
        </w:rPr>
        <w:t xml:space="preserve">Cross-country evidence on </w:t>
      </w:r>
      <w:r>
        <w:rPr>
          <w:i/>
        </w:rPr>
        <w:t>start-up</w:t>
      </w:r>
      <w:r w:rsidRPr="00BE6520">
        <w:rPr>
          <w:i/>
        </w:rPr>
        <w:t xml:space="preserve"> dynamics</w:t>
      </w:r>
      <w:r w:rsidRPr="00BE6520">
        <w:t>,</w:t>
      </w:r>
      <w:r>
        <w:t xml:space="preserve"> OECD </w:t>
      </w:r>
      <w:r w:rsidRPr="00BE6520">
        <w:t>DSTI/IND(2015)5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942" w:rsidRDefault="00A139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942" w:rsidRDefault="00A1394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942" w:rsidRDefault="00A1394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942" w:rsidRPr="00BE16F1" w:rsidRDefault="00A13942" w:rsidP="00BE16F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942" w:rsidRPr="007964F4" w:rsidRDefault="00A13942" w:rsidP="00DB555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942" w:rsidRDefault="00A13942">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942" w:rsidRDefault="00A13942" w:rsidP="00335A63">
    <w:pPr>
      <w:pStyle w:val="Header"/>
      <w:ind w:left="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942" w:rsidRDefault="00A13942">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942" w:rsidRPr="007964F4" w:rsidRDefault="00A13942" w:rsidP="00DB55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6FA46800"/>
    <w:lvl w:ilvl="0">
      <w:start w:val="1"/>
      <w:numFmt w:val="decimal"/>
      <w:lvlText w:val="%1."/>
      <w:lvlJc w:val="left"/>
      <w:pPr>
        <w:tabs>
          <w:tab w:val="num" w:pos="360"/>
        </w:tabs>
        <w:ind w:left="360" w:hanging="360"/>
      </w:pPr>
    </w:lvl>
  </w:abstractNum>
  <w:abstractNum w:abstractNumId="1" w15:restartNumberingAfterBreak="0">
    <w:nsid w:val="03323B38"/>
    <w:multiLevelType w:val="multilevel"/>
    <w:tmpl w:val="3A866F96"/>
    <w:styleLink w:val="OCEHeadings"/>
    <w:lvl w:ilvl="0">
      <w:start w:val="1"/>
      <w:numFmt w:val="decimal"/>
      <w:pStyle w:val="Heading1"/>
      <w:lvlText w:val="%1."/>
      <w:lvlJc w:val="left"/>
      <w:pPr>
        <w:ind w:left="2835" w:hanging="675"/>
      </w:pPr>
      <w:rPr>
        <w:rFonts w:hint="default"/>
      </w:rPr>
    </w:lvl>
    <w:lvl w:ilvl="1">
      <w:start w:val="1"/>
      <w:numFmt w:val="decimal"/>
      <w:pStyle w:val="Heading2"/>
      <w:lvlText w:val="%1.%2"/>
      <w:lvlJc w:val="left"/>
      <w:pPr>
        <w:ind w:left="2835" w:hanging="675"/>
      </w:pPr>
      <w:rPr>
        <w:rFonts w:hint="default"/>
      </w:rPr>
    </w:lvl>
    <w:lvl w:ilvl="2">
      <w:start w:val="1"/>
      <w:numFmt w:val="none"/>
      <w:pStyle w:val="Heading3"/>
      <w:suff w:val="nothing"/>
      <w:lvlText w:val=""/>
      <w:lvlJc w:val="left"/>
      <w:pPr>
        <w:ind w:left="2160" w:firstLine="0"/>
      </w:pPr>
      <w:rPr>
        <w:rFonts w:hint="default"/>
      </w:rPr>
    </w:lvl>
    <w:lvl w:ilvl="3">
      <w:start w:val="1"/>
      <w:numFmt w:val="none"/>
      <w:suff w:val="nothing"/>
      <w:lvlText w:val=""/>
      <w:lvlJc w:val="left"/>
      <w:pPr>
        <w:ind w:left="2160" w:firstLine="0"/>
      </w:pPr>
      <w:rPr>
        <w:rFonts w:hint="default"/>
      </w:rPr>
    </w:lvl>
    <w:lvl w:ilvl="4">
      <w:start w:val="1"/>
      <w:numFmt w:val="none"/>
      <w:suff w:val="nothing"/>
      <w:lvlText w:val=""/>
      <w:lvlJc w:val="left"/>
      <w:pPr>
        <w:ind w:left="2160" w:firstLine="0"/>
      </w:pPr>
      <w:rPr>
        <w:rFonts w:hint="default"/>
      </w:rPr>
    </w:lvl>
    <w:lvl w:ilvl="5">
      <w:start w:val="1"/>
      <w:numFmt w:val="upperLetter"/>
      <w:pStyle w:val="Heading6"/>
      <w:lvlText w:val="Appendix %6"/>
      <w:lvlJc w:val="left"/>
      <w:pPr>
        <w:ind w:left="4536" w:hanging="2376"/>
      </w:pPr>
      <w:rPr>
        <w:rFonts w:hint="default"/>
      </w:rPr>
    </w:lvl>
    <w:lvl w:ilvl="6">
      <w:start w:val="1"/>
      <w:numFmt w:val="decimal"/>
      <w:pStyle w:val="Heading7"/>
      <w:lvlText w:val="%6.%7"/>
      <w:lvlJc w:val="left"/>
      <w:pPr>
        <w:ind w:left="2835" w:hanging="675"/>
      </w:pPr>
      <w:rPr>
        <w:rFonts w:hint="default"/>
      </w:rPr>
    </w:lvl>
    <w:lvl w:ilvl="7">
      <w:start w:val="1"/>
      <w:numFmt w:val="none"/>
      <w:pStyle w:val="Heading8"/>
      <w:suff w:val="nothing"/>
      <w:lvlText w:val=""/>
      <w:lvlJc w:val="left"/>
      <w:pPr>
        <w:ind w:left="2160" w:firstLine="0"/>
      </w:pPr>
      <w:rPr>
        <w:rFonts w:hint="default"/>
      </w:rPr>
    </w:lvl>
    <w:lvl w:ilvl="8">
      <w:start w:val="1"/>
      <w:numFmt w:val="none"/>
      <w:suff w:val="nothing"/>
      <w:lvlText w:val=""/>
      <w:lvlJc w:val="left"/>
      <w:pPr>
        <w:ind w:left="2160" w:firstLine="0"/>
      </w:pPr>
      <w:rPr>
        <w:rFonts w:hint="default"/>
      </w:rPr>
    </w:lvl>
  </w:abstractNum>
  <w:abstractNum w:abstractNumId="2" w15:restartNumberingAfterBreak="0">
    <w:nsid w:val="03DD67C2"/>
    <w:multiLevelType w:val="multilevel"/>
    <w:tmpl w:val="83421F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82859EC"/>
    <w:multiLevelType w:val="multilevel"/>
    <w:tmpl w:val="3684BDEC"/>
    <w:styleLink w:val="OCETableBullets"/>
    <w:lvl w:ilvl="0">
      <w:start w:val="1"/>
      <w:numFmt w:val="bullet"/>
      <w:pStyle w:val="TableListBullet"/>
      <w:lvlText w:val=""/>
      <w:lvlJc w:val="left"/>
      <w:pPr>
        <w:ind w:left="113" w:hanging="113"/>
      </w:pPr>
      <w:rPr>
        <w:rFonts w:ascii="Wingdings" w:hAnsi="Wingdings" w:hint="default"/>
      </w:rPr>
    </w:lvl>
    <w:lvl w:ilvl="1">
      <w:start w:val="1"/>
      <w:numFmt w:val="none"/>
      <w:suff w:val="nothing"/>
      <w:lvlText w:val=""/>
      <w:lvlJc w:val="left"/>
      <w:pPr>
        <w:ind w:left="-32767" w:firstLine="0"/>
      </w:pPr>
      <w:rPr>
        <w:rFonts w:hint="default"/>
      </w:rPr>
    </w:lvl>
    <w:lvl w:ilvl="2">
      <w:start w:val="1"/>
      <w:numFmt w:val="none"/>
      <w:suff w:val="nothing"/>
      <w:lvlText w:val=""/>
      <w:lvlJc w:val="left"/>
      <w:pPr>
        <w:ind w:left="-32767" w:firstLine="0"/>
      </w:pPr>
      <w:rPr>
        <w:rFonts w:hint="default"/>
      </w:rPr>
    </w:lvl>
    <w:lvl w:ilvl="3">
      <w:start w:val="1"/>
      <w:numFmt w:val="none"/>
      <w:suff w:val="nothing"/>
      <w:lvlText w:val=""/>
      <w:lvlJc w:val="left"/>
      <w:pPr>
        <w:ind w:left="-32767" w:firstLine="0"/>
      </w:pPr>
      <w:rPr>
        <w:rFonts w:hint="default"/>
      </w:rPr>
    </w:lvl>
    <w:lvl w:ilvl="4">
      <w:start w:val="1"/>
      <w:numFmt w:val="none"/>
      <w:suff w:val="nothing"/>
      <w:lvlText w:val=""/>
      <w:lvlJc w:val="left"/>
      <w:pPr>
        <w:ind w:left="-32767" w:firstLine="0"/>
      </w:pPr>
      <w:rPr>
        <w:rFonts w:hint="default"/>
      </w:rPr>
    </w:lvl>
    <w:lvl w:ilvl="5">
      <w:start w:val="1"/>
      <w:numFmt w:val="none"/>
      <w:suff w:val="nothing"/>
      <w:lvlText w:val=""/>
      <w:lvlJc w:val="left"/>
      <w:pPr>
        <w:ind w:left="-32767" w:firstLine="0"/>
      </w:pPr>
      <w:rPr>
        <w:rFonts w:hint="default"/>
      </w:rPr>
    </w:lvl>
    <w:lvl w:ilvl="6">
      <w:start w:val="1"/>
      <w:numFmt w:val="bullet"/>
      <w:suff w:val="nothing"/>
      <w:lvlText w:val=""/>
      <w:lvlJc w:val="left"/>
      <w:pPr>
        <w:ind w:left="-32767" w:firstLine="0"/>
      </w:pPr>
      <w:rPr>
        <w:rFonts w:ascii="Symbol" w:hAnsi="Symbol" w:hint="default"/>
      </w:rPr>
    </w:lvl>
    <w:lvl w:ilvl="7">
      <w:start w:val="1"/>
      <w:numFmt w:val="bullet"/>
      <w:suff w:val="nothing"/>
      <w:lvlText w:val="o"/>
      <w:lvlJc w:val="left"/>
      <w:pPr>
        <w:ind w:left="-32767" w:firstLine="0"/>
      </w:pPr>
      <w:rPr>
        <w:rFonts w:ascii="Courier New" w:hAnsi="Courier New" w:hint="default"/>
      </w:rPr>
    </w:lvl>
    <w:lvl w:ilvl="8">
      <w:start w:val="1"/>
      <w:numFmt w:val="bullet"/>
      <w:suff w:val="nothing"/>
      <w:lvlText w:val=""/>
      <w:lvlJc w:val="left"/>
      <w:pPr>
        <w:ind w:left="-32767" w:firstLine="0"/>
      </w:pPr>
      <w:rPr>
        <w:rFonts w:ascii="Wingdings" w:hAnsi="Wingdings" w:hint="default"/>
      </w:rPr>
    </w:lvl>
  </w:abstractNum>
  <w:abstractNum w:abstractNumId="4" w15:restartNumberingAfterBreak="0">
    <w:nsid w:val="187029E1"/>
    <w:multiLevelType w:val="multilevel"/>
    <w:tmpl w:val="9E06CAEE"/>
    <w:styleLink w:val="EASDMultilevelList"/>
    <w:lvl w:ilvl="0">
      <w:start w:val="1"/>
      <w:numFmt w:val="decimal"/>
      <w:lvlText w:val="%1."/>
      <w:lvlJc w:val="left"/>
      <w:pPr>
        <w:ind w:left="2520" w:hanging="360"/>
      </w:pPr>
      <w:rPr>
        <w:rFonts w:hint="default"/>
      </w:rPr>
    </w:lvl>
    <w:lvl w:ilvl="1">
      <w:start w:val="1"/>
      <w:numFmt w:val="decimal"/>
      <w:lvlText w:val="%1.%2."/>
      <w:lvlJc w:val="left"/>
      <w:pPr>
        <w:ind w:left="2121" w:firstLine="399"/>
      </w:pPr>
      <w:rPr>
        <w:rFonts w:hint="default"/>
      </w:rPr>
    </w:lvl>
    <w:lvl w:ilvl="2">
      <w:start w:val="1"/>
      <w:numFmt w:val="decimal"/>
      <w:lvlText w:val="%1.%2.%3."/>
      <w:lvlJc w:val="left"/>
      <w:pPr>
        <w:ind w:left="2121" w:firstLine="759"/>
      </w:pPr>
      <w:rPr>
        <w:rFonts w:hint="default"/>
      </w:rPr>
    </w:lvl>
    <w:lvl w:ilvl="3">
      <w:start w:val="1"/>
      <w:numFmt w:val="decimal"/>
      <w:lvlText w:val="%1.%2.%3.%4."/>
      <w:lvlJc w:val="left"/>
      <w:pPr>
        <w:ind w:left="2121" w:firstLine="1119"/>
      </w:pPr>
      <w:rPr>
        <w:rFonts w:hint="default"/>
      </w:rPr>
    </w:lvl>
    <w:lvl w:ilvl="4">
      <w:start w:val="1"/>
      <w:numFmt w:val="decimal"/>
      <w:lvlText w:val="%1.%2.%3.%4.%5."/>
      <w:lvlJc w:val="left"/>
      <w:pPr>
        <w:ind w:left="4392" w:hanging="792"/>
      </w:pPr>
      <w:rPr>
        <w:rFonts w:hint="default"/>
      </w:rPr>
    </w:lvl>
    <w:lvl w:ilvl="5">
      <w:start w:val="1"/>
      <w:numFmt w:val="decimal"/>
      <w:lvlText w:val="%1.%2.%3.%4.%5.%6."/>
      <w:lvlJc w:val="left"/>
      <w:pPr>
        <w:ind w:left="4896" w:hanging="936"/>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5904" w:hanging="1224"/>
      </w:pPr>
      <w:rPr>
        <w:rFonts w:hint="default"/>
      </w:rPr>
    </w:lvl>
    <w:lvl w:ilvl="8">
      <w:start w:val="1"/>
      <w:numFmt w:val="decimal"/>
      <w:lvlText w:val="%1.%2.%3.%4.%5.%6.%7.%8.%9."/>
      <w:lvlJc w:val="left"/>
      <w:pPr>
        <w:ind w:left="6480" w:hanging="1440"/>
      </w:pPr>
      <w:rPr>
        <w:rFonts w:hint="default"/>
      </w:rPr>
    </w:lvl>
  </w:abstractNum>
  <w:abstractNum w:abstractNumId="5" w15:restartNumberingAfterBreak="0">
    <w:nsid w:val="18801DAD"/>
    <w:multiLevelType w:val="multilevel"/>
    <w:tmpl w:val="0CF0D11A"/>
    <w:styleLink w:val="OCENumberedList"/>
    <w:lvl w:ilvl="0">
      <w:start w:val="1"/>
      <w:numFmt w:val="decimal"/>
      <w:pStyle w:val="ListNumber"/>
      <w:lvlText w:val="%1."/>
      <w:lvlJc w:val="left"/>
      <w:pPr>
        <w:ind w:left="2495" w:hanging="335"/>
      </w:pPr>
      <w:rPr>
        <w:rFonts w:hint="default"/>
      </w:rPr>
    </w:lvl>
    <w:lvl w:ilvl="1">
      <w:start w:val="1"/>
      <w:numFmt w:val="decimal"/>
      <w:pStyle w:val="ListNumber2"/>
      <w:lvlText w:val="%1.%2"/>
      <w:lvlJc w:val="left"/>
      <w:pPr>
        <w:ind w:left="2977" w:hanging="425"/>
      </w:pPr>
      <w:rPr>
        <w:rFonts w:hint="default"/>
      </w:rPr>
    </w:lvl>
    <w:lvl w:ilvl="2">
      <w:start w:val="1"/>
      <w:numFmt w:val="decimal"/>
      <w:pStyle w:val="ListNumber3"/>
      <w:lvlText w:val="%1.%2.%3"/>
      <w:lvlJc w:val="left"/>
      <w:pPr>
        <w:ind w:left="3686" w:hanging="709"/>
      </w:pPr>
      <w:rPr>
        <w:rFonts w:hint="default"/>
      </w:rPr>
    </w:lvl>
    <w:lvl w:ilvl="3">
      <w:start w:val="1"/>
      <w:numFmt w:val="none"/>
      <w:lvlText w:val=""/>
      <w:lvlJc w:val="left"/>
      <w:pPr>
        <w:ind w:left="3686" w:firstLine="0"/>
      </w:pPr>
      <w:rPr>
        <w:rFonts w:hint="default"/>
      </w:rPr>
    </w:lvl>
    <w:lvl w:ilvl="4">
      <w:start w:val="1"/>
      <w:numFmt w:val="none"/>
      <w:lvlRestart w:val="0"/>
      <w:suff w:val="nothing"/>
      <w:lvlText w:val=""/>
      <w:lvlJc w:val="left"/>
      <w:pPr>
        <w:ind w:left="3686" w:firstLine="0"/>
      </w:pPr>
      <w:rPr>
        <w:rFonts w:hint="default"/>
      </w:rPr>
    </w:lvl>
    <w:lvl w:ilvl="5">
      <w:start w:val="1"/>
      <w:numFmt w:val="none"/>
      <w:lvlRestart w:val="0"/>
      <w:suff w:val="nothing"/>
      <w:lvlText w:val=""/>
      <w:lvlJc w:val="left"/>
      <w:pPr>
        <w:ind w:left="3686" w:firstLine="0"/>
      </w:pPr>
      <w:rPr>
        <w:rFonts w:hint="default"/>
      </w:rPr>
    </w:lvl>
    <w:lvl w:ilvl="6">
      <w:start w:val="1"/>
      <w:numFmt w:val="none"/>
      <w:lvlRestart w:val="0"/>
      <w:suff w:val="nothing"/>
      <w:lvlText w:val=""/>
      <w:lvlJc w:val="left"/>
      <w:pPr>
        <w:ind w:left="3686" w:firstLine="0"/>
      </w:pPr>
      <w:rPr>
        <w:rFonts w:hint="default"/>
      </w:rPr>
    </w:lvl>
    <w:lvl w:ilvl="7">
      <w:start w:val="1"/>
      <w:numFmt w:val="none"/>
      <w:lvlRestart w:val="0"/>
      <w:suff w:val="nothing"/>
      <w:lvlText w:val=""/>
      <w:lvlJc w:val="left"/>
      <w:pPr>
        <w:ind w:left="3686" w:firstLine="0"/>
      </w:pPr>
      <w:rPr>
        <w:rFonts w:hint="default"/>
      </w:rPr>
    </w:lvl>
    <w:lvl w:ilvl="8">
      <w:start w:val="1"/>
      <w:numFmt w:val="none"/>
      <w:lvlRestart w:val="0"/>
      <w:suff w:val="nothing"/>
      <w:lvlText w:val=""/>
      <w:lvlJc w:val="left"/>
      <w:pPr>
        <w:ind w:left="3686" w:firstLine="0"/>
      </w:pPr>
      <w:rPr>
        <w:rFonts w:hint="default"/>
      </w:rPr>
    </w:lvl>
  </w:abstractNum>
  <w:abstractNum w:abstractNumId="6" w15:restartNumberingAfterBreak="0">
    <w:nsid w:val="2792555A"/>
    <w:multiLevelType w:val="multilevel"/>
    <w:tmpl w:val="4322DD5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CA8400C"/>
    <w:multiLevelType w:val="singleLevel"/>
    <w:tmpl w:val="D42E603A"/>
    <w:lvl w:ilvl="0">
      <w:start w:val="1"/>
      <w:numFmt w:val="bullet"/>
      <w:pStyle w:val="Bullet2"/>
      <w:lvlText w:val=""/>
      <w:lvlJc w:val="left"/>
      <w:pPr>
        <w:tabs>
          <w:tab w:val="num" w:pos="1418"/>
        </w:tabs>
        <w:ind w:left="1418" w:hanging="709"/>
      </w:pPr>
      <w:rPr>
        <w:rFonts w:ascii="Symbol" w:hAnsi="Symbol" w:hint="default"/>
        <w:b w:val="0"/>
        <w:i w:val="0"/>
        <w:sz w:val="20"/>
      </w:rPr>
    </w:lvl>
  </w:abstractNum>
  <w:abstractNum w:abstractNumId="8" w15:restartNumberingAfterBreak="0">
    <w:nsid w:val="427C52AC"/>
    <w:multiLevelType w:val="hybridMultilevel"/>
    <w:tmpl w:val="18EEAF78"/>
    <w:lvl w:ilvl="0" w:tplc="421473CC">
      <w:start w:val="1"/>
      <w:numFmt w:val="bullet"/>
      <w:pStyle w:val="Keypoints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9" w15:restartNumberingAfterBreak="0">
    <w:nsid w:val="467F3AE5"/>
    <w:multiLevelType w:val="hybridMultilevel"/>
    <w:tmpl w:val="54A6FA12"/>
    <w:lvl w:ilvl="0" w:tplc="F9D86E78">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B94390E"/>
    <w:multiLevelType w:val="multilevel"/>
    <w:tmpl w:val="A3F68728"/>
    <w:styleLink w:val="OCEBulletedList"/>
    <w:lvl w:ilvl="0">
      <w:start w:val="1"/>
      <w:numFmt w:val="bullet"/>
      <w:pStyle w:val="ListBullet"/>
      <w:lvlText w:val=""/>
      <w:lvlJc w:val="left"/>
      <w:pPr>
        <w:ind w:left="2552" w:hanging="392"/>
      </w:pPr>
      <w:rPr>
        <w:rFonts w:ascii="Wingdings" w:hAnsi="Wingdings" w:hint="default"/>
      </w:rPr>
    </w:lvl>
    <w:lvl w:ilvl="1">
      <w:start w:val="1"/>
      <w:numFmt w:val="bullet"/>
      <w:pStyle w:val="ListBullet2"/>
      <w:lvlText w:val="-"/>
      <w:lvlJc w:val="left"/>
      <w:pPr>
        <w:ind w:left="2835" w:hanging="283"/>
      </w:pPr>
      <w:rPr>
        <w:rFonts w:ascii="Courier New" w:hAnsi="Courier New" w:hint="default"/>
      </w:rPr>
    </w:lvl>
    <w:lvl w:ilvl="2">
      <w:start w:val="1"/>
      <w:numFmt w:val="bullet"/>
      <w:pStyle w:val="ListBullet3"/>
      <w:lvlText w:val=""/>
      <w:lvlJc w:val="left"/>
      <w:pPr>
        <w:ind w:left="3062" w:hanging="227"/>
      </w:pPr>
      <w:rPr>
        <w:rFonts w:ascii="Wingdings" w:hAnsi="Wingdings" w:hint="default"/>
      </w:rPr>
    </w:lvl>
    <w:lvl w:ilvl="3">
      <w:start w:val="1"/>
      <w:numFmt w:val="none"/>
      <w:pStyle w:val="ListBullet4"/>
      <w:suff w:val="nothing"/>
      <w:lvlText w:val=""/>
      <w:lvlJc w:val="left"/>
      <w:pPr>
        <w:ind w:left="3062"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62273BF6"/>
    <w:multiLevelType w:val="hybridMultilevel"/>
    <w:tmpl w:val="641CEEF4"/>
    <w:lvl w:ilvl="0" w:tplc="8E0CD978">
      <w:start w:val="1"/>
      <w:numFmt w:val="decimal"/>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2" w15:restartNumberingAfterBreak="0">
    <w:nsid w:val="75F62619"/>
    <w:multiLevelType w:val="multilevel"/>
    <w:tmpl w:val="79006B62"/>
    <w:lvl w:ilvl="0">
      <w:start w:val="1"/>
      <w:numFmt w:val="upperLetter"/>
      <w:pStyle w:val="Appendixheading1"/>
      <w:lvlText w:val="Appendix %1"/>
      <w:lvlJc w:val="left"/>
      <w:pPr>
        <w:ind w:left="7732" w:hanging="360"/>
      </w:pPr>
      <w:rPr>
        <w:rFonts w:hint="default"/>
      </w:rPr>
    </w:lvl>
    <w:lvl w:ilvl="1">
      <w:start w:val="1"/>
      <w:numFmt w:val="decimal"/>
      <w:lvlText w:val="%1.%2."/>
      <w:lvlJc w:val="left"/>
      <w:pPr>
        <w:ind w:left="8164" w:hanging="432"/>
      </w:pPr>
      <w:rPr>
        <w:rFonts w:hint="default"/>
      </w:rPr>
    </w:lvl>
    <w:lvl w:ilvl="2">
      <w:start w:val="1"/>
      <w:numFmt w:val="decimal"/>
      <w:lvlText w:val="%1.%2.%3."/>
      <w:lvlJc w:val="left"/>
      <w:pPr>
        <w:ind w:left="8596" w:hanging="504"/>
      </w:pPr>
      <w:rPr>
        <w:rFonts w:hint="default"/>
      </w:rPr>
    </w:lvl>
    <w:lvl w:ilvl="3">
      <w:start w:val="1"/>
      <w:numFmt w:val="decimal"/>
      <w:lvlText w:val="%1.%2.%3.%4."/>
      <w:lvlJc w:val="left"/>
      <w:pPr>
        <w:ind w:left="9100" w:hanging="648"/>
      </w:pPr>
      <w:rPr>
        <w:rFonts w:hint="default"/>
      </w:rPr>
    </w:lvl>
    <w:lvl w:ilvl="4">
      <w:start w:val="1"/>
      <w:numFmt w:val="decimal"/>
      <w:lvlText w:val="%1.%2.%3.%4.%5."/>
      <w:lvlJc w:val="left"/>
      <w:pPr>
        <w:ind w:left="9604" w:hanging="792"/>
      </w:pPr>
      <w:rPr>
        <w:rFonts w:hint="default"/>
      </w:rPr>
    </w:lvl>
    <w:lvl w:ilvl="5">
      <w:start w:val="1"/>
      <w:numFmt w:val="decimal"/>
      <w:lvlText w:val="%1.%2.%3.%4.%5.%6."/>
      <w:lvlJc w:val="left"/>
      <w:pPr>
        <w:ind w:left="10108" w:hanging="936"/>
      </w:pPr>
      <w:rPr>
        <w:rFonts w:hint="default"/>
      </w:rPr>
    </w:lvl>
    <w:lvl w:ilvl="6">
      <w:start w:val="1"/>
      <w:numFmt w:val="decimal"/>
      <w:lvlText w:val="%1.%2.%3.%4.%5.%6.%7."/>
      <w:lvlJc w:val="left"/>
      <w:pPr>
        <w:ind w:left="10612" w:hanging="1080"/>
      </w:pPr>
      <w:rPr>
        <w:rFonts w:hint="default"/>
      </w:rPr>
    </w:lvl>
    <w:lvl w:ilvl="7">
      <w:start w:val="1"/>
      <w:numFmt w:val="decimal"/>
      <w:lvlText w:val="%1.%2.%3.%4.%5.%6.%7.%8."/>
      <w:lvlJc w:val="left"/>
      <w:pPr>
        <w:ind w:left="11116" w:hanging="1224"/>
      </w:pPr>
      <w:rPr>
        <w:rFonts w:hint="default"/>
      </w:rPr>
    </w:lvl>
    <w:lvl w:ilvl="8">
      <w:start w:val="1"/>
      <w:numFmt w:val="decimal"/>
      <w:lvlText w:val="%1.%2.%3.%4.%5.%6.%7.%8.%9."/>
      <w:lvlJc w:val="left"/>
      <w:pPr>
        <w:ind w:left="11692" w:hanging="1440"/>
      </w:pPr>
      <w:rPr>
        <w:rFonts w:hint="default"/>
      </w:rPr>
    </w:lvl>
  </w:abstractNum>
  <w:abstractNum w:abstractNumId="13" w15:restartNumberingAfterBreak="0">
    <w:nsid w:val="772400C8"/>
    <w:multiLevelType w:val="multilevel"/>
    <w:tmpl w:val="2D62633A"/>
    <w:lvl w:ilvl="0">
      <w:start w:val="1"/>
      <w:numFmt w:val="decimal"/>
      <w:lvlRestart w:val="0"/>
      <w:suff w:val="space"/>
      <w:lvlText w:val="Chapter %1"/>
      <w:lvlJc w:val="left"/>
      <w:rPr>
        <w:rFonts w:ascii="Times New Roman" w:hAnsi="Times New Roman" w:cs="Times New Roman" w:hint="default"/>
        <w:b w:val="0"/>
        <w:i/>
        <w:caps w:val="0"/>
        <w:strike w:val="0"/>
        <w:dstrike w:val="0"/>
        <w:vanish w:val="0"/>
        <w:color w:val="800000"/>
        <w:spacing w:val="0"/>
        <w:w w:val="100"/>
        <w:kern w:val="0"/>
        <w:position w:val="0"/>
        <w:sz w:val="28"/>
        <w:szCs w:val="28"/>
        <w:u w:val="none"/>
        <w:effect w:val="none"/>
        <w:vertAlign w:val="baseline"/>
      </w:rPr>
    </w:lvl>
    <w:lvl w:ilvl="1">
      <w:start w:val="1"/>
      <w:numFmt w:val="none"/>
      <w:lvlRestart w:val="0"/>
      <w:suff w:val="nothing"/>
      <w:lvlText w:val=""/>
      <w:lvlJc w:val="left"/>
      <w:rPr>
        <w:rFonts w:cs="Times New Roman" w:hint="default"/>
        <w:b w:val="0"/>
        <w:bCs w:val="0"/>
        <w:i w:val="0"/>
        <w:iCs w:val="0"/>
        <w:caps w:val="0"/>
        <w:smallCaps w:val="0"/>
        <w:strike w:val="0"/>
        <w:dstrike w:val="0"/>
        <w:vanish w:val="0"/>
        <w:color w:val="auto"/>
        <w:kern w:val="0"/>
        <w:position w:val="0"/>
        <w:sz w:val="22"/>
        <w:szCs w:val="22"/>
        <w:u w:val="none"/>
        <w:vertAlign w:val="baseline"/>
      </w:rPr>
    </w:lvl>
    <w:lvl w:ilvl="2">
      <w:start w:val="1"/>
      <w:numFmt w:val="decimal"/>
      <w:lvlRestart w:val="0"/>
      <w:lvlText w:val="%1.%3"/>
      <w:lvlJc w:val="left"/>
      <w:pPr>
        <w:tabs>
          <w:tab w:val="num" w:pos="4254"/>
        </w:tabs>
      </w:pPr>
      <w:rPr>
        <w:rFonts w:cs="Times New Roman" w:hint="default"/>
      </w:rPr>
    </w:lvl>
    <w:lvl w:ilvl="3">
      <w:start w:val="1"/>
      <w:numFmt w:val="decimal"/>
      <w:lvlRestart w:val="0"/>
      <w:lvlText w:val="%1.%3.%4"/>
      <w:lvlJc w:val="left"/>
      <w:pPr>
        <w:tabs>
          <w:tab w:val="num" w:pos="0"/>
        </w:tabs>
      </w:pPr>
      <w:rPr>
        <w:rFonts w:cs="Times New Roman" w:hint="default"/>
      </w:rPr>
    </w:lvl>
    <w:lvl w:ilvl="4">
      <w:start w:val="1"/>
      <w:numFmt w:val="none"/>
      <w:lvlRestart w:val="0"/>
      <w:suff w:val="nothing"/>
      <w:lvlText w:val=""/>
      <w:lvlJc w:val="left"/>
      <w:rPr>
        <w:rFonts w:cs="Times New Roman" w:hint="default"/>
      </w:rPr>
    </w:lvl>
    <w:lvl w:ilvl="5">
      <w:start w:val="1"/>
      <w:numFmt w:val="decimal"/>
      <w:lvlRestart w:val="0"/>
      <w:suff w:val="space"/>
      <w:lvlText w:val="Figure %1.%6"/>
      <w:lvlJc w:val="left"/>
      <w:rPr>
        <w:rFonts w:cs="Times New Roman" w:hint="default"/>
        <w:color w:val="595A5B"/>
      </w:rPr>
    </w:lvl>
    <w:lvl w:ilvl="6">
      <w:start w:val="1"/>
      <w:numFmt w:val="decimal"/>
      <w:lvlRestart w:val="0"/>
      <w:suff w:val="nothing"/>
      <w:lvlText w:val="Box %1.%7"/>
      <w:lvlJc w:val="left"/>
      <w:rPr>
        <w:rFonts w:cs="Times New Roman" w:hint="default"/>
      </w:rPr>
    </w:lvl>
    <w:lvl w:ilvl="7">
      <w:start w:val="1"/>
      <w:numFmt w:val="decimal"/>
      <w:lvlRestart w:val="0"/>
      <w:suff w:val="nothing"/>
      <w:lvlText w:val="Table %1.%8"/>
      <w:lvlJc w:val="left"/>
      <w:rPr>
        <w:rFonts w:cs="Times New Roman" w:hint="default"/>
      </w:rPr>
    </w:lvl>
    <w:lvl w:ilvl="8">
      <w:start w:val="1"/>
      <w:numFmt w:val="none"/>
      <w:lvlRestart w:val="0"/>
      <w:suff w:val="nothing"/>
      <w:lvlText w:val=""/>
      <w:lvlJc w:val="left"/>
      <w:rPr>
        <w:rFonts w:cs="Times New Roman" w:hint="default"/>
        <w:b w:val="0"/>
        <w:i/>
        <w:color w:val="800000"/>
      </w:rPr>
    </w:lvl>
  </w:abstractNum>
  <w:abstractNum w:abstractNumId="14" w15:restartNumberingAfterBreak="0">
    <w:nsid w:val="775D777A"/>
    <w:multiLevelType w:val="hybridMultilevel"/>
    <w:tmpl w:val="CE5420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7E9912D9"/>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5"/>
  </w:num>
  <w:num w:numId="2">
    <w:abstractNumId w:val="1"/>
  </w:num>
  <w:num w:numId="3">
    <w:abstractNumId w:val="10"/>
  </w:num>
  <w:num w:numId="4">
    <w:abstractNumId w:val="5"/>
  </w:num>
  <w:num w:numId="5">
    <w:abstractNumId w:val="4"/>
  </w:num>
  <w:num w:numId="6">
    <w:abstractNumId w:val="8"/>
  </w:num>
  <w:num w:numId="7">
    <w:abstractNumId w:val="3"/>
  </w:num>
  <w:num w:numId="8">
    <w:abstractNumId w:val="7"/>
  </w:num>
  <w:num w:numId="9">
    <w:abstractNumId w:val="1"/>
    <w:lvlOverride w:ilvl="0">
      <w:lvl w:ilvl="0">
        <w:start w:val="1"/>
        <w:numFmt w:val="decimal"/>
        <w:pStyle w:val="Heading1"/>
        <w:lvlText w:val="%1."/>
        <w:lvlJc w:val="left"/>
        <w:pPr>
          <w:ind w:left="2835" w:hanging="675"/>
        </w:pPr>
        <w:rPr>
          <w:rFonts w:hint="default"/>
        </w:rPr>
      </w:lvl>
    </w:lvlOverride>
    <w:lvlOverride w:ilvl="1">
      <w:lvl w:ilvl="1">
        <w:start w:val="1"/>
        <w:numFmt w:val="decimal"/>
        <w:pStyle w:val="Heading2"/>
        <w:lvlText w:val="%1.%2"/>
        <w:lvlJc w:val="left"/>
        <w:pPr>
          <w:ind w:left="2835" w:hanging="675"/>
        </w:pPr>
        <w:rPr>
          <w:rFonts w:hint="default"/>
        </w:rPr>
      </w:lvl>
    </w:lvlOverride>
    <w:lvlOverride w:ilvl="2">
      <w:lvl w:ilvl="2">
        <w:start w:val="1"/>
        <w:numFmt w:val="none"/>
        <w:pStyle w:val="Heading3"/>
        <w:suff w:val="nothing"/>
        <w:lvlText w:val=""/>
        <w:lvlJc w:val="left"/>
        <w:pPr>
          <w:ind w:left="2160" w:firstLine="0"/>
        </w:pPr>
        <w:rPr>
          <w:rFonts w:hint="default"/>
        </w:rPr>
      </w:lvl>
    </w:lvlOverride>
    <w:lvlOverride w:ilvl="3">
      <w:lvl w:ilvl="3">
        <w:start w:val="1"/>
        <w:numFmt w:val="none"/>
        <w:suff w:val="nothing"/>
        <w:lvlText w:val=""/>
        <w:lvlJc w:val="left"/>
        <w:pPr>
          <w:ind w:left="2160" w:firstLine="0"/>
        </w:pPr>
        <w:rPr>
          <w:rFonts w:hint="default"/>
        </w:rPr>
      </w:lvl>
    </w:lvlOverride>
    <w:lvlOverride w:ilvl="4">
      <w:lvl w:ilvl="4">
        <w:start w:val="1"/>
        <w:numFmt w:val="none"/>
        <w:suff w:val="nothing"/>
        <w:lvlText w:val=""/>
        <w:lvlJc w:val="left"/>
        <w:pPr>
          <w:ind w:left="2160" w:firstLine="0"/>
        </w:pPr>
        <w:rPr>
          <w:rFonts w:hint="default"/>
        </w:rPr>
      </w:lvl>
    </w:lvlOverride>
    <w:lvlOverride w:ilvl="5">
      <w:lvl w:ilvl="5">
        <w:start w:val="1"/>
        <w:numFmt w:val="upperLetter"/>
        <w:pStyle w:val="Heading6"/>
        <w:lvlText w:val="Appendix %6"/>
        <w:lvlJc w:val="left"/>
        <w:pPr>
          <w:ind w:left="4536" w:hanging="2376"/>
        </w:pPr>
        <w:rPr>
          <w:rFonts w:hint="default"/>
        </w:rPr>
      </w:lvl>
    </w:lvlOverride>
    <w:lvlOverride w:ilvl="6">
      <w:lvl w:ilvl="6">
        <w:start w:val="1"/>
        <w:numFmt w:val="decimal"/>
        <w:pStyle w:val="Heading7"/>
        <w:lvlText w:val="%6.%7"/>
        <w:lvlJc w:val="left"/>
        <w:pPr>
          <w:ind w:left="2835" w:hanging="675"/>
        </w:pPr>
        <w:rPr>
          <w:rFonts w:hint="default"/>
        </w:rPr>
      </w:lvl>
    </w:lvlOverride>
    <w:lvlOverride w:ilvl="7">
      <w:lvl w:ilvl="7">
        <w:start w:val="1"/>
        <w:numFmt w:val="none"/>
        <w:pStyle w:val="Heading8"/>
        <w:suff w:val="nothing"/>
        <w:lvlText w:val=""/>
        <w:lvlJc w:val="left"/>
        <w:pPr>
          <w:ind w:left="2160" w:firstLine="0"/>
        </w:pPr>
        <w:rPr>
          <w:rFonts w:hint="default"/>
        </w:rPr>
      </w:lvl>
    </w:lvlOverride>
    <w:lvlOverride w:ilvl="8">
      <w:lvl w:ilvl="8">
        <w:start w:val="1"/>
        <w:numFmt w:val="none"/>
        <w:suff w:val="nothing"/>
        <w:lvlText w:val=""/>
        <w:lvlJc w:val="left"/>
        <w:pPr>
          <w:ind w:left="2160" w:firstLine="0"/>
        </w:pPr>
        <w:rPr>
          <w:rFonts w:hint="default"/>
        </w:rPr>
      </w:lvl>
    </w:lvlOverride>
  </w:num>
  <w:num w:numId="10">
    <w:abstractNumId w:val="10"/>
  </w:num>
  <w:num w:numId="11">
    <w:abstractNumId w:val="5"/>
  </w:num>
  <w:num w:numId="12">
    <w:abstractNumId w:val="8"/>
  </w:num>
  <w:num w:numId="13">
    <w:abstractNumId w:val="3"/>
  </w:num>
  <w:num w:numId="14">
    <w:abstractNumId w:val="12"/>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
    <w:lvlOverride w:ilvl="0">
      <w:lvl w:ilvl="0">
        <w:numFmt w:val="decimal"/>
        <w:pStyle w:val="Heading1"/>
        <w:lvlText w:val=""/>
        <w:lvlJc w:val="left"/>
      </w:lvl>
    </w:lvlOverride>
    <w:lvlOverride w:ilvl="1">
      <w:lvl w:ilvl="1">
        <w:numFmt w:val="decimal"/>
        <w:pStyle w:val="Heading2"/>
        <w:lvlText w:val=""/>
        <w:lvlJc w:val="left"/>
      </w:lvl>
    </w:lvlOverride>
    <w:lvlOverride w:ilvl="2">
      <w:lvl w:ilvl="2">
        <w:numFmt w:val="decimal"/>
        <w:pStyle w:val="Heading3"/>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start w:val="1"/>
        <w:numFmt w:val="upperLetter"/>
        <w:pStyle w:val="Heading6"/>
        <w:lvlText w:val="Appendix %6"/>
        <w:lvlJc w:val="left"/>
        <w:pPr>
          <w:ind w:left="4536" w:hanging="2376"/>
        </w:pPr>
        <w:rPr>
          <w:rFonts w:hint="default"/>
        </w:rPr>
      </w:lvl>
    </w:lvlOverride>
  </w:num>
  <w:num w:numId="18">
    <w:abstractNumId w:val="13"/>
  </w:num>
  <w:num w:numId="19">
    <w:abstractNumId w:val="2"/>
  </w:num>
  <w:num w:numId="20">
    <w:abstractNumId w:val="9"/>
  </w:num>
  <w:num w:numId="21">
    <w:abstractNumId w:val="6"/>
  </w:num>
  <w:num w:numId="22">
    <w:abstractNumId w:val="1"/>
    <w:lvlOverride w:ilvl="0">
      <w:lvl w:ilvl="0">
        <w:numFmt w:val="decimal"/>
        <w:pStyle w:val="Heading1"/>
        <w:lvlText w:val=""/>
        <w:lvlJc w:val="left"/>
      </w:lvl>
    </w:lvlOverride>
    <w:lvlOverride w:ilvl="1">
      <w:lvl w:ilvl="1">
        <w:numFmt w:val="decimal"/>
        <w:pStyle w:val="Heading2"/>
        <w:lvlText w:val=""/>
        <w:lvlJc w:val="left"/>
      </w:lvl>
    </w:lvlOverride>
    <w:lvlOverride w:ilvl="2">
      <w:lvl w:ilvl="2">
        <w:numFmt w:val="decimal"/>
        <w:pStyle w:val="Heading3"/>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start w:val="1"/>
        <w:numFmt w:val="upperLetter"/>
        <w:pStyle w:val="Heading6"/>
        <w:lvlText w:val="Appendix %6"/>
        <w:lvlJc w:val="left"/>
        <w:pPr>
          <w:ind w:left="4536" w:hanging="2376"/>
        </w:pPr>
        <w:rPr>
          <w:rFonts w:hint="default"/>
        </w:rPr>
      </w:lvl>
    </w:lvlOverride>
  </w:num>
  <w:num w:numId="23">
    <w:abstractNumId w:val="1"/>
    <w:lvlOverride w:ilvl="0">
      <w:lvl w:ilvl="0">
        <w:numFmt w:val="decimal"/>
        <w:pStyle w:val="Heading1"/>
        <w:lvlText w:val=""/>
        <w:lvlJc w:val="left"/>
      </w:lvl>
    </w:lvlOverride>
    <w:lvlOverride w:ilvl="1">
      <w:lvl w:ilvl="1">
        <w:numFmt w:val="decimal"/>
        <w:pStyle w:val="Heading2"/>
        <w:lvlText w:val=""/>
        <w:lvlJc w:val="left"/>
      </w:lvl>
    </w:lvlOverride>
    <w:lvlOverride w:ilvl="2">
      <w:lvl w:ilvl="2">
        <w:numFmt w:val="decimal"/>
        <w:pStyle w:val="Heading3"/>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start w:val="1"/>
        <w:numFmt w:val="upperLetter"/>
        <w:pStyle w:val="Heading6"/>
        <w:lvlText w:val="Appendix %6"/>
        <w:lvlJc w:val="left"/>
        <w:pPr>
          <w:ind w:left="4536" w:hanging="2376"/>
        </w:pPr>
        <w:rPr>
          <w:rFonts w:hint="default"/>
        </w:rPr>
      </w:lvl>
    </w:lvlOverride>
  </w:num>
  <w:num w:numId="24">
    <w:abstractNumId w:val="1"/>
    <w:lvlOverride w:ilvl="0">
      <w:lvl w:ilvl="0">
        <w:numFmt w:val="decimal"/>
        <w:pStyle w:val="Heading1"/>
        <w:lvlText w:val=""/>
        <w:lvlJc w:val="left"/>
      </w:lvl>
    </w:lvlOverride>
    <w:lvlOverride w:ilvl="1">
      <w:lvl w:ilvl="1">
        <w:numFmt w:val="decimal"/>
        <w:pStyle w:val="Heading2"/>
        <w:lvlText w:val=""/>
        <w:lvlJc w:val="left"/>
      </w:lvl>
    </w:lvlOverride>
    <w:lvlOverride w:ilvl="2">
      <w:lvl w:ilvl="2">
        <w:numFmt w:val="decimal"/>
        <w:pStyle w:val="Heading3"/>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start w:val="1"/>
        <w:numFmt w:val="upperLetter"/>
        <w:pStyle w:val="Heading6"/>
        <w:lvlText w:val="Appendix %6"/>
        <w:lvlJc w:val="left"/>
        <w:pPr>
          <w:ind w:left="4536" w:hanging="2376"/>
        </w:pPr>
        <w:rPr>
          <w:rFonts w:hint="default"/>
        </w:rPr>
      </w:lvl>
    </w:lvlOverride>
  </w:num>
  <w:num w:numId="25">
    <w:abstractNumId w:val="1"/>
    <w:lvlOverride w:ilvl="0">
      <w:lvl w:ilvl="0">
        <w:numFmt w:val="decimal"/>
        <w:pStyle w:val="Heading1"/>
        <w:lvlText w:val=""/>
        <w:lvlJc w:val="left"/>
      </w:lvl>
    </w:lvlOverride>
    <w:lvlOverride w:ilvl="1">
      <w:lvl w:ilvl="1">
        <w:numFmt w:val="decimal"/>
        <w:pStyle w:val="Heading2"/>
        <w:lvlText w:val=""/>
        <w:lvlJc w:val="left"/>
      </w:lvl>
    </w:lvlOverride>
    <w:lvlOverride w:ilvl="2">
      <w:lvl w:ilvl="2">
        <w:numFmt w:val="decimal"/>
        <w:pStyle w:val="Heading3"/>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start w:val="1"/>
        <w:numFmt w:val="upperLetter"/>
        <w:pStyle w:val="Heading6"/>
        <w:lvlText w:val="Appendix %6"/>
        <w:lvlJc w:val="left"/>
        <w:pPr>
          <w:ind w:left="4536" w:hanging="2376"/>
        </w:pPr>
        <w:rPr>
          <w:rFonts w:hint="default"/>
        </w:rPr>
      </w:lvl>
    </w:lvlOverride>
  </w:num>
  <w:num w:numId="26">
    <w:abstractNumId w:val="1"/>
    <w:lvlOverride w:ilvl="0">
      <w:lvl w:ilvl="0">
        <w:numFmt w:val="decimal"/>
        <w:pStyle w:val="Heading1"/>
        <w:lvlText w:val=""/>
        <w:lvlJc w:val="left"/>
      </w:lvl>
    </w:lvlOverride>
    <w:lvlOverride w:ilvl="1">
      <w:lvl w:ilvl="1">
        <w:numFmt w:val="decimal"/>
        <w:pStyle w:val="Heading2"/>
        <w:lvlText w:val=""/>
        <w:lvlJc w:val="left"/>
      </w:lvl>
    </w:lvlOverride>
    <w:lvlOverride w:ilvl="2">
      <w:lvl w:ilvl="2">
        <w:numFmt w:val="decimal"/>
        <w:pStyle w:val="Heading3"/>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start w:val="1"/>
        <w:numFmt w:val="upperLetter"/>
        <w:pStyle w:val="Heading6"/>
        <w:lvlText w:val="Appendix %6"/>
        <w:lvlJc w:val="left"/>
        <w:pPr>
          <w:ind w:left="4536" w:hanging="2376"/>
        </w:pPr>
        <w:rPr>
          <w:rFonts w:hint="default"/>
        </w:rPr>
      </w:lvl>
    </w:lvlOverride>
  </w:num>
  <w:num w:numId="27">
    <w:abstractNumId w:val="1"/>
    <w:lvlOverride w:ilvl="0">
      <w:lvl w:ilvl="0">
        <w:numFmt w:val="decimal"/>
        <w:pStyle w:val="Heading1"/>
        <w:lvlText w:val=""/>
        <w:lvlJc w:val="left"/>
      </w:lvl>
    </w:lvlOverride>
    <w:lvlOverride w:ilvl="1">
      <w:lvl w:ilvl="1">
        <w:numFmt w:val="decimal"/>
        <w:pStyle w:val="Heading2"/>
        <w:lvlText w:val=""/>
        <w:lvlJc w:val="left"/>
      </w:lvl>
    </w:lvlOverride>
    <w:lvlOverride w:ilvl="2">
      <w:lvl w:ilvl="2">
        <w:numFmt w:val="decimal"/>
        <w:pStyle w:val="Heading3"/>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start w:val="1"/>
        <w:numFmt w:val="upperLetter"/>
        <w:pStyle w:val="Heading6"/>
        <w:lvlText w:val="Appendix %6"/>
        <w:lvlJc w:val="left"/>
        <w:pPr>
          <w:ind w:left="4536" w:hanging="2376"/>
        </w:pPr>
        <w:rPr>
          <w:rFonts w:hint="default"/>
        </w:rPr>
      </w:lvl>
    </w:lvlOverride>
  </w:num>
  <w:num w:numId="28">
    <w:abstractNumId w:val="1"/>
    <w:lvlOverride w:ilvl="0">
      <w:lvl w:ilvl="0">
        <w:numFmt w:val="decimal"/>
        <w:pStyle w:val="Heading1"/>
        <w:lvlText w:val=""/>
        <w:lvlJc w:val="left"/>
      </w:lvl>
    </w:lvlOverride>
    <w:lvlOverride w:ilvl="1">
      <w:lvl w:ilvl="1">
        <w:numFmt w:val="decimal"/>
        <w:pStyle w:val="Heading2"/>
        <w:lvlText w:val=""/>
        <w:lvlJc w:val="left"/>
      </w:lvl>
    </w:lvlOverride>
    <w:lvlOverride w:ilvl="2">
      <w:lvl w:ilvl="2">
        <w:numFmt w:val="decimal"/>
        <w:pStyle w:val="Heading3"/>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start w:val="1"/>
        <w:numFmt w:val="upperLetter"/>
        <w:pStyle w:val="Heading6"/>
        <w:lvlText w:val="Appendix %6"/>
        <w:lvlJc w:val="left"/>
        <w:pPr>
          <w:ind w:left="4536" w:hanging="2376"/>
        </w:pPr>
        <w:rPr>
          <w:rFonts w:hint="default"/>
        </w:rPr>
      </w:lvl>
    </w:lvlOverride>
  </w:num>
  <w:num w:numId="29">
    <w:abstractNumId w:val="1"/>
    <w:lvlOverride w:ilvl="0">
      <w:lvl w:ilvl="0">
        <w:numFmt w:val="decimal"/>
        <w:pStyle w:val="Heading1"/>
        <w:lvlText w:val=""/>
        <w:lvlJc w:val="left"/>
      </w:lvl>
    </w:lvlOverride>
    <w:lvlOverride w:ilvl="1">
      <w:lvl w:ilvl="1">
        <w:numFmt w:val="decimal"/>
        <w:pStyle w:val="Heading2"/>
        <w:lvlText w:val=""/>
        <w:lvlJc w:val="left"/>
      </w:lvl>
    </w:lvlOverride>
    <w:lvlOverride w:ilvl="2">
      <w:lvl w:ilvl="2">
        <w:numFmt w:val="decimal"/>
        <w:pStyle w:val="Heading3"/>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start w:val="1"/>
        <w:numFmt w:val="upperLetter"/>
        <w:pStyle w:val="Heading6"/>
        <w:lvlText w:val="Appendix %6"/>
        <w:lvlJc w:val="left"/>
        <w:pPr>
          <w:ind w:left="4536" w:hanging="2376"/>
        </w:pPr>
        <w:rPr>
          <w:rFonts w:hint="default"/>
        </w:rPr>
      </w:lvl>
    </w:lvlOverride>
  </w:num>
  <w:num w:numId="30">
    <w:abstractNumId w:val="0"/>
  </w:num>
  <w:num w:numId="31">
    <w:abstractNumId w:val="1"/>
    <w:lvlOverride w:ilvl="0">
      <w:lvl w:ilvl="0">
        <w:numFmt w:val="decimal"/>
        <w:pStyle w:val="Heading1"/>
        <w:lvlText w:val=""/>
        <w:lvlJc w:val="left"/>
      </w:lvl>
    </w:lvlOverride>
    <w:lvlOverride w:ilvl="1">
      <w:lvl w:ilvl="1">
        <w:numFmt w:val="decimal"/>
        <w:pStyle w:val="Heading2"/>
        <w:lvlText w:val=""/>
        <w:lvlJc w:val="left"/>
      </w:lvl>
    </w:lvlOverride>
    <w:lvlOverride w:ilvl="2">
      <w:lvl w:ilvl="2">
        <w:numFmt w:val="decimal"/>
        <w:pStyle w:val="Heading3"/>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start w:val="1"/>
        <w:numFmt w:val="upperLetter"/>
        <w:pStyle w:val="Heading6"/>
        <w:lvlText w:val="Appendix %6"/>
        <w:lvlJc w:val="left"/>
        <w:pPr>
          <w:ind w:left="4536" w:hanging="2376"/>
        </w:pPr>
        <w:rPr>
          <w:rFonts w:hint="default"/>
        </w:rPr>
      </w:lvl>
    </w:lvlOverride>
  </w:num>
  <w:num w:numId="32">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movePersonalInformation/>
  <w:removeDateAndTime/>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165"/>
    <w:rsid w:val="000036F1"/>
    <w:rsid w:val="00003B81"/>
    <w:rsid w:val="00004365"/>
    <w:rsid w:val="000078F3"/>
    <w:rsid w:val="00007EBB"/>
    <w:rsid w:val="000122D8"/>
    <w:rsid w:val="00013F4A"/>
    <w:rsid w:val="00022814"/>
    <w:rsid w:val="0002648C"/>
    <w:rsid w:val="00035325"/>
    <w:rsid w:val="00041176"/>
    <w:rsid w:val="00041FE3"/>
    <w:rsid w:val="000420D9"/>
    <w:rsid w:val="0005576A"/>
    <w:rsid w:val="00056A3E"/>
    <w:rsid w:val="0005753A"/>
    <w:rsid w:val="00060184"/>
    <w:rsid w:val="00060CE1"/>
    <w:rsid w:val="000618FB"/>
    <w:rsid w:val="000641E0"/>
    <w:rsid w:val="0006492D"/>
    <w:rsid w:val="00066292"/>
    <w:rsid w:val="000728D2"/>
    <w:rsid w:val="00080BD4"/>
    <w:rsid w:val="00081165"/>
    <w:rsid w:val="00082BF4"/>
    <w:rsid w:val="00085338"/>
    <w:rsid w:val="00090174"/>
    <w:rsid w:val="00091F93"/>
    <w:rsid w:val="000920D2"/>
    <w:rsid w:val="000A3D7F"/>
    <w:rsid w:val="000A63C0"/>
    <w:rsid w:val="000A6F5B"/>
    <w:rsid w:val="000B279E"/>
    <w:rsid w:val="000C37F3"/>
    <w:rsid w:val="000E0FB8"/>
    <w:rsid w:val="000E3193"/>
    <w:rsid w:val="000E415F"/>
    <w:rsid w:val="00100B74"/>
    <w:rsid w:val="001072B3"/>
    <w:rsid w:val="00107A3F"/>
    <w:rsid w:val="00110A7B"/>
    <w:rsid w:val="0011640A"/>
    <w:rsid w:val="0012045F"/>
    <w:rsid w:val="00120E94"/>
    <w:rsid w:val="001216CA"/>
    <w:rsid w:val="00123EB3"/>
    <w:rsid w:val="00125971"/>
    <w:rsid w:val="0013066A"/>
    <w:rsid w:val="00133523"/>
    <w:rsid w:val="00135E19"/>
    <w:rsid w:val="00146BD7"/>
    <w:rsid w:val="0015000D"/>
    <w:rsid w:val="00157C59"/>
    <w:rsid w:val="00163D6E"/>
    <w:rsid w:val="001658D2"/>
    <w:rsid w:val="00166576"/>
    <w:rsid w:val="00166996"/>
    <w:rsid w:val="00166D83"/>
    <w:rsid w:val="0017293E"/>
    <w:rsid w:val="00174624"/>
    <w:rsid w:val="00180E4F"/>
    <w:rsid w:val="00186D3D"/>
    <w:rsid w:val="001A2600"/>
    <w:rsid w:val="001A322A"/>
    <w:rsid w:val="001A6352"/>
    <w:rsid w:val="001B345E"/>
    <w:rsid w:val="001B3FF4"/>
    <w:rsid w:val="001C4072"/>
    <w:rsid w:val="001C4733"/>
    <w:rsid w:val="001C5291"/>
    <w:rsid w:val="001D5803"/>
    <w:rsid w:val="001E2D49"/>
    <w:rsid w:val="001F1E5D"/>
    <w:rsid w:val="001F2627"/>
    <w:rsid w:val="001F5BC1"/>
    <w:rsid w:val="001F5F85"/>
    <w:rsid w:val="001F7477"/>
    <w:rsid w:val="00207D37"/>
    <w:rsid w:val="00211231"/>
    <w:rsid w:val="0022378D"/>
    <w:rsid w:val="00225842"/>
    <w:rsid w:val="00234CEA"/>
    <w:rsid w:val="00252C28"/>
    <w:rsid w:val="00255773"/>
    <w:rsid w:val="0026658D"/>
    <w:rsid w:val="00271547"/>
    <w:rsid w:val="00272952"/>
    <w:rsid w:val="002757A5"/>
    <w:rsid w:val="00276F05"/>
    <w:rsid w:val="00280EB9"/>
    <w:rsid w:val="00285A2F"/>
    <w:rsid w:val="00286FED"/>
    <w:rsid w:val="00290AAE"/>
    <w:rsid w:val="002943C3"/>
    <w:rsid w:val="00294E30"/>
    <w:rsid w:val="002A33E7"/>
    <w:rsid w:val="002A6334"/>
    <w:rsid w:val="002A7F2D"/>
    <w:rsid w:val="002B1DD2"/>
    <w:rsid w:val="002B3220"/>
    <w:rsid w:val="002C1206"/>
    <w:rsid w:val="002C2091"/>
    <w:rsid w:val="002C76F8"/>
    <w:rsid w:val="002C7DEE"/>
    <w:rsid w:val="002D0127"/>
    <w:rsid w:val="002D4188"/>
    <w:rsid w:val="002D5C65"/>
    <w:rsid w:val="002E05E9"/>
    <w:rsid w:val="002E3270"/>
    <w:rsid w:val="002E43BD"/>
    <w:rsid w:val="002E4F19"/>
    <w:rsid w:val="002F0EEF"/>
    <w:rsid w:val="002F56EE"/>
    <w:rsid w:val="00300586"/>
    <w:rsid w:val="0030442F"/>
    <w:rsid w:val="00306B80"/>
    <w:rsid w:val="00307AD6"/>
    <w:rsid w:val="00311A07"/>
    <w:rsid w:val="00311B71"/>
    <w:rsid w:val="00320329"/>
    <w:rsid w:val="003215EC"/>
    <w:rsid w:val="00322656"/>
    <w:rsid w:val="0032415E"/>
    <w:rsid w:val="00335A63"/>
    <w:rsid w:val="00340E62"/>
    <w:rsid w:val="00345516"/>
    <w:rsid w:val="00347A7F"/>
    <w:rsid w:val="00354E7E"/>
    <w:rsid w:val="00354EA2"/>
    <w:rsid w:val="00364BAD"/>
    <w:rsid w:val="00366F87"/>
    <w:rsid w:val="00370CD0"/>
    <w:rsid w:val="00370DCF"/>
    <w:rsid w:val="003712D9"/>
    <w:rsid w:val="00385BB6"/>
    <w:rsid w:val="00387F73"/>
    <w:rsid w:val="00396E87"/>
    <w:rsid w:val="003A253A"/>
    <w:rsid w:val="003A5D1B"/>
    <w:rsid w:val="003B12F3"/>
    <w:rsid w:val="003B141B"/>
    <w:rsid w:val="003C0FAA"/>
    <w:rsid w:val="003C322F"/>
    <w:rsid w:val="003D0B22"/>
    <w:rsid w:val="003D7074"/>
    <w:rsid w:val="003E32D9"/>
    <w:rsid w:val="003F2FC5"/>
    <w:rsid w:val="003F674F"/>
    <w:rsid w:val="003F7726"/>
    <w:rsid w:val="003F7E51"/>
    <w:rsid w:val="00407BFB"/>
    <w:rsid w:val="00410B42"/>
    <w:rsid w:val="00412B47"/>
    <w:rsid w:val="00415DAB"/>
    <w:rsid w:val="004253A5"/>
    <w:rsid w:val="004262E0"/>
    <w:rsid w:val="00426883"/>
    <w:rsid w:val="00430E39"/>
    <w:rsid w:val="00432ABB"/>
    <w:rsid w:val="00445DE2"/>
    <w:rsid w:val="00446C1F"/>
    <w:rsid w:val="00447B15"/>
    <w:rsid w:val="004561DA"/>
    <w:rsid w:val="00457D05"/>
    <w:rsid w:val="004619D1"/>
    <w:rsid w:val="00465679"/>
    <w:rsid w:val="00465E4B"/>
    <w:rsid w:val="0047180F"/>
    <w:rsid w:val="0048023B"/>
    <w:rsid w:val="00480CAF"/>
    <w:rsid w:val="0048142C"/>
    <w:rsid w:val="00483169"/>
    <w:rsid w:val="00493446"/>
    <w:rsid w:val="004939EA"/>
    <w:rsid w:val="00496236"/>
    <w:rsid w:val="004A46E3"/>
    <w:rsid w:val="004A752B"/>
    <w:rsid w:val="004B53E7"/>
    <w:rsid w:val="004B70E3"/>
    <w:rsid w:val="004B7AEA"/>
    <w:rsid w:val="004C1602"/>
    <w:rsid w:val="004C2892"/>
    <w:rsid w:val="004D4E31"/>
    <w:rsid w:val="004D633A"/>
    <w:rsid w:val="004E2E6A"/>
    <w:rsid w:val="004E3D67"/>
    <w:rsid w:val="004F57A4"/>
    <w:rsid w:val="004F7D5E"/>
    <w:rsid w:val="00505401"/>
    <w:rsid w:val="00505701"/>
    <w:rsid w:val="00507A64"/>
    <w:rsid w:val="00507D7B"/>
    <w:rsid w:val="0051017B"/>
    <w:rsid w:val="0051396B"/>
    <w:rsid w:val="00513F90"/>
    <w:rsid w:val="005141A1"/>
    <w:rsid w:val="00516A09"/>
    <w:rsid w:val="00516D57"/>
    <w:rsid w:val="00517CBB"/>
    <w:rsid w:val="00522523"/>
    <w:rsid w:val="00522B16"/>
    <w:rsid w:val="00523B54"/>
    <w:rsid w:val="0052552C"/>
    <w:rsid w:val="00525CAD"/>
    <w:rsid w:val="00527CD7"/>
    <w:rsid w:val="005434B7"/>
    <w:rsid w:val="005453E2"/>
    <w:rsid w:val="00546419"/>
    <w:rsid w:val="005515B4"/>
    <w:rsid w:val="00551859"/>
    <w:rsid w:val="005577F2"/>
    <w:rsid w:val="00562489"/>
    <w:rsid w:val="00572720"/>
    <w:rsid w:val="00573F05"/>
    <w:rsid w:val="005766E3"/>
    <w:rsid w:val="0058047C"/>
    <w:rsid w:val="00584109"/>
    <w:rsid w:val="00585BB3"/>
    <w:rsid w:val="005862E9"/>
    <w:rsid w:val="00587701"/>
    <w:rsid w:val="00592DA1"/>
    <w:rsid w:val="005971FA"/>
    <w:rsid w:val="005A1A60"/>
    <w:rsid w:val="005A39A1"/>
    <w:rsid w:val="005A3CF3"/>
    <w:rsid w:val="005C4185"/>
    <w:rsid w:val="005C5D37"/>
    <w:rsid w:val="005C720E"/>
    <w:rsid w:val="005D0DE5"/>
    <w:rsid w:val="005D5659"/>
    <w:rsid w:val="005E121F"/>
    <w:rsid w:val="005E5AE3"/>
    <w:rsid w:val="005E67EA"/>
    <w:rsid w:val="005F4627"/>
    <w:rsid w:val="005F5226"/>
    <w:rsid w:val="005F787F"/>
    <w:rsid w:val="00602F34"/>
    <w:rsid w:val="00604241"/>
    <w:rsid w:val="0061140B"/>
    <w:rsid w:val="006128D9"/>
    <w:rsid w:val="00616A03"/>
    <w:rsid w:val="00617A37"/>
    <w:rsid w:val="00620945"/>
    <w:rsid w:val="006321E5"/>
    <w:rsid w:val="006370E6"/>
    <w:rsid w:val="00640B00"/>
    <w:rsid w:val="00641BBD"/>
    <w:rsid w:val="006446EF"/>
    <w:rsid w:val="00645DCF"/>
    <w:rsid w:val="0065213F"/>
    <w:rsid w:val="006521AC"/>
    <w:rsid w:val="00652811"/>
    <w:rsid w:val="0065507A"/>
    <w:rsid w:val="00655A02"/>
    <w:rsid w:val="0066779A"/>
    <w:rsid w:val="00680246"/>
    <w:rsid w:val="00685F6E"/>
    <w:rsid w:val="006915ED"/>
    <w:rsid w:val="006A3983"/>
    <w:rsid w:val="006A6873"/>
    <w:rsid w:val="006B209A"/>
    <w:rsid w:val="006C0A8C"/>
    <w:rsid w:val="006C5E1A"/>
    <w:rsid w:val="006C604E"/>
    <w:rsid w:val="006D3274"/>
    <w:rsid w:val="006D3DDF"/>
    <w:rsid w:val="006D4653"/>
    <w:rsid w:val="006D6C5F"/>
    <w:rsid w:val="006F1F8D"/>
    <w:rsid w:val="006F398D"/>
    <w:rsid w:val="006F7D59"/>
    <w:rsid w:val="00722986"/>
    <w:rsid w:val="00723203"/>
    <w:rsid w:val="00733C2D"/>
    <w:rsid w:val="00746272"/>
    <w:rsid w:val="00746291"/>
    <w:rsid w:val="00751128"/>
    <w:rsid w:val="007602FD"/>
    <w:rsid w:val="00765582"/>
    <w:rsid w:val="007656CB"/>
    <w:rsid w:val="00766E58"/>
    <w:rsid w:val="00770790"/>
    <w:rsid w:val="00771851"/>
    <w:rsid w:val="007719E5"/>
    <w:rsid w:val="007765E4"/>
    <w:rsid w:val="007812AE"/>
    <w:rsid w:val="00785B74"/>
    <w:rsid w:val="00795CA9"/>
    <w:rsid w:val="00796467"/>
    <w:rsid w:val="007A59E6"/>
    <w:rsid w:val="007A7202"/>
    <w:rsid w:val="007B3D46"/>
    <w:rsid w:val="007C6F2D"/>
    <w:rsid w:val="007D50F8"/>
    <w:rsid w:val="007D53BE"/>
    <w:rsid w:val="007D7031"/>
    <w:rsid w:val="007E044D"/>
    <w:rsid w:val="007F13C4"/>
    <w:rsid w:val="007F1812"/>
    <w:rsid w:val="007F194E"/>
    <w:rsid w:val="008006BA"/>
    <w:rsid w:val="00802621"/>
    <w:rsid w:val="008057E6"/>
    <w:rsid w:val="008066AF"/>
    <w:rsid w:val="00810F3D"/>
    <w:rsid w:val="008174F6"/>
    <w:rsid w:val="00817A6A"/>
    <w:rsid w:val="008233B0"/>
    <w:rsid w:val="0082355B"/>
    <w:rsid w:val="00832CAA"/>
    <w:rsid w:val="00833467"/>
    <w:rsid w:val="0083768D"/>
    <w:rsid w:val="00841874"/>
    <w:rsid w:val="00847E99"/>
    <w:rsid w:val="00850C5D"/>
    <w:rsid w:val="0086611B"/>
    <w:rsid w:val="0087267D"/>
    <w:rsid w:val="0087268B"/>
    <w:rsid w:val="008735F6"/>
    <w:rsid w:val="00876BAA"/>
    <w:rsid w:val="00885151"/>
    <w:rsid w:val="0089246C"/>
    <w:rsid w:val="00895006"/>
    <w:rsid w:val="00895030"/>
    <w:rsid w:val="0089719C"/>
    <w:rsid w:val="008A25C6"/>
    <w:rsid w:val="008A7707"/>
    <w:rsid w:val="008A7D88"/>
    <w:rsid w:val="008B462B"/>
    <w:rsid w:val="008B4FA8"/>
    <w:rsid w:val="008B5E68"/>
    <w:rsid w:val="008B7CDC"/>
    <w:rsid w:val="008C3E24"/>
    <w:rsid w:val="008C6145"/>
    <w:rsid w:val="008C7439"/>
    <w:rsid w:val="008D0685"/>
    <w:rsid w:val="008D1F5D"/>
    <w:rsid w:val="008F2140"/>
    <w:rsid w:val="008F28CD"/>
    <w:rsid w:val="008F3372"/>
    <w:rsid w:val="009004EC"/>
    <w:rsid w:val="00903E9B"/>
    <w:rsid w:val="0091564A"/>
    <w:rsid w:val="00917C8D"/>
    <w:rsid w:val="00921942"/>
    <w:rsid w:val="0092504F"/>
    <w:rsid w:val="00932519"/>
    <w:rsid w:val="0093309C"/>
    <w:rsid w:val="0093369E"/>
    <w:rsid w:val="009339B9"/>
    <w:rsid w:val="00935433"/>
    <w:rsid w:val="00944C03"/>
    <w:rsid w:val="009450FB"/>
    <w:rsid w:val="00945358"/>
    <w:rsid w:val="00946388"/>
    <w:rsid w:val="00951561"/>
    <w:rsid w:val="009635EF"/>
    <w:rsid w:val="00973C7C"/>
    <w:rsid w:val="009861EC"/>
    <w:rsid w:val="00997D7E"/>
    <w:rsid w:val="009A3B62"/>
    <w:rsid w:val="009B3448"/>
    <w:rsid w:val="009C187E"/>
    <w:rsid w:val="009D52C8"/>
    <w:rsid w:val="009E16E5"/>
    <w:rsid w:val="009E206E"/>
    <w:rsid w:val="009E42B5"/>
    <w:rsid w:val="009E5DBE"/>
    <w:rsid w:val="009F5FB3"/>
    <w:rsid w:val="009F78F1"/>
    <w:rsid w:val="00A01741"/>
    <w:rsid w:val="00A023A8"/>
    <w:rsid w:val="00A0712A"/>
    <w:rsid w:val="00A07392"/>
    <w:rsid w:val="00A07FE5"/>
    <w:rsid w:val="00A12429"/>
    <w:rsid w:val="00A13942"/>
    <w:rsid w:val="00A15233"/>
    <w:rsid w:val="00A30089"/>
    <w:rsid w:val="00A32C6A"/>
    <w:rsid w:val="00A45C3D"/>
    <w:rsid w:val="00A46291"/>
    <w:rsid w:val="00A5267B"/>
    <w:rsid w:val="00A527F7"/>
    <w:rsid w:val="00A54B78"/>
    <w:rsid w:val="00A56D66"/>
    <w:rsid w:val="00A61083"/>
    <w:rsid w:val="00A646CC"/>
    <w:rsid w:val="00A65155"/>
    <w:rsid w:val="00A84D04"/>
    <w:rsid w:val="00A87C5A"/>
    <w:rsid w:val="00A915D5"/>
    <w:rsid w:val="00A95F9C"/>
    <w:rsid w:val="00AA3A65"/>
    <w:rsid w:val="00AA42F0"/>
    <w:rsid w:val="00AA71B0"/>
    <w:rsid w:val="00AB01D3"/>
    <w:rsid w:val="00AB4844"/>
    <w:rsid w:val="00AB4D42"/>
    <w:rsid w:val="00AB4DE7"/>
    <w:rsid w:val="00AC0A27"/>
    <w:rsid w:val="00AC6642"/>
    <w:rsid w:val="00AD059C"/>
    <w:rsid w:val="00AE3349"/>
    <w:rsid w:val="00AE46E9"/>
    <w:rsid w:val="00AF0526"/>
    <w:rsid w:val="00AF1D6E"/>
    <w:rsid w:val="00AF2F00"/>
    <w:rsid w:val="00B0306F"/>
    <w:rsid w:val="00B16F86"/>
    <w:rsid w:val="00B2365E"/>
    <w:rsid w:val="00B3291A"/>
    <w:rsid w:val="00B343CA"/>
    <w:rsid w:val="00B42D88"/>
    <w:rsid w:val="00B5752F"/>
    <w:rsid w:val="00B57C2F"/>
    <w:rsid w:val="00B6022F"/>
    <w:rsid w:val="00B65AD3"/>
    <w:rsid w:val="00B67312"/>
    <w:rsid w:val="00B72E9A"/>
    <w:rsid w:val="00B77A63"/>
    <w:rsid w:val="00B810AD"/>
    <w:rsid w:val="00B9127E"/>
    <w:rsid w:val="00BA31B0"/>
    <w:rsid w:val="00BA478A"/>
    <w:rsid w:val="00BB087B"/>
    <w:rsid w:val="00BB116F"/>
    <w:rsid w:val="00BB6A91"/>
    <w:rsid w:val="00BC1EBA"/>
    <w:rsid w:val="00BC412E"/>
    <w:rsid w:val="00BE16F1"/>
    <w:rsid w:val="00BF2B05"/>
    <w:rsid w:val="00BF2BFE"/>
    <w:rsid w:val="00C0070E"/>
    <w:rsid w:val="00C07368"/>
    <w:rsid w:val="00C2119F"/>
    <w:rsid w:val="00C21AAD"/>
    <w:rsid w:val="00C2262E"/>
    <w:rsid w:val="00C25C12"/>
    <w:rsid w:val="00C51D12"/>
    <w:rsid w:val="00C527E6"/>
    <w:rsid w:val="00C55C83"/>
    <w:rsid w:val="00C648E0"/>
    <w:rsid w:val="00C713DC"/>
    <w:rsid w:val="00C726CD"/>
    <w:rsid w:val="00C73580"/>
    <w:rsid w:val="00C77673"/>
    <w:rsid w:val="00C8039D"/>
    <w:rsid w:val="00C8621D"/>
    <w:rsid w:val="00C9326C"/>
    <w:rsid w:val="00C95258"/>
    <w:rsid w:val="00CA3F1C"/>
    <w:rsid w:val="00CB267B"/>
    <w:rsid w:val="00CB448F"/>
    <w:rsid w:val="00CC08F3"/>
    <w:rsid w:val="00CC2CAB"/>
    <w:rsid w:val="00CC38E3"/>
    <w:rsid w:val="00CD045A"/>
    <w:rsid w:val="00CD575F"/>
    <w:rsid w:val="00CD595F"/>
    <w:rsid w:val="00CE51A0"/>
    <w:rsid w:val="00CF0D8C"/>
    <w:rsid w:val="00CF30D8"/>
    <w:rsid w:val="00CF357C"/>
    <w:rsid w:val="00CF3EEF"/>
    <w:rsid w:val="00D019EF"/>
    <w:rsid w:val="00D01FAB"/>
    <w:rsid w:val="00D14056"/>
    <w:rsid w:val="00D1580C"/>
    <w:rsid w:val="00D1663A"/>
    <w:rsid w:val="00D26F2E"/>
    <w:rsid w:val="00D30438"/>
    <w:rsid w:val="00D32076"/>
    <w:rsid w:val="00D36649"/>
    <w:rsid w:val="00D37750"/>
    <w:rsid w:val="00D37E46"/>
    <w:rsid w:val="00D43764"/>
    <w:rsid w:val="00D459B4"/>
    <w:rsid w:val="00D47087"/>
    <w:rsid w:val="00D50174"/>
    <w:rsid w:val="00D5121F"/>
    <w:rsid w:val="00D53B4E"/>
    <w:rsid w:val="00D56EFB"/>
    <w:rsid w:val="00D620AE"/>
    <w:rsid w:val="00D629B9"/>
    <w:rsid w:val="00D62E56"/>
    <w:rsid w:val="00D66B6D"/>
    <w:rsid w:val="00D67873"/>
    <w:rsid w:val="00D67E22"/>
    <w:rsid w:val="00D71A31"/>
    <w:rsid w:val="00D755C0"/>
    <w:rsid w:val="00D8534F"/>
    <w:rsid w:val="00D86837"/>
    <w:rsid w:val="00D9288D"/>
    <w:rsid w:val="00D9649E"/>
    <w:rsid w:val="00DA558C"/>
    <w:rsid w:val="00DB2638"/>
    <w:rsid w:val="00DB555F"/>
    <w:rsid w:val="00DB6D06"/>
    <w:rsid w:val="00DC0E9F"/>
    <w:rsid w:val="00DD2763"/>
    <w:rsid w:val="00DD4AAB"/>
    <w:rsid w:val="00DE40EE"/>
    <w:rsid w:val="00DE4703"/>
    <w:rsid w:val="00DF1E20"/>
    <w:rsid w:val="00DF7BBA"/>
    <w:rsid w:val="00E00C9D"/>
    <w:rsid w:val="00E02282"/>
    <w:rsid w:val="00E03969"/>
    <w:rsid w:val="00E2097B"/>
    <w:rsid w:val="00E319C9"/>
    <w:rsid w:val="00E3314E"/>
    <w:rsid w:val="00E45C78"/>
    <w:rsid w:val="00E530CD"/>
    <w:rsid w:val="00E55DE1"/>
    <w:rsid w:val="00E57692"/>
    <w:rsid w:val="00E57835"/>
    <w:rsid w:val="00E609D5"/>
    <w:rsid w:val="00E614C0"/>
    <w:rsid w:val="00E6385A"/>
    <w:rsid w:val="00E645E9"/>
    <w:rsid w:val="00E66BA2"/>
    <w:rsid w:val="00E700C5"/>
    <w:rsid w:val="00E70C38"/>
    <w:rsid w:val="00E7202B"/>
    <w:rsid w:val="00E74CB9"/>
    <w:rsid w:val="00E76CB0"/>
    <w:rsid w:val="00E77B01"/>
    <w:rsid w:val="00E845F8"/>
    <w:rsid w:val="00E85A86"/>
    <w:rsid w:val="00EA34B8"/>
    <w:rsid w:val="00EB0BE4"/>
    <w:rsid w:val="00EB1BB4"/>
    <w:rsid w:val="00EB736A"/>
    <w:rsid w:val="00EC0098"/>
    <w:rsid w:val="00EC0548"/>
    <w:rsid w:val="00EC0DAE"/>
    <w:rsid w:val="00EC5CB9"/>
    <w:rsid w:val="00ED1389"/>
    <w:rsid w:val="00EE0A8B"/>
    <w:rsid w:val="00EF054B"/>
    <w:rsid w:val="00EF27E9"/>
    <w:rsid w:val="00EF3556"/>
    <w:rsid w:val="00EF37CC"/>
    <w:rsid w:val="00F04158"/>
    <w:rsid w:val="00F04CC2"/>
    <w:rsid w:val="00F1195C"/>
    <w:rsid w:val="00F12AAF"/>
    <w:rsid w:val="00F15175"/>
    <w:rsid w:val="00F17117"/>
    <w:rsid w:val="00F1780B"/>
    <w:rsid w:val="00F23136"/>
    <w:rsid w:val="00F244EA"/>
    <w:rsid w:val="00F26232"/>
    <w:rsid w:val="00F37625"/>
    <w:rsid w:val="00F558B0"/>
    <w:rsid w:val="00F56A1E"/>
    <w:rsid w:val="00F61ECB"/>
    <w:rsid w:val="00F72C3F"/>
    <w:rsid w:val="00F76AC8"/>
    <w:rsid w:val="00F86B2A"/>
    <w:rsid w:val="00F87674"/>
    <w:rsid w:val="00F87BD3"/>
    <w:rsid w:val="00FA581F"/>
    <w:rsid w:val="00FA7E4F"/>
    <w:rsid w:val="00FB28D2"/>
    <w:rsid w:val="00FB3CCD"/>
    <w:rsid w:val="00FB3DCF"/>
    <w:rsid w:val="00FB5F20"/>
    <w:rsid w:val="00FB61FB"/>
    <w:rsid w:val="00FC05A6"/>
    <w:rsid w:val="00FD13F9"/>
    <w:rsid w:val="00FD3EBC"/>
    <w:rsid w:val="00FD62ED"/>
    <w:rsid w:val="00FF3F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docDefaults>
  <w:latentStyles w:defLockedState="0" w:defUIPriority="0" w:defSemiHidden="0" w:defUnhideWhenUsed="0" w:defQFormat="0" w:count="371">
    <w:lsdException w:name="heading 1" w:uiPriority="9" w:qFormat="1"/>
    <w:lsdException w:name="heading 2" w:semiHidden="1" w:uiPriority="9" w:unhideWhenUsed="1" w:qFormat="1"/>
    <w:lsdException w:name="heading 3" w:semiHidden="1" w:unhideWhenUsed="1" w:qFormat="1"/>
    <w:lsdException w:name="heading 4" w:semiHidden="1" w:uiPriority="9" w:unhideWhenUsed="1"/>
    <w:lsdException w:name="heading 5" w:semiHidden="1"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iPriority="19" w:unhideWhenUsed="1"/>
    <w:lsdException w:name="envelope return" w:semiHidden="1" w:uiPriority="19"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19" w:unhideWhenUsed="1"/>
    <w:lsdException w:name="endnote text" w:semiHidden="1" w:uiPriority="19" w:unhideWhenUsed="1"/>
    <w:lsdException w:name="table of authorities" w:semiHidden="1" w:unhideWhenUsed="1"/>
    <w:lsdException w:name="macro" w:semiHidden="1" w:unhideWhenUsed="1"/>
    <w:lsdException w:name="toa heading" w:semiHidden="1" w:unhideWhenUsed="1"/>
    <w:lsdException w:name="List" w:semiHidden="1" w:uiPriority="29" w:unhideWhenUsed="1"/>
    <w:lsdException w:name="List Bullet" w:semiHidden="1" w:uiPriority="4" w:unhideWhenUsed="1" w:qFormat="1"/>
    <w:lsdException w:name="List Number" w:uiPriority="4" w:qFormat="1"/>
    <w:lsdException w:name="List 2" w:semiHidden="1" w:uiPriority="29" w:unhideWhenUsed="1"/>
    <w:lsdException w:name="List 3" w:semiHidden="1" w:uiPriority="29" w:unhideWhenUsed="1"/>
    <w:lsdException w:name="List 4" w:uiPriority="29"/>
    <w:lsdException w:name="List 5" w:uiPriority="29"/>
    <w:lsdException w:name="List Bullet 2" w:semiHidden="1" w:uiPriority="4" w:unhideWhenUsed="1" w:qFormat="1"/>
    <w:lsdException w:name="List Bullet 3" w:semiHidden="1" w:uiPriority="4" w:unhideWhenUsed="1" w:qFormat="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Date" w:uiPriority="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19"/>
    <w:lsdException w:name="Document Map" w:semiHidden="1" w:uiPriority="19" w:unhideWhenUsed="1"/>
    <w:lsdException w:name="Plain Text" w:semiHidden="1" w:unhideWhenUsed="1"/>
    <w:lsdException w:name="E-mail Signature" w:semiHidden="1" w:uiPriority="1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F3372"/>
    <w:pPr>
      <w:ind w:left="2160"/>
      <w:jc w:val="both"/>
    </w:pPr>
    <w:rPr>
      <w:rFonts w:ascii="Arial" w:hAnsi="Arial"/>
      <w:color w:val="595A5B"/>
      <w:sz w:val="20"/>
    </w:rPr>
  </w:style>
  <w:style w:type="paragraph" w:styleId="Heading1">
    <w:name w:val="heading 1"/>
    <w:basedOn w:val="Normal"/>
    <w:next w:val="BodyText"/>
    <w:link w:val="Heading1Char"/>
    <w:uiPriority w:val="9"/>
    <w:qFormat/>
    <w:rsid w:val="008F3372"/>
    <w:pPr>
      <w:keepNext/>
      <w:numPr>
        <w:numId w:val="9"/>
      </w:numPr>
      <w:spacing w:before="300" w:line="280" w:lineRule="atLeast"/>
      <w:jc w:val="left"/>
      <w:outlineLvl w:val="0"/>
    </w:pPr>
    <w:rPr>
      <w:rFonts w:asciiTheme="majorHAnsi" w:eastAsia="Times New Roman" w:hAnsiTheme="majorHAnsi" w:cs="Arial"/>
      <w:b/>
      <w:bCs/>
      <w:color w:val="22789A"/>
      <w:kern w:val="32"/>
      <w:sz w:val="32"/>
      <w:szCs w:val="32"/>
    </w:rPr>
  </w:style>
  <w:style w:type="paragraph" w:styleId="Heading2">
    <w:name w:val="heading 2"/>
    <w:aliases w:val="Paper Title"/>
    <w:basedOn w:val="BodyText"/>
    <w:next w:val="BodyText"/>
    <w:link w:val="Heading2Char"/>
    <w:uiPriority w:val="9"/>
    <w:qFormat/>
    <w:rsid w:val="008F3372"/>
    <w:pPr>
      <w:keepNext/>
      <w:numPr>
        <w:ilvl w:val="1"/>
        <w:numId w:val="9"/>
      </w:numPr>
      <w:spacing w:before="300" w:line="280" w:lineRule="atLeast"/>
      <w:jc w:val="left"/>
      <w:outlineLvl w:val="1"/>
    </w:pPr>
    <w:rPr>
      <w:rFonts w:asciiTheme="majorHAnsi" w:eastAsia="Times New Roman" w:hAnsiTheme="majorHAnsi" w:cs="Arial"/>
      <w:b/>
      <w:bCs/>
      <w:iCs/>
      <w:color w:val="6CCCDE"/>
      <w:sz w:val="22"/>
      <w:szCs w:val="28"/>
    </w:rPr>
  </w:style>
  <w:style w:type="paragraph" w:styleId="Heading3">
    <w:name w:val="heading 3"/>
    <w:basedOn w:val="BodyText"/>
    <w:next w:val="BodyText"/>
    <w:link w:val="Heading3Char"/>
    <w:qFormat/>
    <w:rsid w:val="008F3372"/>
    <w:pPr>
      <w:keepNext/>
      <w:numPr>
        <w:ilvl w:val="2"/>
        <w:numId w:val="9"/>
      </w:numPr>
      <w:spacing w:before="300" w:line="280" w:lineRule="atLeast"/>
      <w:jc w:val="left"/>
      <w:outlineLvl w:val="2"/>
    </w:pPr>
    <w:rPr>
      <w:rFonts w:asciiTheme="majorHAnsi" w:eastAsia="Times New Roman" w:hAnsiTheme="majorHAnsi" w:cs="Arial"/>
      <w:bCs/>
      <w:color w:val="22789A"/>
      <w:sz w:val="22"/>
    </w:rPr>
  </w:style>
  <w:style w:type="paragraph" w:styleId="Heading4">
    <w:name w:val="heading 4"/>
    <w:basedOn w:val="BodyText"/>
    <w:next w:val="BodyText"/>
    <w:link w:val="Heading4Char"/>
    <w:uiPriority w:val="9"/>
    <w:unhideWhenUsed/>
    <w:rsid w:val="008F3372"/>
    <w:pPr>
      <w:keepNext/>
      <w:keepLines/>
      <w:spacing w:before="200" w:after="0"/>
      <w:outlineLvl w:val="3"/>
    </w:pPr>
    <w:rPr>
      <w:rFonts w:asciiTheme="majorHAnsi" w:eastAsiaTheme="majorEastAsia" w:hAnsiTheme="majorHAnsi" w:cstheme="majorBidi"/>
      <w:b/>
      <w:bCs/>
      <w:i/>
      <w:iCs/>
      <w:color w:val="auto"/>
    </w:rPr>
  </w:style>
  <w:style w:type="paragraph" w:styleId="Heading5">
    <w:name w:val="heading 5"/>
    <w:basedOn w:val="Normal"/>
    <w:next w:val="Normal"/>
    <w:link w:val="Heading5Char"/>
    <w:uiPriority w:val="9"/>
    <w:rsid w:val="00522B16"/>
    <w:pPr>
      <w:keepNext/>
      <w:spacing w:before="240" w:after="80" w:line="240" w:lineRule="atLeast"/>
      <w:ind w:right="57"/>
      <w:outlineLvl w:val="4"/>
    </w:pPr>
    <w:rPr>
      <w:rFonts w:eastAsia="Times New Roman" w:cs="Times New Roman"/>
      <w:i/>
      <w:color w:val="22789A"/>
      <w:szCs w:val="20"/>
    </w:rPr>
  </w:style>
  <w:style w:type="paragraph" w:styleId="Heading6">
    <w:name w:val="heading 6"/>
    <w:aliases w:val="CS Heading 6,Legal Level 1.,Level 1"/>
    <w:basedOn w:val="Normal"/>
    <w:next w:val="BodyText"/>
    <w:link w:val="Heading6Char"/>
    <w:uiPriority w:val="9"/>
    <w:qFormat/>
    <w:rsid w:val="008F3372"/>
    <w:pPr>
      <w:keepNext/>
      <w:pageBreakBefore/>
      <w:numPr>
        <w:ilvl w:val="5"/>
        <w:numId w:val="9"/>
      </w:numPr>
      <w:spacing w:before="300" w:line="280" w:lineRule="atLeast"/>
      <w:jc w:val="left"/>
      <w:outlineLvl w:val="5"/>
    </w:pPr>
    <w:rPr>
      <w:rFonts w:asciiTheme="majorHAnsi" w:eastAsiaTheme="majorEastAsia" w:hAnsiTheme="majorHAnsi" w:cstheme="majorBidi"/>
      <w:b/>
      <w:iCs/>
      <w:color w:val="22789A"/>
      <w:sz w:val="32"/>
    </w:rPr>
  </w:style>
  <w:style w:type="paragraph" w:styleId="Heading7">
    <w:name w:val="heading 7"/>
    <w:aliases w:val="Figure Box"/>
    <w:basedOn w:val="Normal"/>
    <w:next w:val="BodyText"/>
    <w:link w:val="Heading7Char"/>
    <w:uiPriority w:val="9"/>
    <w:qFormat/>
    <w:rsid w:val="008F3372"/>
    <w:pPr>
      <w:keepNext/>
      <w:keepLines/>
      <w:numPr>
        <w:ilvl w:val="6"/>
        <w:numId w:val="9"/>
      </w:numPr>
      <w:spacing w:before="300" w:line="280" w:lineRule="atLeast"/>
      <w:jc w:val="left"/>
      <w:outlineLvl w:val="6"/>
    </w:pPr>
    <w:rPr>
      <w:rFonts w:asciiTheme="majorHAnsi" w:eastAsiaTheme="majorEastAsia" w:hAnsiTheme="majorHAnsi" w:cstheme="majorBidi"/>
      <w:b/>
      <w:iCs/>
      <w:color w:val="6CCCDE"/>
      <w:sz w:val="22"/>
    </w:rPr>
  </w:style>
  <w:style w:type="paragraph" w:styleId="Heading8">
    <w:name w:val="heading 8"/>
    <w:aliases w:val="Table Box"/>
    <w:basedOn w:val="Normal"/>
    <w:next w:val="BodyText"/>
    <w:link w:val="Heading8Char"/>
    <w:uiPriority w:val="9"/>
    <w:qFormat/>
    <w:rsid w:val="008F3372"/>
    <w:pPr>
      <w:keepNext/>
      <w:keepLines/>
      <w:numPr>
        <w:ilvl w:val="7"/>
        <w:numId w:val="9"/>
      </w:numPr>
      <w:spacing w:before="300"/>
      <w:jc w:val="left"/>
      <w:outlineLvl w:val="7"/>
    </w:pPr>
    <w:rPr>
      <w:rFonts w:asciiTheme="majorHAnsi" w:eastAsiaTheme="majorEastAsia" w:hAnsiTheme="majorHAnsi" w:cstheme="majorBidi"/>
      <w:color w:val="22789A"/>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BPTable">
    <w:name w:val="DBP Table"/>
    <w:basedOn w:val="TableContemporary"/>
    <w:uiPriority w:val="99"/>
    <w:rsid w:val="008F3372"/>
    <w:tblPr/>
    <w:tblStylePr w:type="firstRow">
      <w:rPr>
        <w:rFonts w:ascii="Arial" w:hAnsi="Arial"/>
        <w:b/>
        <w:bCs/>
        <w:color w:val="auto"/>
        <w:sz w:val="20"/>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ontemporary">
    <w:name w:val="Table Contemporary"/>
    <w:basedOn w:val="TableNormal"/>
    <w:rsid w:val="008F3372"/>
    <w:rPr>
      <w:rFonts w:eastAsia="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Bullet2">
    <w:name w:val="Bullet 2"/>
    <w:basedOn w:val="Normal"/>
    <w:semiHidden/>
    <w:rsid w:val="008F3372"/>
    <w:pPr>
      <w:numPr>
        <w:numId w:val="8"/>
      </w:numPr>
      <w:spacing w:before="100" w:line="312" w:lineRule="auto"/>
    </w:pPr>
    <w:rPr>
      <w:rFonts w:eastAsia="Times New Roman"/>
      <w:lang w:eastAsia="en-AU"/>
    </w:rPr>
  </w:style>
  <w:style w:type="character" w:customStyle="1" w:styleId="Heading1Char">
    <w:name w:val="Heading 1 Char"/>
    <w:basedOn w:val="DefaultParagraphFont"/>
    <w:link w:val="Heading1"/>
    <w:uiPriority w:val="9"/>
    <w:rsid w:val="008F3372"/>
    <w:rPr>
      <w:rFonts w:asciiTheme="majorHAnsi" w:eastAsia="Times New Roman" w:hAnsiTheme="majorHAnsi" w:cs="Arial"/>
      <w:b/>
      <w:bCs/>
      <w:color w:val="22789A"/>
      <w:kern w:val="32"/>
      <w:sz w:val="32"/>
      <w:szCs w:val="32"/>
    </w:rPr>
  </w:style>
  <w:style w:type="character" w:customStyle="1" w:styleId="Heading2Char">
    <w:name w:val="Heading 2 Char"/>
    <w:aliases w:val="Paper Title Char"/>
    <w:basedOn w:val="DefaultParagraphFont"/>
    <w:link w:val="Heading2"/>
    <w:uiPriority w:val="9"/>
    <w:rsid w:val="008F3372"/>
    <w:rPr>
      <w:rFonts w:asciiTheme="majorHAnsi" w:eastAsia="Times New Roman" w:hAnsiTheme="majorHAnsi" w:cs="Arial"/>
      <w:b/>
      <w:bCs/>
      <w:iCs/>
      <w:color w:val="6CCCDE"/>
      <w:szCs w:val="28"/>
    </w:rPr>
  </w:style>
  <w:style w:type="character" w:customStyle="1" w:styleId="Heading3Char">
    <w:name w:val="Heading 3 Char"/>
    <w:basedOn w:val="DefaultParagraphFont"/>
    <w:link w:val="Heading3"/>
    <w:rsid w:val="008F3372"/>
    <w:rPr>
      <w:rFonts w:asciiTheme="majorHAnsi" w:eastAsia="Times New Roman" w:hAnsiTheme="majorHAnsi" w:cs="Arial"/>
      <w:bCs/>
      <w:color w:val="22789A"/>
    </w:rPr>
  </w:style>
  <w:style w:type="paragraph" w:styleId="TOC1">
    <w:name w:val="toc 1"/>
    <w:basedOn w:val="Normal"/>
    <w:next w:val="Normal"/>
    <w:autoRedefine/>
    <w:uiPriority w:val="39"/>
    <w:rsid w:val="008F3372"/>
    <w:pPr>
      <w:tabs>
        <w:tab w:val="right" w:pos="8931"/>
      </w:tabs>
      <w:spacing w:before="240" w:after="120"/>
      <w:ind w:left="1276" w:right="804" w:hanging="567"/>
    </w:pPr>
    <w:rPr>
      <w:rFonts w:eastAsia="Times New Roman"/>
      <w:b/>
      <w:noProof/>
      <w:szCs w:val="24"/>
    </w:rPr>
  </w:style>
  <w:style w:type="paragraph" w:styleId="FootnoteText">
    <w:name w:val="footnote text"/>
    <w:basedOn w:val="Normal"/>
    <w:link w:val="FootnoteTextChar"/>
    <w:uiPriority w:val="99"/>
    <w:rsid w:val="008F3372"/>
    <w:pPr>
      <w:ind w:left="2268" w:hanging="108"/>
    </w:pPr>
    <w:rPr>
      <w:rFonts w:eastAsia="Times New Roman"/>
      <w:sz w:val="16"/>
    </w:rPr>
  </w:style>
  <w:style w:type="character" w:customStyle="1" w:styleId="FootnoteTextChar">
    <w:name w:val="Footnote Text Char"/>
    <w:basedOn w:val="DefaultParagraphFont"/>
    <w:link w:val="FootnoteText"/>
    <w:uiPriority w:val="99"/>
    <w:rsid w:val="008F3372"/>
    <w:rPr>
      <w:rFonts w:ascii="Arial" w:eastAsia="Times New Roman" w:hAnsi="Arial"/>
      <w:color w:val="595A5B"/>
      <w:sz w:val="16"/>
    </w:rPr>
  </w:style>
  <w:style w:type="paragraph" w:styleId="Footer">
    <w:name w:val="footer"/>
    <w:basedOn w:val="Normal"/>
    <w:link w:val="FooterChar"/>
    <w:uiPriority w:val="99"/>
    <w:rsid w:val="008F3372"/>
    <w:pPr>
      <w:tabs>
        <w:tab w:val="right" w:pos="9680"/>
      </w:tabs>
    </w:pPr>
    <w:rPr>
      <w:rFonts w:eastAsia="Times New Roman"/>
      <w:sz w:val="16"/>
      <w:szCs w:val="16"/>
    </w:rPr>
  </w:style>
  <w:style w:type="character" w:customStyle="1" w:styleId="FooterChar">
    <w:name w:val="Footer Char"/>
    <w:basedOn w:val="DefaultParagraphFont"/>
    <w:link w:val="Footer"/>
    <w:uiPriority w:val="99"/>
    <w:rsid w:val="008F3372"/>
    <w:rPr>
      <w:rFonts w:ascii="Arial" w:eastAsia="Times New Roman" w:hAnsi="Arial"/>
      <w:color w:val="595A5B"/>
      <w:sz w:val="16"/>
      <w:szCs w:val="16"/>
    </w:rPr>
  </w:style>
  <w:style w:type="paragraph" w:styleId="TableofFigures">
    <w:name w:val="table of figures"/>
    <w:basedOn w:val="Normal"/>
    <w:next w:val="Normal"/>
    <w:uiPriority w:val="99"/>
    <w:rsid w:val="008F3372"/>
    <w:pPr>
      <w:tabs>
        <w:tab w:val="right" w:pos="8930"/>
      </w:tabs>
      <w:ind w:left="1134" w:right="804" w:hanging="440"/>
      <w:jc w:val="left"/>
    </w:pPr>
    <w:rPr>
      <w:rFonts w:asciiTheme="minorHAnsi" w:eastAsia="Times New Roman" w:hAnsiTheme="minorHAnsi"/>
      <w:b/>
      <w:bCs/>
      <w:noProof/>
      <w:lang w:val="en-US"/>
    </w:rPr>
  </w:style>
  <w:style w:type="character" w:styleId="FootnoteReference">
    <w:name w:val="footnote reference"/>
    <w:basedOn w:val="DefaultParagraphFont"/>
    <w:uiPriority w:val="99"/>
    <w:rsid w:val="008F3372"/>
    <w:rPr>
      <w:vertAlign w:val="superscript"/>
    </w:rPr>
  </w:style>
  <w:style w:type="character" w:styleId="PageNumber">
    <w:name w:val="page number"/>
    <w:rsid w:val="008F3372"/>
    <w:rPr>
      <w:rFonts w:ascii="Arial" w:hAnsi="Arial"/>
      <w:sz w:val="18"/>
    </w:rPr>
  </w:style>
  <w:style w:type="paragraph" w:styleId="BodyText">
    <w:name w:val="Body Text"/>
    <w:link w:val="BodyTextChar"/>
    <w:qFormat/>
    <w:rsid w:val="008F3372"/>
    <w:pPr>
      <w:spacing w:after="180" w:line="270" w:lineRule="exact"/>
      <w:ind w:left="2160"/>
      <w:jc w:val="both"/>
    </w:pPr>
    <w:rPr>
      <w:color w:val="595A5B"/>
      <w:sz w:val="20"/>
    </w:rPr>
  </w:style>
  <w:style w:type="character" w:customStyle="1" w:styleId="BodyTextChar">
    <w:name w:val="Body Text Char"/>
    <w:basedOn w:val="DefaultParagraphFont"/>
    <w:link w:val="BodyText"/>
    <w:rsid w:val="008F3372"/>
    <w:rPr>
      <w:color w:val="595A5B"/>
      <w:sz w:val="20"/>
    </w:rPr>
  </w:style>
  <w:style w:type="paragraph" w:styleId="Subtitle">
    <w:name w:val="Subtitle"/>
    <w:basedOn w:val="Normal"/>
    <w:next w:val="Normal"/>
    <w:link w:val="SubtitleChar"/>
    <w:rsid w:val="008F3372"/>
    <w:pPr>
      <w:numPr>
        <w:ilvl w:val="1"/>
      </w:numPr>
      <w:ind w:left="2160"/>
    </w:pPr>
    <w:rPr>
      <w:rFonts w:asciiTheme="majorHAnsi" w:eastAsiaTheme="majorEastAsia" w:hAnsiTheme="majorHAnsi" w:cstheme="majorBidi"/>
      <w:i/>
      <w:iCs/>
      <w:color w:val="22789A" w:themeColor="accent1"/>
      <w:spacing w:val="15"/>
      <w:sz w:val="24"/>
      <w:szCs w:val="24"/>
    </w:rPr>
  </w:style>
  <w:style w:type="character" w:customStyle="1" w:styleId="SubtitleChar">
    <w:name w:val="Subtitle Char"/>
    <w:basedOn w:val="DefaultParagraphFont"/>
    <w:link w:val="Subtitle"/>
    <w:rsid w:val="008F3372"/>
    <w:rPr>
      <w:rFonts w:asciiTheme="majorHAnsi" w:eastAsiaTheme="majorEastAsia" w:hAnsiTheme="majorHAnsi" w:cstheme="majorBidi"/>
      <w:i/>
      <w:iCs/>
      <w:color w:val="22789A" w:themeColor="accent1"/>
      <w:spacing w:val="15"/>
      <w:sz w:val="24"/>
      <w:szCs w:val="24"/>
    </w:rPr>
  </w:style>
  <w:style w:type="character" w:styleId="Hyperlink">
    <w:name w:val="Hyperlink"/>
    <w:uiPriority w:val="99"/>
    <w:rsid w:val="008F3372"/>
    <w:rPr>
      <w:color w:val="22789A"/>
      <w:u w:val="single"/>
    </w:rPr>
  </w:style>
  <w:style w:type="table" w:styleId="Table3Deffects1">
    <w:name w:val="Table 3D effects 1"/>
    <w:basedOn w:val="TableNormal"/>
    <w:rsid w:val="008F3372"/>
    <w:rPr>
      <w:rFonts w:eastAsia="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BalloonText">
    <w:name w:val="Balloon Text"/>
    <w:basedOn w:val="Normal"/>
    <w:link w:val="BalloonTextChar"/>
    <w:rsid w:val="008F3372"/>
    <w:rPr>
      <w:rFonts w:ascii="Tahoma" w:eastAsia="Times New Roman" w:hAnsi="Tahoma" w:cs="Tahoma"/>
      <w:sz w:val="16"/>
      <w:szCs w:val="16"/>
    </w:rPr>
  </w:style>
  <w:style w:type="character" w:customStyle="1" w:styleId="BalloonTextChar">
    <w:name w:val="Balloon Text Char"/>
    <w:basedOn w:val="DefaultParagraphFont"/>
    <w:link w:val="BalloonText"/>
    <w:rsid w:val="008F3372"/>
    <w:rPr>
      <w:rFonts w:ascii="Tahoma" w:eastAsia="Times New Roman" w:hAnsi="Tahoma" w:cs="Tahoma"/>
      <w:color w:val="595A5B"/>
      <w:sz w:val="16"/>
      <w:szCs w:val="16"/>
    </w:rPr>
  </w:style>
  <w:style w:type="table" w:styleId="TableGrid">
    <w:name w:val="Table Grid"/>
    <w:basedOn w:val="TableNormal"/>
    <w:uiPriority w:val="59"/>
    <w:rsid w:val="008F3372"/>
    <w:rPr>
      <w:rFonts w:eastAsia="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F3372"/>
    <w:rPr>
      <w:color w:val="808080"/>
    </w:rPr>
  </w:style>
  <w:style w:type="table" w:styleId="MediumGrid3-Accent1">
    <w:name w:val="Medium Grid 3 Accent 1"/>
    <w:basedOn w:val="TableNormal"/>
    <w:uiPriority w:val="69"/>
    <w:rsid w:val="008F3372"/>
    <w:rPr>
      <w:rFonts w:eastAsia="Times New Roman"/>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2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2789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2789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2789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2789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C4E2"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C4E2" w:themeFill="accent1" w:themeFillTint="7F"/>
      </w:tcPr>
    </w:tblStylePr>
  </w:style>
  <w:style w:type="table" w:styleId="ColorfulGrid-Accent1">
    <w:name w:val="Colorful Grid Accent 1"/>
    <w:basedOn w:val="TableNormal"/>
    <w:uiPriority w:val="73"/>
    <w:rsid w:val="008F3372"/>
    <w:rPr>
      <w:rFonts w:eastAsia="Times New Roman"/>
      <w:color w:val="595A5B" w:themeColor="text1"/>
      <w:lang w:eastAsia="en-AU"/>
    </w:rPr>
    <w:tblPr>
      <w:tblStyleRowBandSize w:val="1"/>
      <w:tblStyleColBandSize w:val="1"/>
      <w:tblBorders>
        <w:insideH w:val="single" w:sz="4" w:space="0" w:color="FFFFFF" w:themeColor="background1"/>
      </w:tblBorders>
    </w:tblPr>
    <w:tcPr>
      <w:shd w:val="clear" w:color="auto" w:fill="CAE7F3" w:themeFill="accent1" w:themeFillTint="33"/>
    </w:tcPr>
    <w:tblStylePr w:type="firstRow">
      <w:rPr>
        <w:b/>
        <w:bCs/>
      </w:rPr>
      <w:tblPr/>
      <w:tcPr>
        <w:shd w:val="clear" w:color="auto" w:fill="95D0E7" w:themeFill="accent1" w:themeFillTint="66"/>
      </w:tcPr>
    </w:tblStylePr>
    <w:tblStylePr w:type="lastRow">
      <w:rPr>
        <w:b/>
        <w:bCs/>
        <w:color w:val="595A5B" w:themeColor="text1"/>
      </w:rPr>
      <w:tblPr/>
      <w:tcPr>
        <w:shd w:val="clear" w:color="auto" w:fill="95D0E7" w:themeFill="accent1" w:themeFillTint="66"/>
      </w:tcPr>
    </w:tblStylePr>
    <w:tblStylePr w:type="firstCol">
      <w:rPr>
        <w:color w:val="FFFFFF" w:themeColor="background1"/>
      </w:rPr>
      <w:tblPr/>
      <w:tcPr>
        <w:shd w:val="clear" w:color="auto" w:fill="195973" w:themeFill="accent1" w:themeFillShade="BF"/>
      </w:tcPr>
    </w:tblStylePr>
    <w:tblStylePr w:type="lastCol">
      <w:rPr>
        <w:color w:val="FFFFFF" w:themeColor="background1"/>
      </w:rPr>
      <w:tblPr/>
      <w:tcPr>
        <w:shd w:val="clear" w:color="auto" w:fill="195973" w:themeFill="accent1" w:themeFillShade="BF"/>
      </w:tcPr>
    </w:tblStylePr>
    <w:tblStylePr w:type="band1Vert">
      <w:tblPr/>
      <w:tcPr>
        <w:shd w:val="clear" w:color="auto" w:fill="7BC4E2" w:themeFill="accent1" w:themeFillTint="7F"/>
      </w:tcPr>
    </w:tblStylePr>
    <w:tblStylePr w:type="band1Horz">
      <w:tblPr/>
      <w:tcPr>
        <w:shd w:val="clear" w:color="auto" w:fill="7BC4E2" w:themeFill="accent1" w:themeFillTint="7F"/>
      </w:tcPr>
    </w:tblStylePr>
  </w:style>
  <w:style w:type="character" w:styleId="IntenseEmphasis">
    <w:name w:val="Intense Emphasis"/>
    <w:basedOn w:val="DefaultParagraphFont"/>
    <w:uiPriority w:val="21"/>
    <w:rsid w:val="008F3372"/>
    <w:rPr>
      <w:b/>
      <w:bCs/>
      <w:i/>
      <w:iCs/>
      <w:color w:val="22789A" w:themeColor="accent1"/>
    </w:rPr>
  </w:style>
  <w:style w:type="paragraph" w:styleId="Bibliography">
    <w:name w:val="Bibliography"/>
    <w:basedOn w:val="Normal"/>
    <w:next w:val="Normal"/>
    <w:uiPriority w:val="37"/>
    <w:unhideWhenUsed/>
    <w:rsid w:val="008F3372"/>
    <w:rPr>
      <w:rFonts w:eastAsia="Times New Roman"/>
    </w:rPr>
  </w:style>
  <w:style w:type="paragraph" w:styleId="TOCHeading">
    <w:name w:val="TOC Heading"/>
    <w:basedOn w:val="Heading1"/>
    <w:next w:val="Normal"/>
    <w:uiPriority w:val="39"/>
    <w:semiHidden/>
    <w:unhideWhenUsed/>
    <w:qFormat/>
    <w:rsid w:val="008F3372"/>
    <w:pPr>
      <w:keepLines/>
      <w:numPr>
        <w:numId w:val="0"/>
      </w:numPr>
      <w:spacing w:before="480" w:line="276" w:lineRule="auto"/>
      <w:outlineLvl w:val="9"/>
    </w:pPr>
    <w:rPr>
      <w:rFonts w:eastAsiaTheme="majorEastAsia" w:cstheme="majorBidi"/>
      <w:color w:val="195973" w:themeColor="accent1" w:themeShade="BF"/>
      <w:kern w:val="0"/>
      <w:sz w:val="28"/>
      <w:szCs w:val="28"/>
      <w:lang w:eastAsia="ja-JP"/>
    </w:rPr>
  </w:style>
  <w:style w:type="table" w:styleId="Table3Deffects2">
    <w:name w:val="Table 3D effects 2"/>
    <w:basedOn w:val="TableNormal"/>
    <w:rsid w:val="008F3372"/>
    <w:rPr>
      <w:rFonts w:eastAsia="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OCEHeadings">
    <w:name w:val="OCE Headings"/>
    <w:uiPriority w:val="99"/>
    <w:rsid w:val="008F3372"/>
    <w:pPr>
      <w:numPr>
        <w:numId w:val="2"/>
      </w:numPr>
    </w:pPr>
  </w:style>
  <w:style w:type="character" w:customStyle="1" w:styleId="Heading4Char">
    <w:name w:val="Heading 4 Char"/>
    <w:basedOn w:val="DefaultParagraphFont"/>
    <w:link w:val="Heading4"/>
    <w:uiPriority w:val="9"/>
    <w:rsid w:val="008F3372"/>
    <w:rPr>
      <w:rFonts w:asciiTheme="majorHAnsi" w:eastAsiaTheme="majorEastAsia" w:hAnsiTheme="majorHAnsi" w:cstheme="majorBidi"/>
      <w:b/>
      <w:bCs/>
      <w:i/>
      <w:iCs/>
      <w:sz w:val="20"/>
    </w:rPr>
  </w:style>
  <w:style w:type="character" w:customStyle="1" w:styleId="Heading6Char">
    <w:name w:val="Heading 6 Char"/>
    <w:aliases w:val="CS Heading 6 Char,Legal Level 1. Char,Level 1 Char"/>
    <w:basedOn w:val="DefaultParagraphFont"/>
    <w:link w:val="Heading6"/>
    <w:uiPriority w:val="9"/>
    <w:rsid w:val="008F3372"/>
    <w:rPr>
      <w:rFonts w:asciiTheme="majorHAnsi" w:eastAsiaTheme="majorEastAsia" w:hAnsiTheme="majorHAnsi" w:cstheme="majorBidi"/>
      <w:b/>
      <w:iCs/>
      <w:color w:val="22789A"/>
      <w:sz w:val="32"/>
    </w:rPr>
  </w:style>
  <w:style w:type="paragraph" w:styleId="ListParagraph">
    <w:name w:val="List Paragraph"/>
    <w:basedOn w:val="ListBullet"/>
    <w:link w:val="ListParagraphChar"/>
    <w:uiPriority w:val="34"/>
    <w:qFormat/>
    <w:rsid w:val="008F3372"/>
    <w:pPr>
      <w:numPr>
        <w:numId w:val="0"/>
      </w:numPr>
    </w:pPr>
  </w:style>
  <w:style w:type="character" w:customStyle="1" w:styleId="ListParagraphChar">
    <w:name w:val="List Paragraph Char"/>
    <w:basedOn w:val="DefaultParagraphFont"/>
    <w:link w:val="ListParagraph"/>
    <w:uiPriority w:val="34"/>
    <w:rsid w:val="008F3372"/>
    <w:rPr>
      <w:color w:val="595A5B"/>
      <w:sz w:val="20"/>
    </w:rPr>
  </w:style>
  <w:style w:type="numbering" w:customStyle="1" w:styleId="OCEBulletedList">
    <w:name w:val="OCE Bulleted List"/>
    <w:uiPriority w:val="99"/>
    <w:rsid w:val="008F3372"/>
    <w:pPr>
      <w:numPr>
        <w:numId w:val="3"/>
      </w:numPr>
    </w:pPr>
  </w:style>
  <w:style w:type="paragraph" w:styleId="ListBullet">
    <w:name w:val="List Bullet"/>
    <w:basedOn w:val="BodyText"/>
    <w:uiPriority w:val="4"/>
    <w:qFormat/>
    <w:rsid w:val="008F3372"/>
    <w:pPr>
      <w:numPr>
        <w:numId w:val="10"/>
      </w:numPr>
      <w:spacing w:after="120"/>
    </w:pPr>
  </w:style>
  <w:style w:type="paragraph" w:styleId="ListContinue2">
    <w:name w:val="List Continue 2"/>
    <w:basedOn w:val="Normal"/>
    <w:rsid w:val="008F3372"/>
    <w:pPr>
      <w:spacing w:after="120"/>
      <w:ind w:left="566"/>
      <w:contextualSpacing/>
    </w:pPr>
  </w:style>
  <w:style w:type="paragraph" w:styleId="ListBullet2">
    <w:name w:val="List Bullet 2"/>
    <w:basedOn w:val="ListBullet"/>
    <w:uiPriority w:val="4"/>
    <w:qFormat/>
    <w:rsid w:val="008F3372"/>
    <w:pPr>
      <w:numPr>
        <w:ilvl w:val="1"/>
      </w:numPr>
    </w:pPr>
  </w:style>
  <w:style w:type="paragraph" w:styleId="ListBullet4">
    <w:name w:val="List Bullet 4"/>
    <w:basedOn w:val="ListBullet3"/>
    <w:rsid w:val="008F3372"/>
    <w:pPr>
      <w:numPr>
        <w:ilvl w:val="3"/>
      </w:numPr>
    </w:pPr>
  </w:style>
  <w:style w:type="paragraph" w:styleId="ListBullet3">
    <w:name w:val="List Bullet 3"/>
    <w:basedOn w:val="ListBullet2"/>
    <w:uiPriority w:val="4"/>
    <w:qFormat/>
    <w:rsid w:val="008F3372"/>
    <w:pPr>
      <w:numPr>
        <w:ilvl w:val="2"/>
      </w:numPr>
    </w:pPr>
  </w:style>
  <w:style w:type="paragraph" w:styleId="ListNumber">
    <w:name w:val="List Number"/>
    <w:basedOn w:val="Normal"/>
    <w:uiPriority w:val="4"/>
    <w:qFormat/>
    <w:rsid w:val="008F3372"/>
    <w:pPr>
      <w:numPr>
        <w:numId w:val="11"/>
      </w:numPr>
      <w:spacing w:after="120"/>
    </w:pPr>
  </w:style>
  <w:style w:type="paragraph" w:styleId="ListNumber2">
    <w:name w:val="List Number 2"/>
    <w:basedOn w:val="Normal"/>
    <w:uiPriority w:val="4"/>
    <w:qFormat/>
    <w:rsid w:val="008F3372"/>
    <w:pPr>
      <w:numPr>
        <w:ilvl w:val="1"/>
        <w:numId w:val="11"/>
      </w:numPr>
      <w:spacing w:after="120"/>
    </w:pPr>
  </w:style>
  <w:style w:type="paragraph" w:styleId="ListNumber3">
    <w:name w:val="List Number 3"/>
    <w:basedOn w:val="Normal"/>
    <w:uiPriority w:val="4"/>
    <w:qFormat/>
    <w:rsid w:val="008F3372"/>
    <w:pPr>
      <w:numPr>
        <w:ilvl w:val="2"/>
        <w:numId w:val="11"/>
      </w:numPr>
      <w:spacing w:after="120"/>
    </w:pPr>
  </w:style>
  <w:style w:type="character" w:customStyle="1" w:styleId="Heading7Char">
    <w:name w:val="Heading 7 Char"/>
    <w:aliases w:val="Figure Box Char"/>
    <w:basedOn w:val="DefaultParagraphFont"/>
    <w:link w:val="Heading7"/>
    <w:uiPriority w:val="9"/>
    <w:rsid w:val="008F3372"/>
    <w:rPr>
      <w:rFonts w:asciiTheme="majorHAnsi" w:eastAsiaTheme="majorEastAsia" w:hAnsiTheme="majorHAnsi" w:cstheme="majorBidi"/>
      <w:b/>
      <w:iCs/>
      <w:color w:val="6CCCDE"/>
    </w:rPr>
  </w:style>
  <w:style w:type="paragraph" w:styleId="BodyTextFirstIndent">
    <w:name w:val="Body Text First Indent"/>
    <w:basedOn w:val="BodyText"/>
    <w:link w:val="BodyTextFirstIndentChar"/>
    <w:semiHidden/>
    <w:rsid w:val="008F3372"/>
    <w:pPr>
      <w:ind w:firstLine="360"/>
    </w:pPr>
    <w:rPr>
      <w:rFonts w:ascii="Arial" w:hAnsi="Arial"/>
    </w:rPr>
  </w:style>
  <w:style w:type="character" w:customStyle="1" w:styleId="BodyTextFirstIndentChar">
    <w:name w:val="Body Text First Indent Char"/>
    <w:basedOn w:val="BodyTextChar"/>
    <w:link w:val="BodyTextFirstIndent"/>
    <w:semiHidden/>
    <w:rsid w:val="008F3372"/>
    <w:rPr>
      <w:rFonts w:ascii="Arial" w:hAnsi="Arial"/>
      <w:color w:val="595A5B"/>
      <w:sz w:val="20"/>
    </w:rPr>
  </w:style>
  <w:style w:type="paragraph" w:styleId="BodyTextIndent">
    <w:name w:val="Body Text Indent"/>
    <w:basedOn w:val="Normal"/>
    <w:link w:val="BodyTextIndentChar"/>
    <w:semiHidden/>
    <w:unhideWhenUsed/>
    <w:rsid w:val="008F3372"/>
    <w:pPr>
      <w:spacing w:after="120"/>
      <w:ind w:left="283"/>
    </w:pPr>
  </w:style>
  <w:style w:type="character" w:customStyle="1" w:styleId="BodyTextIndentChar">
    <w:name w:val="Body Text Indent Char"/>
    <w:basedOn w:val="DefaultParagraphFont"/>
    <w:link w:val="BodyTextIndent"/>
    <w:semiHidden/>
    <w:rsid w:val="008F3372"/>
    <w:rPr>
      <w:rFonts w:ascii="Arial" w:hAnsi="Arial"/>
      <w:color w:val="595A5B"/>
      <w:sz w:val="20"/>
    </w:rPr>
  </w:style>
  <w:style w:type="paragraph" w:styleId="BodyTextFirstIndent2">
    <w:name w:val="Body Text First Indent 2"/>
    <w:basedOn w:val="BodyTextIndent"/>
    <w:link w:val="BodyTextFirstIndent2Char"/>
    <w:semiHidden/>
    <w:rsid w:val="008F3372"/>
    <w:pPr>
      <w:spacing w:after="180"/>
      <w:ind w:left="360" w:firstLine="360"/>
    </w:pPr>
  </w:style>
  <w:style w:type="character" w:customStyle="1" w:styleId="BodyTextFirstIndent2Char">
    <w:name w:val="Body Text First Indent 2 Char"/>
    <w:basedOn w:val="BodyTextIndentChar"/>
    <w:link w:val="BodyTextFirstIndent2"/>
    <w:semiHidden/>
    <w:rsid w:val="008F3372"/>
    <w:rPr>
      <w:rFonts w:ascii="Arial" w:hAnsi="Arial"/>
      <w:color w:val="595A5B"/>
      <w:sz w:val="20"/>
    </w:rPr>
  </w:style>
  <w:style w:type="character" w:customStyle="1" w:styleId="Heading8Char">
    <w:name w:val="Heading 8 Char"/>
    <w:aliases w:val="Table Box Char"/>
    <w:basedOn w:val="DefaultParagraphFont"/>
    <w:link w:val="Heading8"/>
    <w:uiPriority w:val="9"/>
    <w:rsid w:val="008F3372"/>
    <w:rPr>
      <w:rFonts w:asciiTheme="majorHAnsi" w:eastAsiaTheme="majorEastAsia" w:hAnsiTheme="majorHAnsi" w:cstheme="majorBidi"/>
      <w:color w:val="22789A"/>
      <w:szCs w:val="20"/>
    </w:rPr>
  </w:style>
  <w:style w:type="paragraph" w:customStyle="1" w:styleId="Source">
    <w:name w:val="Source"/>
    <w:basedOn w:val="Normal"/>
    <w:next w:val="BodyText"/>
    <w:link w:val="SourceChar"/>
    <w:qFormat/>
    <w:rsid w:val="008F3372"/>
    <w:pPr>
      <w:keepLines/>
      <w:pBdr>
        <w:bottom w:val="single" w:sz="4" w:space="1" w:color="595A5B"/>
      </w:pBdr>
      <w:spacing w:before="60" w:after="360" w:line="270" w:lineRule="exact"/>
    </w:pPr>
    <w:rPr>
      <w:rFonts w:eastAsia="Times New Roman" w:cs="Arial"/>
      <w:color w:val="22789A"/>
      <w:sz w:val="16"/>
      <w:szCs w:val="20"/>
    </w:rPr>
  </w:style>
  <w:style w:type="character" w:customStyle="1" w:styleId="SourceChar">
    <w:name w:val="Source Char"/>
    <w:basedOn w:val="DefaultParagraphFont"/>
    <w:link w:val="Source"/>
    <w:rsid w:val="008F3372"/>
    <w:rPr>
      <w:rFonts w:ascii="Arial" w:eastAsia="Times New Roman" w:hAnsi="Arial" w:cs="Arial"/>
      <w:color w:val="22789A"/>
      <w:sz w:val="16"/>
      <w:szCs w:val="20"/>
    </w:rPr>
  </w:style>
  <w:style w:type="paragraph" w:customStyle="1" w:styleId="Tabletext">
    <w:name w:val="Table text"/>
    <w:basedOn w:val="Normal"/>
    <w:link w:val="TabletextChar"/>
    <w:qFormat/>
    <w:rsid w:val="008F3372"/>
    <w:pPr>
      <w:keepNext/>
      <w:keepLines/>
      <w:spacing w:before="60" w:after="60"/>
      <w:ind w:left="0"/>
      <w:jc w:val="left"/>
    </w:pPr>
    <w:rPr>
      <w:rFonts w:cs="Arial"/>
      <w:sz w:val="18"/>
      <w:szCs w:val="18"/>
    </w:rPr>
  </w:style>
  <w:style w:type="character" w:customStyle="1" w:styleId="TabletextChar">
    <w:name w:val="Table text Char"/>
    <w:basedOn w:val="DefaultParagraphFont"/>
    <w:link w:val="Tabletext"/>
    <w:rsid w:val="008F3372"/>
    <w:rPr>
      <w:rFonts w:ascii="Arial" w:hAnsi="Arial" w:cs="Arial"/>
      <w:color w:val="595A5B"/>
      <w:sz w:val="18"/>
      <w:szCs w:val="18"/>
    </w:rPr>
  </w:style>
  <w:style w:type="paragraph" w:customStyle="1" w:styleId="Tableheader">
    <w:name w:val="Table header"/>
    <w:basedOn w:val="Normal"/>
    <w:link w:val="TableheaderChar"/>
    <w:qFormat/>
    <w:rsid w:val="008F3372"/>
    <w:pPr>
      <w:keepNext/>
      <w:spacing w:before="120" w:after="120"/>
      <w:ind w:left="0"/>
      <w:jc w:val="left"/>
    </w:pPr>
    <w:rPr>
      <w:rFonts w:cs="Arial"/>
      <w:i/>
      <w:color w:val="FFFFFF" w:themeColor="background1"/>
      <w:sz w:val="18"/>
      <w:szCs w:val="18"/>
    </w:rPr>
  </w:style>
  <w:style w:type="character" w:customStyle="1" w:styleId="TableheaderChar">
    <w:name w:val="Table header Char"/>
    <w:basedOn w:val="DefaultParagraphFont"/>
    <w:link w:val="Tableheader"/>
    <w:rsid w:val="008F3372"/>
    <w:rPr>
      <w:rFonts w:ascii="Arial" w:hAnsi="Arial" w:cs="Arial"/>
      <w:i/>
      <w:color w:val="FFFFFF" w:themeColor="background1"/>
      <w:sz w:val="18"/>
      <w:szCs w:val="18"/>
    </w:rPr>
  </w:style>
  <w:style w:type="paragraph" w:styleId="Caption">
    <w:name w:val="caption"/>
    <w:basedOn w:val="Normal"/>
    <w:next w:val="Placeholder"/>
    <w:rsid w:val="008F3372"/>
    <w:pPr>
      <w:keepNext/>
      <w:keepLines/>
      <w:pBdr>
        <w:top w:val="single" w:sz="2" w:space="1" w:color="595A5B"/>
      </w:pBdr>
      <w:spacing w:before="360" w:after="240" w:line="240" w:lineRule="atLeast"/>
    </w:pPr>
    <w:rPr>
      <w:bCs/>
      <w:color w:val="22789A" w:themeColor="accent1"/>
      <w:sz w:val="18"/>
      <w:szCs w:val="18"/>
    </w:rPr>
  </w:style>
  <w:style w:type="paragraph" w:customStyle="1" w:styleId="Note">
    <w:name w:val="Note"/>
    <w:basedOn w:val="Source"/>
    <w:rsid w:val="008F3372"/>
    <w:pPr>
      <w:keepNext/>
      <w:spacing w:after="60"/>
    </w:pPr>
  </w:style>
  <w:style w:type="table" w:customStyle="1" w:styleId="OCETable">
    <w:name w:val="OCE Table"/>
    <w:basedOn w:val="TableNormal"/>
    <w:uiPriority w:val="99"/>
    <w:rsid w:val="008F3372"/>
    <w:rPr>
      <w:sz w:val="18"/>
    </w:rPr>
    <w:tblPr/>
    <w:tcPr>
      <w:shd w:val="clear" w:color="auto" w:fill="CAE7F3" w:themeFill="accent1" w:themeFillTint="33"/>
    </w:tcPr>
    <w:tblStylePr w:type="firstRow">
      <w:rPr>
        <w:rFonts w:asciiTheme="minorHAnsi" w:hAnsiTheme="minorHAnsi"/>
        <w:b w:val="0"/>
        <w:i w:val="0"/>
        <w:color w:val="FFFFFF" w:themeColor="text2"/>
        <w:sz w:val="18"/>
      </w:rPr>
      <w:tblPr/>
      <w:tcPr>
        <w:tcBorders>
          <w:top w:val="nil"/>
          <w:left w:val="nil"/>
          <w:bottom w:val="nil"/>
          <w:right w:val="nil"/>
          <w:insideH w:val="nil"/>
          <w:insideV w:val="nil"/>
          <w:tl2br w:val="nil"/>
          <w:tr2bl w:val="nil"/>
        </w:tcBorders>
        <w:shd w:val="clear" w:color="auto" w:fill="22789A" w:themeFill="accent1"/>
      </w:tcPr>
    </w:tblStylePr>
  </w:style>
  <w:style w:type="paragraph" w:customStyle="1" w:styleId="CaptionWide">
    <w:name w:val="Caption Wide"/>
    <w:basedOn w:val="Caption"/>
    <w:next w:val="PlaceholderWide"/>
    <w:rsid w:val="008F3372"/>
    <w:pPr>
      <w:ind w:left="0"/>
    </w:pPr>
  </w:style>
  <w:style w:type="paragraph" w:customStyle="1" w:styleId="NoteWide">
    <w:name w:val="Note Wide"/>
    <w:basedOn w:val="Note"/>
    <w:rsid w:val="008F3372"/>
    <w:pPr>
      <w:ind w:left="0"/>
    </w:pPr>
  </w:style>
  <w:style w:type="paragraph" w:customStyle="1" w:styleId="SourceWide">
    <w:name w:val="Source Wide"/>
    <w:basedOn w:val="Source"/>
    <w:next w:val="BodyText"/>
    <w:rsid w:val="008F3372"/>
    <w:pPr>
      <w:ind w:left="0"/>
    </w:pPr>
  </w:style>
  <w:style w:type="paragraph" w:customStyle="1" w:styleId="Placeholder">
    <w:name w:val="Placeholder"/>
    <w:basedOn w:val="Normal"/>
    <w:rsid w:val="008F3372"/>
    <w:pPr>
      <w:keepNext/>
      <w:keepLines/>
      <w:ind w:left="0"/>
      <w:jc w:val="center"/>
    </w:pPr>
    <w:rPr>
      <w:sz w:val="18"/>
    </w:rPr>
  </w:style>
  <w:style w:type="paragraph" w:customStyle="1" w:styleId="PlaceholderWide">
    <w:name w:val="Placeholder Wide"/>
    <w:basedOn w:val="Placeholder"/>
    <w:rsid w:val="008F3372"/>
  </w:style>
  <w:style w:type="paragraph" w:customStyle="1" w:styleId="Boxtext">
    <w:name w:val="Box text"/>
    <w:basedOn w:val="Placeholder"/>
    <w:link w:val="BoxtextChar"/>
    <w:qFormat/>
    <w:rsid w:val="008F3372"/>
    <w:pPr>
      <w:spacing w:before="120" w:after="120" w:line="260" w:lineRule="atLeast"/>
      <w:jc w:val="left"/>
    </w:pPr>
    <w:rPr>
      <w:rFonts w:eastAsia="Times New Roman" w:cs="Arial"/>
      <w:szCs w:val="18"/>
    </w:rPr>
  </w:style>
  <w:style w:type="numbering" w:customStyle="1" w:styleId="OCENumberedList">
    <w:name w:val="OCE Numbered List"/>
    <w:uiPriority w:val="99"/>
    <w:rsid w:val="008F3372"/>
    <w:pPr>
      <w:numPr>
        <w:numId w:val="4"/>
      </w:numPr>
    </w:pPr>
  </w:style>
  <w:style w:type="paragraph" w:customStyle="1" w:styleId="UnnumberedHeading">
    <w:name w:val="Unnumbered Heading"/>
    <w:next w:val="BodyText"/>
    <w:link w:val="UnnumberedHeadingChar"/>
    <w:rsid w:val="008F3372"/>
    <w:pPr>
      <w:keepNext/>
      <w:spacing w:before="300" w:after="180" w:line="280" w:lineRule="exact"/>
      <w:ind w:left="2194" w:right="57"/>
    </w:pPr>
    <w:rPr>
      <w:rFonts w:ascii="Arial" w:eastAsia="Times New Roman" w:hAnsi="Arial" w:cs="Times New Roman"/>
      <w:b/>
      <w:color w:val="22789A"/>
      <w:kern w:val="32"/>
      <w:sz w:val="32"/>
      <w:szCs w:val="20"/>
    </w:rPr>
  </w:style>
  <w:style w:type="character" w:customStyle="1" w:styleId="UnnumberedHeadingChar">
    <w:name w:val="Unnumbered Heading Char"/>
    <w:basedOn w:val="Heading1Char"/>
    <w:link w:val="UnnumberedHeading"/>
    <w:rsid w:val="008F3372"/>
    <w:rPr>
      <w:rFonts w:ascii="Arial" w:eastAsia="Times New Roman" w:hAnsi="Arial" w:cs="Times New Roman"/>
      <w:b/>
      <w:bCs w:val="0"/>
      <w:color w:val="22789A"/>
      <w:kern w:val="32"/>
      <w:sz w:val="32"/>
      <w:szCs w:val="20"/>
    </w:rPr>
  </w:style>
  <w:style w:type="paragraph" w:styleId="Title">
    <w:name w:val="Title"/>
    <w:basedOn w:val="ResearchPaper"/>
    <w:next w:val="Normal"/>
    <w:link w:val="TitleChar"/>
    <w:rsid w:val="008F3372"/>
    <w:pPr>
      <w:spacing w:before="600" w:after="600" w:line="240" w:lineRule="auto"/>
    </w:pPr>
    <w:rPr>
      <w:rFonts w:asciiTheme="majorHAnsi" w:hAnsiTheme="majorHAnsi"/>
      <w:b w:val="0"/>
      <w:color w:val="22789A"/>
      <w:sz w:val="72"/>
    </w:rPr>
  </w:style>
  <w:style w:type="character" w:customStyle="1" w:styleId="TitleChar">
    <w:name w:val="Title Char"/>
    <w:basedOn w:val="DefaultParagraphFont"/>
    <w:link w:val="Title"/>
    <w:rsid w:val="008F3372"/>
    <w:rPr>
      <w:rFonts w:asciiTheme="majorHAnsi" w:eastAsia="Times New Roman" w:hAnsiTheme="majorHAnsi" w:cs="Arial"/>
      <w:caps/>
      <w:color w:val="22789A"/>
      <w:sz w:val="72"/>
      <w:szCs w:val="20"/>
    </w:rPr>
  </w:style>
  <w:style w:type="paragraph" w:customStyle="1" w:styleId="ResearchPaper">
    <w:name w:val="Research Paper #"/>
    <w:basedOn w:val="CoverNormal"/>
    <w:next w:val="CoverNormal"/>
    <w:link w:val="ResearchPaperChar"/>
    <w:rsid w:val="008F3372"/>
    <w:pPr>
      <w:spacing w:before="240" w:line="270" w:lineRule="exact"/>
    </w:pPr>
    <w:rPr>
      <w:rFonts w:eastAsia="Times New Roman" w:cs="Arial"/>
      <w:b/>
      <w:caps/>
      <w:sz w:val="21"/>
      <w:szCs w:val="20"/>
    </w:rPr>
  </w:style>
  <w:style w:type="character" w:customStyle="1" w:styleId="ResearchPaperChar">
    <w:name w:val="Research Paper # Char"/>
    <w:link w:val="ResearchPaper"/>
    <w:rsid w:val="008F3372"/>
    <w:rPr>
      <w:rFonts w:eastAsia="Times New Roman" w:cs="Arial"/>
      <w:b/>
      <w:caps/>
      <w:color w:val="595A5B"/>
      <w:sz w:val="21"/>
      <w:szCs w:val="20"/>
    </w:rPr>
  </w:style>
  <w:style w:type="paragraph" w:customStyle="1" w:styleId="Author">
    <w:name w:val="Author"/>
    <w:basedOn w:val="Normal"/>
    <w:link w:val="AuthorChar"/>
    <w:qFormat/>
    <w:rsid w:val="008F3372"/>
    <w:pPr>
      <w:spacing w:before="180" w:line="270" w:lineRule="exact"/>
      <w:ind w:left="0"/>
      <w:jc w:val="left"/>
    </w:pPr>
    <w:rPr>
      <w:rFonts w:eastAsia="Times New Roman" w:cs="Arial"/>
      <w:b/>
      <w:color w:val="22789A"/>
      <w:sz w:val="32"/>
      <w:szCs w:val="20"/>
    </w:rPr>
  </w:style>
  <w:style w:type="character" w:customStyle="1" w:styleId="AuthorChar">
    <w:name w:val="Author Char"/>
    <w:basedOn w:val="DefaultParagraphFont"/>
    <w:link w:val="Author"/>
    <w:rsid w:val="008F3372"/>
    <w:rPr>
      <w:rFonts w:ascii="Arial" w:eastAsia="Times New Roman" w:hAnsi="Arial" w:cs="Arial"/>
      <w:b/>
      <w:color w:val="22789A"/>
      <w:sz w:val="32"/>
      <w:szCs w:val="20"/>
    </w:rPr>
  </w:style>
  <w:style w:type="paragraph" w:customStyle="1" w:styleId="MonthYear">
    <w:name w:val="Month Year"/>
    <w:basedOn w:val="Normal"/>
    <w:link w:val="MonthYearChar"/>
    <w:qFormat/>
    <w:rsid w:val="008F3372"/>
    <w:pPr>
      <w:spacing w:before="720" w:line="270" w:lineRule="exact"/>
      <w:ind w:left="0"/>
      <w:jc w:val="left"/>
    </w:pPr>
    <w:rPr>
      <w:rFonts w:asciiTheme="minorHAnsi" w:eastAsia="Times New Roman" w:hAnsiTheme="minorHAnsi" w:cs="Arial"/>
      <w:b/>
      <w:color w:val="9ED9DF"/>
      <w:szCs w:val="20"/>
    </w:rPr>
  </w:style>
  <w:style w:type="character" w:customStyle="1" w:styleId="MonthYearChar">
    <w:name w:val="Month Year Char"/>
    <w:basedOn w:val="DefaultParagraphFont"/>
    <w:link w:val="MonthYear"/>
    <w:rsid w:val="008F3372"/>
    <w:rPr>
      <w:rFonts w:eastAsia="Times New Roman" w:cs="Arial"/>
      <w:b/>
      <w:color w:val="9ED9DF"/>
      <w:sz w:val="20"/>
      <w:szCs w:val="20"/>
    </w:rPr>
  </w:style>
  <w:style w:type="paragraph" w:customStyle="1" w:styleId="AbstractHeader">
    <w:name w:val="Abstract Header"/>
    <w:basedOn w:val="Normal"/>
    <w:link w:val="AbstractHeaderChar"/>
    <w:qFormat/>
    <w:rsid w:val="008F3372"/>
    <w:pPr>
      <w:spacing w:before="360" w:line="270" w:lineRule="exact"/>
      <w:ind w:left="0"/>
    </w:pPr>
    <w:rPr>
      <w:rFonts w:eastAsia="Times New Roman" w:cs="Arial"/>
      <w:color w:val="22789A"/>
      <w:sz w:val="32"/>
      <w:szCs w:val="20"/>
    </w:rPr>
  </w:style>
  <w:style w:type="character" w:customStyle="1" w:styleId="AbstractHeaderChar">
    <w:name w:val="Abstract Header Char"/>
    <w:basedOn w:val="DefaultParagraphFont"/>
    <w:link w:val="AbstractHeader"/>
    <w:rsid w:val="008F3372"/>
    <w:rPr>
      <w:rFonts w:ascii="Arial" w:eastAsia="Times New Roman" w:hAnsi="Arial" w:cs="Arial"/>
      <w:color w:val="22789A"/>
      <w:sz w:val="32"/>
      <w:szCs w:val="20"/>
    </w:rPr>
  </w:style>
  <w:style w:type="numbering" w:customStyle="1" w:styleId="EASDMultilevelList">
    <w:name w:val="EASD Multilevel List"/>
    <w:uiPriority w:val="99"/>
    <w:rsid w:val="008F3372"/>
    <w:pPr>
      <w:numPr>
        <w:numId w:val="5"/>
      </w:numPr>
    </w:pPr>
  </w:style>
  <w:style w:type="numbering" w:styleId="111111">
    <w:name w:val="Outline List 2"/>
    <w:basedOn w:val="NoList"/>
    <w:rsid w:val="008F3372"/>
    <w:pPr>
      <w:numPr>
        <w:numId w:val="1"/>
      </w:numPr>
    </w:pPr>
  </w:style>
  <w:style w:type="paragraph" w:customStyle="1" w:styleId="Abstractbodytext">
    <w:name w:val="Abstract body text"/>
    <w:basedOn w:val="CoverNormal"/>
    <w:link w:val="AbstractbodytextChar"/>
    <w:qFormat/>
    <w:rsid w:val="008F3372"/>
    <w:pPr>
      <w:spacing w:before="60" w:after="60" w:line="270" w:lineRule="exact"/>
      <w:jc w:val="both"/>
    </w:pPr>
    <w:rPr>
      <w:rFonts w:eastAsia="Times New Roman" w:cs="Arial"/>
      <w:szCs w:val="20"/>
    </w:rPr>
  </w:style>
  <w:style w:type="character" w:customStyle="1" w:styleId="AbstractbodytextChar">
    <w:name w:val="Abstract body text Char"/>
    <w:basedOn w:val="DefaultParagraphFont"/>
    <w:link w:val="Abstractbodytext"/>
    <w:rsid w:val="008F3372"/>
    <w:rPr>
      <w:rFonts w:eastAsia="Times New Roman" w:cs="Arial"/>
      <w:color w:val="595A5B"/>
      <w:sz w:val="20"/>
      <w:szCs w:val="20"/>
    </w:rPr>
  </w:style>
  <w:style w:type="paragraph" w:customStyle="1" w:styleId="CoverNormal">
    <w:name w:val="Cover Normal"/>
    <w:rsid w:val="008F3372"/>
    <w:rPr>
      <w:color w:val="595A5B"/>
      <w:sz w:val="20"/>
    </w:rPr>
  </w:style>
  <w:style w:type="paragraph" w:customStyle="1" w:styleId="TitleHeading">
    <w:name w:val="Title Heading"/>
    <w:basedOn w:val="Heading2"/>
    <w:link w:val="TitleHeadingChar"/>
    <w:qFormat/>
    <w:rsid w:val="008F3372"/>
    <w:pPr>
      <w:numPr>
        <w:ilvl w:val="0"/>
        <w:numId w:val="0"/>
      </w:numPr>
      <w:spacing w:before="600" w:after="600" w:line="240" w:lineRule="auto"/>
      <w:ind w:right="57"/>
    </w:pPr>
    <w:rPr>
      <w:rFonts w:ascii="Arial" w:hAnsi="Arial" w:cs="Times New Roman"/>
      <w:b w:val="0"/>
      <w:bCs w:val="0"/>
      <w:iCs w:val="0"/>
      <w:color w:val="22789A"/>
      <w:sz w:val="72"/>
      <w:szCs w:val="20"/>
    </w:rPr>
  </w:style>
  <w:style w:type="character" w:customStyle="1" w:styleId="TitleHeadingChar">
    <w:name w:val="Title Heading Char"/>
    <w:basedOn w:val="Heading2Char"/>
    <w:link w:val="TitleHeading"/>
    <w:rsid w:val="008F3372"/>
    <w:rPr>
      <w:rFonts w:ascii="Arial" w:eastAsia="Times New Roman" w:hAnsi="Arial" w:cs="Times New Roman"/>
      <w:b w:val="0"/>
      <w:bCs w:val="0"/>
      <w:iCs w:val="0"/>
      <w:color w:val="22789A"/>
      <w:sz w:val="72"/>
      <w:szCs w:val="20"/>
    </w:rPr>
  </w:style>
  <w:style w:type="paragraph" w:customStyle="1" w:styleId="Keypointsbullet">
    <w:name w:val="Key points bullet"/>
    <w:basedOn w:val="ListParagraph"/>
    <w:link w:val="KeypointsbulletChar"/>
    <w:qFormat/>
    <w:rsid w:val="008F3372"/>
    <w:pPr>
      <w:numPr>
        <w:numId w:val="12"/>
      </w:numPr>
      <w:spacing w:after="180"/>
      <w:ind w:right="155"/>
    </w:pPr>
    <w:rPr>
      <w:rFonts w:eastAsia="Times New Roman" w:cs="Arial"/>
      <w:b/>
      <w:szCs w:val="20"/>
    </w:rPr>
  </w:style>
  <w:style w:type="character" w:customStyle="1" w:styleId="KeypointsbulletChar">
    <w:name w:val="Key points bullet Char"/>
    <w:basedOn w:val="ListParagraphChar"/>
    <w:link w:val="Keypointsbullet"/>
    <w:rsid w:val="008F3372"/>
    <w:rPr>
      <w:rFonts w:eastAsia="Times New Roman" w:cs="Arial"/>
      <w:b/>
      <w:color w:val="595A5B"/>
      <w:sz w:val="20"/>
      <w:szCs w:val="20"/>
    </w:rPr>
  </w:style>
  <w:style w:type="paragraph" w:styleId="Header">
    <w:name w:val="header"/>
    <w:aliases w:val="HeaderPort"/>
    <w:basedOn w:val="Normal"/>
    <w:link w:val="HeaderChar"/>
    <w:uiPriority w:val="99"/>
    <w:unhideWhenUsed/>
    <w:rsid w:val="008F3372"/>
    <w:pPr>
      <w:tabs>
        <w:tab w:val="center" w:pos="4513"/>
        <w:tab w:val="right" w:pos="9026"/>
      </w:tabs>
    </w:pPr>
  </w:style>
  <w:style w:type="character" w:customStyle="1" w:styleId="HeaderChar">
    <w:name w:val="Header Char"/>
    <w:aliases w:val="HeaderPort Char"/>
    <w:basedOn w:val="DefaultParagraphFont"/>
    <w:link w:val="Header"/>
    <w:uiPriority w:val="99"/>
    <w:rsid w:val="008F3372"/>
    <w:rPr>
      <w:rFonts w:ascii="Arial" w:hAnsi="Arial"/>
      <w:color w:val="595A5B"/>
      <w:sz w:val="20"/>
    </w:rPr>
  </w:style>
  <w:style w:type="paragraph" w:customStyle="1" w:styleId="CoverAbstract">
    <w:name w:val="Cover Abstract"/>
    <w:basedOn w:val="Normal"/>
    <w:uiPriority w:val="10"/>
    <w:rsid w:val="008F3372"/>
    <w:pPr>
      <w:spacing w:line="270" w:lineRule="exact"/>
    </w:pPr>
  </w:style>
  <w:style w:type="paragraph" w:customStyle="1" w:styleId="ReportCoverContact">
    <w:name w:val="Report Cover Contact"/>
    <w:basedOn w:val="Normal"/>
    <w:rsid w:val="008F3372"/>
    <w:pPr>
      <w:spacing w:after="60" w:line="270" w:lineRule="exact"/>
      <w:ind w:left="0"/>
      <w:jc w:val="left"/>
    </w:pPr>
    <w:rPr>
      <w:rFonts w:eastAsia="Calibri" w:cs="Arial"/>
      <w:sz w:val="16"/>
      <w:szCs w:val="18"/>
    </w:rPr>
  </w:style>
  <w:style w:type="paragraph" w:customStyle="1" w:styleId="ReportCoverInformation">
    <w:name w:val="Report Cover Information"/>
    <w:basedOn w:val="Normal"/>
    <w:rsid w:val="008F3372"/>
    <w:pPr>
      <w:keepNext/>
      <w:pBdr>
        <w:top w:val="single" w:sz="4" w:space="1" w:color="595A5B"/>
      </w:pBdr>
      <w:spacing w:before="600" w:after="120" w:line="240" w:lineRule="atLeast"/>
      <w:ind w:left="0" w:right="57"/>
      <w:outlineLvl w:val="7"/>
    </w:pPr>
    <w:rPr>
      <w:rFonts w:eastAsia="Times New Roman" w:cs="Times New Roman"/>
      <w:color w:val="22789A"/>
      <w:sz w:val="16"/>
      <w:szCs w:val="20"/>
    </w:rPr>
  </w:style>
  <w:style w:type="paragraph" w:styleId="TOC2">
    <w:name w:val="toc 2"/>
    <w:basedOn w:val="Normal"/>
    <w:next w:val="Normal"/>
    <w:autoRedefine/>
    <w:uiPriority w:val="39"/>
    <w:rsid w:val="008F3372"/>
    <w:pPr>
      <w:tabs>
        <w:tab w:val="right" w:pos="8931"/>
      </w:tabs>
      <w:spacing w:after="100"/>
      <w:ind w:left="1843" w:right="804" w:hanging="567"/>
    </w:pPr>
    <w:rPr>
      <w:noProof/>
    </w:rPr>
  </w:style>
  <w:style w:type="paragraph" w:styleId="TOC3">
    <w:name w:val="toc 3"/>
    <w:basedOn w:val="Normal"/>
    <w:next w:val="Normal"/>
    <w:autoRedefine/>
    <w:uiPriority w:val="39"/>
    <w:rsid w:val="008F3372"/>
    <w:pPr>
      <w:tabs>
        <w:tab w:val="right" w:pos="8931"/>
      </w:tabs>
      <w:spacing w:after="100"/>
      <w:ind w:left="1843" w:right="804"/>
    </w:pPr>
    <w:rPr>
      <w:noProof/>
    </w:rPr>
  </w:style>
  <w:style w:type="paragraph" w:styleId="TOC6">
    <w:name w:val="toc 6"/>
    <w:basedOn w:val="Normal"/>
    <w:next w:val="Normal"/>
    <w:autoRedefine/>
    <w:uiPriority w:val="39"/>
    <w:rsid w:val="008F3372"/>
    <w:pPr>
      <w:tabs>
        <w:tab w:val="right" w:pos="8931"/>
      </w:tabs>
      <w:spacing w:after="100"/>
      <w:ind w:left="2127" w:right="804" w:hanging="1418"/>
    </w:pPr>
    <w:rPr>
      <w:b/>
    </w:rPr>
  </w:style>
  <w:style w:type="paragraph" w:customStyle="1" w:styleId="Contents">
    <w:name w:val="Contents"/>
    <w:basedOn w:val="CoverNormal"/>
    <w:uiPriority w:val="19"/>
    <w:rsid w:val="008F3372"/>
    <w:pPr>
      <w:pageBreakBefore/>
      <w:ind w:left="567"/>
    </w:pPr>
    <w:rPr>
      <w:rFonts w:asciiTheme="majorHAnsi" w:hAnsiTheme="majorHAnsi" w:cstheme="majorHAnsi"/>
      <w:b/>
      <w:color w:val="22789A"/>
      <w:sz w:val="52"/>
      <w:szCs w:val="52"/>
    </w:rPr>
  </w:style>
  <w:style w:type="paragraph" w:customStyle="1" w:styleId="CreativeCommonsLicence">
    <w:name w:val="Creative Commons Licence"/>
    <w:basedOn w:val="Normal"/>
    <w:next w:val="Normal"/>
    <w:rsid w:val="008F3372"/>
    <w:pPr>
      <w:keepNext/>
      <w:pBdr>
        <w:top w:val="single" w:sz="4" w:space="1" w:color="595A5B"/>
      </w:pBdr>
      <w:spacing w:before="360" w:after="120" w:line="240" w:lineRule="atLeast"/>
      <w:ind w:right="57"/>
      <w:outlineLvl w:val="7"/>
    </w:pPr>
    <w:rPr>
      <w:rFonts w:eastAsia="Times New Roman" w:cs="Times New Roman"/>
      <w:color w:val="22789A"/>
      <w:sz w:val="16"/>
      <w:szCs w:val="20"/>
    </w:rPr>
  </w:style>
  <w:style w:type="paragraph" w:customStyle="1" w:styleId="Keypointsheader">
    <w:name w:val="Key points header"/>
    <w:basedOn w:val="Normal"/>
    <w:link w:val="KeypointsheaderChar"/>
    <w:qFormat/>
    <w:rsid w:val="008F3372"/>
    <w:pPr>
      <w:keepNext/>
      <w:pageBreakBefore/>
      <w:spacing w:before="300" w:line="280" w:lineRule="atLeast"/>
      <w:ind w:left="34" w:right="57"/>
      <w:jc w:val="left"/>
    </w:pPr>
    <w:rPr>
      <w:rFonts w:eastAsia="Times New Roman" w:cs="Times New Roman"/>
      <w:b/>
      <w:color w:val="22789A"/>
      <w:sz w:val="32"/>
      <w:szCs w:val="20"/>
    </w:rPr>
  </w:style>
  <w:style w:type="character" w:customStyle="1" w:styleId="KeypointsheaderChar">
    <w:name w:val="Key points header Char"/>
    <w:basedOn w:val="DefaultParagraphFont"/>
    <w:link w:val="Keypointsheader"/>
    <w:rsid w:val="008F3372"/>
    <w:rPr>
      <w:rFonts w:ascii="Arial" w:eastAsia="Times New Roman" w:hAnsi="Arial" w:cs="Times New Roman"/>
      <w:b/>
      <w:color w:val="22789A"/>
      <w:sz w:val="32"/>
      <w:szCs w:val="20"/>
    </w:rPr>
  </w:style>
  <w:style w:type="paragraph" w:customStyle="1" w:styleId="AbstractText">
    <w:name w:val="Abstract Text"/>
    <w:basedOn w:val="CoverNormal"/>
    <w:rsid w:val="008F3372"/>
    <w:pPr>
      <w:spacing w:before="60" w:after="60" w:line="260" w:lineRule="exact"/>
    </w:pPr>
  </w:style>
  <w:style w:type="paragraph" w:customStyle="1" w:styleId="JELCodeheader">
    <w:name w:val="JEL Code header"/>
    <w:link w:val="JELCodeheaderChar"/>
    <w:qFormat/>
    <w:rsid w:val="008F3372"/>
    <w:pPr>
      <w:spacing w:line="270" w:lineRule="exact"/>
      <w:jc w:val="both"/>
    </w:pPr>
    <w:rPr>
      <w:rFonts w:ascii="Arial" w:eastAsia="Times New Roman" w:hAnsi="Arial" w:cs="Arial"/>
      <w:b/>
      <w:color w:val="22789A"/>
      <w:sz w:val="20"/>
      <w:szCs w:val="20"/>
    </w:rPr>
  </w:style>
  <w:style w:type="character" w:customStyle="1" w:styleId="JELCodeheaderChar">
    <w:name w:val="JEL Code header Char"/>
    <w:basedOn w:val="DefaultParagraphFont"/>
    <w:link w:val="JELCodeheader"/>
    <w:rsid w:val="008F3372"/>
    <w:rPr>
      <w:rFonts w:ascii="Arial" w:eastAsia="Times New Roman" w:hAnsi="Arial" w:cs="Arial"/>
      <w:b/>
      <w:color w:val="22789A"/>
      <w:sz w:val="20"/>
      <w:szCs w:val="20"/>
    </w:rPr>
  </w:style>
  <w:style w:type="paragraph" w:customStyle="1" w:styleId="DisclaimerandAcknowledgement">
    <w:name w:val="Disclaimer and Acknowledgement"/>
    <w:basedOn w:val="Normal"/>
    <w:link w:val="DisclaimerandAcknowledgementChar"/>
    <w:qFormat/>
    <w:rsid w:val="008F3372"/>
    <w:pPr>
      <w:spacing w:line="270" w:lineRule="exact"/>
      <w:jc w:val="left"/>
    </w:pPr>
    <w:rPr>
      <w:rFonts w:eastAsia="Calibri" w:cs="Arial"/>
      <w:sz w:val="16"/>
      <w:szCs w:val="18"/>
    </w:rPr>
  </w:style>
  <w:style w:type="character" w:customStyle="1" w:styleId="DisclaimerandAcknowledgementChar">
    <w:name w:val="Disclaimer and Acknowledgement Char"/>
    <w:link w:val="DisclaimerandAcknowledgement"/>
    <w:rsid w:val="008F3372"/>
    <w:rPr>
      <w:rFonts w:ascii="Arial" w:eastAsia="Calibri" w:hAnsi="Arial" w:cs="Arial"/>
      <w:color w:val="595A5B"/>
      <w:sz w:val="16"/>
      <w:szCs w:val="18"/>
    </w:rPr>
  </w:style>
  <w:style w:type="paragraph" w:customStyle="1" w:styleId="HyperlinkStyle">
    <w:name w:val="Hyperlink Style"/>
    <w:basedOn w:val="Normal"/>
    <w:link w:val="HyperlinkStyleChar"/>
    <w:qFormat/>
    <w:rsid w:val="008F3372"/>
    <w:pPr>
      <w:spacing w:line="270" w:lineRule="exact"/>
    </w:pPr>
    <w:rPr>
      <w:rFonts w:eastAsia="Calibri" w:cs="Times New Roman"/>
      <w:color w:val="22789A"/>
      <w:szCs w:val="20"/>
      <w:u w:val="single"/>
    </w:rPr>
  </w:style>
  <w:style w:type="character" w:customStyle="1" w:styleId="HyperlinkStyleChar">
    <w:name w:val="Hyperlink Style Char"/>
    <w:link w:val="HyperlinkStyle"/>
    <w:rsid w:val="008F3372"/>
    <w:rPr>
      <w:rFonts w:ascii="Arial" w:eastAsia="Calibri" w:hAnsi="Arial" w:cs="Times New Roman"/>
      <w:color w:val="22789A"/>
      <w:sz w:val="20"/>
      <w:szCs w:val="20"/>
      <w:u w:val="single"/>
    </w:rPr>
  </w:style>
  <w:style w:type="paragraph" w:customStyle="1" w:styleId="DisclaimerHeading">
    <w:name w:val="Disclaimer Heading"/>
    <w:basedOn w:val="Heading8"/>
    <w:link w:val="DisclaimerHeadingChar"/>
    <w:qFormat/>
    <w:rsid w:val="008F3372"/>
    <w:pPr>
      <w:keepLines w:val="0"/>
      <w:numPr>
        <w:ilvl w:val="0"/>
        <w:numId w:val="0"/>
      </w:numPr>
      <w:pBdr>
        <w:top w:val="single" w:sz="4" w:space="1" w:color="595A5B"/>
      </w:pBdr>
      <w:spacing w:before="360" w:after="120" w:line="240" w:lineRule="atLeast"/>
      <w:ind w:left="2160" w:right="57"/>
    </w:pPr>
    <w:rPr>
      <w:rFonts w:ascii="Arial" w:eastAsia="Times New Roman" w:hAnsi="Arial" w:cs="Times New Roman"/>
      <w:sz w:val="16"/>
    </w:rPr>
  </w:style>
  <w:style w:type="character" w:customStyle="1" w:styleId="DisclaimerHeadingChar">
    <w:name w:val="Disclaimer Heading Char"/>
    <w:basedOn w:val="DefaultParagraphFont"/>
    <w:link w:val="DisclaimerHeading"/>
    <w:rsid w:val="008F3372"/>
    <w:rPr>
      <w:rFonts w:ascii="Arial" w:eastAsia="Times New Roman" w:hAnsi="Arial" w:cs="Times New Roman"/>
      <w:color w:val="22789A"/>
      <w:sz w:val="16"/>
      <w:szCs w:val="20"/>
    </w:rPr>
  </w:style>
  <w:style w:type="paragraph" w:styleId="Quote">
    <w:name w:val="Quote"/>
    <w:basedOn w:val="Normal"/>
    <w:next w:val="Normal"/>
    <w:link w:val="QuoteChar"/>
    <w:uiPriority w:val="29"/>
    <w:rsid w:val="008F3372"/>
    <w:pPr>
      <w:ind w:left="2552" w:right="521"/>
    </w:pPr>
    <w:rPr>
      <w:rFonts w:asciiTheme="minorHAnsi" w:hAnsiTheme="minorHAnsi"/>
      <w:iCs/>
      <w:color w:val="595A5B" w:themeColor="text1"/>
      <w:sz w:val="18"/>
    </w:rPr>
  </w:style>
  <w:style w:type="character" w:customStyle="1" w:styleId="QuoteChar">
    <w:name w:val="Quote Char"/>
    <w:basedOn w:val="DefaultParagraphFont"/>
    <w:link w:val="Quote"/>
    <w:uiPriority w:val="29"/>
    <w:rsid w:val="008F3372"/>
    <w:rPr>
      <w:iCs/>
      <w:color w:val="595A5B" w:themeColor="text1"/>
      <w:sz w:val="18"/>
    </w:rPr>
  </w:style>
  <w:style w:type="paragraph" w:customStyle="1" w:styleId="TableListBullet">
    <w:name w:val="Table List Bullet"/>
    <w:basedOn w:val="Tabletext"/>
    <w:rsid w:val="008F3372"/>
    <w:pPr>
      <w:numPr>
        <w:numId w:val="13"/>
      </w:numPr>
    </w:pPr>
    <w:rPr>
      <w:rFonts w:eastAsia="Times New Roman"/>
      <w:lang w:eastAsia="en-AU"/>
    </w:rPr>
  </w:style>
  <w:style w:type="numbering" w:customStyle="1" w:styleId="OCETableBullets">
    <w:name w:val="OCE Table Bullets"/>
    <w:uiPriority w:val="99"/>
    <w:rsid w:val="008F3372"/>
    <w:pPr>
      <w:numPr>
        <w:numId w:val="7"/>
      </w:numPr>
    </w:pPr>
  </w:style>
  <w:style w:type="character" w:customStyle="1" w:styleId="Heading5Char">
    <w:name w:val="Heading 5 Char"/>
    <w:basedOn w:val="DefaultParagraphFont"/>
    <w:link w:val="Heading5"/>
    <w:uiPriority w:val="9"/>
    <w:rsid w:val="00522B16"/>
    <w:rPr>
      <w:rFonts w:ascii="Arial" w:eastAsia="Times New Roman" w:hAnsi="Arial" w:cs="Times New Roman"/>
      <w:i/>
      <w:color w:val="22789A"/>
      <w:sz w:val="20"/>
      <w:szCs w:val="20"/>
    </w:rPr>
  </w:style>
  <w:style w:type="paragraph" w:customStyle="1" w:styleId="Footnote">
    <w:name w:val="Footnote"/>
    <w:basedOn w:val="FootnoteText"/>
    <w:link w:val="FootnoteChar"/>
    <w:qFormat/>
    <w:rsid w:val="003F2FC5"/>
    <w:pPr>
      <w:ind w:hanging="142"/>
    </w:pPr>
    <w:rPr>
      <w:rFonts w:cs="Arial"/>
      <w:szCs w:val="20"/>
    </w:rPr>
  </w:style>
  <w:style w:type="character" w:customStyle="1" w:styleId="FootnoteChar">
    <w:name w:val="Footnote Char"/>
    <w:basedOn w:val="FootnoteTextChar"/>
    <w:link w:val="Footnote"/>
    <w:rsid w:val="003F2FC5"/>
    <w:rPr>
      <w:rFonts w:ascii="Arial" w:eastAsia="Times New Roman" w:hAnsi="Arial" w:cs="Arial"/>
      <w:color w:val="595A5B"/>
      <w:sz w:val="16"/>
      <w:szCs w:val="20"/>
    </w:rPr>
  </w:style>
  <w:style w:type="paragraph" w:customStyle="1" w:styleId="Heading4Numbered">
    <w:name w:val="Heading4Numbered"/>
    <w:basedOn w:val="Normal"/>
    <w:rsid w:val="00522B16"/>
    <w:pPr>
      <w:keepNext/>
      <w:tabs>
        <w:tab w:val="num" w:pos="0"/>
      </w:tabs>
      <w:spacing w:before="240" w:line="240" w:lineRule="atLeast"/>
      <w:ind w:right="57"/>
    </w:pPr>
    <w:rPr>
      <w:rFonts w:eastAsia="Times New Roman" w:cs="Times New Roman"/>
      <w:b/>
      <w:i/>
      <w:color w:val="800000"/>
      <w:szCs w:val="20"/>
    </w:rPr>
  </w:style>
  <w:style w:type="table" w:customStyle="1" w:styleId="ResearchReport">
    <w:name w:val="Research Report"/>
    <w:basedOn w:val="TableNormal"/>
    <w:uiPriority w:val="99"/>
    <w:rsid w:val="00522B16"/>
    <w:rPr>
      <w:rFonts w:ascii="Arial" w:hAnsi="Arial"/>
      <w:color w:val="FFFFFF" w:themeColor="background1"/>
      <w:sz w:val="18"/>
    </w:rPr>
    <w:tblPr/>
    <w:tcPr>
      <w:shd w:val="clear" w:color="auto" w:fill="CAE7F3" w:themeFill="accent1" w:themeFillTint="33"/>
    </w:tcPr>
    <w:tblStylePr w:type="firstRow">
      <w:pPr>
        <w:jc w:val="center"/>
      </w:pPr>
      <w:rPr>
        <w:rFonts w:ascii="Arial" w:hAnsi="Arial"/>
        <w:color w:val="FFFFFF" w:themeColor="background1"/>
      </w:rPr>
      <w:tblPr/>
      <w:tcPr>
        <w:shd w:val="clear" w:color="auto" w:fill="FFFFFF" w:themeFill="text2"/>
        <w:vAlign w:val="center"/>
      </w:tcPr>
    </w:tblStylePr>
    <w:tblStylePr w:type="lastRow">
      <w:tblPr/>
      <w:tcPr>
        <w:tcBorders>
          <w:bottom w:val="nil"/>
        </w:tcBorders>
        <w:shd w:val="clear" w:color="auto" w:fill="CAE7F3" w:themeFill="accent1" w:themeFillTint="33"/>
      </w:tcPr>
    </w:tblStylePr>
  </w:style>
  <w:style w:type="paragraph" w:customStyle="1" w:styleId="Appendixheading1">
    <w:name w:val="Appendix heading 1"/>
    <w:basedOn w:val="Heading1"/>
    <w:link w:val="Appendixheading1Char"/>
    <w:qFormat/>
    <w:rsid w:val="00522B16"/>
    <w:pPr>
      <w:pageBreakBefore/>
      <w:numPr>
        <w:numId w:val="14"/>
      </w:numPr>
      <w:ind w:left="2551" w:right="57" w:hanging="357"/>
      <w:jc w:val="both"/>
    </w:pPr>
    <w:rPr>
      <w:rFonts w:ascii="Arial" w:hAnsi="Arial" w:cs="Times New Roman"/>
      <w:bCs w:val="0"/>
      <w:szCs w:val="20"/>
    </w:rPr>
  </w:style>
  <w:style w:type="paragraph" w:customStyle="1" w:styleId="AppendixHeading2">
    <w:name w:val="Appendix Heading 2"/>
    <w:basedOn w:val="Heading3"/>
    <w:link w:val="AppendixHeading2Char"/>
    <w:qFormat/>
    <w:rsid w:val="00522B16"/>
    <w:pPr>
      <w:numPr>
        <w:ilvl w:val="0"/>
        <w:numId w:val="0"/>
      </w:numPr>
      <w:ind w:left="2127" w:right="57"/>
      <w:jc w:val="both"/>
    </w:pPr>
    <w:rPr>
      <w:rFonts w:ascii="Arial" w:hAnsi="Arial" w:cs="Times New Roman"/>
      <w:b/>
      <w:bCs w:val="0"/>
      <w:color w:val="6CCCDE"/>
      <w:szCs w:val="20"/>
    </w:rPr>
  </w:style>
  <w:style w:type="character" w:customStyle="1" w:styleId="Appendixheading1Char">
    <w:name w:val="Appendix heading 1 Char"/>
    <w:basedOn w:val="Heading1Char"/>
    <w:link w:val="Appendixheading1"/>
    <w:rsid w:val="00522B16"/>
    <w:rPr>
      <w:rFonts w:ascii="Arial" w:eastAsia="Times New Roman" w:hAnsi="Arial" w:cs="Times New Roman"/>
      <w:b/>
      <w:bCs w:val="0"/>
      <w:color w:val="22789A"/>
      <w:kern w:val="32"/>
      <w:sz w:val="32"/>
      <w:szCs w:val="20"/>
    </w:rPr>
  </w:style>
  <w:style w:type="paragraph" w:customStyle="1" w:styleId="Referencesheader">
    <w:name w:val="References header"/>
    <w:basedOn w:val="Heading1"/>
    <w:link w:val="ReferencesheaderChar"/>
    <w:qFormat/>
    <w:rsid w:val="00522B16"/>
    <w:pPr>
      <w:pageBreakBefore/>
      <w:numPr>
        <w:numId w:val="0"/>
      </w:numPr>
      <w:ind w:left="2194" w:right="57"/>
      <w:jc w:val="both"/>
    </w:pPr>
    <w:rPr>
      <w:rFonts w:ascii="Arial" w:hAnsi="Arial" w:cs="Times New Roman"/>
      <w:bCs w:val="0"/>
      <w:szCs w:val="20"/>
    </w:rPr>
  </w:style>
  <w:style w:type="character" w:customStyle="1" w:styleId="AppendixHeading2Char">
    <w:name w:val="Appendix Heading 2 Char"/>
    <w:basedOn w:val="DefaultParagraphFont"/>
    <w:link w:val="AppendixHeading2"/>
    <w:rsid w:val="00522B16"/>
    <w:rPr>
      <w:rFonts w:ascii="Arial" w:eastAsia="Times New Roman" w:hAnsi="Arial" w:cs="Times New Roman"/>
      <w:b/>
      <w:color w:val="6CCCDE"/>
      <w:szCs w:val="20"/>
    </w:rPr>
  </w:style>
  <w:style w:type="character" w:customStyle="1" w:styleId="ReferencesheaderChar">
    <w:name w:val="References header Char"/>
    <w:basedOn w:val="Heading1Char"/>
    <w:link w:val="Referencesheader"/>
    <w:rsid w:val="00522B16"/>
    <w:rPr>
      <w:rFonts w:ascii="Arial" w:eastAsia="Times New Roman" w:hAnsi="Arial" w:cs="Times New Roman"/>
      <w:b/>
      <w:bCs w:val="0"/>
      <w:color w:val="22789A"/>
      <w:kern w:val="32"/>
      <w:sz w:val="32"/>
      <w:szCs w:val="20"/>
    </w:rPr>
  </w:style>
  <w:style w:type="character" w:customStyle="1" w:styleId="BoxtextChar">
    <w:name w:val="Box text Char"/>
    <w:basedOn w:val="AbstractbodytextChar"/>
    <w:link w:val="Boxtext"/>
    <w:rsid w:val="00522B16"/>
    <w:rPr>
      <w:rFonts w:ascii="Arial" w:eastAsia="Times New Roman" w:hAnsi="Arial" w:cs="Arial"/>
      <w:color w:val="595A5B"/>
      <w:sz w:val="18"/>
      <w:szCs w:val="18"/>
    </w:rPr>
  </w:style>
  <w:style w:type="paragraph" w:customStyle="1" w:styleId="AppendixFigureBox">
    <w:name w:val="Appendix Figure Box"/>
    <w:basedOn w:val="Heading7"/>
    <w:link w:val="AppendixFigureBoxChar"/>
    <w:qFormat/>
    <w:rsid w:val="00522B16"/>
    <w:pPr>
      <w:keepLines w:val="0"/>
      <w:numPr>
        <w:ilvl w:val="0"/>
        <w:numId w:val="0"/>
      </w:numPr>
      <w:pBdr>
        <w:top w:val="single" w:sz="2" w:space="1" w:color="595A5B"/>
      </w:pBdr>
      <w:spacing w:before="360" w:after="240" w:line="240" w:lineRule="atLeast"/>
      <w:ind w:left="2170" w:right="57"/>
      <w:jc w:val="both"/>
    </w:pPr>
    <w:rPr>
      <w:rFonts w:ascii="Arial" w:eastAsia="Times New Roman" w:hAnsi="Arial" w:cs="Times New Roman"/>
      <w:b w:val="0"/>
      <w:iCs w:val="0"/>
      <w:color w:val="22789A"/>
      <w:sz w:val="16"/>
      <w:szCs w:val="20"/>
    </w:rPr>
  </w:style>
  <w:style w:type="character" w:customStyle="1" w:styleId="AppendixFigureBoxChar">
    <w:name w:val="Appendix Figure Box Char"/>
    <w:basedOn w:val="Heading7Char"/>
    <w:link w:val="AppendixFigureBox"/>
    <w:rsid w:val="00522B16"/>
    <w:rPr>
      <w:rFonts w:ascii="Arial" w:eastAsia="Times New Roman" w:hAnsi="Arial" w:cs="Times New Roman"/>
      <w:b w:val="0"/>
      <w:iCs w:val="0"/>
      <w:color w:val="22789A"/>
      <w:sz w:val="16"/>
      <w:szCs w:val="20"/>
    </w:rPr>
  </w:style>
  <w:style w:type="paragraph" w:customStyle="1" w:styleId="AppendixTableBox">
    <w:name w:val="Appendix Table Box"/>
    <w:basedOn w:val="Heading8"/>
    <w:link w:val="AppendixTableBoxChar"/>
    <w:qFormat/>
    <w:rsid w:val="00522B16"/>
    <w:pPr>
      <w:keepLines w:val="0"/>
      <w:numPr>
        <w:ilvl w:val="0"/>
        <w:numId w:val="0"/>
      </w:numPr>
      <w:pBdr>
        <w:top w:val="single" w:sz="4" w:space="1" w:color="595A5B"/>
      </w:pBdr>
      <w:spacing w:before="360" w:after="120" w:line="240" w:lineRule="atLeast"/>
      <w:ind w:left="2160" w:right="57"/>
      <w:jc w:val="both"/>
    </w:pPr>
    <w:rPr>
      <w:rFonts w:ascii="Arial" w:eastAsia="Times New Roman" w:hAnsi="Arial" w:cs="Times New Roman"/>
      <w:sz w:val="16"/>
    </w:rPr>
  </w:style>
  <w:style w:type="character" w:customStyle="1" w:styleId="AppendixTableBoxChar">
    <w:name w:val="Appendix Table Box Char"/>
    <w:basedOn w:val="Heading8Char"/>
    <w:link w:val="AppendixTableBox"/>
    <w:rsid w:val="00522B16"/>
    <w:rPr>
      <w:rFonts w:ascii="Arial" w:eastAsia="Times New Roman" w:hAnsi="Arial" w:cs="Times New Roman"/>
      <w:color w:val="22789A"/>
      <w:sz w:val="16"/>
      <w:szCs w:val="20"/>
    </w:rPr>
  </w:style>
  <w:style w:type="paragraph" w:customStyle="1" w:styleId="Default">
    <w:name w:val="Default"/>
    <w:rsid w:val="00522B16"/>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unhideWhenUsed/>
    <w:rsid w:val="00522B16"/>
    <w:rPr>
      <w:sz w:val="16"/>
      <w:szCs w:val="16"/>
    </w:rPr>
  </w:style>
  <w:style w:type="paragraph" w:styleId="CommentText">
    <w:name w:val="annotation text"/>
    <w:basedOn w:val="Normal"/>
    <w:link w:val="CommentTextChar"/>
    <w:semiHidden/>
    <w:unhideWhenUsed/>
    <w:rsid w:val="00522B16"/>
    <w:rPr>
      <w:rFonts w:eastAsia="Times New Roman" w:cs="Arial"/>
      <w:szCs w:val="20"/>
    </w:rPr>
  </w:style>
  <w:style w:type="character" w:customStyle="1" w:styleId="CommentTextChar">
    <w:name w:val="Comment Text Char"/>
    <w:basedOn w:val="DefaultParagraphFont"/>
    <w:link w:val="CommentText"/>
    <w:semiHidden/>
    <w:rsid w:val="00522B16"/>
    <w:rPr>
      <w:rFonts w:ascii="Arial" w:eastAsia="Times New Roman" w:hAnsi="Arial" w:cs="Arial"/>
      <w:color w:val="595A5B"/>
      <w:sz w:val="20"/>
      <w:szCs w:val="20"/>
    </w:rPr>
  </w:style>
  <w:style w:type="paragraph" w:styleId="CommentSubject">
    <w:name w:val="annotation subject"/>
    <w:basedOn w:val="CommentText"/>
    <w:next w:val="CommentText"/>
    <w:link w:val="CommentSubjectChar"/>
    <w:semiHidden/>
    <w:unhideWhenUsed/>
    <w:rsid w:val="00522B16"/>
    <w:rPr>
      <w:b/>
      <w:bCs/>
    </w:rPr>
  </w:style>
  <w:style w:type="character" w:customStyle="1" w:styleId="CommentSubjectChar">
    <w:name w:val="Comment Subject Char"/>
    <w:basedOn w:val="CommentTextChar"/>
    <w:link w:val="CommentSubject"/>
    <w:semiHidden/>
    <w:rsid w:val="00522B16"/>
    <w:rPr>
      <w:rFonts w:ascii="Arial" w:eastAsia="Times New Roman" w:hAnsi="Arial" w:cs="Arial"/>
      <w:b/>
      <w:bCs/>
      <w:color w:val="595A5B"/>
      <w:sz w:val="20"/>
      <w:szCs w:val="20"/>
    </w:rPr>
  </w:style>
  <w:style w:type="paragraph" w:styleId="Revision">
    <w:name w:val="Revision"/>
    <w:hidden/>
    <w:uiPriority w:val="99"/>
    <w:semiHidden/>
    <w:rsid w:val="00522B16"/>
    <w:rPr>
      <w:rFonts w:ascii="Arial" w:eastAsia="Times New Roman" w:hAnsi="Arial" w:cs="Arial"/>
      <w:color w:val="595A5B"/>
      <w:sz w:val="20"/>
      <w:szCs w:val="20"/>
    </w:rPr>
  </w:style>
  <w:style w:type="numbering" w:customStyle="1" w:styleId="NoList1">
    <w:name w:val="No List1"/>
    <w:next w:val="NoList"/>
    <w:uiPriority w:val="99"/>
    <w:semiHidden/>
    <w:unhideWhenUsed/>
    <w:rsid w:val="00522B16"/>
  </w:style>
  <w:style w:type="character" w:styleId="FollowedHyperlink">
    <w:name w:val="FollowedHyperlink"/>
    <w:basedOn w:val="DefaultParagraphFont"/>
    <w:uiPriority w:val="99"/>
    <w:unhideWhenUsed/>
    <w:rsid w:val="00522B16"/>
    <w:rPr>
      <w:color w:val="800080"/>
      <w:u w:val="single"/>
    </w:rPr>
  </w:style>
  <w:style w:type="paragraph" w:customStyle="1" w:styleId="xl66">
    <w:name w:val="xl66"/>
    <w:basedOn w:val="Normal"/>
    <w:rsid w:val="00522B16"/>
    <w:pPr>
      <w:spacing w:before="100" w:beforeAutospacing="1" w:after="100" w:afterAutospacing="1"/>
      <w:ind w:left="0"/>
      <w:jc w:val="left"/>
    </w:pPr>
    <w:rPr>
      <w:rFonts w:eastAsia="Times New Roman" w:cs="Arial"/>
      <w:color w:val="auto"/>
      <w:sz w:val="24"/>
      <w:szCs w:val="24"/>
      <w:lang w:eastAsia="en-AU"/>
    </w:rPr>
  </w:style>
  <w:style w:type="paragraph" w:customStyle="1" w:styleId="xl68">
    <w:name w:val="xl68"/>
    <w:basedOn w:val="Normal"/>
    <w:rsid w:val="00522B16"/>
    <w:pPr>
      <w:spacing w:before="100" w:beforeAutospacing="1" w:after="100" w:afterAutospacing="1"/>
      <w:ind w:left="0"/>
      <w:jc w:val="left"/>
    </w:pPr>
    <w:rPr>
      <w:rFonts w:eastAsia="Times New Roman" w:cs="Arial"/>
      <w:color w:val="auto"/>
      <w:sz w:val="24"/>
      <w:szCs w:val="24"/>
      <w:lang w:eastAsia="en-AU"/>
    </w:rPr>
  </w:style>
  <w:style w:type="paragraph" w:customStyle="1" w:styleId="xl69">
    <w:name w:val="xl69"/>
    <w:basedOn w:val="Normal"/>
    <w:rsid w:val="00522B16"/>
    <w:pPr>
      <w:spacing w:before="100" w:beforeAutospacing="1" w:after="100" w:afterAutospacing="1"/>
      <w:ind w:left="0"/>
      <w:jc w:val="left"/>
    </w:pPr>
    <w:rPr>
      <w:rFonts w:ascii="Times New Roman" w:eastAsia="Times New Roman" w:hAnsi="Times New Roman" w:cs="Times New Roman"/>
      <w:color w:val="auto"/>
      <w:sz w:val="24"/>
      <w:szCs w:val="24"/>
      <w:lang w:eastAsia="en-AU"/>
    </w:rPr>
  </w:style>
  <w:style w:type="paragraph" w:customStyle="1" w:styleId="xl70">
    <w:name w:val="xl70"/>
    <w:basedOn w:val="Normal"/>
    <w:rsid w:val="00522B16"/>
    <w:pPr>
      <w:spacing w:before="100" w:beforeAutospacing="1" w:after="100" w:afterAutospacing="1"/>
      <w:ind w:left="0"/>
      <w:jc w:val="left"/>
    </w:pPr>
    <w:rPr>
      <w:rFonts w:ascii="Times New Roman" w:eastAsia="Times New Roman" w:hAnsi="Times New Roman" w:cs="Times New Roman"/>
      <w:color w:val="auto"/>
      <w:sz w:val="24"/>
      <w:szCs w:val="24"/>
      <w:lang w:eastAsia="en-AU"/>
    </w:rPr>
  </w:style>
  <w:style w:type="paragraph" w:customStyle="1" w:styleId="xl71">
    <w:name w:val="xl71"/>
    <w:basedOn w:val="Normal"/>
    <w:rsid w:val="00522B16"/>
    <w:pPr>
      <w:spacing w:before="100" w:beforeAutospacing="1" w:after="100" w:afterAutospacing="1"/>
      <w:ind w:left="0"/>
      <w:jc w:val="left"/>
    </w:pPr>
    <w:rPr>
      <w:rFonts w:eastAsia="Times New Roman" w:cs="Arial"/>
      <w:color w:val="auto"/>
      <w:sz w:val="24"/>
      <w:szCs w:val="24"/>
      <w:lang w:eastAsia="en-AU"/>
    </w:rPr>
  </w:style>
  <w:style w:type="paragraph" w:customStyle="1" w:styleId="xl72">
    <w:name w:val="xl72"/>
    <w:basedOn w:val="Normal"/>
    <w:rsid w:val="00522B16"/>
    <w:pPr>
      <w:spacing w:before="100" w:beforeAutospacing="1" w:after="100" w:afterAutospacing="1"/>
      <w:ind w:left="0"/>
      <w:jc w:val="left"/>
    </w:pPr>
    <w:rPr>
      <w:rFonts w:eastAsia="Times New Roman" w:cs="Arial"/>
      <w:color w:val="auto"/>
      <w:sz w:val="24"/>
      <w:szCs w:val="24"/>
      <w:lang w:eastAsia="en-AU"/>
    </w:rPr>
  </w:style>
  <w:style w:type="paragraph" w:customStyle="1" w:styleId="xl73">
    <w:name w:val="xl73"/>
    <w:basedOn w:val="Normal"/>
    <w:rsid w:val="00522B16"/>
    <w:pPr>
      <w:spacing w:before="100" w:beforeAutospacing="1" w:after="100" w:afterAutospacing="1"/>
      <w:ind w:left="0"/>
      <w:jc w:val="center"/>
    </w:pPr>
    <w:rPr>
      <w:rFonts w:ascii="Times New Roman" w:eastAsia="Times New Roman" w:hAnsi="Times New Roman" w:cs="Times New Roman"/>
      <w:color w:val="auto"/>
      <w:sz w:val="24"/>
      <w:szCs w:val="24"/>
      <w:lang w:eastAsia="en-AU"/>
    </w:rPr>
  </w:style>
  <w:style w:type="paragraph" w:customStyle="1" w:styleId="xl74">
    <w:name w:val="xl74"/>
    <w:basedOn w:val="Normal"/>
    <w:rsid w:val="00522B16"/>
    <w:pPr>
      <w:spacing w:before="100" w:beforeAutospacing="1" w:after="100" w:afterAutospacing="1"/>
      <w:ind w:left="0"/>
      <w:jc w:val="center"/>
    </w:pPr>
    <w:rPr>
      <w:rFonts w:ascii="Times New Roman" w:eastAsia="Times New Roman" w:hAnsi="Times New Roman" w:cs="Times New Roman"/>
      <w:color w:val="auto"/>
      <w:sz w:val="24"/>
      <w:szCs w:val="24"/>
      <w:lang w:eastAsia="en-AU"/>
    </w:rPr>
  </w:style>
  <w:style w:type="paragraph" w:styleId="DocumentMap">
    <w:name w:val="Document Map"/>
    <w:basedOn w:val="Normal"/>
    <w:link w:val="DocumentMapChar"/>
    <w:uiPriority w:val="19"/>
    <w:unhideWhenUsed/>
    <w:rsid w:val="00522B16"/>
    <w:rPr>
      <w:rFonts w:ascii="Tahoma" w:eastAsia="Times New Roman" w:hAnsi="Tahoma" w:cs="Tahoma"/>
      <w:sz w:val="16"/>
      <w:szCs w:val="16"/>
    </w:rPr>
  </w:style>
  <w:style w:type="character" w:customStyle="1" w:styleId="DocumentMapChar">
    <w:name w:val="Document Map Char"/>
    <w:basedOn w:val="DefaultParagraphFont"/>
    <w:link w:val="DocumentMap"/>
    <w:uiPriority w:val="19"/>
    <w:rsid w:val="00522B16"/>
    <w:rPr>
      <w:rFonts w:ascii="Tahoma" w:eastAsia="Times New Roman" w:hAnsi="Tahoma" w:cs="Tahoma"/>
      <w:color w:val="595A5B"/>
      <w:sz w:val="16"/>
      <w:szCs w:val="16"/>
    </w:rPr>
  </w:style>
  <w:style w:type="character" w:styleId="Strong">
    <w:name w:val="Strong"/>
    <w:basedOn w:val="DefaultParagraphFont"/>
    <w:uiPriority w:val="22"/>
    <w:qFormat/>
    <w:rsid w:val="00522B16"/>
    <w:rPr>
      <w:b/>
      <w:bCs/>
    </w:rPr>
  </w:style>
  <w:style w:type="paragraph" w:styleId="NormalWeb">
    <w:name w:val="Normal (Web)"/>
    <w:basedOn w:val="Normal"/>
    <w:uiPriority w:val="99"/>
    <w:unhideWhenUsed/>
    <w:rsid w:val="00522B16"/>
    <w:pPr>
      <w:spacing w:before="100" w:beforeAutospacing="1" w:after="100" w:afterAutospacing="1"/>
      <w:ind w:left="0"/>
      <w:jc w:val="left"/>
    </w:pPr>
    <w:rPr>
      <w:rFonts w:ascii="Times New Roman" w:hAnsi="Times New Roman" w:cs="Times New Roman"/>
      <w:color w:val="auto"/>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530025">
      <w:bodyDiv w:val="1"/>
      <w:marLeft w:val="0"/>
      <w:marRight w:val="0"/>
      <w:marTop w:val="0"/>
      <w:marBottom w:val="0"/>
      <w:divBdr>
        <w:top w:val="none" w:sz="0" w:space="0" w:color="auto"/>
        <w:left w:val="none" w:sz="0" w:space="0" w:color="auto"/>
        <w:bottom w:val="none" w:sz="0" w:space="0" w:color="auto"/>
        <w:right w:val="none" w:sz="0" w:space="0" w:color="auto"/>
      </w:divBdr>
    </w:div>
    <w:div w:id="768505712">
      <w:bodyDiv w:val="1"/>
      <w:marLeft w:val="0"/>
      <w:marRight w:val="0"/>
      <w:marTop w:val="0"/>
      <w:marBottom w:val="0"/>
      <w:divBdr>
        <w:top w:val="none" w:sz="0" w:space="0" w:color="auto"/>
        <w:left w:val="none" w:sz="0" w:space="0" w:color="auto"/>
        <w:bottom w:val="none" w:sz="0" w:space="0" w:color="auto"/>
        <w:right w:val="none" w:sz="0" w:space="0" w:color="auto"/>
      </w:divBdr>
    </w:div>
    <w:div w:id="811798125">
      <w:bodyDiv w:val="1"/>
      <w:marLeft w:val="0"/>
      <w:marRight w:val="0"/>
      <w:marTop w:val="0"/>
      <w:marBottom w:val="0"/>
      <w:divBdr>
        <w:top w:val="none" w:sz="0" w:space="0" w:color="auto"/>
        <w:left w:val="none" w:sz="0" w:space="0" w:color="auto"/>
        <w:bottom w:val="none" w:sz="0" w:space="0" w:color="auto"/>
        <w:right w:val="none" w:sz="0" w:space="0" w:color="auto"/>
      </w:divBdr>
    </w:div>
    <w:div w:id="1087115377">
      <w:bodyDiv w:val="1"/>
      <w:marLeft w:val="0"/>
      <w:marRight w:val="0"/>
      <w:marTop w:val="0"/>
      <w:marBottom w:val="0"/>
      <w:divBdr>
        <w:top w:val="none" w:sz="0" w:space="0" w:color="auto"/>
        <w:left w:val="none" w:sz="0" w:space="0" w:color="auto"/>
        <w:bottom w:val="none" w:sz="0" w:space="0" w:color="auto"/>
        <w:right w:val="none" w:sz="0" w:space="0" w:color="auto"/>
      </w:divBdr>
    </w:div>
    <w:div w:id="1173573644">
      <w:bodyDiv w:val="1"/>
      <w:marLeft w:val="0"/>
      <w:marRight w:val="0"/>
      <w:marTop w:val="0"/>
      <w:marBottom w:val="0"/>
      <w:divBdr>
        <w:top w:val="none" w:sz="0" w:space="0" w:color="auto"/>
        <w:left w:val="none" w:sz="0" w:space="0" w:color="auto"/>
        <w:bottom w:val="none" w:sz="0" w:space="0" w:color="auto"/>
        <w:right w:val="none" w:sz="0" w:space="0" w:color="auto"/>
      </w:divBdr>
    </w:div>
    <w:div w:id="1547066828">
      <w:bodyDiv w:val="1"/>
      <w:marLeft w:val="0"/>
      <w:marRight w:val="0"/>
      <w:marTop w:val="0"/>
      <w:marBottom w:val="0"/>
      <w:divBdr>
        <w:top w:val="none" w:sz="0" w:space="0" w:color="auto"/>
        <w:left w:val="none" w:sz="0" w:space="0" w:color="auto"/>
        <w:bottom w:val="none" w:sz="0" w:space="0" w:color="auto"/>
        <w:right w:val="none" w:sz="0" w:space="0" w:color="auto"/>
      </w:divBdr>
    </w:div>
    <w:div w:id="1586644946">
      <w:bodyDiv w:val="1"/>
      <w:marLeft w:val="0"/>
      <w:marRight w:val="0"/>
      <w:marTop w:val="0"/>
      <w:marBottom w:val="0"/>
      <w:divBdr>
        <w:top w:val="none" w:sz="0" w:space="0" w:color="auto"/>
        <w:left w:val="none" w:sz="0" w:space="0" w:color="auto"/>
        <w:bottom w:val="none" w:sz="0" w:space="0" w:color="auto"/>
        <w:right w:val="none" w:sz="0" w:space="0" w:color="auto"/>
      </w:divBdr>
    </w:div>
    <w:div w:id="192213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hiefeconomist@industry.gov.au" TargetMode="External"/><Relationship Id="rId18" Type="http://schemas.openxmlformats.org/officeDocument/2006/relationships/footer" Target="footer1.xml"/><Relationship Id="rId26" Type="http://schemas.openxmlformats.org/officeDocument/2006/relationships/image" Target="media/image4.png"/><Relationship Id="rId39" Type="http://schemas.openxmlformats.org/officeDocument/2006/relationships/image" Target="media/image14.png"/><Relationship Id="rId21" Type="http://schemas.openxmlformats.org/officeDocument/2006/relationships/footer" Target="footer3.xml"/><Relationship Id="rId34" Type="http://schemas.openxmlformats.org/officeDocument/2006/relationships/image" Target="media/image10.png"/><Relationship Id="rId42" Type="http://schemas.openxmlformats.org/officeDocument/2006/relationships/image" Target="media/image17.png"/><Relationship Id="rId47" Type="http://schemas.openxmlformats.org/officeDocument/2006/relationships/footer" Target="footer6.xml"/><Relationship Id="rId50" Type="http://schemas.openxmlformats.org/officeDocument/2006/relationships/header" Target="header9.xml"/><Relationship Id="rId55"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ndustry.gov.au/innovationreport" TargetMode="External"/><Relationship Id="rId17" Type="http://schemas.openxmlformats.org/officeDocument/2006/relationships/header" Target="header2.xml"/><Relationship Id="rId25" Type="http://schemas.openxmlformats.org/officeDocument/2006/relationships/hyperlink" Target="http://dx.doi.org/10.1787/5jz417hj6hg6-en" TargetMode="External"/><Relationship Id="rId33" Type="http://schemas.openxmlformats.org/officeDocument/2006/relationships/image" Target="media/image9.png"/><Relationship Id="rId38" Type="http://schemas.openxmlformats.org/officeDocument/2006/relationships/image" Target="media/image13.png"/><Relationship Id="rId46"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image" Target="media/image7.png"/><Relationship Id="rId41" Type="http://schemas.openxmlformats.org/officeDocument/2006/relationships/image" Target="media/image16.png"/><Relationship Id="rId54"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novationreport@industry.gov.au" TargetMode="External"/><Relationship Id="rId24" Type="http://schemas.openxmlformats.org/officeDocument/2006/relationships/image" Target="media/image3.jpeg"/><Relationship Id="rId32" Type="http://schemas.openxmlformats.org/officeDocument/2006/relationships/footer" Target="footer4.xml"/><Relationship Id="rId37" Type="http://schemas.openxmlformats.org/officeDocument/2006/relationships/header" Target="header5.xml"/><Relationship Id="rId40" Type="http://schemas.openxmlformats.org/officeDocument/2006/relationships/image" Target="media/image15.png"/><Relationship Id="rId45" Type="http://schemas.openxmlformats.org/officeDocument/2006/relationships/header" Target="header7.xml"/><Relationship Id="rId53" Type="http://schemas.openxmlformats.org/officeDocument/2006/relationships/footer" Target="footer8.xml"/><Relationship Id="rId5"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hyperlink" Target="http://www.abs.gov.au/ausstats/abs@.nsf/mf/8171.0?OpenDocument" TargetMode="External"/><Relationship Id="rId28" Type="http://schemas.openxmlformats.org/officeDocument/2006/relationships/image" Target="media/image6.png"/><Relationship Id="rId36" Type="http://schemas.openxmlformats.org/officeDocument/2006/relationships/image" Target="media/image12.png"/><Relationship Id="rId49" Type="http://schemas.openxmlformats.org/officeDocument/2006/relationships/footer" Target="footer7.xml"/><Relationship Id="rId10" Type="http://schemas.openxmlformats.org/officeDocument/2006/relationships/image" Target="media/image1.png"/><Relationship Id="rId19" Type="http://schemas.openxmlformats.org/officeDocument/2006/relationships/footer" Target="footer2.xml"/><Relationship Id="rId31" Type="http://schemas.openxmlformats.org/officeDocument/2006/relationships/header" Target="header4.xml"/><Relationship Id="rId44" Type="http://schemas.openxmlformats.org/officeDocument/2006/relationships/header" Target="header6.xml"/><Relationship Id="rId52" Type="http://schemas.openxmlformats.org/officeDocument/2006/relationships/hyperlink" Target="http://www.industry.gov.au/innovationrepor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ndustry.gov.au/OCE" TargetMode="External"/><Relationship Id="rId22" Type="http://schemas.openxmlformats.org/officeDocument/2006/relationships/hyperlink" Target="http://www.oecd.org/sti/dynemp.htm" TargetMode="External"/><Relationship Id="rId27" Type="http://schemas.openxmlformats.org/officeDocument/2006/relationships/image" Target="media/image5.png"/><Relationship Id="rId30" Type="http://schemas.openxmlformats.org/officeDocument/2006/relationships/image" Target="media/image8.png"/><Relationship Id="rId35" Type="http://schemas.openxmlformats.org/officeDocument/2006/relationships/image" Target="media/image11.png"/><Relationship Id="rId43" Type="http://schemas.openxmlformats.org/officeDocument/2006/relationships/image" Target="media/image18.png"/><Relationship Id="rId48" Type="http://schemas.openxmlformats.org/officeDocument/2006/relationships/header" Target="header8.xml"/><Relationship Id="rId56"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yperlink" Target="http://dx.doi.org/10.1787/5jz417hj6hg6-en" TargetMode="Externa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www.export.org.au/eca/trade-insights/background" TargetMode="External"/><Relationship Id="rId2" Type="http://schemas.openxmlformats.org/officeDocument/2006/relationships/hyperlink" Target="http://www.abs.gov.au/ausstats/abs@.nsf/mf/8171.0?OpenDocument" TargetMode="External"/><Relationship Id="rId1" Type="http://schemas.openxmlformats.org/officeDocument/2006/relationships/hyperlink" Target="http://www.oecd.org/sti/Flyer_Multiprod.pdf" TargetMode="External"/><Relationship Id="rId4" Type="http://schemas.openxmlformats.org/officeDocument/2006/relationships/hyperlink" Target="http://unstats.un.org/unsd/cr/registry/regcst.asp?Cl=27" TargetMode="External"/></Relationships>
</file>

<file path=word/theme/theme1.xml><?xml version="1.0" encoding="utf-8"?>
<a:theme xmlns:a="http://schemas.openxmlformats.org/drawingml/2006/main" name="Office Theme">
  <a:themeElements>
    <a:clrScheme name="OCE 1">
      <a:dk1>
        <a:srgbClr val="595A5B"/>
      </a:dk1>
      <a:lt1>
        <a:srgbClr val="FFFFFF"/>
      </a:lt1>
      <a:dk2>
        <a:srgbClr val="FFFFFF"/>
      </a:dk2>
      <a:lt2>
        <a:srgbClr val="292067"/>
      </a:lt2>
      <a:accent1>
        <a:srgbClr val="22789A"/>
      </a:accent1>
      <a:accent2>
        <a:srgbClr val="9ED9DF"/>
      </a:accent2>
      <a:accent3>
        <a:srgbClr val="BCBFC1"/>
      </a:accent3>
      <a:accent4>
        <a:srgbClr val="595A5B"/>
      </a:accent4>
      <a:accent5>
        <a:srgbClr val="C979A7"/>
      </a:accent5>
      <a:accent6>
        <a:srgbClr val="0072B2"/>
      </a:accent6>
      <a:hlink>
        <a:srgbClr val="22789A"/>
      </a:hlink>
      <a:folHlink>
        <a:srgbClr val="56B4E9"/>
      </a:folHlink>
    </a:clrScheme>
    <a:fontScheme name="O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Core Publishing Document" ma:contentTypeID="0x01010097F86F0C24D64525B252BB20BD9D45A700C69CDEFA52F2CB4D9860A76B602E27F3" ma:contentTypeVersion="78" ma:contentTypeDescription="Core Publishing Document, inherited from OOTB document." ma:contentTypeScope="" ma:versionID="691fa46638dd1796bfcc443d030dadba">
  <xsd:schema xmlns:xsd="http://www.w3.org/2001/XMLSchema" xmlns:xs="http://www.w3.org/2001/XMLSchema" xmlns:p="http://schemas.microsoft.com/office/2006/metadata/properties" xmlns:ns1="http://schemas.microsoft.com/sharepoint/v3" xmlns:ns2="d580843d-216d-45a8-9226-4ce87fce8ec1" xmlns:ns3="c0b4bd0a-f6ac-422c-a0b2-ddc3a705a698" targetNamespace="http://schemas.microsoft.com/office/2006/metadata/properties" ma:root="true" ma:fieldsID="731d6cfb07b9c27845297ef9cc7fdc92" ns1:_="" ns2:_="" ns3:_="">
    <xsd:import namespace="http://schemas.microsoft.com/sharepoint/v3"/>
    <xsd:import namespace="d580843d-216d-45a8-9226-4ce87fce8ec1"/>
    <xsd:import namespace="c0b4bd0a-f6ac-422c-a0b2-ddc3a705a698"/>
    <xsd:element name="properties">
      <xsd:complexType>
        <xsd:sequence>
          <xsd:element name="documentManagement">
            <xsd:complexType>
              <xsd:all>
                <xsd:element ref="ns2:CorePublishingComments" minOccurs="0"/>
                <xsd:element ref="ns1:PublishingStartDate" minOccurs="0"/>
                <xsd:element ref="ns1:PublishingExpirationDate" minOccurs="0"/>
                <xsd:element ref="ns2:CorePublishingDocumentContact" minOccurs="0"/>
                <xsd:element ref="ns3:SubjectLookupField" minOccurs="0"/>
                <xsd:element ref="ns3:KeywordsLookupField" minOccurs="0"/>
                <xsd:element ref="ns3:CorePublishingDocumentCategory" minOccurs="0"/>
                <xsd:element ref="ns2:IPSCategory" minOccurs="0"/>
                <xsd:element ref="ns2:CorePublishingFileReference" minOccurs="0"/>
                <xsd:element ref="ns2:IncludeInNotificationsAndUpdates" minOccurs="0"/>
                <xsd:element ref="ns2:IncludeInContentRollups" minOccurs="0"/>
                <xsd:element ref="ns2:IncludeInRSSFeeds" minOccurs="0"/>
                <xsd:element ref="ns2:CorePublishingDocumentChangeDescription" minOccurs="0"/>
                <xsd:element ref="ns3:DocumentRollup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tart Date" ma:description="" ma:internalName="PublishingStartDate">
      <xsd:simpleType>
        <xsd:restriction base="dms:Unknown"/>
      </xsd:simpleType>
    </xsd:element>
    <xsd:element name="PublishingExpirationDate" ma:index="10" nillable="true" ma:displayName="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80843d-216d-45a8-9226-4ce87fce8ec1" elementFormDefault="qualified">
    <xsd:import namespace="http://schemas.microsoft.com/office/2006/documentManagement/types"/>
    <xsd:import namespace="http://schemas.microsoft.com/office/infopath/2007/PartnerControls"/>
    <xsd:element name="CorePublishingComments" ma:index="8" nillable="true" ma:displayName="Description" ma:description="Used for DC.Description metadata." ma:internalName="CorePublishingComments">
      <xsd:simpleType>
        <xsd:restriction base="dms:Note"/>
      </xsd:simpleType>
    </xsd:element>
    <xsd:element name="CorePublishingDocumentContact" ma:index="11" nillable="true" ma:displayName="Document Contact" ma:list="UserInfo" ma:internalName="CorePublishingDocument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PSCategory" ma:index="15" nillable="true" ma:displayName="IPS Category" ma:description="Used for FOI/IPS categorisation." ma:format="Dropdown" ma:internalName="IPSCategory">
      <xsd:simpleType>
        <xsd:restriction base="dms:Choice">
          <xsd:enumeration value="1. Who we are"/>
          <xsd:enumeration value="2. What we do"/>
          <xsd:enumeration value="3. Our reports"/>
          <xsd:enumeration value="4. Consultation"/>
          <xsd:enumeration value="5. Our strategic and business priorities"/>
          <xsd:enumeration value="6. Routinely requested information"/>
          <xsd:enumeration value="7. Our finances"/>
          <xsd:enumeration value="8. Our lists"/>
          <xsd:enumeration value="9. Our submissions"/>
          <xsd:enumeration value="10. Our policies"/>
        </xsd:restriction>
      </xsd:simpleType>
    </xsd:element>
    <xsd:element name="CorePublishingFileReference" ma:index="16" nillable="true" ma:displayName="File Reference" ma:description="Audit Requirement." ma:internalName="CorePublishingFileReference" ma:readOnly="false">
      <xsd:simpleType>
        <xsd:restriction base="dms:Text"/>
      </xsd:simpleType>
    </xsd:element>
    <xsd:element name="IncludeInNotificationsAndUpdates" ma:index="17" nillable="true" ma:displayName="Include in Email Updates" ma:default="1" ma:internalName="IncludeInNotificationsAndUpdates">
      <xsd:simpleType>
        <xsd:restriction base="dms:Boolean"/>
      </xsd:simpleType>
    </xsd:element>
    <xsd:element name="IncludeInContentRollups" ma:index="18" nillable="true" ma:displayName="Include In Content Rollups" ma:default="0" ma:description="Used at the site owners' discretion to include/exclude pages from 'rollup' web parts such as content queries." ma:internalName="IncludeInContentRollups">
      <xsd:simpleType>
        <xsd:restriction base="dms:Boolean"/>
      </xsd:simpleType>
    </xsd:element>
    <xsd:element name="IncludeInRSSFeeds" ma:index="19" nillable="true" ma:displayName="Include In RSS Feeds" ma:default="0" ma:description="Used at the site owners' discretion to include/exclude documents from RSS feeds." ma:internalName="IncludeInRSSFeeds">
      <xsd:simpleType>
        <xsd:restriction base="dms:Boolean"/>
      </xsd:simpleType>
    </xsd:element>
    <xsd:element name="CorePublishingDocumentChangeDescription" ma:index="20" nillable="true" ma:displayName="Document Change Description" ma:description="Description of the current version of the document - can be of assistance to reviewers/approvers (and can be included in the workflow emails)." ma:internalName="CorePublishingDocumentChange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b4bd0a-f6ac-422c-a0b2-ddc3a705a698" elementFormDefault="qualified">
    <xsd:import namespace="http://schemas.microsoft.com/office/2006/documentManagement/types"/>
    <xsd:import namespace="http://schemas.microsoft.com/office/infopath/2007/PartnerControls"/>
    <xsd:element name="SubjectLookupField" ma:index="12" nillable="true" ma:displayName="Subject" ma:list="4a441248-04bf-4c62-8747-8bfb61e5e21c" ma:internalName="Subject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KeywordsLookupField" ma:index="13" nillable="true" ma:displayName="Keywords" ma:list="fbec0be5-db93-4c03-a796-ce5d02f374a3" ma:internalName="Keywords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CorePublishingDocumentCategory" ma:index="14" nillable="true" ma:displayName="Document Category" ma:description="Document Type list is used for source data. Used for DC.Type.documentType metadata." ma:list="{233fae74-8b6e-4f87-8db3-5052d625541f}" ma:internalName="CorePublishingDocumentCategory" ma:showField="Title" ma:web="c0b4bd0a-f6ac-422c-a0b2-ddc3a705a698">
      <xsd:simpleType>
        <xsd:restriction base="dms:Lookup"/>
      </xsd:simpleType>
    </xsd:element>
    <xsd:element name="DocumentRollupCategory" ma:index="21" nillable="true" ma:displayName="Rollup Category" ma:description="Document Rollup Category list is used for source data, populated by the site owners. Used at the site owners' discretion to include/exclude certain categories of pages in rollups." ma:list="{6ca4ea36-3739-485e-8e04-ddf89b384e56}" ma:internalName="DocumentRollupCategory"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rePublishingDocumentCategory xmlns="c0b4bd0a-f6ac-422c-a0b2-ddc3a705a698" xsi:nil="true"/>
    <KeywordsLookupField xmlns="c0b4bd0a-f6ac-422c-a0b2-ddc3a705a698"/>
    <CorePublishingDocumentChangeDescription xmlns="d580843d-216d-45a8-9226-4ce87fce8ec1" xsi:nil="true"/>
    <IPSCategory xmlns="d580843d-216d-45a8-9226-4ce87fce8ec1" xsi:nil="true"/>
    <CorePublishingComments xmlns="d580843d-216d-45a8-9226-4ce87fce8ec1" xsi:nil="true"/>
    <CorePublishingFileReference xmlns="d580843d-216d-45a8-9226-4ce87fce8ec1">NA</CorePublishingFileReference>
    <SubjectLookupField xmlns="c0b4bd0a-f6ac-422c-a0b2-ddc3a705a698"/>
    <PublishingExpirationDate xmlns="http://schemas.microsoft.com/sharepoint/v3" xsi:nil="true"/>
    <PublishingStartDate xmlns="http://schemas.microsoft.com/sharepoint/v3" xsi:nil="true"/>
    <CorePublishingDocumentContact xmlns="d580843d-216d-45a8-9226-4ce87fce8ec1">
      <UserInfo>
        <DisplayName>online</DisplayName>
        <AccountId>189</AccountId>
        <AccountType/>
      </UserInfo>
    </CorePublishingDocumentContact>
    <IncludeInNotificationsAndUpdates xmlns="d580843d-216d-45a8-9226-4ce87fce8ec1">true</IncludeInNotificationsAndUpdates>
    <IncludeInRSSFeeds xmlns="d580843d-216d-45a8-9226-4ce87fce8ec1">false</IncludeInRSSFeeds>
    <IncludeInContentRollups xmlns="d580843d-216d-45a8-9226-4ce87fce8ec1">false</IncludeInContentRollups>
    <DocumentRollupCategory xmlns="c0b4bd0a-f6ac-422c-a0b2-ddc3a705a698"/>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EBB3D0-5D4C-4B54-95C8-5F2FC90ACE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580843d-216d-45a8-9226-4ce87fce8ec1"/>
    <ds:schemaRef ds:uri="c0b4bd0a-f6ac-422c-a0b2-ddc3a705a6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624063-BBED-4D83-837F-4F80A7A512D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d580843d-216d-45a8-9226-4ce87fce8ec1"/>
    <ds:schemaRef ds:uri="http://purl.org/dc/terms/"/>
    <ds:schemaRef ds:uri="http://schemas.openxmlformats.org/package/2006/metadata/core-properties"/>
    <ds:schemaRef ds:uri="c0b4bd0a-f6ac-422c-a0b2-ddc3a705a698"/>
    <ds:schemaRef ds:uri="http://www.w3.org/XML/1998/namespace"/>
    <ds:schemaRef ds:uri="http://purl.org/dc/dcmitype/"/>
  </ds:schemaRefs>
</ds:datastoreItem>
</file>

<file path=customXml/itemProps3.xml><?xml version="1.0" encoding="utf-8"?>
<ds:datastoreItem xmlns:ds="http://schemas.openxmlformats.org/officeDocument/2006/customXml" ds:itemID="{BF2DBA17-839E-4652-A2FC-432E22836B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13798</Words>
  <Characters>78653</Characters>
  <Application>Microsoft Office Word</Application>
  <DocSecurity>4</DocSecurity>
  <Lines>655</Lines>
  <Paragraphs>184</Paragraphs>
  <ScaleCrop>false</ScaleCrop>
  <HeadingPairs>
    <vt:vector size="2" baseType="variant">
      <vt:variant>
        <vt:lpstr>Title</vt:lpstr>
      </vt:variant>
      <vt:variant>
        <vt:i4>1</vt:i4>
      </vt:variant>
    </vt:vector>
  </HeadingPairs>
  <TitlesOfParts>
    <vt:vector size="1" baseType="lpstr">
      <vt:lpstr>2015-Research-Paper-4-The-employment-dynamics-of-Australian-entrepreneurship</vt:lpstr>
    </vt:vector>
  </TitlesOfParts>
  <LinksUpToDate>false</LinksUpToDate>
  <CharactersWithSpaces>92267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2015-Research-Paper-4-The-employment-dynamics-of-Australian-entrepreneurship</dc:title>
  <dc:creator/>
  <cp:lastModifiedBy/>
  <cp:revision>1</cp:revision>
  <dcterms:created xsi:type="dcterms:W3CDTF">2018-06-13T23:55:00Z</dcterms:created>
  <dcterms:modified xsi:type="dcterms:W3CDTF">2018-06-13T23:55:00Z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0x01010097F86F0C24D64525B252BB20BD9D45A700C69CDEFA52F2CB4D9860A76B602E27F3</vt:lpwstr>
  </property>
</Properties>
</file>