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Arial" w:eastAsia="Calibri" w:hAnsi="Arial" w:cs="Arial"/>
          <w:sz w:val="16"/>
          <w:szCs w:val="18"/>
          <w:lang w:val="en"/>
        </w:rPr>
        <w:id w:val="-1454014154"/>
        <w:docPartObj>
          <w:docPartGallery w:val="Cover Pages"/>
          <w:docPartUnique/>
        </w:docPartObj>
      </w:sdtPr>
      <w:sdtEndPr/>
      <w:sdtContent>
        <w:tbl>
          <w:tblPr>
            <w:tblW w:w="0" w:type="auto"/>
            <w:tblLook w:val="04A0" w:firstRow="1" w:lastRow="0" w:firstColumn="1" w:lastColumn="0" w:noHBand="0" w:noVBand="1"/>
          </w:tblPr>
          <w:tblGrid>
            <w:gridCol w:w="9242"/>
          </w:tblGrid>
          <w:tr w:rsidR="00610F44" w:rsidTr="006F6A92">
            <w:trPr>
              <w:cantSplit/>
              <w:trHeight w:val="1418"/>
            </w:trPr>
            <w:tc>
              <w:tcPr>
                <w:tcW w:w="9242" w:type="dxa"/>
              </w:tcPr>
              <w:p w:rsidR="00610F44" w:rsidRDefault="00610F44" w:rsidP="006F6A92">
                <w:pPr>
                  <w:pStyle w:val="CoverNormal"/>
                </w:pPr>
              </w:p>
              <w:p w:rsidR="00610F44" w:rsidRDefault="00663B9A" w:rsidP="006F6A92">
                <w:pPr>
                  <w:pStyle w:val="ResearchPaper"/>
                </w:pPr>
                <w:r>
                  <w:rPr>
                    <w:noProof/>
                    <w:lang w:eastAsia="en-AU"/>
                  </w:rPr>
                  <w:drawing>
                    <wp:anchor distT="0" distB="0" distL="114300" distR="114300" simplePos="0" relativeHeight="251663360" behindDoc="1" locked="0" layoutInCell="1" allowOverlap="1" wp14:anchorId="2E05251E" wp14:editId="166DC672">
                      <wp:simplePos x="0" y="0"/>
                      <wp:positionH relativeFrom="margin">
                        <wp:posOffset>2643505</wp:posOffset>
                      </wp:positionH>
                      <wp:positionV relativeFrom="margin">
                        <wp:posOffset>-295275</wp:posOffset>
                      </wp:positionV>
                      <wp:extent cx="3209925" cy="503555"/>
                      <wp:effectExtent l="0" t="0" r="9525" b="0"/>
                      <wp:wrapTight wrapText="bothSides">
                        <wp:wrapPolygon edited="0">
                          <wp:start x="0" y="0"/>
                          <wp:lineTo x="0" y="20429"/>
                          <wp:lineTo x="21536" y="20429"/>
                          <wp:lineTo x="21536" y="0"/>
                          <wp:lineTo x="0" y="0"/>
                        </wp:wrapPolygon>
                      </wp:wrapTight>
                      <wp:docPr id="5" name="Picture 5" descr="Department of Industry, Innovation and Scienc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09925" cy="50355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10F44" w:rsidTr="006F6A92">
            <w:trPr>
              <w:cantSplit/>
              <w:trHeight w:hRule="exact" w:val="1417"/>
            </w:trPr>
            <w:tc>
              <w:tcPr>
                <w:tcW w:w="9242" w:type="dxa"/>
                <w:vAlign w:val="bottom"/>
              </w:tcPr>
              <w:p w:rsidR="00610F44" w:rsidRDefault="009F6DFA" w:rsidP="006F6A92">
                <w:pPr>
                  <w:pStyle w:val="ResearchPaper"/>
                </w:pPr>
                <w:r>
                  <w:t xml:space="preserve">Research Paper </w:t>
                </w:r>
                <w:r w:rsidR="00610F44">
                  <w:t>7</w:t>
                </w:r>
                <w:r w:rsidR="00610F44" w:rsidRPr="00AA5E13">
                  <w:t>/2015</w:t>
                </w:r>
              </w:p>
            </w:tc>
          </w:tr>
          <w:tr w:rsidR="00610F44" w:rsidTr="006F6A92">
            <w:trPr>
              <w:cantSplit/>
            </w:trPr>
            <w:tc>
              <w:tcPr>
                <w:tcW w:w="9242" w:type="dxa"/>
              </w:tcPr>
              <w:p w:rsidR="00610F44" w:rsidRDefault="00610F44" w:rsidP="006F6A92">
                <w:pPr>
                  <w:pStyle w:val="TitleHeading"/>
                  <w:rPr>
                    <w:rStyle w:val="TitleHeadingChar"/>
                    <w:rFonts w:eastAsiaTheme="minorHAnsi"/>
                  </w:rPr>
                </w:pPr>
                <w:r>
                  <w:rPr>
                    <w:rStyle w:val="TitleHeadingChar"/>
                  </w:rPr>
                  <w:t>Mechanical boon: will automation advance Australia?</w:t>
                </w:r>
              </w:p>
              <w:p w:rsidR="00610F44" w:rsidRDefault="00610F44" w:rsidP="006F6A92">
                <w:pPr>
                  <w:pStyle w:val="CoverNormal"/>
                </w:pPr>
              </w:p>
            </w:tc>
          </w:tr>
          <w:tr w:rsidR="00610F44" w:rsidTr="006F6A92">
            <w:trPr>
              <w:cantSplit/>
            </w:trPr>
            <w:tc>
              <w:tcPr>
                <w:tcW w:w="9242" w:type="dxa"/>
                <w:vAlign w:val="center"/>
              </w:tcPr>
              <w:p w:rsidR="00610F44" w:rsidRDefault="00610F44" w:rsidP="006F6A92">
                <w:pPr>
                  <w:pStyle w:val="Author"/>
                </w:pPr>
                <w:r>
                  <w:t>Daniel Edmonds and Timothy Bradley</w:t>
                </w:r>
              </w:p>
            </w:tc>
          </w:tr>
          <w:tr w:rsidR="00610F44" w:rsidTr="006F6A92">
            <w:trPr>
              <w:cantSplit/>
            </w:trPr>
            <w:tc>
              <w:tcPr>
                <w:tcW w:w="9242" w:type="dxa"/>
                <w:vAlign w:val="center"/>
              </w:tcPr>
              <w:sdt>
                <w:sdtPr>
                  <w:rPr>
                    <w:rStyle w:val="MonthYearChar"/>
                    <w:rFonts w:eastAsiaTheme="majorEastAsia"/>
                  </w:rPr>
                  <w:alias w:val="Date (Month &amp; Year)"/>
                  <w:tag w:val="Date (Month &amp; Year)"/>
                  <w:id w:val="-586145151"/>
                  <w:date w:fullDate="2015-10-01T00:00:00Z">
                    <w:dateFormat w:val="MMMM yyyy"/>
                    <w:lid w:val="en-AU"/>
                    <w:storeMappedDataAs w:val="dateTime"/>
                    <w:calendar w:val="gregorian"/>
                  </w:date>
                </w:sdtPr>
                <w:sdtEndPr>
                  <w:rPr>
                    <w:rStyle w:val="DefaultParagraphFont"/>
                    <w:rFonts w:eastAsia="Times New Roman"/>
                    <w:b/>
                  </w:rPr>
                </w:sdtEndPr>
                <w:sdtContent>
                  <w:p w:rsidR="00610F44" w:rsidRDefault="00610F44" w:rsidP="006F6A92">
                    <w:pPr>
                      <w:pStyle w:val="MonthYear"/>
                    </w:pPr>
                    <w:r>
                      <w:rPr>
                        <w:rStyle w:val="MonthYearChar"/>
                        <w:rFonts w:eastAsiaTheme="majorEastAsia"/>
                      </w:rPr>
                      <w:t>October 2015</w:t>
                    </w:r>
                  </w:p>
                </w:sdtContent>
              </w:sdt>
            </w:tc>
          </w:tr>
          <w:tr w:rsidR="00610F44" w:rsidTr="006F6A92">
            <w:trPr>
              <w:cantSplit/>
              <w:trHeight w:val="765"/>
            </w:trPr>
            <w:tc>
              <w:tcPr>
                <w:tcW w:w="9242" w:type="dxa"/>
              </w:tcPr>
              <w:p w:rsidR="00610F44" w:rsidRDefault="00610F44" w:rsidP="006F6A92">
                <w:pPr>
                  <w:pStyle w:val="AbstractHeader"/>
                </w:pPr>
                <w:r w:rsidRPr="002054C2">
                  <w:t>Abstract</w:t>
                </w:r>
              </w:p>
            </w:tc>
          </w:tr>
          <w:tr w:rsidR="00610F44" w:rsidTr="006F6A92">
            <w:trPr>
              <w:cantSplit/>
              <w:trHeight w:val="1125"/>
            </w:trPr>
            <w:tc>
              <w:tcPr>
                <w:tcW w:w="9242" w:type="dxa"/>
              </w:tcPr>
              <w:p w:rsidR="00610F44" w:rsidRDefault="00610F44" w:rsidP="006F6A92">
                <w:pPr>
                  <w:pStyle w:val="AbstractText"/>
                  <w:spacing w:before="180" w:after="180"/>
                </w:pPr>
                <w:r>
                  <w:t xml:space="preserve">Thousands of jobs have been automated over the past few decades thanks the increasing </w:t>
                </w:r>
                <w:r w:rsidR="00B05807">
                  <w:t>capability</w:t>
                </w:r>
                <w:r>
                  <w:t xml:space="preserve"> of technology, and there is considerable debate on which workers are most at risk of being displaced by automation. In this paper we estimate that 44 per cent of Australian jobs are highly susceptible to automation. We find that automation susceptibility has in fact fallen over time as jobs that are more automatable are replaced by machines. The majority of this change, 81 per cent, was due to individual industries modernising their workforces.</w:t>
                </w:r>
              </w:p>
              <w:p w:rsidR="00610F44" w:rsidRPr="00C63547" w:rsidRDefault="00610F44" w:rsidP="006F6A92">
                <w:pPr>
                  <w:pStyle w:val="AbstractText"/>
                  <w:spacing w:before="180" w:after="180"/>
                </w:pPr>
                <w:r>
                  <w:t xml:space="preserve">We conclude by noting that the same factors that lead to an occupation or industry’s decline present opportunities for other industries, firms and workers to flourish. Structural change in the economy has </w:t>
                </w:r>
                <w:r w:rsidRPr="00FC4A74">
                  <w:t>freed up resources that were previously required to undertake mundane, routine and often manual tasks, and allowed them to be employed in high value, high skilled and high paid roles.</w:t>
                </w:r>
              </w:p>
            </w:tc>
          </w:tr>
          <w:tr w:rsidR="00610F44" w:rsidTr="006F6A92">
            <w:trPr>
              <w:cantSplit/>
              <w:trHeight w:val="1125"/>
            </w:trPr>
            <w:tc>
              <w:tcPr>
                <w:tcW w:w="9242" w:type="dxa"/>
              </w:tcPr>
              <w:p w:rsidR="00610F44" w:rsidRPr="00116A9D" w:rsidRDefault="00610F44" w:rsidP="006F6A92">
                <w:pPr>
                  <w:pStyle w:val="JELCodeheader"/>
                  <w:spacing w:before="240"/>
                  <w:rPr>
                    <w:b w:val="0"/>
                  </w:rPr>
                </w:pPr>
                <w:r w:rsidRPr="00C63547">
                  <w:t>JEL Codes:</w:t>
                </w:r>
                <w:r w:rsidRPr="00116A9D">
                  <w:rPr>
                    <w:b w:val="0"/>
                  </w:rPr>
                  <w:t xml:space="preserve"> </w:t>
                </w:r>
                <w:r w:rsidRPr="009923E6">
                  <w:rPr>
                    <w:b w:val="0"/>
                  </w:rPr>
                  <w:t>E24, J24, J31, J62,</w:t>
                </w:r>
                <w:r>
                  <w:rPr>
                    <w:b w:val="0"/>
                  </w:rPr>
                  <w:t xml:space="preserve"> J64,</w:t>
                </w:r>
                <w:r w:rsidRPr="009923E6">
                  <w:rPr>
                    <w:b w:val="0"/>
                  </w:rPr>
                  <w:t xml:space="preserve"> O33</w:t>
                </w:r>
              </w:p>
              <w:p w:rsidR="00610F44" w:rsidRPr="008E6D43" w:rsidRDefault="00610F44" w:rsidP="006F6A92">
                <w:pPr>
                  <w:pStyle w:val="JELCodeheader"/>
                  <w:rPr>
                    <w:b w:val="0"/>
                  </w:rPr>
                </w:pPr>
                <w:r w:rsidRPr="00C63547">
                  <w:t>Keywords:</w:t>
                </w:r>
                <w:r w:rsidRPr="00116A9D">
                  <w:rPr>
                    <w:b w:val="0"/>
                  </w:rPr>
                  <w:t xml:space="preserve"> </w:t>
                </w:r>
                <w:r>
                  <w:rPr>
                    <w:b w:val="0"/>
                  </w:rPr>
                  <w:t>Australia, automation, industry employment, ANZSCO, occupation growth, technological change, skill-biased technological change</w:t>
                </w:r>
              </w:p>
            </w:tc>
          </w:tr>
        </w:tbl>
        <w:p w:rsidR="00610F44" w:rsidRDefault="00663B9A" w:rsidP="00610F44">
          <w:pPr>
            <w:pStyle w:val="CoverNormal"/>
          </w:pPr>
          <w:r>
            <w:rPr>
              <w:noProof/>
              <w:lang w:eastAsia="en-AU"/>
            </w:rPr>
            <w:lastRenderedPageBreak/>
            <w:drawing>
              <wp:anchor distT="0" distB="0" distL="114300" distR="114300" simplePos="0" relativeHeight="251661312" behindDoc="1" locked="0" layoutInCell="1" allowOverlap="1" wp14:anchorId="132059D9" wp14:editId="5B23A07D">
                <wp:simplePos x="0" y="0"/>
                <wp:positionH relativeFrom="margin">
                  <wp:posOffset>2491105</wp:posOffset>
                </wp:positionH>
                <wp:positionV relativeFrom="margin">
                  <wp:posOffset>-447675</wp:posOffset>
                </wp:positionV>
                <wp:extent cx="3209925" cy="503555"/>
                <wp:effectExtent l="0" t="0" r="9525" b="0"/>
                <wp:wrapTight wrapText="bothSides">
                  <wp:wrapPolygon edited="0">
                    <wp:start x="0" y="0"/>
                    <wp:lineTo x="0" y="20429"/>
                    <wp:lineTo x="21536" y="20429"/>
                    <wp:lineTo x="21536" y="0"/>
                    <wp:lineTo x="0" y="0"/>
                  </wp:wrapPolygon>
                </wp:wrapTight>
                <wp:docPr id="3" name="Picture 3" descr="Department of Industry, Innovation and Science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209925"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F44" w:rsidRPr="00F12E30" w:rsidRDefault="00610F44" w:rsidP="00610F44">
          <w:pPr>
            <w:pStyle w:val="DisclaimerHeading"/>
          </w:pPr>
          <w:r w:rsidRPr="00F12E30">
            <w:t xml:space="preserve">For further information on this research paper please </w:t>
          </w:r>
          <w:r w:rsidRPr="00B91524">
            <w:t xml:space="preserve">contact: </w:t>
          </w:r>
        </w:p>
        <w:p w:rsidR="00610F44" w:rsidRDefault="00610F44" w:rsidP="00610F44">
          <w:pPr>
            <w:pStyle w:val="DisclaimerandAcknowledgement"/>
            <w:spacing w:after="60"/>
          </w:pPr>
          <w:r>
            <w:t>Daniel Edmonds</w:t>
          </w:r>
        </w:p>
        <w:p w:rsidR="00610F44" w:rsidRDefault="00610F44" w:rsidP="00610F44">
          <w:pPr>
            <w:pStyle w:val="DisclaimerandAcknowledgement"/>
            <w:spacing w:after="60"/>
          </w:pPr>
          <w:r>
            <w:t>Economic and Analytical Services Division</w:t>
          </w:r>
        </w:p>
        <w:p w:rsidR="00610F44" w:rsidRDefault="00C738FC" w:rsidP="00610F44">
          <w:pPr>
            <w:pStyle w:val="DisclaimerandAcknowledgement"/>
            <w:spacing w:after="60"/>
          </w:pPr>
          <w:r>
            <w:t>Department of Industry, Innovation and Science</w:t>
          </w:r>
        </w:p>
        <w:p w:rsidR="00610F44" w:rsidRDefault="00610F44" w:rsidP="00610F44">
          <w:pPr>
            <w:pStyle w:val="DisclaimerandAcknowledgement"/>
            <w:spacing w:after="60"/>
          </w:pPr>
          <w:r>
            <w:t>GPO Box 9839</w:t>
          </w:r>
        </w:p>
        <w:p w:rsidR="00610F44" w:rsidRDefault="00610F44" w:rsidP="00610F44">
          <w:pPr>
            <w:pStyle w:val="DisclaimerandAcknowledgement"/>
            <w:spacing w:after="60"/>
          </w:pPr>
          <w:r>
            <w:t>Canberra ACT 2601</w:t>
          </w:r>
        </w:p>
        <w:p w:rsidR="00610F44" w:rsidRDefault="00610F44" w:rsidP="00610F44">
          <w:pPr>
            <w:pStyle w:val="DisclaimerandAcknowledgement"/>
            <w:spacing w:after="60"/>
          </w:pPr>
          <w:r>
            <w:t>Phone : +61 2 6243 7993</w:t>
          </w:r>
        </w:p>
        <w:p w:rsidR="00610F44" w:rsidRDefault="00610F44" w:rsidP="00610F44">
          <w:pPr>
            <w:pStyle w:val="DisclaimerandAcknowledgement"/>
            <w:spacing w:after="60"/>
            <w:rPr>
              <w:rStyle w:val="HyperlinkStyleChar"/>
            </w:rPr>
          </w:pPr>
          <w:r>
            <w:t xml:space="preserve">Email: </w:t>
          </w:r>
          <w:hyperlink r:id="rId12" w:history="1">
            <w:r w:rsidRPr="00AD3597">
              <w:rPr>
                <w:rStyle w:val="Hyperlink"/>
              </w:rPr>
              <w:t>daniel.edmonds@industry.gov.au</w:t>
            </w:r>
          </w:hyperlink>
        </w:p>
        <w:p w:rsidR="00610F44" w:rsidRPr="00EC76AE" w:rsidRDefault="00610F44" w:rsidP="00610F44">
          <w:pPr>
            <w:pStyle w:val="DisclaimerHeading"/>
            <w:spacing w:before="240"/>
          </w:pPr>
          <w:r w:rsidRPr="00EC76AE">
            <w:t>Disclaimer</w:t>
          </w:r>
        </w:p>
        <w:p w:rsidR="00610F44" w:rsidRDefault="00610F44" w:rsidP="00610F44">
          <w:pPr>
            <w:pStyle w:val="DisclaimerandAcknowledgement"/>
            <w:spacing w:after="120"/>
          </w:pPr>
          <w:r>
            <w:t xml:space="preserve">The views expressed in this report are those of the author(s) and do not necessarily reflect those of the Australian Government or the </w:t>
          </w:r>
          <w:r w:rsidR="00C738FC">
            <w:t>Department of Industry, Innovation and Science</w:t>
          </w:r>
          <w:r>
            <w:t>.</w:t>
          </w:r>
        </w:p>
        <w:p w:rsidR="00610F44" w:rsidRPr="00EC76AE" w:rsidRDefault="00610F44" w:rsidP="00610F44">
          <w:pPr>
            <w:pStyle w:val="DisclaimerandAcknowledgement"/>
            <w:spacing w:after="120"/>
          </w:pPr>
          <w:r w:rsidRPr="00EC76AE">
            <w:sym w:font="Symbol" w:char="F0D3"/>
          </w:r>
          <w:r w:rsidRPr="00EC76AE">
            <w:t xml:space="preserve"> Commonwealth of Australia </w:t>
          </w:r>
          <w:r>
            <w:t>2015.</w:t>
          </w:r>
          <w:r w:rsidRPr="00EC76AE">
            <w:t xml:space="preserve"> </w:t>
          </w:r>
        </w:p>
        <w:p w:rsidR="00610F44" w:rsidRDefault="00610F44" w:rsidP="00610F44">
          <w:pPr>
            <w:pStyle w:val="DisclaimerandAcknowledgement"/>
            <w:spacing w:after="120"/>
            <w:rPr>
              <w:rStyle w:val="HyperlinkStyleChar"/>
              <w:sz w:val="18"/>
            </w:rPr>
          </w:pPr>
          <w:r w:rsidRPr="00EC76AE">
            <w:t xml:space="preserve">This work is copyright. Apart from use under Copyright Act 1968, no part may be reproduced or altered by any process without prior written permission from the Australian Government. Requests and inquiries concerning reproduction and rights should be addressed to </w:t>
          </w:r>
          <w:hyperlink r:id="rId13" w:history="1">
            <w:r w:rsidRPr="0049772D">
              <w:rPr>
                <w:rStyle w:val="Hyperlink"/>
              </w:rPr>
              <w:t>chiefeconomist@industry.gov.au</w:t>
            </w:r>
          </w:hyperlink>
          <w:r w:rsidRPr="00B461F3">
            <w:rPr>
              <w:rFonts w:asciiTheme="minorHAnsi" w:hAnsiTheme="minorHAnsi" w:cstheme="minorHAnsi"/>
              <w:color w:val="666666"/>
              <w:szCs w:val="16"/>
            </w:rPr>
            <w:t>.</w:t>
          </w:r>
          <w:r>
            <w:rPr>
              <w:rFonts w:ascii="Tahoma" w:hAnsi="Tahoma" w:cs="Tahoma"/>
              <w:color w:val="666666"/>
              <w:sz w:val="18"/>
            </w:rPr>
            <w:t> </w:t>
          </w:r>
          <w:r w:rsidRPr="00EC76AE">
            <w:t xml:space="preserve">For more information on Office of the Chief Economist research papers please access the Department’s website at: </w:t>
          </w:r>
          <w:hyperlink r:id="rId14" w:history="1">
            <w:r w:rsidRPr="0049772D">
              <w:rPr>
                <w:rStyle w:val="Hyperlink"/>
              </w:rPr>
              <w:t>www.industry.gov.au/OCE</w:t>
            </w:r>
          </w:hyperlink>
        </w:p>
        <w:p w:rsidR="00610F44" w:rsidRDefault="00610F44" w:rsidP="00610F44">
          <w:pPr>
            <w:pStyle w:val="DisclaimerandAcknowledgement"/>
            <w:spacing w:after="120"/>
            <w:rPr>
              <w:rStyle w:val="HyperlinkStyleChar"/>
              <w:sz w:val="18"/>
            </w:rPr>
          </w:pPr>
          <w:r>
            <w:rPr>
              <w:rFonts w:ascii="inherit" w:hAnsi="inherit"/>
              <w:noProof/>
              <w:sz w:val="20"/>
              <w:szCs w:val="20"/>
              <w:lang w:val="en-AU" w:eastAsia="en-AU"/>
            </w:rPr>
            <w:drawing>
              <wp:anchor distT="0" distB="0" distL="114300" distR="114300" simplePos="0" relativeHeight="251659264" behindDoc="0" locked="0" layoutInCell="1" allowOverlap="1" wp14:anchorId="03FDA083" wp14:editId="34037F1B">
                <wp:simplePos x="0" y="0"/>
                <wp:positionH relativeFrom="column">
                  <wp:posOffset>1374140</wp:posOffset>
                </wp:positionH>
                <wp:positionV relativeFrom="paragraph">
                  <wp:posOffset>45720</wp:posOffset>
                </wp:positionV>
                <wp:extent cx="1189355" cy="407035"/>
                <wp:effectExtent l="0" t="0" r="0" b="0"/>
                <wp:wrapSquare wrapText="bothSides"/>
                <wp:docPr id="6" name="Picture 6"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9355" cy="407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10F44" w:rsidRDefault="00610F44" w:rsidP="00610F44">
          <w:pPr>
            <w:spacing w:after="120"/>
            <w:rPr>
              <w:rStyle w:val="HyperlinkStyleChar"/>
              <w:rFonts w:cs="Arial"/>
              <w:b/>
              <w:color w:val="595A5B"/>
              <w:sz w:val="18"/>
            </w:rPr>
          </w:pPr>
        </w:p>
        <w:p w:rsidR="00610F44" w:rsidRPr="004D7A11" w:rsidRDefault="00610F44" w:rsidP="00610F44">
          <w:pPr>
            <w:pStyle w:val="CreativeCommonsLicence"/>
            <w:spacing w:before="240"/>
            <w:rPr>
              <w:rFonts w:eastAsia="Calibri"/>
            </w:rPr>
          </w:pPr>
          <w:r w:rsidRPr="004D7A11">
            <w:t>Creative Commons Licence</w:t>
          </w:r>
        </w:p>
        <w:p w:rsidR="00610F44" w:rsidRPr="00A1774F" w:rsidRDefault="00610F44" w:rsidP="00610F44">
          <w:pPr>
            <w:pStyle w:val="DisclaimerandAcknowledgement"/>
            <w:spacing w:after="120"/>
          </w:pPr>
          <w:r w:rsidRPr="00A1774F">
            <w:t>With the exception of the Coat of Arms, this publication is licensed under a Creative Commons Attribution 3.0 Australia Licence.</w:t>
          </w:r>
        </w:p>
        <w:p w:rsidR="00610F44" w:rsidRPr="00A1774F" w:rsidRDefault="00610F44" w:rsidP="00610F44">
          <w:pPr>
            <w:pStyle w:val="DisclaimerandAcknowledgement"/>
            <w:spacing w:after="120"/>
          </w:pPr>
          <w:r w:rsidRPr="00A1774F">
            <w:t>Creative Commons Attribution 3.0 Australia Licence is a standard form license agreement that allows you to copy, distrib</w:t>
          </w:r>
          <w:r>
            <w:t xml:space="preserve">ute, </w:t>
          </w:r>
          <w:r w:rsidRPr="00A1774F">
            <w:t xml:space="preserve">transmit and adapt this publication provided that you attribute the work. A summary of the licence </w:t>
          </w:r>
          <w:r>
            <w:t xml:space="preserve">terms is available from </w:t>
          </w:r>
          <w:hyperlink r:id="rId16" w:history="1">
            <w:r w:rsidRPr="00717F7C">
              <w:rPr>
                <w:rStyle w:val="Hyperlink"/>
              </w:rPr>
              <w:t>http://creativecommons.org/licenses/by/3.0/au/deed.en</w:t>
            </w:r>
          </w:hyperlink>
          <w:r w:rsidRPr="00A1774F">
            <w:t xml:space="preserve">. The full licence terms are available from </w:t>
          </w:r>
          <w:hyperlink r:id="rId17" w:history="1">
            <w:r w:rsidRPr="00717F7C">
              <w:rPr>
                <w:rStyle w:val="Hyperlink"/>
              </w:rPr>
              <w:t>http://creativecommons.org/licenses/by/3.0/au/legalcode</w:t>
            </w:r>
          </w:hyperlink>
          <w:r w:rsidRPr="00A1774F">
            <w:t>.</w:t>
          </w:r>
        </w:p>
        <w:p w:rsidR="00610F44" w:rsidRPr="00A1774F" w:rsidRDefault="00610F44" w:rsidP="00610F44">
          <w:pPr>
            <w:pStyle w:val="DisclaimerandAcknowledgement"/>
            <w:spacing w:after="120"/>
          </w:pPr>
          <w:r w:rsidRPr="00A1774F">
            <w:t>The Commonwealth’s preference is that you attribute this publication (and any material sourc</w:t>
          </w:r>
          <w:r>
            <w:t xml:space="preserve">ed from it) using the following </w:t>
          </w:r>
          <w:r w:rsidRPr="00A1774F">
            <w:t>wording:</w:t>
          </w:r>
        </w:p>
        <w:p w:rsidR="00610F44" w:rsidRDefault="00610F44" w:rsidP="00610F44">
          <w:pPr>
            <w:pStyle w:val="DisclaimerandAcknowledgement"/>
            <w:spacing w:after="120"/>
          </w:pPr>
          <w:r w:rsidRPr="00A1774F">
            <w:t>Source: Licensed from the Commonwealth of Australia under a Creative Commons Attribution 3.0 Australia Licence.</w:t>
          </w:r>
          <w:r>
            <w:t xml:space="preserve"> </w:t>
          </w:r>
          <w:r w:rsidRPr="00A1774F">
            <w:t>The Commonwealth of Australia does not necessarily endorse</w:t>
          </w:r>
          <w:r>
            <w:t xml:space="preserve"> the content of this publication. </w:t>
          </w:r>
        </w:p>
        <w:p w:rsidR="00610F44" w:rsidRPr="004D7A11" w:rsidRDefault="00610F44" w:rsidP="00610F44">
          <w:pPr>
            <w:pStyle w:val="CreativeCommonsLicence"/>
            <w:spacing w:before="240"/>
            <w:rPr>
              <w:rFonts w:eastAsia="Calibri"/>
            </w:rPr>
          </w:pPr>
          <w:r>
            <w:t>Acknowledgements</w:t>
          </w:r>
        </w:p>
        <w:p w:rsidR="00610F44" w:rsidRDefault="00610F44" w:rsidP="00610F44">
          <w:pPr>
            <w:pStyle w:val="DisclaimerandAcknowledgement"/>
            <w:spacing w:after="120"/>
          </w:pPr>
          <w:r>
            <w:t xml:space="preserve">The </w:t>
          </w:r>
          <w:r w:rsidR="00C738FC">
            <w:t>Department of Industry, Innovation and Science</w:t>
          </w:r>
          <w:r>
            <w:t xml:space="preserve"> would like to thank the assistance, input and contribution of Michael Osborne, associate professor at the University of Oxford and co-author of the paper </w:t>
          </w:r>
          <w:r w:rsidRPr="00E000E8">
            <w:rPr>
              <w:i/>
            </w:rPr>
            <w:t>The future of employment: how susceptible are jobs to computerisation</w:t>
          </w:r>
          <w:r>
            <w:t xml:space="preserve"> which this paper is based upon.</w:t>
          </w:r>
        </w:p>
        <w:p w:rsidR="00610F44" w:rsidRDefault="00610F44" w:rsidP="00610F44">
          <w:pPr>
            <w:pStyle w:val="DisclaimerandAcknowledgement"/>
            <w:spacing w:after="120"/>
            <w:sectPr w:rsidR="00610F44" w:rsidSect="006F6A92">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09" w:footer="709" w:gutter="0"/>
              <w:pgNumType w:start="0"/>
              <w:cols w:space="708"/>
              <w:titlePg/>
              <w:docGrid w:linePitch="360"/>
            </w:sectPr>
          </w:pPr>
          <w:r>
            <w:t>The department also extends its gratitude to the Commonwealth Scientific and Industrial Research Organisation (CSIRO), in particular Dr Andrew Reeson of the Digital Productivity Flagship, for its contributions.</w:t>
          </w:r>
        </w:p>
      </w:sdtContent>
    </w:sdt>
    <w:tbl>
      <w:tblPr>
        <w:tblW w:w="0" w:type="auto"/>
        <w:tblInd w:w="2235" w:type="dxa"/>
        <w:shd w:val="clear" w:color="auto" w:fill="DBE5F1"/>
        <w:tblLayout w:type="fixed"/>
        <w:tblLook w:val="04A0" w:firstRow="1" w:lastRow="0" w:firstColumn="1" w:lastColumn="0" w:noHBand="0" w:noVBand="1"/>
      </w:tblPr>
      <w:tblGrid>
        <w:gridCol w:w="7007"/>
      </w:tblGrid>
      <w:tr w:rsidR="00610F44" w:rsidTr="006F6A92">
        <w:trPr>
          <w:trHeight w:val="13467"/>
        </w:trPr>
        <w:tc>
          <w:tcPr>
            <w:tcW w:w="7007" w:type="dxa"/>
            <w:shd w:val="clear" w:color="auto" w:fill="DBE5F1"/>
          </w:tcPr>
          <w:p w:rsidR="00610F44" w:rsidRPr="001835DD" w:rsidRDefault="00610F44" w:rsidP="006F6A92">
            <w:pPr>
              <w:pStyle w:val="Keypointsheader"/>
            </w:pPr>
            <w:r w:rsidRPr="00AC3DDE">
              <w:lastRenderedPageBreak/>
              <w:t>Key points</w:t>
            </w:r>
          </w:p>
          <w:p w:rsidR="00610F44" w:rsidRDefault="00610F44" w:rsidP="00610F44">
            <w:pPr>
              <w:pStyle w:val="Keypointsbullet"/>
              <w:numPr>
                <w:ilvl w:val="0"/>
                <w:numId w:val="7"/>
              </w:numPr>
              <w:spacing w:before="180"/>
              <w:ind w:left="317" w:hanging="252"/>
            </w:pPr>
            <w:r>
              <w:t>Automation susceptibility in Australia has decreased over time as highly susceptible jobs are automated.</w:t>
            </w:r>
          </w:p>
          <w:p w:rsidR="00610F44" w:rsidRDefault="00610F44" w:rsidP="00610F44">
            <w:pPr>
              <w:pStyle w:val="Keypointsbullet"/>
              <w:numPr>
                <w:ilvl w:val="0"/>
                <w:numId w:val="7"/>
              </w:numPr>
              <w:spacing w:before="180"/>
              <w:ind w:left="317" w:hanging="252"/>
            </w:pPr>
            <w:r>
              <w:t>The fall in automation susceptibility is largely due to composition change within industries, though the overall growth and decline of industries has accentuated that decline.</w:t>
            </w:r>
          </w:p>
          <w:p w:rsidR="00610F44" w:rsidRDefault="00610F44" w:rsidP="00610F44">
            <w:pPr>
              <w:pStyle w:val="Keypointsbullet"/>
              <w:numPr>
                <w:ilvl w:val="0"/>
                <w:numId w:val="7"/>
              </w:numPr>
              <w:spacing w:before="180"/>
              <w:ind w:left="317" w:hanging="252"/>
            </w:pPr>
            <w:r>
              <w:t>There is a strong potential that technology will be capable of automating the tasks of 44 per cent of Australian jobs in the coming decades, though other factors will determine whether jobs will be substituted for machines.</w:t>
            </w:r>
          </w:p>
          <w:p w:rsidR="00610F44" w:rsidRDefault="00610F44" w:rsidP="00610F44">
            <w:pPr>
              <w:pStyle w:val="Keypointsbullet"/>
              <w:numPr>
                <w:ilvl w:val="0"/>
                <w:numId w:val="7"/>
              </w:numPr>
              <w:spacing w:before="180"/>
              <w:ind w:left="317" w:hanging="252"/>
            </w:pPr>
            <w:r>
              <w:t>Those occupations with high susceptibility for automation capability to be developed have grown at a slower rate, are paid less, and are less educated than their counterparts with limited susceptibility.</w:t>
            </w:r>
          </w:p>
          <w:p w:rsidR="00610F44" w:rsidRDefault="00FF5282" w:rsidP="00610F44">
            <w:pPr>
              <w:pStyle w:val="Keypointsbullet"/>
              <w:numPr>
                <w:ilvl w:val="0"/>
                <w:numId w:val="7"/>
              </w:numPr>
              <w:spacing w:before="180"/>
              <w:ind w:left="317" w:hanging="252"/>
            </w:pPr>
            <w:r w:rsidRPr="005157A6">
              <w:rPr>
                <w:rFonts w:ascii="Arial" w:hAnsi="Arial"/>
                <w:szCs w:val="22"/>
              </w:rPr>
              <w:t xml:space="preserve">Retail trade, transport, and the hospitality sectors </w:t>
            </w:r>
            <w:r>
              <w:rPr>
                <w:rFonts w:ascii="Arial" w:hAnsi="Arial"/>
                <w:szCs w:val="22"/>
              </w:rPr>
              <w:t xml:space="preserve">have </w:t>
            </w:r>
            <w:r w:rsidRPr="005157A6">
              <w:rPr>
                <w:rFonts w:ascii="Arial" w:hAnsi="Arial"/>
                <w:szCs w:val="22"/>
              </w:rPr>
              <w:t xml:space="preserve">the highest automation susceptibility. The education sector </w:t>
            </w:r>
            <w:r>
              <w:rPr>
                <w:rFonts w:ascii="Arial" w:hAnsi="Arial"/>
                <w:szCs w:val="22"/>
              </w:rPr>
              <w:t>is the least susceptible.</w:t>
            </w:r>
          </w:p>
          <w:p w:rsidR="00610F44" w:rsidRDefault="00610F44" w:rsidP="00610F44">
            <w:pPr>
              <w:pStyle w:val="Keypointsbullet"/>
              <w:numPr>
                <w:ilvl w:val="0"/>
                <w:numId w:val="7"/>
              </w:numPr>
              <w:spacing w:before="180"/>
              <w:ind w:left="317" w:hanging="252"/>
            </w:pPr>
            <w:r>
              <w:t>The same factors that lead to an occupation or industry’s decline present opportunities for other industries, firms and workers to flourish.</w:t>
            </w:r>
          </w:p>
          <w:p w:rsidR="00610F44" w:rsidRDefault="00610F44" w:rsidP="00610F44">
            <w:pPr>
              <w:pStyle w:val="Keypointsbullet"/>
              <w:numPr>
                <w:ilvl w:val="0"/>
                <w:numId w:val="7"/>
              </w:numPr>
              <w:spacing w:before="180"/>
              <w:ind w:left="317" w:hanging="252"/>
            </w:pPr>
            <w:r>
              <w:t xml:space="preserve">Automation has </w:t>
            </w:r>
            <w:r w:rsidRPr="00F61D5E">
              <w:t>freed up resources that were previously required to undertake mundane, routine and often manual tasks, and allowed them to be employed in high value, high skilled</w:t>
            </w:r>
            <w:r>
              <w:t xml:space="preserve"> and high paid</w:t>
            </w:r>
            <w:r w:rsidRPr="00F61D5E">
              <w:t xml:space="preserve"> roles.</w:t>
            </w:r>
          </w:p>
        </w:tc>
      </w:tr>
    </w:tbl>
    <w:p w:rsidR="00610F44" w:rsidRDefault="00610F44" w:rsidP="00610F44">
      <w:pPr>
        <w:pStyle w:val="BodyText"/>
      </w:pPr>
    </w:p>
    <w:p w:rsidR="00610F44" w:rsidRDefault="00610F44" w:rsidP="00610F44">
      <w:pPr>
        <w:pStyle w:val="BodyText"/>
        <w:sectPr w:rsidR="00610F44" w:rsidSect="00354EA2">
          <w:footerReference w:type="default" r:id="rId24"/>
          <w:footerReference w:type="first" r:id="rId25"/>
          <w:pgSz w:w="11906" w:h="16838" w:code="9"/>
          <w:pgMar w:top="1440" w:right="1440" w:bottom="1440" w:left="1440" w:header="709" w:footer="709" w:gutter="0"/>
          <w:cols w:space="708"/>
          <w:docGrid w:linePitch="360"/>
        </w:sectPr>
      </w:pPr>
    </w:p>
    <w:p w:rsidR="00610F44" w:rsidRDefault="00610F44" w:rsidP="00610F44">
      <w:pPr>
        <w:pStyle w:val="Heading1"/>
        <w:numPr>
          <w:ilvl w:val="0"/>
          <w:numId w:val="3"/>
        </w:numPr>
      </w:pPr>
      <w:r>
        <w:t>Introduction</w:t>
      </w:r>
    </w:p>
    <w:p w:rsidR="00610F44" w:rsidRDefault="00610F44" w:rsidP="00610F44">
      <w:pPr>
        <w:pStyle w:val="BodyText"/>
      </w:pPr>
      <w:r>
        <w:t>Over the past two decades, the Australian economy has witnessed significant technological improvements. These improvements have affected the supply chain at every point. They have affected what goods and services are produced, how they are manufactured and distributed, and even the interface through which consumers make their purchases.</w:t>
      </w:r>
    </w:p>
    <w:p w:rsidR="00610F44" w:rsidRDefault="00610F44" w:rsidP="00610F44">
      <w:pPr>
        <w:pStyle w:val="BodyText"/>
      </w:pPr>
      <w:r>
        <w:t xml:space="preserve">In the face of such developments, the labour market has had to adapt. On the one hand, technology’s impact on the labour market has been positive, creating new roles and even new industries. On the other hand however, technology has seen many positions become automated — replaced by machines and software. </w:t>
      </w:r>
    </w:p>
    <w:p w:rsidR="00610F44" w:rsidRDefault="00610F44" w:rsidP="00610F44">
      <w:pPr>
        <w:pStyle w:val="BodyText"/>
      </w:pPr>
      <w:r>
        <w:t xml:space="preserve">Automation is not a new phenomenon. Though not the first piece of machinery to replace or reduce labour, the Jacquard loom revolutionised the textile industry in 1801 by significantly reducing the number of workers required to produce fabrics. The story of the Luddites and the smashing of the looms still resonates today with the modern workers. </w:t>
      </w:r>
    </w:p>
    <w:p w:rsidR="00610F44" w:rsidRDefault="00610F44" w:rsidP="00610F44">
      <w:pPr>
        <w:pStyle w:val="BodyText"/>
      </w:pPr>
      <w:r>
        <w:t>Automation did not transform industries immediately. Often, technology takes decades to truly affect the market. But this steady transformation has today enabled entire factories to assemble intricate and specialised devices without human intervention at all.</w:t>
      </w:r>
      <w:r>
        <w:rPr>
          <w:rStyle w:val="FootnoteReference"/>
        </w:rPr>
        <w:footnoteReference w:id="1"/>
      </w:r>
      <w:r>
        <w:t xml:space="preserve"> This steady transformation has touched all corners of the economy — be it in agriculture, manufacturing, mining or the services sectors. The work that was once performed by a large team of men in a field is now produced by a few farmers with industrial machinery. The services sector is now able to leverage modern communication technology to truly globalise their output.</w:t>
      </w:r>
    </w:p>
    <w:p w:rsidR="00610F44" w:rsidRDefault="00610F44" w:rsidP="00610F44">
      <w:pPr>
        <w:pStyle w:val="BodyText"/>
      </w:pPr>
      <w:r>
        <w:t>Thousands of jobs have been automated over the past few decades thanks the increasing capabilities of technology. As jobs within an industry are automated, the positions remaining are those that require creative, social and fine motor skills that are the advantage of the human worker. New job openings have generally been biased towards these occupations as well. Industries are leveraging technology to modernise their workforces to better reduce costs and improve outputs.</w:t>
      </w:r>
    </w:p>
    <w:p w:rsidR="00610F44" w:rsidRDefault="00610F44" w:rsidP="00610F44">
      <w:pPr>
        <w:pStyle w:val="BodyText"/>
      </w:pPr>
      <w:r>
        <w:t xml:space="preserve">At the same as technology has been improving, the economy has also undergone significant structural change. Figure 1.1 identifies the vast movements in employment for Australian industry in the past decade. In </w:t>
      </w:r>
      <w:r w:rsidR="0033113B">
        <w:t>2003–</w:t>
      </w:r>
      <w:r>
        <w:t xml:space="preserve">04 only 935,400 people were employed by the health care sector. Today, there are around 1.4 million, adding 50 </w:t>
      </w:r>
      <w:r w:rsidR="00AB4C2B">
        <w:t>per cent</w:t>
      </w:r>
      <w:r>
        <w:t xml:space="preserve"> in just 10 years. And while manufacturing employed over 1 million people 10 years ago, today those numbers have fallen to 930,000 — falls in industry employment levels are rare. All else constant, growth in those sectors where automation susceptibility is high will add to the automation susceptibility of the workforce at large, and the same is true for the inverse.</w:t>
      </w:r>
    </w:p>
    <w:p w:rsidR="00610F44" w:rsidRDefault="00610F44" w:rsidP="00610F44">
      <w:pPr>
        <w:pStyle w:val="CaptionWide"/>
      </w:pPr>
      <w:r>
        <w:t>Figure</w:t>
      </w:r>
      <w:r w:rsidRPr="000618FB">
        <w:t xml:space="preserve"> </w:t>
      </w:r>
      <w:fldSimple w:instr=" STYLEREF 1 \s " w:fldLock="1">
        <w:r>
          <w:rPr>
            <w:noProof/>
          </w:rPr>
          <w:t>1</w:t>
        </w:r>
      </w:fldSimple>
      <w:r w:rsidRPr="000618FB">
        <w:t>.</w:t>
      </w:r>
      <w:r w:rsidRPr="000618FB">
        <w:fldChar w:fldCharType="begin" w:fldLock="1"/>
      </w:r>
      <w:r w:rsidRPr="000618FB">
        <w:instrText xml:space="preserve"> SEQ </w:instrText>
      </w:r>
      <w:r>
        <w:instrText>Figure</w:instrText>
      </w:r>
      <w:r w:rsidRPr="000618FB">
        <w:instrText xml:space="preserve"> \* ARABIC \s 1 </w:instrText>
      </w:r>
      <w:r w:rsidRPr="000618FB">
        <w:fldChar w:fldCharType="separate"/>
      </w:r>
      <w:r>
        <w:rPr>
          <w:noProof/>
        </w:rPr>
        <w:t>1</w:t>
      </w:r>
      <w:r w:rsidRPr="000618FB">
        <w:fldChar w:fldCharType="end"/>
      </w:r>
      <w:r>
        <w:t xml:space="preserve">: </w:t>
      </w:r>
      <w:r w:rsidRPr="00C407E3">
        <w:t>Change in employment and compensation per employee by industry</w:t>
      </w:r>
    </w:p>
    <w:p w:rsidR="00013D47" w:rsidRPr="00013D47" w:rsidRDefault="00013D47" w:rsidP="00013D47">
      <w:pPr>
        <w:pStyle w:val="PlaceholderWide"/>
      </w:pPr>
      <w:r>
        <w:rPr>
          <w:noProof/>
          <w:lang w:eastAsia="en-AU"/>
        </w:rPr>
        <w:drawing>
          <wp:inline distT="0" distB="0" distL="0" distR="0" wp14:anchorId="02DB8C10" wp14:editId="3B98E302">
            <wp:extent cx="5538019" cy="5454650"/>
            <wp:effectExtent l="0" t="0" r="5715" b="0"/>
            <wp:docPr id="4" name="Picture 4" descr="This bubble chart shows the relationship between employment growth and compensation per employee. It shows that only three industries - agriculture, manufacturing and ICT - declined in employment over the ten years between 2004 to 2014. It also identifies health care, the largest industry in Australia, also experienced the highest growth over the period." title="Figure 1.1: Change in employment and compensation per employee by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40298" cy="5456894"/>
                    </a:xfrm>
                    <a:prstGeom prst="rect">
                      <a:avLst/>
                    </a:prstGeom>
                  </pic:spPr>
                </pic:pic>
              </a:graphicData>
            </a:graphic>
          </wp:inline>
        </w:drawing>
      </w:r>
    </w:p>
    <w:p w:rsidR="0083086F" w:rsidRDefault="00610F44" w:rsidP="00610F44">
      <w:pPr>
        <w:pStyle w:val="SourceWide"/>
        <w:rPr>
          <w:szCs w:val="16"/>
        </w:rPr>
      </w:pPr>
      <w:r w:rsidRPr="0083086F">
        <w:rPr>
          <w:szCs w:val="16"/>
        </w:rPr>
        <w:t>Note: Indust</w:t>
      </w:r>
      <w:r w:rsidR="0083086F">
        <w:rPr>
          <w:szCs w:val="16"/>
        </w:rPr>
        <w:t xml:space="preserve">ry names have been abbreviated </w:t>
      </w:r>
    </w:p>
    <w:p w:rsidR="00610F44" w:rsidRPr="0083086F" w:rsidRDefault="00610F44" w:rsidP="00610F44">
      <w:pPr>
        <w:pStyle w:val="SourceWide"/>
        <w:rPr>
          <w:szCs w:val="16"/>
        </w:rPr>
      </w:pPr>
      <w:r>
        <w:t xml:space="preserve">Source: </w:t>
      </w:r>
      <w:r w:rsidR="00C738FC">
        <w:t>Department of Industry, Innovation and Science</w:t>
      </w:r>
      <w:r>
        <w:t xml:space="preserve"> (2014), using data from Australian Bureau of Statistics (2014e and 2014f)</w:t>
      </w:r>
    </w:p>
    <w:p w:rsidR="00610F44" w:rsidRDefault="00610F44" w:rsidP="00610F44">
      <w:pPr>
        <w:pStyle w:val="BodyText"/>
      </w:pPr>
      <w:r>
        <w:t>These two structural adjustments can be thought of as within-industry changes where individual industries modernise and adapt, and between-industry changes where industries grow and shrink. Understanding the relative impacts of these two effects will help to explain just how transformative technology’s impact on the Australian labour market has been.</w:t>
      </w:r>
    </w:p>
    <w:p w:rsidR="00610F44" w:rsidRDefault="00610F44" w:rsidP="00610F44">
      <w:pPr>
        <w:pStyle w:val="BodyText"/>
      </w:pPr>
      <w:r>
        <w:t>The paper draws on a 2013 study by Frey and Osborne on the automation susceptibility of occupations in the United States, and provides new data on the automation susceptibility of occupations in Australia. It considers the relationship between automation and growth in an Australian context, supplemented by correlations with occupation and industry attributes. The paper also analyses change in the automation susceptibility of the Australian workforce over the past decade and provides a decomposition to learn the relative effects of structural change.</w:t>
      </w:r>
    </w:p>
    <w:p w:rsidR="00610F44" w:rsidRDefault="00610F44" w:rsidP="00610F44">
      <w:pPr>
        <w:pStyle w:val="Heading1"/>
        <w:numPr>
          <w:ilvl w:val="0"/>
          <w:numId w:val="3"/>
        </w:numPr>
      </w:pPr>
      <w:r>
        <w:t>Rise of the machine</w:t>
      </w:r>
    </w:p>
    <w:p w:rsidR="00610F44" w:rsidRDefault="00610F44" w:rsidP="00610F44">
      <w:pPr>
        <w:pStyle w:val="BodyText"/>
      </w:pPr>
      <w:r>
        <w:t>The Jacquard loom, introduced in 1801, is often quoted as one of the more meaningful times a piece of machinery threatened a mass number of workers. The artisans and weavers who once manually manned the looms protested against the loom’s introduction by publicly smashing the devices. Many workers became redundant as a result of the development, causing technological unemployment.</w:t>
      </w:r>
    </w:p>
    <w:p w:rsidR="00610F44" w:rsidRDefault="00610F44" w:rsidP="00610F44">
      <w:pPr>
        <w:pStyle w:val="BodyText"/>
      </w:pPr>
      <w:r>
        <w:t xml:space="preserve">The loom is by no means the first piece of machinery to reduce or replace the need for human workers. The steam engine that was patented by James Watt in 1781 meant manufacturing machinery could be created with a fraction of the workers. But the Jacquard loom is unique in its use of a programmable punch card. In what is seen as a first for industry, you could program a machine to create the output you desired </w:t>
      </w:r>
      <w:r w:rsidR="0033113B">
        <w:t>—</w:t>
      </w:r>
      <w:r>
        <w:t xml:space="preserve"> in this case the pattern required for a textile.</w:t>
      </w:r>
    </w:p>
    <w:p w:rsidR="00610F44" w:rsidRDefault="00610F44" w:rsidP="00610F44">
      <w:pPr>
        <w:pStyle w:val="BodyText"/>
      </w:pPr>
      <w:r>
        <w:t xml:space="preserve">Technology is becoming capable of performing the tasks of an increasing number of jobs as it improves exponentially. In many cases, this results in the occupation or industry’s footprint being decreased. In Australia, the share of output from the agriculture sector fell from over a third in the 19th century to just three per cent in the 2000s </w:t>
      </w:r>
      <w:r w:rsidR="0033113B">
        <w:t>—</w:t>
      </w:r>
      <w:r>
        <w:t xml:space="preserve"> in part a result of increased automation of the industry.</w:t>
      </w:r>
      <w:r w:rsidR="006C1C38">
        <w:rPr>
          <w:rStyle w:val="FootnoteReference"/>
        </w:rPr>
        <w:footnoteReference w:id="2"/>
      </w:r>
      <w:r>
        <w:t xml:space="preserve"> In some cases, technology’s march has been able to entirely replace an occupation, given sufficient time. Take, for example, a switchboard operator. The last manually operated telephone exchange in Australia</w:t>
      </w:r>
      <w:r w:rsidR="0033113B">
        <w:t xml:space="preserve"> — </w:t>
      </w:r>
      <w:r>
        <w:t>in Wanaaring NSW</w:t>
      </w:r>
      <w:r w:rsidR="0033113B">
        <w:t xml:space="preserve"> — </w:t>
      </w:r>
      <w:r>
        <w:t>closed its operations in 1991, 103 years after the automatic switchboard’s invention in 1888.</w:t>
      </w:r>
    </w:p>
    <w:p w:rsidR="00610F44" w:rsidRDefault="00610F44" w:rsidP="00610F44">
      <w:pPr>
        <w:pStyle w:val="BodyText"/>
      </w:pPr>
      <w:r>
        <w:t>There is considerable debate on which workers are most at risk of being displaced by technology. Will automation and its resulting impact on the economy benefit all workers equally like a rising tide with ships? Or will the growing use of automation technologies cause uneven distortions to select areas of the economy?</w:t>
      </w:r>
    </w:p>
    <w:p w:rsidR="00610F44" w:rsidRDefault="00610F44" w:rsidP="00610F44">
      <w:pPr>
        <w:pStyle w:val="BodyText"/>
      </w:pPr>
      <w:r>
        <w:t>It was these questions that led Carl Frey and Michael Osborne to attempt to quantify the potential that technology would exist to automate individual occupations in the coming decades. They assessed the tasks performed by 702 US occupations and, with the help of experts in the machine learning and mobile robotics fields, identified the tasks that robots would be unlikely to perform in the coming decades.</w:t>
      </w:r>
    </w:p>
    <w:p w:rsidR="00610F44" w:rsidRDefault="00610F44" w:rsidP="00610F44">
      <w:pPr>
        <w:pStyle w:val="BodyText"/>
      </w:pPr>
      <w:r>
        <w:t>Feeding these tasks into a statistical model, the researchers were able to compute a score for each occupation — a score of 0 meant that an occupation’s tasks were incredibly unlikely to be able to be performed by machines; a score of 100 identified that the tasks were highly automatable. This research, which made international headlines, calculated that the technology would be capable of automating 47 per cent of American jobs by 2030. In this paper, the automation susceptibility of Australian occupations has been estimated using data provided in Frey and Osborne.</w:t>
      </w:r>
    </w:p>
    <w:p w:rsidR="00610F44" w:rsidRDefault="00610F44" w:rsidP="00610F44">
      <w:pPr>
        <w:pStyle w:val="BodyText"/>
      </w:pPr>
      <w:r>
        <w:t xml:space="preserve">Granted, just because the technological capacity to automate an occupation’s tasks will exist, does not mean that an occupation will be replaced by a machine. The paper by Frey and Osborne only considered the </w:t>
      </w:r>
      <w:r w:rsidRPr="0060173F">
        <w:rPr>
          <w:i/>
        </w:rPr>
        <w:t xml:space="preserve">technical </w:t>
      </w:r>
      <w:r w:rsidRPr="0060173F">
        <w:t>automation</w:t>
      </w:r>
      <w:r>
        <w:t xml:space="preserve"> susceptibility of occupations — could an algorithm be developed to carry out the tasks of the occupation? As they acknowledge in their paper, ‘the actual extent and pace of computerisation will depend on several additional factors which were left unaccounted for’. These factors include access to cheap labour, wage growth, the price of capital, labour shortages, business appetite and risk, consumer appetite, regulatory concerns and political activism. This paper is similarly restricted by those limits, and makes no attempt to predict what jobs will in fact be automated in the future.</w:t>
      </w:r>
    </w:p>
    <w:p w:rsidR="00610F44" w:rsidRDefault="00610F44" w:rsidP="00610F44">
      <w:pPr>
        <w:pStyle w:val="BodyText"/>
      </w:pPr>
      <w:r>
        <w:t xml:space="preserve">As with the Oxford paper, this paper focuses exclusively on automation by means of computer programming, or ‘computerisation’. This distinction separates computerisation from basic mechanical automation seen in the days of the industrial revolution. The main difference is that of the ‘brain’ — computerised automated systems have the significant benefit of the algorithm, a complex set of rules that allow a machine to process information and act according to those inputs. The algorithm has allowed computers to evolve from mere </w:t>
      </w:r>
      <w:r w:rsidRPr="00BC4439">
        <w:rPr>
          <w:i/>
        </w:rPr>
        <w:t>calculating</w:t>
      </w:r>
      <w:r>
        <w:t xml:space="preserve"> and </w:t>
      </w:r>
      <w:r w:rsidRPr="00BC4439">
        <w:rPr>
          <w:i/>
        </w:rPr>
        <w:t>doing</w:t>
      </w:r>
      <w:r>
        <w:t xml:space="preserve"> devices, to </w:t>
      </w:r>
      <w:r w:rsidRPr="00BC4439">
        <w:rPr>
          <w:i/>
        </w:rPr>
        <w:t>thinking</w:t>
      </w:r>
      <w:r>
        <w:t xml:space="preserve"> and even </w:t>
      </w:r>
      <w:r w:rsidRPr="00BC4439">
        <w:rPr>
          <w:i/>
        </w:rPr>
        <w:t>learning</w:t>
      </w:r>
      <w:r>
        <w:t xml:space="preserve"> devices.</w:t>
      </w:r>
    </w:p>
    <w:p w:rsidR="00610F44" w:rsidRDefault="00610F44" w:rsidP="00610F44">
      <w:pPr>
        <w:pStyle w:val="BodyText"/>
      </w:pPr>
      <w:r>
        <w:t xml:space="preserve">In its simplest form, computerised automation simply involves an algorithm making a decision and acting on it — if </w:t>
      </w:r>
      <w:r w:rsidRPr="000B0846">
        <w:rPr>
          <w:b/>
        </w:rPr>
        <w:t>a</w:t>
      </w:r>
      <w:r>
        <w:t xml:space="preserve"> is greater than </w:t>
      </w:r>
      <w:r w:rsidRPr="000B0846">
        <w:rPr>
          <w:b/>
        </w:rPr>
        <w:t>b</w:t>
      </w:r>
      <w:r>
        <w:t xml:space="preserve">, then choose to do </w:t>
      </w:r>
      <w:r w:rsidRPr="000B0846">
        <w:rPr>
          <w:b/>
        </w:rPr>
        <w:t>x</w:t>
      </w:r>
      <w:r>
        <w:t xml:space="preserve"> over </w:t>
      </w:r>
      <w:r w:rsidRPr="000B0846">
        <w:rPr>
          <w:b/>
        </w:rPr>
        <w:t>y</w:t>
      </w:r>
      <w:r>
        <w:t>. It is the complex interplay of these decisions and outcomes on a greater scale that frame automation’s true capabilities. Robots are a form of computerised automation, but are only one type. Yes, an algorithm is behind modern industrial and commercial robots. Yet automation doesn’t need to be a robot — an algorithm is equally behind software such as search results and facial recognition. Not only are robots not necessarily humanoid, automation is not necessarily a robot.</w:t>
      </w:r>
    </w:p>
    <w:p w:rsidR="00610F44" w:rsidRDefault="00610F44" w:rsidP="00610F44">
      <w:pPr>
        <w:pStyle w:val="BodyText"/>
      </w:pPr>
      <w:r>
        <w:t>Algorithms have not only transformed the ability to automate tasks that were already being undertaken by humans, but also to automate tasks humans will never be able to accomplish.</w:t>
      </w:r>
    </w:p>
    <w:p w:rsidR="00610F44" w:rsidRDefault="00610F44" w:rsidP="00610F44">
      <w:pPr>
        <w:pStyle w:val="Heading1"/>
        <w:numPr>
          <w:ilvl w:val="0"/>
          <w:numId w:val="3"/>
        </w:numPr>
      </w:pPr>
      <w:r>
        <w:t>How automatable are Australian jobs?</w:t>
      </w:r>
    </w:p>
    <w:p w:rsidR="00610F44" w:rsidRDefault="00610F44" w:rsidP="00610F44">
      <w:pPr>
        <w:pStyle w:val="BodyText"/>
      </w:pPr>
      <w:r>
        <w:t>In this paper, the automation susceptibility of Australian occupations has been estimated using data provided in Frey and Osborne.</w:t>
      </w:r>
      <w:r>
        <w:rPr>
          <w:rStyle w:val="FootnoteReference"/>
        </w:rPr>
        <w:footnoteReference w:id="3"/>
      </w:r>
      <w:r>
        <w:t xml:space="preserve"> It is based on the extent to which tasks performed in an occupation are able to be mimicked by technology. In this paper, a job is paid position of employment in the labour market. A job, such as chief explosives engineer at Acme Corporation, is an individual position that only one person can occupy. On the other hand, an occupation is a collection of jobs of one type — a sales clerk, a secondary school teach, a dentist for example. Your </w:t>
      </w:r>
      <w:r>
        <w:rPr>
          <w:i/>
        </w:rPr>
        <w:t xml:space="preserve">job </w:t>
      </w:r>
      <w:r>
        <w:t xml:space="preserve">may be replaced by a machine due to your employer’s decisions, but your </w:t>
      </w:r>
      <w:r>
        <w:rPr>
          <w:i/>
        </w:rPr>
        <w:t xml:space="preserve">occupation </w:t>
      </w:r>
      <w:r>
        <w:t>will continue to exist unless all jobs in that occupation are replaced.</w:t>
      </w:r>
    </w:p>
    <w:p w:rsidR="00610F44" w:rsidRDefault="00610F44" w:rsidP="00610F44">
      <w:pPr>
        <w:pStyle w:val="BodyText"/>
      </w:pPr>
      <w:r>
        <w:t xml:space="preserve">This section outlines the Frey and Osborne methodology and summarises the Australian results. </w:t>
      </w:r>
      <w:r>
        <w:fldChar w:fldCharType="begin" w:fldLock="1"/>
      </w:r>
      <w:r>
        <w:instrText xml:space="preserve"> REF _Ref422236553 \r \h </w:instrText>
      </w:r>
      <w:r>
        <w:fldChar w:fldCharType="separate"/>
      </w:r>
      <w:r>
        <w:t>Appendix C</w:t>
      </w:r>
      <w:r>
        <w:fldChar w:fldCharType="end"/>
      </w:r>
      <w:r>
        <w:t xml:space="preserve"> provides the automation scores for 435 Aus</w:t>
      </w:r>
      <w:r w:rsidR="00452887">
        <w:t>tralian occupations at the four-</w:t>
      </w:r>
      <w:r>
        <w:t>digit ANZSCO level.</w:t>
      </w:r>
    </w:p>
    <w:p w:rsidR="00610F44" w:rsidRDefault="00610F44" w:rsidP="00610F44">
      <w:pPr>
        <w:pStyle w:val="Heading2"/>
        <w:numPr>
          <w:ilvl w:val="1"/>
          <w:numId w:val="3"/>
        </w:numPr>
      </w:pPr>
      <w:r>
        <w:t>Calculating a score</w:t>
      </w:r>
    </w:p>
    <w:p w:rsidR="00610F44" w:rsidRDefault="00610F44" w:rsidP="00610F44">
      <w:pPr>
        <w:pStyle w:val="BodyText"/>
      </w:pPr>
      <w:r>
        <w:t xml:space="preserve">Frey and Osborne used data from O*NET, a database that categorises and evaluates US occupations, to calculate the automation susceptibility for 702 US occupations. </w:t>
      </w:r>
    </w:p>
    <w:p w:rsidR="00610F44" w:rsidRDefault="00610F44" w:rsidP="00610F44">
      <w:pPr>
        <w:pStyle w:val="BodyText"/>
      </w:pPr>
      <w:r>
        <w:t>They identified three major engineering bottlenecks that limited the ability of computers to mimic human tasks. These being:</w:t>
      </w:r>
    </w:p>
    <w:p w:rsidR="00610F44" w:rsidRDefault="00610F44" w:rsidP="00610F44">
      <w:pPr>
        <w:pStyle w:val="ListBullet"/>
        <w:numPr>
          <w:ilvl w:val="0"/>
          <w:numId w:val="4"/>
        </w:numPr>
        <w:spacing w:before="180"/>
      </w:pPr>
      <w:r w:rsidRPr="00F43B53">
        <w:rPr>
          <w:b/>
        </w:rPr>
        <w:t>Perception and manipulation</w:t>
      </w:r>
      <w:r>
        <w:t xml:space="preserve"> — where an occupation’s tasks include working in an unstructured environment, identifying items in that environment, and precisely manipulating those items. Surgeons, for example, must examine a human body to identify abnormalities and make precise alterations, the results on which a life depends. Robots can be programmed to create precise incisions during surgery. However, if a patient should move, or a complication should occur during the incision, robots aren’t generally well equipped to respond.</w:t>
      </w:r>
    </w:p>
    <w:p w:rsidR="00610F44" w:rsidRDefault="00610F44" w:rsidP="00610F44">
      <w:pPr>
        <w:pStyle w:val="ListBullet"/>
        <w:numPr>
          <w:ilvl w:val="0"/>
          <w:numId w:val="4"/>
        </w:numPr>
        <w:spacing w:before="180"/>
      </w:pPr>
      <w:r w:rsidRPr="00F43B53">
        <w:rPr>
          <w:b/>
        </w:rPr>
        <w:t>Creative intelligence</w:t>
      </w:r>
      <w:r>
        <w:t xml:space="preserve"> — the ability to generate creative products and solutions. Although there exist computer programs which imitate the production of art,</w:t>
      </w:r>
      <w:r>
        <w:rPr>
          <w:rStyle w:val="FootnoteReference"/>
        </w:rPr>
        <w:footnoteReference w:id="4"/>
      </w:r>
      <w:r>
        <w:t xml:space="preserve"> there remain significant barriers to robots becoming truly artistic and creative, as opposed to following set scripts and programming. Similarly, while computers are very good at finding solutions, they generally must be told </w:t>
      </w:r>
      <w:r>
        <w:rPr>
          <w:i/>
        </w:rPr>
        <w:t>how</w:t>
      </w:r>
      <w:r>
        <w:t>, limiting their ability to be original. Physicists and interior designers alike excel at these tasks.</w:t>
      </w:r>
    </w:p>
    <w:p w:rsidR="00610F44" w:rsidRPr="00DE4213" w:rsidRDefault="00610F44" w:rsidP="00610F44">
      <w:pPr>
        <w:pStyle w:val="ListBullet"/>
        <w:numPr>
          <w:ilvl w:val="0"/>
          <w:numId w:val="4"/>
        </w:numPr>
        <w:spacing w:before="180"/>
      </w:pPr>
      <w:r>
        <w:rPr>
          <w:b/>
        </w:rPr>
        <w:t xml:space="preserve">Social intelligence — </w:t>
      </w:r>
      <w:r>
        <w:t>the ability to interact with others. The ability of computers to interact socially with humans currently involves voice assistants such as Apple’s Siri responding to questions that meet set formats, to varying degrees of accuracy. A computer holding a two-way conversation is certainly a difficult task. Expecting a computer to do this, as well as negotiate, persuade, upmarket, debate, emote and resolve is simply gargantuan. Occupations which rely heavily on social intelligence, such as solicitors, event organisers and public relations experts are more likely to have high automation susceptibility because of these skills.</w:t>
      </w:r>
    </w:p>
    <w:p w:rsidR="00610F44" w:rsidRDefault="00610F44" w:rsidP="00610F44">
      <w:pPr>
        <w:pStyle w:val="BodyText"/>
      </w:pPr>
      <w:r>
        <w:t>The O*NET database ranks tasks (such as ‘typing’, ‘public speaking’, etc</w:t>
      </w:r>
      <w:r w:rsidR="000B0846">
        <w:t>.</w:t>
      </w:r>
      <w:r>
        <w:t>) of occupations out of 100. Using this data, Frey and Osborne were able to categorise these tasks in respect to the three bottleneck skills. An automation score (also out of 100) was then calculated using a function</w:t>
      </w:r>
      <w:r w:rsidRPr="00625DAC">
        <w:t xml:space="preserve"> </w:t>
      </w:r>
      <w:r>
        <w:t xml:space="preserve">dependent on how strongly each </w:t>
      </w:r>
      <w:r w:rsidRPr="003207ED">
        <w:t>job</w:t>
      </w:r>
      <w:r>
        <w:t xml:space="preserve"> was associated with the selected O*NET attributes. Examples are provided in </w:t>
      </w:r>
      <w:r>
        <w:fldChar w:fldCharType="begin"/>
      </w:r>
      <w:r>
        <w:instrText xml:space="preserve"> REF _Ref426715033 \h </w:instrText>
      </w:r>
      <w:r>
        <w:fldChar w:fldCharType="separate"/>
      </w:r>
      <w:r w:rsidR="00150797" w:rsidRPr="000618FB">
        <w:t xml:space="preserve">Table </w:t>
      </w:r>
      <w:r w:rsidR="00150797">
        <w:rPr>
          <w:noProof/>
        </w:rPr>
        <w:t>3</w:t>
      </w:r>
      <w:r w:rsidR="00150797" w:rsidRPr="000618FB">
        <w:t>.</w:t>
      </w:r>
      <w:r w:rsidR="00150797">
        <w:rPr>
          <w:noProof/>
        </w:rPr>
        <w:t>1</w:t>
      </w:r>
      <w:r>
        <w:fldChar w:fldCharType="end"/>
      </w:r>
      <w:r>
        <w:t>.</w:t>
      </w:r>
    </w:p>
    <w:p w:rsidR="00610F44" w:rsidRPr="000618FB" w:rsidRDefault="00610F44" w:rsidP="00610F44">
      <w:pPr>
        <w:pStyle w:val="Caption"/>
      </w:pPr>
      <w:bookmarkStart w:id="0" w:name="_Ref426715033"/>
      <w:r w:rsidRPr="000618FB">
        <w:t xml:space="preserve">Table </w:t>
      </w:r>
      <w:fldSimple w:instr=" STYLEREF 1 \s " w:fldLock="1">
        <w:r>
          <w:rPr>
            <w:noProof/>
          </w:rPr>
          <w:t>3</w:t>
        </w:r>
      </w:fldSimple>
      <w:r w:rsidRPr="000618FB">
        <w:t>.</w:t>
      </w:r>
      <w:fldSimple w:instr=" SEQ Table \* ARABIC \s 1 " w:fldLock="1">
        <w:r>
          <w:rPr>
            <w:noProof/>
          </w:rPr>
          <w:t>1</w:t>
        </w:r>
      </w:fldSimple>
      <w:bookmarkEnd w:id="0"/>
      <w:r w:rsidRPr="000618FB">
        <w:t xml:space="preserve">: </w:t>
      </w:r>
      <w:r>
        <w:t>Calculating automation scores — example occupations</w:t>
      </w:r>
    </w:p>
    <w:tbl>
      <w:tblPr>
        <w:tblStyle w:val="TableGrid"/>
        <w:tblW w:w="6973" w:type="dxa"/>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3.1"/>
        <w:tblDescription w:val="This table describes calculation of automation scores"/>
      </w:tblPr>
      <w:tblGrid>
        <w:gridCol w:w="1984"/>
        <w:gridCol w:w="2347"/>
        <w:gridCol w:w="597"/>
        <w:gridCol w:w="1128"/>
        <w:gridCol w:w="917"/>
      </w:tblGrid>
      <w:tr w:rsidR="00610F44" w:rsidTr="004A0765">
        <w:trPr>
          <w:trHeight w:val="295"/>
          <w:tblHeader/>
        </w:trPr>
        <w:tc>
          <w:tcPr>
            <w:tcW w:w="1984" w:type="dxa"/>
            <w:shd w:val="clear" w:color="auto" w:fill="22789A" w:themeFill="accent1"/>
          </w:tcPr>
          <w:p w:rsidR="00610F44" w:rsidRPr="00190AB3" w:rsidRDefault="00610F44" w:rsidP="006F6A92">
            <w:pPr>
              <w:pStyle w:val="Tableheader"/>
            </w:pPr>
            <w:r>
              <w:t>Bottleneck</w:t>
            </w:r>
          </w:p>
        </w:tc>
        <w:tc>
          <w:tcPr>
            <w:tcW w:w="2347" w:type="dxa"/>
            <w:shd w:val="clear" w:color="auto" w:fill="22789A" w:themeFill="accent1"/>
          </w:tcPr>
          <w:p w:rsidR="00610F44" w:rsidRDefault="00610F44" w:rsidP="006F6A92">
            <w:pPr>
              <w:pStyle w:val="Tableheader"/>
            </w:pPr>
            <w:r>
              <w:t>O*NET</w:t>
            </w:r>
            <w:r w:rsidRPr="00190AB3">
              <w:t xml:space="preserve"> attributes </w:t>
            </w:r>
          </w:p>
        </w:tc>
        <w:tc>
          <w:tcPr>
            <w:tcW w:w="597" w:type="dxa"/>
            <w:shd w:val="clear" w:color="auto" w:fill="22789A" w:themeFill="accent1"/>
          </w:tcPr>
          <w:p w:rsidR="00610F44" w:rsidRDefault="00610F44" w:rsidP="006F6A92">
            <w:pPr>
              <w:pStyle w:val="Tableheader"/>
              <w:jc w:val="right"/>
            </w:pPr>
            <w:r w:rsidRPr="00190AB3">
              <w:t>Chef</w:t>
            </w:r>
          </w:p>
        </w:tc>
        <w:tc>
          <w:tcPr>
            <w:tcW w:w="1128" w:type="dxa"/>
            <w:shd w:val="clear" w:color="auto" w:fill="22789A" w:themeFill="accent1"/>
          </w:tcPr>
          <w:p w:rsidR="00610F44" w:rsidRDefault="00610F44" w:rsidP="006F6A92">
            <w:pPr>
              <w:pStyle w:val="Tableheader"/>
              <w:jc w:val="right"/>
            </w:pPr>
            <w:r w:rsidRPr="00190AB3">
              <w:t>Economist</w:t>
            </w:r>
          </w:p>
        </w:tc>
        <w:tc>
          <w:tcPr>
            <w:tcW w:w="917" w:type="dxa"/>
            <w:shd w:val="clear" w:color="auto" w:fill="22789A" w:themeFill="accent1"/>
          </w:tcPr>
          <w:p w:rsidR="00610F44" w:rsidRDefault="00610F44" w:rsidP="006F6A92">
            <w:pPr>
              <w:pStyle w:val="Tableheader"/>
              <w:jc w:val="right"/>
            </w:pPr>
            <w:r w:rsidRPr="00190AB3">
              <w:t>Librarian</w:t>
            </w:r>
          </w:p>
        </w:tc>
      </w:tr>
      <w:tr w:rsidR="00610F44" w:rsidTr="006F6A92">
        <w:tc>
          <w:tcPr>
            <w:tcW w:w="1984" w:type="dxa"/>
            <w:vMerge w:val="restart"/>
            <w:shd w:val="clear" w:color="auto" w:fill="CAE7F3" w:themeFill="accent1" w:themeFillTint="33"/>
          </w:tcPr>
          <w:p w:rsidR="00610F44" w:rsidRPr="00DA1278" w:rsidRDefault="00610F44" w:rsidP="006F6A92">
            <w:pPr>
              <w:pStyle w:val="Tabletext"/>
            </w:pPr>
            <w:r>
              <w:t>Perception and manipulation</w:t>
            </w:r>
          </w:p>
        </w:tc>
        <w:tc>
          <w:tcPr>
            <w:tcW w:w="2347" w:type="dxa"/>
            <w:shd w:val="clear" w:color="auto" w:fill="CAE7F3" w:themeFill="accent1" w:themeFillTint="33"/>
          </w:tcPr>
          <w:p w:rsidR="00610F44" w:rsidRDefault="00610F44" w:rsidP="006F6A92">
            <w:pPr>
              <w:pStyle w:val="Tabletext"/>
            </w:pPr>
            <w:r w:rsidRPr="00DA1278">
              <w:t>Cramped work space</w:t>
            </w:r>
          </w:p>
        </w:tc>
        <w:tc>
          <w:tcPr>
            <w:tcW w:w="597" w:type="dxa"/>
            <w:shd w:val="clear" w:color="auto" w:fill="CAE7F3" w:themeFill="accent1" w:themeFillTint="33"/>
          </w:tcPr>
          <w:p w:rsidR="00610F44" w:rsidRDefault="00610F44" w:rsidP="006F6A92">
            <w:pPr>
              <w:pStyle w:val="Tabletext"/>
              <w:jc w:val="right"/>
            </w:pPr>
            <w:r w:rsidRPr="00DA1278">
              <w:t>41</w:t>
            </w:r>
          </w:p>
        </w:tc>
        <w:tc>
          <w:tcPr>
            <w:tcW w:w="1128" w:type="dxa"/>
            <w:shd w:val="clear" w:color="auto" w:fill="CAE7F3" w:themeFill="accent1" w:themeFillTint="33"/>
          </w:tcPr>
          <w:p w:rsidR="00610F44" w:rsidRDefault="00610F44" w:rsidP="006F6A92">
            <w:pPr>
              <w:pStyle w:val="Tabletext"/>
              <w:jc w:val="right"/>
            </w:pPr>
            <w:r w:rsidRPr="00DA1278">
              <w:t>2</w:t>
            </w:r>
          </w:p>
        </w:tc>
        <w:tc>
          <w:tcPr>
            <w:tcW w:w="917" w:type="dxa"/>
            <w:shd w:val="clear" w:color="auto" w:fill="CAE7F3" w:themeFill="accent1" w:themeFillTint="33"/>
          </w:tcPr>
          <w:p w:rsidR="00610F44" w:rsidRDefault="00610F44" w:rsidP="006F6A92">
            <w:pPr>
              <w:pStyle w:val="Tabletext"/>
              <w:jc w:val="right"/>
            </w:pPr>
            <w:r w:rsidRPr="00DA1278">
              <w:t>17</w:t>
            </w:r>
          </w:p>
        </w:tc>
      </w:tr>
      <w:tr w:rsidR="00610F44" w:rsidTr="006F6A92">
        <w:tc>
          <w:tcPr>
            <w:tcW w:w="1984" w:type="dxa"/>
            <w:vMerge/>
            <w:shd w:val="clear" w:color="auto" w:fill="CAE7F3" w:themeFill="accent1" w:themeFillTint="33"/>
          </w:tcPr>
          <w:p w:rsidR="00610F44" w:rsidRPr="00DA1278" w:rsidRDefault="00610F44" w:rsidP="006F6A92">
            <w:pPr>
              <w:pStyle w:val="Tabletext"/>
            </w:pPr>
          </w:p>
        </w:tc>
        <w:tc>
          <w:tcPr>
            <w:tcW w:w="2347" w:type="dxa"/>
            <w:shd w:val="clear" w:color="auto" w:fill="CAE7F3" w:themeFill="accent1" w:themeFillTint="33"/>
          </w:tcPr>
          <w:p w:rsidR="00610F44" w:rsidRDefault="00610F44" w:rsidP="006F6A92">
            <w:pPr>
              <w:pStyle w:val="Tabletext"/>
            </w:pPr>
            <w:r w:rsidRPr="00DA1278">
              <w:t>Finger dexterity</w:t>
            </w:r>
          </w:p>
        </w:tc>
        <w:tc>
          <w:tcPr>
            <w:tcW w:w="597" w:type="dxa"/>
            <w:shd w:val="clear" w:color="auto" w:fill="CAE7F3" w:themeFill="accent1" w:themeFillTint="33"/>
          </w:tcPr>
          <w:p w:rsidR="00610F44" w:rsidRDefault="00610F44" w:rsidP="006F6A92">
            <w:pPr>
              <w:pStyle w:val="Tabletext"/>
              <w:jc w:val="right"/>
            </w:pPr>
            <w:r w:rsidRPr="00DA1278">
              <w:t>41</w:t>
            </w:r>
          </w:p>
        </w:tc>
        <w:tc>
          <w:tcPr>
            <w:tcW w:w="1128" w:type="dxa"/>
            <w:shd w:val="clear" w:color="auto" w:fill="CAE7F3" w:themeFill="accent1" w:themeFillTint="33"/>
          </w:tcPr>
          <w:p w:rsidR="00610F44" w:rsidRDefault="00610F44" w:rsidP="006F6A92">
            <w:pPr>
              <w:pStyle w:val="Tabletext"/>
              <w:jc w:val="right"/>
            </w:pPr>
            <w:r w:rsidRPr="00DA1278">
              <w:t>23</w:t>
            </w:r>
          </w:p>
        </w:tc>
        <w:tc>
          <w:tcPr>
            <w:tcW w:w="917" w:type="dxa"/>
            <w:shd w:val="clear" w:color="auto" w:fill="CAE7F3" w:themeFill="accent1" w:themeFillTint="33"/>
          </w:tcPr>
          <w:p w:rsidR="00610F44" w:rsidRDefault="00610F44" w:rsidP="006F6A92">
            <w:pPr>
              <w:pStyle w:val="Tabletext"/>
              <w:jc w:val="right"/>
            </w:pPr>
            <w:r w:rsidRPr="00DA1278">
              <w:t>37</w:t>
            </w:r>
          </w:p>
        </w:tc>
      </w:tr>
      <w:tr w:rsidR="00610F44" w:rsidTr="006F6A92">
        <w:tc>
          <w:tcPr>
            <w:tcW w:w="1984" w:type="dxa"/>
            <w:vMerge/>
            <w:shd w:val="clear" w:color="auto" w:fill="CAE7F3" w:themeFill="accent1" w:themeFillTint="33"/>
          </w:tcPr>
          <w:p w:rsidR="00610F44" w:rsidRPr="00DA1278" w:rsidRDefault="00610F44" w:rsidP="006F6A92">
            <w:pPr>
              <w:pStyle w:val="Tabletext"/>
            </w:pPr>
          </w:p>
        </w:tc>
        <w:tc>
          <w:tcPr>
            <w:tcW w:w="2347" w:type="dxa"/>
            <w:shd w:val="clear" w:color="auto" w:fill="CAE7F3" w:themeFill="accent1" w:themeFillTint="33"/>
          </w:tcPr>
          <w:p w:rsidR="00610F44" w:rsidRDefault="00610F44" w:rsidP="006F6A92">
            <w:pPr>
              <w:pStyle w:val="Tabletext"/>
            </w:pPr>
            <w:r w:rsidRPr="00DA1278">
              <w:t>Manual dexterity</w:t>
            </w:r>
          </w:p>
        </w:tc>
        <w:tc>
          <w:tcPr>
            <w:tcW w:w="597" w:type="dxa"/>
            <w:shd w:val="clear" w:color="auto" w:fill="CAE7F3" w:themeFill="accent1" w:themeFillTint="33"/>
          </w:tcPr>
          <w:p w:rsidR="00610F44" w:rsidRDefault="00610F44" w:rsidP="006F6A92">
            <w:pPr>
              <w:pStyle w:val="Tabletext"/>
              <w:jc w:val="right"/>
            </w:pPr>
            <w:r w:rsidRPr="00DA1278">
              <w:t>43</w:t>
            </w:r>
          </w:p>
        </w:tc>
        <w:tc>
          <w:tcPr>
            <w:tcW w:w="1128" w:type="dxa"/>
            <w:shd w:val="clear" w:color="auto" w:fill="CAE7F3" w:themeFill="accent1" w:themeFillTint="33"/>
          </w:tcPr>
          <w:p w:rsidR="00610F44" w:rsidRDefault="00610F44" w:rsidP="006F6A92">
            <w:pPr>
              <w:pStyle w:val="Tabletext"/>
              <w:jc w:val="right"/>
            </w:pPr>
            <w:r w:rsidRPr="00DA1278">
              <w:t>0</w:t>
            </w:r>
          </w:p>
        </w:tc>
        <w:tc>
          <w:tcPr>
            <w:tcW w:w="917" w:type="dxa"/>
            <w:shd w:val="clear" w:color="auto" w:fill="CAE7F3" w:themeFill="accent1" w:themeFillTint="33"/>
          </w:tcPr>
          <w:p w:rsidR="00610F44" w:rsidRDefault="00610F44" w:rsidP="006F6A92">
            <w:pPr>
              <w:pStyle w:val="Tabletext"/>
              <w:jc w:val="right"/>
            </w:pPr>
            <w:r w:rsidRPr="00DA1278">
              <w:t>27</w:t>
            </w:r>
          </w:p>
        </w:tc>
      </w:tr>
      <w:tr w:rsidR="00610F44" w:rsidTr="006F6A92">
        <w:trPr>
          <w:trHeight w:val="159"/>
        </w:trPr>
        <w:tc>
          <w:tcPr>
            <w:tcW w:w="1984" w:type="dxa"/>
            <w:shd w:val="clear" w:color="auto" w:fill="CAE7F3" w:themeFill="accent1" w:themeFillTint="33"/>
          </w:tcPr>
          <w:p w:rsidR="00610F44" w:rsidRPr="00AA6AF2" w:rsidRDefault="00610F44" w:rsidP="006F6A92">
            <w:pPr>
              <w:pStyle w:val="Tabletext"/>
              <w:rPr>
                <w:sz w:val="4"/>
                <w:szCs w:val="4"/>
              </w:rPr>
            </w:pPr>
          </w:p>
        </w:tc>
        <w:tc>
          <w:tcPr>
            <w:tcW w:w="2347" w:type="dxa"/>
            <w:shd w:val="clear" w:color="auto" w:fill="CAE7F3" w:themeFill="accent1" w:themeFillTint="33"/>
          </w:tcPr>
          <w:p w:rsidR="00610F44" w:rsidRPr="00AA6AF2" w:rsidRDefault="00610F44" w:rsidP="006F6A92">
            <w:pPr>
              <w:pStyle w:val="Tabletext"/>
              <w:rPr>
                <w:sz w:val="4"/>
                <w:szCs w:val="4"/>
              </w:rPr>
            </w:pPr>
          </w:p>
        </w:tc>
        <w:tc>
          <w:tcPr>
            <w:tcW w:w="597" w:type="dxa"/>
            <w:shd w:val="clear" w:color="auto" w:fill="CAE7F3" w:themeFill="accent1" w:themeFillTint="33"/>
          </w:tcPr>
          <w:p w:rsidR="00610F44" w:rsidRPr="00AA6AF2" w:rsidRDefault="00610F44" w:rsidP="006F6A92">
            <w:pPr>
              <w:pStyle w:val="Tabletext"/>
              <w:jc w:val="right"/>
              <w:rPr>
                <w:sz w:val="4"/>
                <w:szCs w:val="4"/>
              </w:rPr>
            </w:pPr>
          </w:p>
        </w:tc>
        <w:tc>
          <w:tcPr>
            <w:tcW w:w="1128" w:type="dxa"/>
            <w:shd w:val="clear" w:color="auto" w:fill="CAE7F3" w:themeFill="accent1" w:themeFillTint="33"/>
          </w:tcPr>
          <w:p w:rsidR="00610F44" w:rsidRPr="00AA6AF2" w:rsidRDefault="00610F44" w:rsidP="006F6A92">
            <w:pPr>
              <w:pStyle w:val="Tabletext"/>
              <w:jc w:val="right"/>
              <w:rPr>
                <w:sz w:val="4"/>
                <w:szCs w:val="4"/>
              </w:rPr>
            </w:pPr>
          </w:p>
        </w:tc>
        <w:tc>
          <w:tcPr>
            <w:tcW w:w="917" w:type="dxa"/>
            <w:shd w:val="clear" w:color="auto" w:fill="CAE7F3" w:themeFill="accent1" w:themeFillTint="33"/>
          </w:tcPr>
          <w:p w:rsidR="00610F44" w:rsidRPr="00AA6AF2" w:rsidRDefault="00610F44" w:rsidP="006F6A92">
            <w:pPr>
              <w:pStyle w:val="Tabletext"/>
              <w:jc w:val="right"/>
              <w:rPr>
                <w:sz w:val="4"/>
                <w:szCs w:val="4"/>
              </w:rPr>
            </w:pPr>
          </w:p>
        </w:tc>
      </w:tr>
      <w:tr w:rsidR="00610F44" w:rsidTr="006F6A92">
        <w:tc>
          <w:tcPr>
            <w:tcW w:w="1984" w:type="dxa"/>
            <w:vMerge w:val="restart"/>
            <w:shd w:val="clear" w:color="auto" w:fill="CAE7F3" w:themeFill="accent1" w:themeFillTint="33"/>
          </w:tcPr>
          <w:p w:rsidR="00610F44" w:rsidRPr="00DA1278" w:rsidRDefault="00610F44" w:rsidP="006F6A92">
            <w:pPr>
              <w:pStyle w:val="Tabletext"/>
            </w:pPr>
            <w:r>
              <w:t>Creative intelligence</w:t>
            </w:r>
          </w:p>
        </w:tc>
        <w:tc>
          <w:tcPr>
            <w:tcW w:w="2347" w:type="dxa"/>
            <w:shd w:val="clear" w:color="auto" w:fill="CAE7F3" w:themeFill="accent1" w:themeFillTint="33"/>
          </w:tcPr>
          <w:p w:rsidR="00610F44" w:rsidRDefault="00610F44" w:rsidP="006F6A92">
            <w:pPr>
              <w:pStyle w:val="Tabletext"/>
            </w:pPr>
            <w:r w:rsidRPr="00DA1278">
              <w:t>Originality</w:t>
            </w:r>
          </w:p>
        </w:tc>
        <w:tc>
          <w:tcPr>
            <w:tcW w:w="597" w:type="dxa"/>
            <w:shd w:val="clear" w:color="auto" w:fill="CAE7F3" w:themeFill="accent1" w:themeFillTint="33"/>
          </w:tcPr>
          <w:p w:rsidR="00610F44" w:rsidRDefault="00610F44" w:rsidP="006F6A92">
            <w:pPr>
              <w:pStyle w:val="Tabletext"/>
              <w:jc w:val="right"/>
            </w:pPr>
            <w:r w:rsidRPr="00DA1278">
              <w:t>48</w:t>
            </w:r>
          </w:p>
        </w:tc>
        <w:tc>
          <w:tcPr>
            <w:tcW w:w="1128" w:type="dxa"/>
            <w:shd w:val="clear" w:color="auto" w:fill="CAE7F3" w:themeFill="accent1" w:themeFillTint="33"/>
          </w:tcPr>
          <w:p w:rsidR="00610F44" w:rsidRDefault="00610F44" w:rsidP="006F6A92">
            <w:pPr>
              <w:pStyle w:val="Tabletext"/>
              <w:jc w:val="right"/>
            </w:pPr>
            <w:r w:rsidRPr="00DA1278">
              <w:t>46</w:t>
            </w:r>
          </w:p>
        </w:tc>
        <w:tc>
          <w:tcPr>
            <w:tcW w:w="917" w:type="dxa"/>
            <w:shd w:val="clear" w:color="auto" w:fill="CAE7F3" w:themeFill="accent1" w:themeFillTint="33"/>
          </w:tcPr>
          <w:p w:rsidR="00610F44" w:rsidRDefault="00610F44" w:rsidP="006F6A92">
            <w:pPr>
              <w:pStyle w:val="Tabletext"/>
              <w:jc w:val="right"/>
            </w:pPr>
            <w:r w:rsidRPr="00DA1278">
              <w:t>43</w:t>
            </w:r>
          </w:p>
        </w:tc>
      </w:tr>
      <w:tr w:rsidR="00610F44" w:rsidTr="006F6A92">
        <w:tc>
          <w:tcPr>
            <w:tcW w:w="1984" w:type="dxa"/>
            <w:vMerge/>
            <w:shd w:val="clear" w:color="auto" w:fill="CAE7F3" w:themeFill="accent1" w:themeFillTint="33"/>
          </w:tcPr>
          <w:p w:rsidR="00610F44" w:rsidRPr="00DA1278" w:rsidRDefault="00610F44" w:rsidP="006F6A92">
            <w:pPr>
              <w:pStyle w:val="Tabletext"/>
            </w:pPr>
          </w:p>
        </w:tc>
        <w:tc>
          <w:tcPr>
            <w:tcW w:w="2347" w:type="dxa"/>
            <w:shd w:val="clear" w:color="auto" w:fill="CAE7F3" w:themeFill="accent1" w:themeFillTint="33"/>
          </w:tcPr>
          <w:p w:rsidR="00610F44" w:rsidRDefault="00610F44" w:rsidP="006F6A92">
            <w:pPr>
              <w:pStyle w:val="Tabletext"/>
            </w:pPr>
            <w:r w:rsidRPr="00DA1278">
              <w:t>Fine arts</w:t>
            </w:r>
          </w:p>
        </w:tc>
        <w:tc>
          <w:tcPr>
            <w:tcW w:w="597" w:type="dxa"/>
            <w:shd w:val="clear" w:color="auto" w:fill="CAE7F3" w:themeFill="accent1" w:themeFillTint="33"/>
          </w:tcPr>
          <w:p w:rsidR="00610F44" w:rsidRDefault="00610F44" w:rsidP="006F6A92">
            <w:pPr>
              <w:pStyle w:val="Tabletext"/>
              <w:jc w:val="right"/>
            </w:pPr>
            <w:r w:rsidRPr="00DA1278">
              <w:t>19</w:t>
            </w:r>
          </w:p>
        </w:tc>
        <w:tc>
          <w:tcPr>
            <w:tcW w:w="1128" w:type="dxa"/>
            <w:shd w:val="clear" w:color="auto" w:fill="CAE7F3" w:themeFill="accent1" w:themeFillTint="33"/>
          </w:tcPr>
          <w:p w:rsidR="00610F44" w:rsidRDefault="00610F44" w:rsidP="006F6A92">
            <w:pPr>
              <w:pStyle w:val="Tabletext"/>
              <w:jc w:val="right"/>
            </w:pPr>
            <w:r w:rsidRPr="00DA1278">
              <w:t>0</w:t>
            </w:r>
          </w:p>
        </w:tc>
        <w:tc>
          <w:tcPr>
            <w:tcW w:w="917" w:type="dxa"/>
            <w:shd w:val="clear" w:color="auto" w:fill="CAE7F3" w:themeFill="accent1" w:themeFillTint="33"/>
          </w:tcPr>
          <w:p w:rsidR="00610F44" w:rsidRDefault="00610F44" w:rsidP="006F6A92">
            <w:pPr>
              <w:pStyle w:val="Tabletext"/>
              <w:jc w:val="right"/>
            </w:pPr>
            <w:r w:rsidRPr="00DA1278">
              <w:t>21</w:t>
            </w:r>
          </w:p>
        </w:tc>
      </w:tr>
      <w:tr w:rsidR="00610F44" w:rsidTr="006F6A92">
        <w:tc>
          <w:tcPr>
            <w:tcW w:w="1984" w:type="dxa"/>
            <w:shd w:val="clear" w:color="auto" w:fill="CAE7F3" w:themeFill="accent1" w:themeFillTint="33"/>
          </w:tcPr>
          <w:p w:rsidR="00610F44" w:rsidRPr="00AA6AF2" w:rsidRDefault="00610F44" w:rsidP="006F6A92">
            <w:pPr>
              <w:pStyle w:val="Tabletext"/>
              <w:rPr>
                <w:sz w:val="4"/>
                <w:szCs w:val="4"/>
              </w:rPr>
            </w:pPr>
          </w:p>
        </w:tc>
        <w:tc>
          <w:tcPr>
            <w:tcW w:w="2347" w:type="dxa"/>
            <w:shd w:val="clear" w:color="auto" w:fill="CAE7F3" w:themeFill="accent1" w:themeFillTint="33"/>
          </w:tcPr>
          <w:p w:rsidR="00610F44" w:rsidRPr="00AA6AF2" w:rsidRDefault="00610F44" w:rsidP="006F6A92">
            <w:pPr>
              <w:pStyle w:val="Tabletext"/>
              <w:rPr>
                <w:sz w:val="4"/>
                <w:szCs w:val="4"/>
              </w:rPr>
            </w:pPr>
          </w:p>
        </w:tc>
        <w:tc>
          <w:tcPr>
            <w:tcW w:w="597" w:type="dxa"/>
            <w:shd w:val="clear" w:color="auto" w:fill="CAE7F3" w:themeFill="accent1" w:themeFillTint="33"/>
          </w:tcPr>
          <w:p w:rsidR="00610F44" w:rsidRPr="00AA6AF2" w:rsidRDefault="00610F44" w:rsidP="006F6A92">
            <w:pPr>
              <w:pStyle w:val="Tabletext"/>
              <w:jc w:val="right"/>
              <w:rPr>
                <w:sz w:val="4"/>
                <w:szCs w:val="4"/>
              </w:rPr>
            </w:pPr>
          </w:p>
        </w:tc>
        <w:tc>
          <w:tcPr>
            <w:tcW w:w="1128" w:type="dxa"/>
            <w:shd w:val="clear" w:color="auto" w:fill="CAE7F3" w:themeFill="accent1" w:themeFillTint="33"/>
          </w:tcPr>
          <w:p w:rsidR="00610F44" w:rsidRPr="00AA6AF2" w:rsidRDefault="00610F44" w:rsidP="006F6A92">
            <w:pPr>
              <w:pStyle w:val="Tabletext"/>
              <w:jc w:val="right"/>
              <w:rPr>
                <w:sz w:val="4"/>
                <w:szCs w:val="4"/>
              </w:rPr>
            </w:pPr>
          </w:p>
        </w:tc>
        <w:tc>
          <w:tcPr>
            <w:tcW w:w="917" w:type="dxa"/>
            <w:shd w:val="clear" w:color="auto" w:fill="CAE7F3" w:themeFill="accent1" w:themeFillTint="33"/>
          </w:tcPr>
          <w:p w:rsidR="00610F44" w:rsidRPr="00AA6AF2" w:rsidRDefault="00610F44" w:rsidP="006F6A92">
            <w:pPr>
              <w:pStyle w:val="Tabletext"/>
              <w:jc w:val="right"/>
              <w:rPr>
                <w:sz w:val="4"/>
                <w:szCs w:val="4"/>
              </w:rPr>
            </w:pPr>
          </w:p>
        </w:tc>
      </w:tr>
      <w:tr w:rsidR="00610F44" w:rsidTr="006F6A92">
        <w:tc>
          <w:tcPr>
            <w:tcW w:w="1984" w:type="dxa"/>
            <w:vMerge w:val="restart"/>
            <w:shd w:val="clear" w:color="auto" w:fill="CAE7F3" w:themeFill="accent1" w:themeFillTint="33"/>
          </w:tcPr>
          <w:p w:rsidR="00610F44" w:rsidRPr="00DA1278" w:rsidRDefault="00610F44" w:rsidP="006F6A92">
            <w:pPr>
              <w:pStyle w:val="Tabletext"/>
            </w:pPr>
            <w:r>
              <w:t>Social intelligence</w:t>
            </w:r>
          </w:p>
        </w:tc>
        <w:tc>
          <w:tcPr>
            <w:tcW w:w="2347" w:type="dxa"/>
            <w:shd w:val="clear" w:color="auto" w:fill="CAE7F3" w:themeFill="accent1" w:themeFillTint="33"/>
          </w:tcPr>
          <w:p w:rsidR="00610F44" w:rsidRDefault="00610F44" w:rsidP="006F6A92">
            <w:pPr>
              <w:pStyle w:val="Tabletext"/>
            </w:pPr>
            <w:r w:rsidRPr="00DA1278">
              <w:t>Social perceptiveness</w:t>
            </w:r>
          </w:p>
        </w:tc>
        <w:tc>
          <w:tcPr>
            <w:tcW w:w="597" w:type="dxa"/>
            <w:shd w:val="clear" w:color="auto" w:fill="CAE7F3" w:themeFill="accent1" w:themeFillTint="33"/>
          </w:tcPr>
          <w:p w:rsidR="00610F44" w:rsidRDefault="00610F44" w:rsidP="006F6A92">
            <w:pPr>
              <w:pStyle w:val="Tabletext"/>
              <w:jc w:val="right"/>
            </w:pPr>
            <w:r w:rsidRPr="00DA1278">
              <w:t>54</w:t>
            </w:r>
          </w:p>
        </w:tc>
        <w:tc>
          <w:tcPr>
            <w:tcW w:w="1128" w:type="dxa"/>
            <w:shd w:val="clear" w:color="auto" w:fill="CAE7F3" w:themeFill="accent1" w:themeFillTint="33"/>
          </w:tcPr>
          <w:p w:rsidR="00610F44" w:rsidRDefault="00610F44" w:rsidP="006F6A92">
            <w:pPr>
              <w:pStyle w:val="Tabletext"/>
              <w:jc w:val="right"/>
            </w:pPr>
            <w:r w:rsidRPr="00DA1278">
              <w:t>39</w:t>
            </w:r>
          </w:p>
        </w:tc>
        <w:tc>
          <w:tcPr>
            <w:tcW w:w="917" w:type="dxa"/>
            <w:shd w:val="clear" w:color="auto" w:fill="CAE7F3" w:themeFill="accent1" w:themeFillTint="33"/>
          </w:tcPr>
          <w:p w:rsidR="00610F44" w:rsidRDefault="00610F44" w:rsidP="006F6A92">
            <w:pPr>
              <w:pStyle w:val="Tabletext"/>
              <w:jc w:val="right"/>
            </w:pPr>
            <w:r w:rsidRPr="00DA1278">
              <w:t>50</w:t>
            </w:r>
          </w:p>
        </w:tc>
      </w:tr>
      <w:tr w:rsidR="00610F44" w:rsidTr="006F6A92">
        <w:tc>
          <w:tcPr>
            <w:tcW w:w="1984" w:type="dxa"/>
            <w:vMerge/>
            <w:shd w:val="clear" w:color="auto" w:fill="CAE7F3" w:themeFill="accent1" w:themeFillTint="33"/>
          </w:tcPr>
          <w:p w:rsidR="00610F44" w:rsidRPr="00DA1278" w:rsidRDefault="00610F44" w:rsidP="006F6A92">
            <w:pPr>
              <w:pStyle w:val="Tabletext"/>
            </w:pPr>
          </w:p>
        </w:tc>
        <w:tc>
          <w:tcPr>
            <w:tcW w:w="2347" w:type="dxa"/>
            <w:shd w:val="clear" w:color="auto" w:fill="CAE7F3" w:themeFill="accent1" w:themeFillTint="33"/>
          </w:tcPr>
          <w:p w:rsidR="00610F44" w:rsidRDefault="00610F44" w:rsidP="006F6A92">
            <w:pPr>
              <w:pStyle w:val="Tabletext"/>
            </w:pPr>
            <w:r w:rsidRPr="00DA1278">
              <w:t>Negotiation</w:t>
            </w:r>
          </w:p>
        </w:tc>
        <w:tc>
          <w:tcPr>
            <w:tcW w:w="597" w:type="dxa"/>
            <w:shd w:val="clear" w:color="auto" w:fill="CAE7F3" w:themeFill="accent1" w:themeFillTint="33"/>
          </w:tcPr>
          <w:p w:rsidR="00610F44" w:rsidRDefault="00610F44" w:rsidP="006F6A92">
            <w:pPr>
              <w:pStyle w:val="Tabletext"/>
              <w:jc w:val="right"/>
            </w:pPr>
            <w:r w:rsidRPr="00DA1278">
              <w:t>50</w:t>
            </w:r>
          </w:p>
        </w:tc>
        <w:tc>
          <w:tcPr>
            <w:tcW w:w="1128" w:type="dxa"/>
            <w:shd w:val="clear" w:color="auto" w:fill="CAE7F3" w:themeFill="accent1" w:themeFillTint="33"/>
          </w:tcPr>
          <w:p w:rsidR="00610F44" w:rsidRDefault="00610F44" w:rsidP="006F6A92">
            <w:pPr>
              <w:pStyle w:val="Tabletext"/>
              <w:jc w:val="right"/>
            </w:pPr>
            <w:r w:rsidRPr="00DA1278">
              <w:t>37</w:t>
            </w:r>
          </w:p>
        </w:tc>
        <w:tc>
          <w:tcPr>
            <w:tcW w:w="917" w:type="dxa"/>
            <w:shd w:val="clear" w:color="auto" w:fill="CAE7F3" w:themeFill="accent1" w:themeFillTint="33"/>
          </w:tcPr>
          <w:p w:rsidR="00610F44" w:rsidRDefault="00610F44" w:rsidP="006F6A92">
            <w:pPr>
              <w:pStyle w:val="Tabletext"/>
              <w:jc w:val="right"/>
            </w:pPr>
            <w:r w:rsidRPr="00DA1278">
              <w:t>46</w:t>
            </w:r>
          </w:p>
        </w:tc>
      </w:tr>
      <w:tr w:rsidR="00610F44" w:rsidTr="006F6A92">
        <w:tc>
          <w:tcPr>
            <w:tcW w:w="1984" w:type="dxa"/>
            <w:vMerge/>
            <w:shd w:val="clear" w:color="auto" w:fill="CAE7F3" w:themeFill="accent1" w:themeFillTint="33"/>
          </w:tcPr>
          <w:p w:rsidR="00610F44" w:rsidRPr="00DA1278" w:rsidRDefault="00610F44" w:rsidP="006F6A92">
            <w:pPr>
              <w:pStyle w:val="Tabletext"/>
            </w:pPr>
          </w:p>
        </w:tc>
        <w:tc>
          <w:tcPr>
            <w:tcW w:w="2347" w:type="dxa"/>
            <w:shd w:val="clear" w:color="auto" w:fill="CAE7F3" w:themeFill="accent1" w:themeFillTint="33"/>
          </w:tcPr>
          <w:p w:rsidR="00610F44" w:rsidRDefault="00610F44" w:rsidP="006F6A92">
            <w:pPr>
              <w:pStyle w:val="Tabletext"/>
            </w:pPr>
            <w:r w:rsidRPr="00DA1278">
              <w:t>Persuasion</w:t>
            </w:r>
          </w:p>
        </w:tc>
        <w:tc>
          <w:tcPr>
            <w:tcW w:w="597" w:type="dxa"/>
            <w:shd w:val="clear" w:color="auto" w:fill="CAE7F3" w:themeFill="accent1" w:themeFillTint="33"/>
          </w:tcPr>
          <w:p w:rsidR="00610F44" w:rsidRDefault="00610F44" w:rsidP="006F6A92">
            <w:pPr>
              <w:pStyle w:val="Tabletext"/>
              <w:jc w:val="right"/>
            </w:pPr>
            <w:r w:rsidRPr="00DA1278">
              <w:t>50</w:t>
            </w:r>
          </w:p>
        </w:tc>
        <w:tc>
          <w:tcPr>
            <w:tcW w:w="1128" w:type="dxa"/>
            <w:shd w:val="clear" w:color="auto" w:fill="CAE7F3" w:themeFill="accent1" w:themeFillTint="33"/>
          </w:tcPr>
          <w:p w:rsidR="00610F44" w:rsidRDefault="00610F44" w:rsidP="006F6A92">
            <w:pPr>
              <w:pStyle w:val="Tabletext"/>
              <w:jc w:val="right"/>
            </w:pPr>
            <w:r w:rsidRPr="00DA1278">
              <w:t>50</w:t>
            </w:r>
          </w:p>
        </w:tc>
        <w:tc>
          <w:tcPr>
            <w:tcW w:w="917" w:type="dxa"/>
            <w:shd w:val="clear" w:color="auto" w:fill="CAE7F3" w:themeFill="accent1" w:themeFillTint="33"/>
          </w:tcPr>
          <w:p w:rsidR="00610F44" w:rsidRDefault="00610F44" w:rsidP="006F6A92">
            <w:pPr>
              <w:pStyle w:val="Tabletext"/>
              <w:jc w:val="right"/>
            </w:pPr>
            <w:r w:rsidRPr="00DA1278">
              <w:t>45</w:t>
            </w:r>
          </w:p>
        </w:tc>
      </w:tr>
      <w:tr w:rsidR="00610F44" w:rsidTr="006F6A92">
        <w:tc>
          <w:tcPr>
            <w:tcW w:w="1984" w:type="dxa"/>
            <w:vMerge/>
            <w:shd w:val="clear" w:color="auto" w:fill="CAE7F3" w:themeFill="accent1" w:themeFillTint="33"/>
          </w:tcPr>
          <w:p w:rsidR="00610F44" w:rsidRPr="00DA1278" w:rsidRDefault="00610F44" w:rsidP="006F6A92">
            <w:pPr>
              <w:pStyle w:val="Tabletext"/>
            </w:pPr>
          </w:p>
        </w:tc>
        <w:tc>
          <w:tcPr>
            <w:tcW w:w="2347" w:type="dxa"/>
            <w:shd w:val="clear" w:color="auto" w:fill="CAE7F3" w:themeFill="accent1" w:themeFillTint="33"/>
          </w:tcPr>
          <w:p w:rsidR="00610F44" w:rsidRDefault="00610F44" w:rsidP="006F6A92">
            <w:pPr>
              <w:pStyle w:val="Tabletext"/>
            </w:pPr>
            <w:r w:rsidRPr="00DA1278">
              <w:t>Assisting and caring</w:t>
            </w:r>
          </w:p>
        </w:tc>
        <w:tc>
          <w:tcPr>
            <w:tcW w:w="597" w:type="dxa"/>
            <w:shd w:val="clear" w:color="auto" w:fill="CAE7F3" w:themeFill="accent1" w:themeFillTint="33"/>
          </w:tcPr>
          <w:p w:rsidR="00610F44" w:rsidRDefault="00610F44" w:rsidP="006F6A92">
            <w:pPr>
              <w:pStyle w:val="Tabletext"/>
              <w:jc w:val="right"/>
            </w:pPr>
            <w:r w:rsidRPr="00DA1278">
              <w:t>44</w:t>
            </w:r>
          </w:p>
        </w:tc>
        <w:tc>
          <w:tcPr>
            <w:tcW w:w="1128" w:type="dxa"/>
            <w:shd w:val="clear" w:color="auto" w:fill="CAE7F3" w:themeFill="accent1" w:themeFillTint="33"/>
          </w:tcPr>
          <w:p w:rsidR="00610F44" w:rsidRDefault="00610F44" w:rsidP="006F6A92">
            <w:pPr>
              <w:pStyle w:val="Tabletext"/>
              <w:jc w:val="right"/>
            </w:pPr>
            <w:r w:rsidRPr="00DA1278">
              <w:t>20</w:t>
            </w:r>
          </w:p>
        </w:tc>
        <w:tc>
          <w:tcPr>
            <w:tcW w:w="917" w:type="dxa"/>
            <w:shd w:val="clear" w:color="auto" w:fill="CAE7F3" w:themeFill="accent1" w:themeFillTint="33"/>
          </w:tcPr>
          <w:p w:rsidR="00610F44" w:rsidRDefault="00610F44" w:rsidP="006F6A92">
            <w:pPr>
              <w:pStyle w:val="Tabletext"/>
              <w:jc w:val="right"/>
            </w:pPr>
            <w:r w:rsidRPr="00DA1278">
              <w:t>37</w:t>
            </w:r>
          </w:p>
        </w:tc>
      </w:tr>
      <w:tr w:rsidR="00610F44" w:rsidTr="006F6A92">
        <w:tc>
          <w:tcPr>
            <w:tcW w:w="1984" w:type="dxa"/>
            <w:shd w:val="clear" w:color="auto" w:fill="CAE7F3" w:themeFill="accent1" w:themeFillTint="33"/>
          </w:tcPr>
          <w:p w:rsidR="00610F44" w:rsidRPr="00284EC6" w:rsidRDefault="00610F44" w:rsidP="006F6A92">
            <w:pPr>
              <w:pStyle w:val="Tabletext"/>
              <w:rPr>
                <w:sz w:val="4"/>
                <w:szCs w:val="4"/>
              </w:rPr>
            </w:pPr>
          </w:p>
        </w:tc>
        <w:tc>
          <w:tcPr>
            <w:tcW w:w="2347" w:type="dxa"/>
            <w:shd w:val="clear" w:color="auto" w:fill="CAE7F3" w:themeFill="accent1" w:themeFillTint="33"/>
          </w:tcPr>
          <w:p w:rsidR="00610F44" w:rsidRPr="00284EC6" w:rsidRDefault="00610F44" w:rsidP="006F6A92">
            <w:pPr>
              <w:pStyle w:val="Tabletext"/>
              <w:rPr>
                <w:sz w:val="4"/>
                <w:szCs w:val="4"/>
              </w:rPr>
            </w:pPr>
          </w:p>
        </w:tc>
        <w:tc>
          <w:tcPr>
            <w:tcW w:w="597" w:type="dxa"/>
            <w:shd w:val="clear" w:color="auto" w:fill="CAE7F3" w:themeFill="accent1" w:themeFillTint="33"/>
          </w:tcPr>
          <w:p w:rsidR="00610F44" w:rsidRPr="00284EC6" w:rsidRDefault="00610F44" w:rsidP="006F6A92">
            <w:pPr>
              <w:pStyle w:val="Tabletext"/>
              <w:jc w:val="right"/>
              <w:rPr>
                <w:sz w:val="4"/>
                <w:szCs w:val="4"/>
              </w:rPr>
            </w:pPr>
          </w:p>
        </w:tc>
        <w:tc>
          <w:tcPr>
            <w:tcW w:w="1128" w:type="dxa"/>
            <w:shd w:val="clear" w:color="auto" w:fill="CAE7F3" w:themeFill="accent1" w:themeFillTint="33"/>
          </w:tcPr>
          <w:p w:rsidR="00610F44" w:rsidRPr="00284EC6" w:rsidRDefault="00610F44" w:rsidP="006F6A92">
            <w:pPr>
              <w:pStyle w:val="Tabletext"/>
              <w:jc w:val="right"/>
              <w:rPr>
                <w:sz w:val="4"/>
                <w:szCs w:val="4"/>
              </w:rPr>
            </w:pPr>
          </w:p>
        </w:tc>
        <w:tc>
          <w:tcPr>
            <w:tcW w:w="917" w:type="dxa"/>
            <w:shd w:val="clear" w:color="auto" w:fill="CAE7F3" w:themeFill="accent1" w:themeFillTint="33"/>
          </w:tcPr>
          <w:p w:rsidR="00610F44" w:rsidRPr="00284EC6" w:rsidRDefault="00610F44" w:rsidP="006F6A92">
            <w:pPr>
              <w:pStyle w:val="Tabletext"/>
              <w:jc w:val="right"/>
              <w:rPr>
                <w:sz w:val="4"/>
                <w:szCs w:val="4"/>
              </w:rPr>
            </w:pPr>
          </w:p>
        </w:tc>
      </w:tr>
      <w:tr w:rsidR="00610F44" w:rsidTr="006F6A92">
        <w:tc>
          <w:tcPr>
            <w:tcW w:w="1984" w:type="dxa"/>
            <w:shd w:val="clear" w:color="auto" w:fill="CAE7F3" w:themeFill="accent1" w:themeFillTint="33"/>
          </w:tcPr>
          <w:p w:rsidR="00610F44" w:rsidRPr="00D91002" w:rsidRDefault="00610F44" w:rsidP="006F6A92">
            <w:pPr>
              <w:pStyle w:val="Tabletext"/>
              <w:rPr>
                <w:b/>
              </w:rPr>
            </w:pPr>
          </w:p>
        </w:tc>
        <w:tc>
          <w:tcPr>
            <w:tcW w:w="2347" w:type="dxa"/>
            <w:shd w:val="clear" w:color="auto" w:fill="CAE7F3" w:themeFill="accent1" w:themeFillTint="33"/>
          </w:tcPr>
          <w:p w:rsidR="00610F44" w:rsidRPr="00D91002" w:rsidRDefault="00610F44" w:rsidP="006F6A92">
            <w:pPr>
              <w:pStyle w:val="Tabletext"/>
              <w:rPr>
                <w:b/>
              </w:rPr>
            </w:pPr>
            <w:r w:rsidRPr="00D91002">
              <w:rPr>
                <w:b/>
              </w:rPr>
              <w:t>Automation score</w:t>
            </w:r>
          </w:p>
        </w:tc>
        <w:tc>
          <w:tcPr>
            <w:tcW w:w="597" w:type="dxa"/>
            <w:shd w:val="clear" w:color="auto" w:fill="CAE7F3" w:themeFill="accent1" w:themeFillTint="33"/>
          </w:tcPr>
          <w:p w:rsidR="00610F44" w:rsidRPr="00D91002" w:rsidRDefault="00610F44" w:rsidP="006F6A92">
            <w:pPr>
              <w:pStyle w:val="Tabletext"/>
              <w:jc w:val="right"/>
              <w:rPr>
                <w:b/>
              </w:rPr>
            </w:pPr>
            <w:r w:rsidRPr="00D91002">
              <w:rPr>
                <w:b/>
              </w:rPr>
              <w:t>10</w:t>
            </w:r>
          </w:p>
        </w:tc>
        <w:tc>
          <w:tcPr>
            <w:tcW w:w="1128" w:type="dxa"/>
            <w:shd w:val="clear" w:color="auto" w:fill="CAE7F3" w:themeFill="accent1" w:themeFillTint="33"/>
          </w:tcPr>
          <w:p w:rsidR="00610F44" w:rsidRPr="00D91002" w:rsidRDefault="00610F44" w:rsidP="006F6A92">
            <w:pPr>
              <w:pStyle w:val="Tabletext"/>
              <w:jc w:val="right"/>
              <w:rPr>
                <w:b/>
              </w:rPr>
            </w:pPr>
            <w:r w:rsidRPr="00D91002">
              <w:rPr>
                <w:b/>
              </w:rPr>
              <w:t>43</w:t>
            </w:r>
          </w:p>
        </w:tc>
        <w:tc>
          <w:tcPr>
            <w:tcW w:w="917" w:type="dxa"/>
            <w:shd w:val="clear" w:color="auto" w:fill="CAE7F3" w:themeFill="accent1" w:themeFillTint="33"/>
          </w:tcPr>
          <w:p w:rsidR="00610F44" w:rsidRPr="00D91002" w:rsidRDefault="00610F44" w:rsidP="006F6A92">
            <w:pPr>
              <w:pStyle w:val="Tabletext"/>
              <w:jc w:val="right"/>
              <w:rPr>
                <w:b/>
              </w:rPr>
            </w:pPr>
            <w:r w:rsidRPr="00D91002">
              <w:rPr>
                <w:b/>
              </w:rPr>
              <w:t>65</w:t>
            </w:r>
          </w:p>
        </w:tc>
      </w:tr>
    </w:tbl>
    <w:p w:rsidR="00610F44" w:rsidRDefault="00610F44" w:rsidP="00610F44">
      <w:pPr>
        <w:pStyle w:val="Source"/>
      </w:pPr>
      <w:r w:rsidRPr="00C62F3A">
        <w:t xml:space="preserve">Source: </w:t>
      </w:r>
      <w:r w:rsidR="00C738FC">
        <w:t>Department of Industry, Innovation and Science</w:t>
      </w:r>
      <w:r>
        <w:t xml:space="preserve"> analysis</w:t>
      </w:r>
      <w:r w:rsidR="003721C0">
        <w:t xml:space="preserve"> (2015)</w:t>
      </w:r>
      <w:r>
        <w:t>, O*NET (2015)</w:t>
      </w:r>
    </w:p>
    <w:p w:rsidR="00610F44" w:rsidRDefault="00610F44" w:rsidP="00610F44">
      <w:pPr>
        <w:pStyle w:val="Heading2"/>
        <w:numPr>
          <w:ilvl w:val="1"/>
          <w:numId w:val="3"/>
        </w:numPr>
      </w:pPr>
      <w:r>
        <w:t xml:space="preserve">Automation susceptibility by occupation </w:t>
      </w:r>
    </w:p>
    <w:p w:rsidR="00610F44" w:rsidRDefault="00610F44" w:rsidP="00610F44">
      <w:pPr>
        <w:pStyle w:val="BodyText"/>
      </w:pPr>
      <w:r>
        <w:t xml:space="preserve">The scope of Frey and Osborne is limited to United States occupations. Although similar in many areas, Australia’s labour market and its industries are sufficiently different to the United States to warrant its own attention. To fully consider automation’s impact on Australian occupations and industry, it is necessary to transfer automation scores for each Australian </w:t>
      </w:r>
      <w:r w:rsidRPr="003207ED">
        <w:t>job</w:t>
      </w:r>
      <w:r>
        <w:t xml:space="preserve"> using the scores originally compiled by Frey and Osborne.</w:t>
      </w:r>
    </w:p>
    <w:p w:rsidR="00610F44" w:rsidRDefault="00610F44" w:rsidP="00610F44">
      <w:pPr>
        <w:pStyle w:val="BodyText"/>
      </w:pPr>
      <w:r>
        <w:t xml:space="preserve">The results of Frey </w:t>
      </w:r>
      <w:r w:rsidRPr="008A2CBD">
        <w:t>and Osborne cannot be directly</w:t>
      </w:r>
      <w:r>
        <w:t xml:space="preserve"> applied to the Australian occupations because of different classification systems.  In order bring over scores for Australian occupations it was necessary to undergo a concordance between the two occupational classification systems. This process is outlined in </w:t>
      </w:r>
      <w:r>
        <w:fldChar w:fldCharType="begin" w:fldLock="1"/>
      </w:r>
      <w:r>
        <w:instrText xml:space="preserve"> REF _Ref422764154 \n \h </w:instrText>
      </w:r>
      <w:r>
        <w:fldChar w:fldCharType="separate"/>
      </w:r>
      <w:r>
        <w:t>Appendix A</w:t>
      </w:r>
      <w:r>
        <w:fldChar w:fldCharType="end"/>
      </w:r>
      <w:r>
        <w:fldChar w:fldCharType="begin" w:fldLock="1"/>
      </w:r>
      <w:r>
        <w:instrText xml:space="preserve"> REF _Ref416964899 \n \h  \* MERGEFORMAT </w:instrText>
      </w:r>
      <w:r>
        <w:fldChar w:fldCharType="end"/>
      </w:r>
      <w:r>
        <w:t>.</w:t>
      </w:r>
    </w:p>
    <w:p w:rsidR="00610F44" w:rsidRPr="008B2BCE" w:rsidRDefault="00610F44" w:rsidP="00610F44">
      <w:pPr>
        <w:pStyle w:val="BodyText"/>
      </w:pPr>
      <w:r>
        <w:t>This approach was used by Deloitte in conjunction with Frey and Osborne to estimate the number of jobs susceptible to automation in the UK.</w:t>
      </w:r>
      <w:r>
        <w:rPr>
          <w:rStyle w:val="FootnoteReference"/>
        </w:rPr>
        <w:footnoteReference w:id="5"/>
      </w:r>
      <w:r>
        <w:t xml:space="preserve"> Similar studies have been conducted in Australia by researchers at NICTA as part of CEDA’s </w:t>
      </w:r>
      <w:r>
        <w:rPr>
          <w:i/>
        </w:rPr>
        <w:t>Australia’s Future Workforce?</w:t>
      </w:r>
      <w:r>
        <w:t xml:space="preserve"> report. As the NICTA report uses a similar methodology to that outlined below, the headline findings are relatively similar. The findings in this report complement the NICTA research, and provide further detail and analysis on the topic.</w:t>
      </w:r>
    </w:p>
    <w:p w:rsidR="00610F44" w:rsidRDefault="00610F44" w:rsidP="00610F44">
      <w:pPr>
        <w:pStyle w:val="BodyText"/>
      </w:pPr>
      <w:r>
        <w:t xml:space="preserve">The 20 occupations with the highest and lowest automation susceptibility in Australia are listed in </w:t>
      </w:r>
      <w:r w:rsidR="001210A7">
        <w:t>Table 3.2</w:t>
      </w:r>
      <w:r>
        <w:t>.</w:t>
      </w:r>
    </w:p>
    <w:p w:rsidR="00610F44" w:rsidRPr="000618FB" w:rsidRDefault="00610F44" w:rsidP="00610F44">
      <w:pPr>
        <w:pStyle w:val="Caption"/>
      </w:pPr>
      <w:r w:rsidRPr="000618FB">
        <w:t xml:space="preserve">Table </w:t>
      </w:r>
      <w:fldSimple w:instr=" STYLEREF 1 \s " w:fldLock="1">
        <w:r>
          <w:rPr>
            <w:noProof/>
          </w:rPr>
          <w:t>3</w:t>
        </w:r>
      </w:fldSimple>
      <w:r w:rsidRPr="000618FB">
        <w:t>.</w:t>
      </w:r>
      <w:fldSimple w:instr=" SEQ Table \* ARABIC \s 1 " w:fldLock="1">
        <w:r>
          <w:rPr>
            <w:noProof/>
          </w:rPr>
          <w:t>2</w:t>
        </w:r>
      </w:fldSimple>
      <w:r w:rsidRPr="000618FB">
        <w:t xml:space="preserve">: </w:t>
      </w:r>
      <w:r>
        <w:t>Top and bottom 20 occupations by automation susceptibility, 2014</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ayout w:type="fixed"/>
        <w:tblLook w:val="04A0" w:firstRow="1" w:lastRow="0" w:firstColumn="1" w:lastColumn="0" w:noHBand="0" w:noVBand="1"/>
        <w:tblCaption w:val="Table 3.2"/>
        <w:tblDescription w:val="This table describes the top and bottom 20 occupations by automation susceptibility, 2014"/>
      </w:tblPr>
      <w:tblGrid>
        <w:gridCol w:w="2268"/>
        <w:gridCol w:w="961"/>
        <w:gridCol w:w="236"/>
        <w:gridCol w:w="2205"/>
        <w:gridCol w:w="992"/>
        <w:gridCol w:w="283"/>
      </w:tblGrid>
      <w:tr w:rsidR="00FA16B1" w:rsidTr="00FA16B1">
        <w:trPr>
          <w:trHeight w:val="295"/>
          <w:tblHeader/>
        </w:trPr>
        <w:tc>
          <w:tcPr>
            <w:tcW w:w="3229" w:type="dxa"/>
            <w:gridSpan w:val="2"/>
            <w:shd w:val="clear" w:color="auto" w:fill="22789A"/>
          </w:tcPr>
          <w:p w:rsidR="00FA16B1" w:rsidRPr="00663A24" w:rsidRDefault="00FA16B1" w:rsidP="00663A24">
            <w:pPr>
              <w:pStyle w:val="Tableheader"/>
              <w:jc w:val="center"/>
              <w:rPr>
                <w:b/>
              </w:rPr>
            </w:pPr>
            <w:r w:rsidRPr="00663A24">
              <w:rPr>
                <w:b/>
              </w:rPr>
              <w:t>20 highest automation scores</w:t>
            </w:r>
          </w:p>
        </w:tc>
        <w:tc>
          <w:tcPr>
            <w:tcW w:w="236" w:type="dxa"/>
            <w:shd w:val="clear" w:color="auto" w:fill="22789A"/>
          </w:tcPr>
          <w:p w:rsidR="00FA16B1" w:rsidRPr="00663A24" w:rsidRDefault="00FA16B1" w:rsidP="00663A24">
            <w:pPr>
              <w:pStyle w:val="Tableheader"/>
              <w:jc w:val="center"/>
              <w:rPr>
                <w:b/>
              </w:rPr>
            </w:pPr>
          </w:p>
        </w:tc>
        <w:tc>
          <w:tcPr>
            <w:tcW w:w="3197" w:type="dxa"/>
            <w:gridSpan w:val="2"/>
            <w:shd w:val="clear" w:color="auto" w:fill="22789A"/>
          </w:tcPr>
          <w:p w:rsidR="00FA16B1" w:rsidRPr="00663A24" w:rsidRDefault="00FA16B1" w:rsidP="00663A24">
            <w:pPr>
              <w:pStyle w:val="Tableheader"/>
              <w:jc w:val="center"/>
              <w:rPr>
                <w:b/>
              </w:rPr>
            </w:pPr>
            <w:r w:rsidRPr="00663A24">
              <w:rPr>
                <w:b/>
              </w:rPr>
              <w:t>20 lowest automation scores</w:t>
            </w:r>
          </w:p>
        </w:tc>
        <w:tc>
          <w:tcPr>
            <w:tcW w:w="283" w:type="dxa"/>
            <w:shd w:val="clear" w:color="auto" w:fill="22789A"/>
          </w:tcPr>
          <w:p w:rsidR="00FA16B1" w:rsidRPr="00663A24" w:rsidRDefault="00FA16B1" w:rsidP="00663A24">
            <w:pPr>
              <w:pStyle w:val="Tableheader"/>
              <w:jc w:val="center"/>
              <w:rPr>
                <w:b/>
              </w:rPr>
            </w:pPr>
          </w:p>
        </w:tc>
      </w:tr>
      <w:tr w:rsidR="00610F44" w:rsidTr="00663A24">
        <w:trPr>
          <w:trHeight w:val="295"/>
        </w:trPr>
        <w:tc>
          <w:tcPr>
            <w:tcW w:w="2268" w:type="dxa"/>
            <w:shd w:val="clear" w:color="auto" w:fill="56B4DF"/>
          </w:tcPr>
          <w:p w:rsidR="00610F44" w:rsidRDefault="00610F44" w:rsidP="006F6A92">
            <w:pPr>
              <w:pStyle w:val="Tableheader"/>
            </w:pPr>
            <w:r>
              <w:t>Occupation</w:t>
            </w:r>
          </w:p>
        </w:tc>
        <w:tc>
          <w:tcPr>
            <w:tcW w:w="1197" w:type="dxa"/>
            <w:gridSpan w:val="2"/>
            <w:shd w:val="clear" w:color="auto" w:fill="56B4DF"/>
          </w:tcPr>
          <w:p w:rsidR="00610F44" w:rsidRDefault="00610F44" w:rsidP="006F6A92">
            <w:pPr>
              <w:pStyle w:val="Tableheader"/>
              <w:jc w:val="right"/>
            </w:pPr>
            <w:r>
              <w:t>Automation score</w:t>
            </w:r>
          </w:p>
        </w:tc>
        <w:tc>
          <w:tcPr>
            <w:tcW w:w="2205" w:type="dxa"/>
            <w:shd w:val="clear" w:color="auto" w:fill="56B4DF"/>
          </w:tcPr>
          <w:p w:rsidR="00610F44" w:rsidRDefault="00663A24" w:rsidP="006F6A92">
            <w:pPr>
              <w:pStyle w:val="Tableheader"/>
            </w:pPr>
            <w:r>
              <w:t xml:space="preserve"> </w:t>
            </w:r>
            <w:r w:rsidR="00610F44">
              <w:t>Occupation</w:t>
            </w:r>
          </w:p>
        </w:tc>
        <w:tc>
          <w:tcPr>
            <w:tcW w:w="1275" w:type="dxa"/>
            <w:gridSpan w:val="2"/>
            <w:shd w:val="clear" w:color="auto" w:fill="56B4DF"/>
          </w:tcPr>
          <w:p w:rsidR="00610F44" w:rsidRDefault="00610F44" w:rsidP="006F6A92">
            <w:pPr>
              <w:pStyle w:val="Tableheader"/>
              <w:jc w:val="right"/>
            </w:pPr>
            <w:r>
              <w:t>Automation score</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Telemarketers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99.0</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Dietitians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0.4</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Bank workers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97.8</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Hotel managers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0.4</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Bookkeepers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97.7</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Education advisers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0.4</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Accounting clerks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97.2</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Psychologists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0.5</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 xml:space="preserve">Product quality </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97.0</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Dental practitioners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0.5</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Payroll clerks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97.0</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 xml:space="preserve">Speech professionals </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0.6</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Checkout operators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96.9</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Education managers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0.7</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Other clerical workers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96.7</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School principals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0.7</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Insurance investigators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96.6</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Pr>
                <w:rFonts w:asciiTheme="majorHAnsi" w:hAnsiTheme="majorHAnsi" w:cstheme="majorHAnsi"/>
                <w:color w:val="595A5B" w:themeColor="text1"/>
              </w:rPr>
              <w:t>ICT</w:t>
            </w:r>
            <w:r w:rsidR="00610F44" w:rsidRPr="002D17BC">
              <w:rPr>
                <w:rFonts w:asciiTheme="majorHAnsi" w:hAnsiTheme="majorHAnsi" w:cstheme="majorHAnsi"/>
                <w:color w:val="595A5B" w:themeColor="text1"/>
              </w:rPr>
              <w:t xml:space="preserve"> business analysts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0.7</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Library assistants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96.3</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Secondary teachers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0.8</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 xml:space="preserve">Other sales assistants </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96.2</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Podiatrists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0.8</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Switchboard operators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96.1</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Occupational therapists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0.8</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General clerks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96.0</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 xml:space="preserve">Chiropractors </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0.8</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Inquiry clerks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95.9</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Special educ</w:t>
            </w:r>
            <w:r w:rsidR="007F3295">
              <w:rPr>
                <w:rFonts w:asciiTheme="majorHAnsi" w:hAnsiTheme="majorHAnsi" w:cstheme="majorHAnsi"/>
                <w:color w:val="595A5B" w:themeColor="text1"/>
              </w:rPr>
              <w:t>.</w:t>
            </w:r>
            <w:r w:rsidR="00610F44" w:rsidRPr="002D17BC">
              <w:rPr>
                <w:rFonts w:asciiTheme="majorHAnsi" w:hAnsiTheme="majorHAnsi" w:cstheme="majorHAnsi"/>
                <w:color w:val="595A5B" w:themeColor="text1"/>
              </w:rPr>
              <w:t xml:space="preserve"> teachers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1.1</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Secretaries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95.4</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Agricultural scientists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1.1</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Product assemblers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95.2</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Pharmacists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1.2</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Keyboard operators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95.1</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Ministers of religion</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1.3</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Jewellers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95.0</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Pr>
                <w:rFonts w:asciiTheme="majorHAnsi" w:hAnsiTheme="majorHAnsi" w:cstheme="majorHAnsi"/>
                <w:color w:val="595A5B" w:themeColor="text1"/>
              </w:rPr>
              <w:t>ICT</w:t>
            </w:r>
            <w:r w:rsidR="00610F44" w:rsidRPr="002D17BC">
              <w:rPr>
                <w:rFonts w:asciiTheme="majorHAnsi" w:hAnsiTheme="majorHAnsi" w:cstheme="majorHAnsi"/>
                <w:color w:val="595A5B" w:themeColor="text1"/>
              </w:rPr>
              <w:t xml:space="preserve"> trainers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1.4</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Debt collectors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95.0</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Training professionals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1.4</w:t>
            </w:r>
          </w:p>
        </w:tc>
      </w:tr>
      <w:tr w:rsidR="00610F44" w:rsidTr="00663A24">
        <w:tc>
          <w:tcPr>
            <w:tcW w:w="2268" w:type="dxa"/>
            <w:shd w:val="clear" w:color="auto" w:fill="CAE7F3"/>
            <w:vAlign w:val="bottom"/>
          </w:tcPr>
          <w:p w:rsidR="00610F44" w:rsidRPr="002D17BC" w:rsidRDefault="00610F44" w:rsidP="006F6A92">
            <w:pPr>
              <w:pStyle w:val="Tabletext"/>
              <w:rPr>
                <w:rFonts w:asciiTheme="majorHAnsi" w:hAnsiTheme="majorHAnsi" w:cstheme="majorHAnsi"/>
                <w:color w:val="595A5B" w:themeColor="text1"/>
              </w:rPr>
            </w:pPr>
            <w:r w:rsidRPr="002D17BC">
              <w:rPr>
                <w:rFonts w:asciiTheme="majorHAnsi" w:hAnsiTheme="majorHAnsi" w:cstheme="majorHAnsi"/>
                <w:color w:val="595A5B" w:themeColor="text1"/>
              </w:rPr>
              <w:t>Garden labourers</w:t>
            </w:r>
          </w:p>
        </w:tc>
        <w:tc>
          <w:tcPr>
            <w:tcW w:w="1197"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95.0</w:t>
            </w:r>
          </w:p>
        </w:tc>
        <w:tc>
          <w:tcPr>
            <w:tcW w:w="2205" w:type="dxa"/>
            <w:shd w:val="clear" w:color="auto" w:fill="CAE7F3"/>
            <w:vAlign w:val="bottom"/>
          </w:tcPr>
          <w:p w:rsidR="00610F44" w:rsidRPr="002D17BC" w:rsidRDefault="00663A24" w:rsidP="006F6A92">
            <w:pPr>
              <w:pStyle w:val="Tabletext"/>
              <w:rPr>
                <w:rFonts w:asciiTheme="majorHAnsi" w:hAnsiTheme="majorHAnsi" w:cstheme="majorHAnsi"/>
                <w:color w:val="595A5B" w:themeColor="text1"/>
              </w:rPr>
            </w:pPr>
            <w:r>
              <w:rPr>
                <w:rFonts w:asciiTheme="majorHAnsi" w:hAnsiTheme="majorHAnsi" w:cstheme="majorHAnsi"/>
                <w:color w:val="595A5B" w:themeColor="text1"/>
              </w:rPr>
              <w:t xml:space="preserve"> </w:t>
            </w:r>
            <w:r w:rsidR="00610F44" w:rsidRPr="002D17BC">
              <w:rPr>
                <w:rFonts w:asciiTheme="majorHAnsi" w:hAnsiTheme="majorHAnsi" w:cstheme="majorHAnsi"/>
                <w:color w:val="595A5B" w:themeColor="text1"/>
              </w:rPr>
              <w:t>Office managers</w:t>
            </w:r>
          </w:p>
        </w:tc>
        <w:tc>
          <w:tcPr>
            <w:tcW w:w="1275" w:type="dxa"/>
            <w:gridSpan w:val="2"/>
            <w:shd w:val="clear" w:color="auto" w:fill="CAE7F3"/>
            <w:vAlign w:val="bottom"/>
          </w:tcPr>
          <w:p w:rsidR="00610F44" w:rsidRPr="002D17BC" w:rsidRDefault="00610F44" w:rsidP="006F6A92">
            <w:pPr>
              <w:pStyle w:val="Tabletext"/>
              <w:jc w:val="right"/>
              <w:rPr>
                <w:rFonts w:asciiTheme="majorHAnsi" w:hAnsiTheme="majorHAnsi" w:cstheme="majorHAnsi"/>
                <w:color w:val="595A5B" w:themeColor="text1"/>
              </w:rPr>
            </w:pPr>
            <w:r>
              <w:rPr>
                <w:rFonts w:asciiTheme="majorHAnsi" w:hAnsiTheme="majorHAnsi" w:cstheme="majorHAnsi"/>
                <w:color w:val="595A5B" w:themeColor="text1"/>
              </w:rPr>
              <w:t>1.4</w:t>
            </w:r>
          </w:p>
        </w:tc>
      </w:tr>
    </w:tbl>
    <w:p w:rsidR="00610F44" w:rsidRPr="00C62F3A" w:rsidRDefault="00610F44" w:rsidP="00610F44">
      <w:pPr>
        <w:pStyle w:val="Note"/>
      </w:pPr>
      <w:r w:rsidRPr="00C62F3A">
        <w:t xml:space="preserve">Note: </w:t>
      </w:r>
      <w:r>
        <w:t>Official occupation names have been condensed in some cases</w:t>
      </w:r>
    </w:p>
    <w:p w:rsidR="00610F44" w:rsidRDefault="00610F44" w:rsidP="00610F44">
      <w:pPr>
        <w:pStyle w:val="Source"/>
      </w:pPr>
      <w:r w:rsidRPr="00C62F3A">
        <w:t xml:space="preserve">Source: </w:t>
      </w:r>
      <w:r w:rsidR="00C738FC">
        <w:t>Department of Industry, Innovation and Science</w:t>
      </w:r>
      <w:r>
        <w:t xml:space="preserve"> analysis</w:t>
      </w:r>
      <w:r w:rsidR="003721C0">
        <w:t xml:space="preserve"> (2015)</w:t>
      </w:r>
    </w:p>
    <w:p w:rsidR="00610F44" w:rsidRPr="008A2CBD" w:rsidRDefault="00610F44" w:rsidP="00610F44">
      <w:pPr>
        <w:pStyle w:val="BodyText"/>
      </w:pPr>
      <w:r>
        <w:t>On average</w:t>
      </w:r>
      <w:r w:rsidRPr="008A2CBD">
        <w:t xml:space="preserve">, employment growth over the past </w:t>
      </w:r>
      <w:r>
        <w:t>10</w:t>
      </w:r>
      <w:r w:rsidRPr="008A2CBD">
        <w:t xml:space="preserve"> years has been </w:t>
      </w:r>
      <w:r>
        <w:t xml:space="preserve">markedly </w:t>
      </w:r>
      <w:r w:rsidRPr="008A2CBD">
        <w:t xml:space="preserve">stronger for occupations with lower automation </w:t>
      </w:r>
      <w:r>
        <w:t>susceptibility</w:t>
      </w:r>
      <w:r w:rsidRPr="008A2CBD">
        <w:t xml:space="preserve">. </w:t>
      </w:r>
      <w:r>
        <w:t xml:space="preserve">While only 16 low susceptibility occupations have fallen in terms of total employment counts, more than 50 high susceptibility occupations have. </w:t>
      </w:r>
      <w:r w:rsidRPr="008A2CBD">
        <w:t xml:space="preserve">The total number of those employed by occupations with </w:t>
      </w:r>
      <w:r>
        <w:t>high</w:t>
      </w:r>
      <w:r w:rsidRPr="008A2CBD">
        <w:t xml:space="preserve"> automation </w:t>
      </w:r>
      <w:r>
        <w:t>susceptibility</w:t>
      </w:r>
      <w:r w:rsidRPr="008A2CBD">
        <w:t xml:space="preserve"> has grown by only </w:t>
      </w:r>
      <w:r>
        <w:t>0.9</w:t>
      </w:r>
      <w:r w:rsidRPr="008A2CBD">
        <w:t xml:space="preserve"> per cent per year in the past </w:t>
      </w:r>
      <w:r>
        <w:t>10</w:t>
      </w:r>
      <w:r w:rsidRPr="008A2CBD">
        <w:t xml:space="preserve"> years; </w:t>
      </w:r>
      <w:r>
        <w:t xml:space="preserve">those occupations with low automation susceptibility </w:t>
      </w:r>
      <w:r w:rsidRPr="008A2CBD">
        <w:t xml:space="preserve">have grown by a substantially stronger </w:t>
      </w:r>
      <w:r>
        <w:t>3.1</w:t>
      </w:r>
      <w:r w:rsidRPr="008A2CBD">
        <w:t xml:space="preserve"> per cent per year.</w:t>
      </w:r>
      <w:r>
        <w:t xml:space="preserve"> </w:t>
      </w:r>
    </w:p>
    <w:p w:rsidR="00610F44" w:rsidRDefault="00610F44" w:rsidP="00610F44">
      <w:pPr>
        <w:pStyle w:val="CaptionWide"/>
      </w:pPr>
      <w:r>
        <w:t>Figure</w:t>
      </w:r>
      <w:r w:rsidRPr="000618FB">
        <w:t xml:space="preserve"> </w:t>
      </w:r>
      <w:fldSimple w:instr=" STYLEREF 1 \s " w:fldLock="1">
        <w:r>
          <w:rPr>
            <w:noProof/>
          </w:rPr>
          <w:t>3</w:t>
        </w:r>
      </w:fldSimple>
      <w:r w:rsidRPr="000618FB">
        <w:t>.</w:t>
      </w:r>
      <w:r w:rsidRPr="000618FB">
        <w:fldChar w:fldCharType="begin" w:fldLock="1"/>
      </w:r>
      <w:r w:rsidRPr="000618FB">
        <w:instrText xml:space="preserve"> SEQ </w:instrText>
      </w:r>
      <w:r>
        <w:instrText>Figure</w:instrText>
      </w:r>
      <w:r w:rsidRPr="000618FB">
        <w:instrText xml:space="preserve"> \* ARABIC \s 1 </w:instrText>
      </w:r>
      <w:r w:rsidRPr="000618FB">
        <w:fldChar w:fldCharType="separate"/>
      </w:r>
      <w:r>
        <w:rPr>
          <w:noProof/>
        </w:rPr>
        <w:t>1</w:t>
      </w:r>
      <w:r w:rsidRPr="000618FB">
        <w:fldChar w:fldCharType="end"/>
      </w:r>
      <w:r w:rsidRPr="000618FB">
        <w:t xml:space="preserve">: </w:t>
      </w:r>
      <w:r>
        <w:t>Relationship between automation score</w:t>
      </w:r>
      <w:r w:rsidRPr="00674B0B">
        <w:t xml:space="preserve"> </w:t>
      </w:r>
      <w:r>
        <w:t>and average annual growth (2004 to 2014)</w:t>
      </w:r>
    </w:p>
    <w:p w:rsidR="00610F44" w:rsidRPr="00170CFD" w:rsidRDefault="00CA17D5" w:rsidP="00610F44">
      <w:pPr>
        <w:pStyle w:val="PlaceholderWide"/>
      </w:pPr>
      <w:r>
        <w:rPr>
          <w:noProof/>
          <w:lang w:eastAsia="en-AU"/>
        </w:rPr>
        <w:drawing>
          <wp:inline distT="0" distB="0" distL="0" distR="0">
            <wp:extent cx="5731510" cy="3438525"/>
            <wp:effectExtent l="0" t="0" r="2540" b="9525"/>
            <wp:docPr id="13" name="Picture 13" descr="This scatter plot shows the relationship between an occupation's annual average growth and its automation score. A downward sloping trend line through the individual plot points shows that the higher a occupation's automation score, the lower it has grown over the period between 2004 and 2014. Occupations with a low automation score have grown on average by 3.1 per cent per year. Occupations with a high autiomation score have grown on average by only 0.9 per cent.&#10;" title="Figure 3.1: Relationship between automation score and average annual growth (2004 t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3438525"/>
                    </a:xfrm>
                    <a:prstGeom prst="rect">
                      <a:avLst/>
                    </a:prstGeom>
                  </pic:spPr>
                </pic:pic>
              </a:graphicData>
            </a:graphic>
          </wp:inline>
        </w:drawing>
      </w:r>
    </w:p>
    <w:p w:rsidR="00610F44" w:rsidRDefault="00610F44" w:rsidP="00610F44">
      <w:pPr>
        <w:pStyle w:val="NoteWide"/>
      </w:pPr>
      <w:r w:rsidRPr="00C62F3A">
        <w:t xml:space="preserve">Note: </w:t>
      </w:r>
      <w:r w:rsidR="00C738FC">
        <w:t>Department of Industry, Innovation and Science</w:t>
      </w:r>
      <w:r>
        <w:t xml:space="preserve"> analysis</w:t>
      </w:r>
      <w:r w:rsidR="003721C0">
        <w:t xml:space="preserve"> (2015)</w:t>
      </w:r>
      <w:r>
        <w:t>, Australian Bureau of Statistics (2014b)</w:t>
      </w:r>
    </w:p>
    <w:p w:rsidR="007F2EA4" w:rsidRPr="00C62F3A" w:rsidRDefault="007F2EA4" w:rsidP="00610F44">
      <w:pPr>
        <w:pStyle w:val="NoteWide"/>
      </w:pPr>
      <w:r w:rsidRPr="007F2EA4">
        <w:rPr>
          <w:lang w:val="en-AU"/>
        </w:rPr>
        <w:t xml:space="preserve">Source: </w:t>
      </w:r>
      <w:r w:rsidR="00C738FC">
        <w:rPr>
          <w:lang w:val="en-AU"/>
        </w:rPr>
        <w:t>Department of Industry, Innovation and Science</w:t>
      </w:r>
      <w:r w:rsidRPr="007F2EA4">
        <w:rPr>
          <w:lang w:val="en-AU"/>
        </w:rPr>
        <w:t xml:space="preserve"> analysis</w:t>
      </w:r>
      <w:r>
        <w:rPr>
          <w:lang w:val="en-AU"/>
        </w:rPr>
        <w:t xml:space="preserve"> (2015)</w:t>
      </w:r>
    </w:p>
    <w:p w:rsidR="00610F44" w:rsidRDefault="00610F44" w:rsidP="00464632">
      <w:pPr>
        <w:pStyle w:val="BodyText"/>
        <w:spacing w:before="180"/>
      </w:pPr>
      <w:r>
        <w:t>Automation susceptibility in Australia follows a similar distribution to that in the United States, albeit with a smaller number of low susceptibility employees and a corresponding larger number of medium susceptibility employees. 43.9 per cent of Australian employment are highly susceptible of being automated. This is nearly identical to 43.4 per cent of US employment.</w:t>
      </w:r>
      <w:r>
        <w:rPr>
          <w:rStyle w:val="FootnoteReference"/>
        </w:rPr>
        <w:footnoteReference w:id="6"/>
      </w:r>
      <w:r>
        <w:t xml:space="preserve"> However only 32.7 per cent of </w:t>
      </w:r>
      <w:r w:rsidRPr="003207ED">
        <w:t>job</w:t>
      </w:r>
      <w:r>
        <w:t>s have low automation susceptibility — significantly lower than those in the US, where 37.7 per cent of jobs categorised the same.</w:t>
      </w:r>
    </w:p>
    <w:p w:rsidR="00610F44" w:rsidRDefault="00610F44" w:rsidP="00610F44">
      <w:pPr>
        <w:pStyle w:val="LongFigure"/>
      </w:pPr>
      <w:r>
        <w:t>Figure</w:t>
      </w:r>
      <w:r w:rsidRPr="000618FB">
        <w:t xml:space="preserve"> </w:t>
      </w:r>
      <w:fldSimple w:instr=" STYLEREF 1 \s " w:fldLock="1">
        <w:r>
          <w:rPr>
            <w:noProof/>
          </w:rPr>
          <w:t>3</w:t>
        </w:r>
      </w:fldSimple>
      <w:r w:rsidRPr="000618FB">
        <w:t>.</w:t>
      </w:r>
      <w:r w:rsidRPr="000618FB">
        <w:fldChar w:fldCharType="begin" w:fldLock="1"/>
      </w:r>
      <w:r w:rsidRPr="000618FB">
        <w:instrText xml:space="preserve"> SEQ </w:instrText>
      </w:r>
      <w:r>
        <w:instrText>Figure</w:instrText>
      </w:r>
      <w:r w:rsidRPr="000618FB">
        <w:instrText xml:space="preserve"> \* ARABIC \s 1 </w:instrText>
      </w:r>
      <w:r w:rsidRPr="000618FB">
        <w:fldChar w:fldCharType="separate"/>
      </w:r>
      <w:r>
        <w:rPr>
          <w:noProof/>
        </w:rPr>
        <w:t>2</w:t>
      </w:r>
      <w:r w:rsidRPr="000618FB">
        <w:fldChar w:fldCharType="end"/>
      </w:r>
      <w:r w:rsidRPr="000618FB">
        <w:t xml:space="preserve">: </w:t>
      </w:r>
      <w:r w:rsidRPr="00D91002">
        <w:t xml:space="preserve">Distribution of Australian and US </w:t>
      </w:r>
      <w:r w:rsidRPr="003207ED">
        <w:t>job</w:t>
      </w:r>
      <w:r w:rsidRPr="00D91002">
        <w:t xml:space="preserve">s by </w:t>
      </w:r>
      <w:r>
        <w:t>susceptibility</w:t>
      </w:r>
      <w:r w:rsidRPr="00D91002">
        <w:t xml:space="preserve"> </w:t>
      </w:r>
      <w:r>
        <w:t>of automation capability developing</w:t>
      </w:r>
    </w:p>
    <w:p w:rsidR="00C11D0B" w:rsidRDefault="00C11D0B" w:rsidP="00610F44">
      <w:pPr>
        <w:pStyle w:val="LongFigure"/>
      </w:pPr>
      <w:r>
        <w:rPr>
          <w:noProof/>
          <w:lang w:eastAsia="en-AU"/>
        </w:rPr>
        <w:drawing>
          <wp:inline distT="0" distB="0" distL="0" distR="0" wp14:anchorId="2DA19C97" wp14:editId="2C010B6C">
            <wp:extent cx="5731510" cy="2885962"/>
            <wp:effectExtent l="0" t="0" r="2540" b="0"/>
            <wp:docPr id="1" name="Chart 1" descr="This bar chart divides jobs into ten automation score deciles, where the first decile is those jobs with an automation score of zero to 10, and so on. It shows the percentage of the labour market in each decile. It shows a bimodal distribution, where there is a large portion of employees with a very low and a very high automation score (19 per cent and 22 per cent respectively), but only a small proportion with a medium automation score (5 per cent)." title="Figure 3.2: Distribution of Australian and US jobs by susceptibility of automation capability developing"/>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10F44" w:rsidRDefault="00610F44" w:rsidP="00610F44">
      <w:pPr>
        <w:pStyle w:val="Source"/>
        <w:ind w:left="0"/>
      </w:pPr>
      <w:r w:rsidRPr="00C62F3A">
        <w:t xml:space="preserve">Source: </w:t>
      </w:r>
      <w:r w:rsidR="00C738FC">
        <w:t>Department of Industry, Innovation and Science</w:t>
      </w:r>
      <w:r>
        <w:t xml:space="preserve"> analysis</w:t>
      </w:r>
      <w:r w:rsidR="003721C0">
        <w:t xml:space="preserve"> (2015)</w:t>
      </w:r>
      <w:r>
        <w:t>, Australian Bureau of Statistics (2014b)</w:t>
      </w:r>
    </w:p>
    <w:p w:rsidR="00610F44" w:rsidRDefault="00610F44" w:rsidP="00610F44">
      <w:pPr>
        <w:pStyle w:val="BodyText"/>
      </w:pPr>
      <w:r>
        <w:t xml:space="preserve">Frey and Osborne note that the automation score can be seen as a proxy for time — those </w:t>
      </w:r>
      <w:r w:rsidRPr="003207ED">
        <w:t>job</w:t>
      </w:r>
      <w:r>
        <w:t>s with a higher score will be automated in the near future, while those with a low automation score will take some time for technology to evolve sufficiently to automate their tasks. This transition period is unspecified in the original research, but Frey and Osborne hypothesise that occupations with high susceptibility to automation will experience significantly increased automation in a decade or two.</w:t>
      </w:r>
      <w:r>
        <w:rPr>
          <w:rStyle w:val="FootnoteReference"/>
        </w:rPr>
        <w:footnoteReference w:id="7"/>
      </w:r>
      <w:r>
        <w:t xml:space="preserve"> If so, Australia faces a large number of </w:t>
      </w:r>
      <w:r w:rsidRPr="003207ED">
        <w:t>job</w:t>
      </w:r>
      <w:r>
        <w:t>s being able to be automated in the coming years</w:t>
      </w:r>
      <w:r w:rsidR="0033113B">
        <w:t xml:space="preserve"> — </w:t>
      </w:r>
      <w:r>
        <w:t xml:space="preserve">22.4 per cent of Australian </w:t>
      </w:r>
      <w:r w:rsidRPr="003207ED">
        <w:t>job</w:t>
      </w:r>
      <w:r>
        <w:t>s have very high susceptibility to being automated (a score of 90 to 100).</w:t>
      </w:r>
    </w:p>
    <w:p w:rsidR="00610F44" w:rsidRDefault="00610F44" w:rsidP="00610F44">
      <w:pPr>
        <w:pStyle w:val="BodyText"/>
      </w:pPr>
      <w:r>
        <w:t xml:space="preserve">It seems that those occupations that may experience increased automation in this time are predisposed toward certain worker attributes. </w:t>
      </w:r>
      <w:r w:rsidR="00783039">
        <w:t xml:space="preserve">Tables 3.3 and 3.4 </w:t>
      </w:r>
      <w:r>
        <w:t>summarises these correlations</w:t>
      </w:r>
      <w:r w:rsidR="00FF5282">
        <w:t xml:space="preserve"> and provides a regression </w:t>
      </w:r>
      <w:r>
        <w:t>the relationships in more detail</w:t>
      </w:r>
      <w:r w:rsidR="005A3027">
        <w:t>, while Appendix B examines</w:t>
      </w:r>
      <w:bookmarkStart w:id="1" w:name="CursorPositionBM"/>
      <w:bookmarkEnd w:id="1"/>
      <w:r w:rsidR="005A3027">
        <w:t xml:space="preserve"> these relationships in more detail</w:t>
      </w:r>
      <w:r>
        <w:t xml:space="preserve">. In general, employees in </w:t>
      </w:r>
      <w:r w:rsidRPr="003207ED">
        <w:t>job</w:t>
      </w:r>
      <w:r>
        <w:t xml:space="preserve">s that involve non-automatable tasks are better off than their automatable colleagues. They are better educated, higher skilled, earn more, are less likely to be unemployed, and are in an occupation that enjoys strong </w:t>
      </w:r>
      <w:r w:rsidRPr="003207ED">
        <w:t>job</w:t>
      </w:r>
      <w:r>
        <w:t xml:space="preserve"> growth. The results seem to support the ‘skill-biased technology change’ theory, where a shift in production technology favours skills over unskilled labour.</w:t>
      </w:r>
      <w:r>
        <w:rPr>
          <w:rStyle w:val="FootnoteReference"/>
        </w:rPr>
        <w:footnoteReference w:id="8"/>
      </w:r>
    </w:p>
    <w:p w:rsidR="00783039" w:rsidRDefault="00610F44" w:rsidP="00783039">
      <w:pPr>
        <w:pStyle w:val="BodyText"/>
      </w:pPr>
      <w:r>
        <w:t xml:space="preserve">The causality of these attributes are strongly intertwined however — for example, it is broadly acknowledged that tertiary educated workers already enjoy higher pay for several reasons. Whether automation susceptibility in fact </w:t>
      </w:r>
      <w:r w:rsidRPr="002101E9">
        <w:t>causes</w:t>
      </w:r>
      <w:r>
        <w:t xml:space="preserve"> workers to be paid more, whether automatable professions attract a certain class of worker, or that this is simply a function of tertiary education’s multicollinearity requires further research. Regardless, it is important to note that these attributes are strongly intertwined with automation. </w:t>
      </w:r>
    </w:p>
    <w:p w:rsidR="00783039" w:rsidRPr="000618FB" w:rsidRDefault="00783039" w:rsidP="00783039">
      <w:pPr>
        <w:pStyle w:val="Caption"/>
      </w:pPr>
      <w:r w:rsidRPr="000618FB">
        <w:t xml:space="preserve">Table </w:t>
      </w:r>
      <w:fldSimple w:instr=" STYLEREF 1 \s ">
        <w:r w:rsidR="00150797">
          <w:rPr>
            <w:noProof/>
          </w:rPr>
          <w:t>3</w:t>
        </w:r>
      </w:fldSimple>
      <w:r w:rsidRPr="000618FB">
        <w:t>.</w:t>
      </w:r>
      <w:fldSimple w:instr=" SEQ Table \* ARABIC \s 1 ">
        <w:r w:rsidR="00150797">
          <w:rPr>
            <w:noProof/>
          </w:rPr>
          <w:t>3</w:t>
        </w:r>
      </w:fldSimple>
      <w:r w:rsidRPr="000618FB">
        <w:t xml:space="preserve">: </w:t>
      </w:r>
      <w:r>
        <w:t>Occupation automation susceptibility correlation</w:t>
      </w:r>
    </w:p>
    <w:tbl>
      <w:tblPr>
        <w:tblStyle w:val="TableGrid"/>
        <w:tblW w:w="3791" w:type="pct"/>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3.3"/>
        <w:tblDescription w:val="This table describes occupation automation susceptibility correlation"/>
      </w:tblPr>
      <w:tblGrid>
        <w:gridCol w:w="2835"/>
        <w:gridCol w:w="4172"/>
      </w:tblGrid>
      <w:tr w:rsidR="00783039" w:rsidTr="004A0765">
        <w:trPr>
          <w:trHeight w:val="295"/>
          <w:tblHeader/>
        </w:trPr>
        <w:tc>
          <w:tcPr>
            <w:tcW w:w="2023" w:type="pct"/>
            <w:shd w:val="clear" w:color="auto" w:fill="22789A" w:themeFill="accent1"/>
          </w:tcPr>
          <w:p w:rsidR="00783039" w:rsidRDefault="00783039" w:rsidP="00C610A4">
            <w:pPr>
              <w:pStyle w:val="Tableheader"/>
            </w:pPr>
            <w:r>
              <w:t>Variable</w:t>
            </w:r>
          </w:p>
        </w:tc>
        <w:tc>
          <w:tcPr>
            <w:tcW w:w="2977" w:type="pct"/>
            <w:shd w:val="clear" w:color="auto" w:fill="22789A" w:themeFill="accent1"/>
          </w:tcPr>
          <w:p w:rsidR="00783039" w:rsidRDefault="00783039" w:rsidP="00C610A4">
            <w:pPr>
              <w:pStyle w:val="Tableheader"/>
              <w:jc w:val="right"/>
            </w:pPr>
            <w:r>
              <w:t>Correlation coefficient</w:t>
            </w:r>
          </w:p>
        </w:tc>
      </w:tr>
      <w:tr w:rsidR="00783039" w:rsidTr="00C610A4">
        <w:tc>
          <w:tcPr>
            <w:tcW w:w="2023" w:type="pct"/>
            <w:shd w:val="clear" w:color="auto" w:fill="CAE7F3" w:themeFill="accent1" w:themeFillTint="33"/>
          </w:tcPr>
          <w:p w:rsidR="00783039" w:rsidRDefault="00783039" w:rsidP="00C610A4">
            <w:pPr>
              <w:pStyle w:val="Tabletext"/>
            </w:pPr>
            <w:r>
              <w:t>ANZSCO skill level</w:t>
            </w:r>
          </w:p>
        </w:tc>
        <w:tc>
          <w:tcPr>
            <w:tcW w:w="2977" w:type="pct"/>
            <w:shd w:val="clear" w:color="auto" w:fill="CAE7F3" w:themeFill="accent1" w:themeFillTint="33"/>
          </w:tcPr>
          <w:p w:rsidR="00783039" w:rsidRDefault="00783039" w:rsidP="00C610A4">
            <w:pPr>
              <w:pStyle w:val="Tabletext"/>
              <w:jc w:val="right"/>
            </w:pPr>
            <w:r>
              <w:t>+ 0.75</w:t>
            </w:r>
          </w:p>
        </w:tc>
      </w:tr>
      <w:tr w:rsidR="00783039" w:rsidTr="00C610A4">
        <w:tc>
          <w:tcPr>
            <w:tcW w:w="2023" w:type="pct"/>
            <w:shd w:val="clear" w:color="auto" w:fill="CAE7F3" w:themeFill="accent1" w:themeFillTint="33"/>
          </w:tcPr>
          <w:p w:rsidR="00783039" w:rsidRDefault="00783039" w:rsidP="00C610A4">
            <w:pPr>
              <w:pStyle w:val="Tabletext"/>
            </w:pPr>
            <w:r>
              <w:t>Unemployment rate</w:t>
            </w:r>
          </w:p>
        </w:tc>
        <w:tc>
          <w:tcPr>
            <w:tcW w:w="2977" w:type="pct"/>
            <w:shd w:val="clear" w:color="auto" w:fill="CAE7F3" w:themeFill="accent1" w:themeFillTint="33"/>
          </w:tcPr>
          <w:p w:rsidR="00783039" w:rsidRDefault="00783039" w:rsidP="00C610A4">
            <w:pPr>
              <w:pStyle w:val="Tabletext"/>
              <w:jc w:val="right"/>
            </w:pPr>
            <w:r>
              <w:t>+0.29</w:t>
            </w:r>
          </w:p>
        </w:tc>
      </w:tr>
      <w:tr w:rsidR="00783039" w:rsidTr="00C610A4">
        <w:tc>
          <w:tcPr>
            <w:tcW w:w="2023" w:type="pct"/>
            <w:shd w:val="clear" w:color="auto" w:fill="CAE7F3" w:themeFill="accent1" w:themeFillTint="33"/>
          </w:tcPr>
          <w:p w:rsidR="00783039" w:rsidRDefault="00783039" w:rsidP="00C610A4">
            <w:pPr>
              <w:pStyle w:val="Tabletext"/>
            </w:pPr>
            <w:r>
              <w:t>Tertiary education portion</w:t>
            </w:r>
          </w:p>
        </w:tc>
        <w:tc>
          <w:tcPr>
            <w:tcW w:w="2977" w:type="pct"/>
            <w:shd w:val="clear" w:color="auto" w:fill="CAE7F3" w:themeFill="accent1" w:themeFillTint="33"/>
          </w:tcPr>
          <w:p w:rsidR="00783039" w:rsidRDefault="00783039" w:rsidP="00C610A4">
            <w:pPr>
              <w:pStyle w:val="Tabletext"/>
              <w:jc w:val="right"/>
            </w:pPr>
            <w:r>
              <w:t>– 0.65</w:t>
            </w:r>
          </w:p>
        </w:tc>
      </w:tr>
      <w:tr w:rsidR="00783039" w:rsidTr="00C610A4">
        <w:tc>
          <w:tcPr>
            <w:tcW w:w="2023" w:type="pct"/>
            <w:shd w:val="clear" w:color="auto" w:fill="CAE7F3" w:themeFill="accent1" w:themeFillTint="33"/>
          </w:tcPr>
          <w:p w:rsidR="00783039" w:rsidRDefault="00783039" w:rsidP="00C610A4">
            <w:pPr>
              <w:pStyle w:val="Tabletext"/>
            </w:pPr>
            <w:r>
              <w:t>Average weekly earnings</w:t>
            </w:r>
          </w:p>
        </w:tc>
        <w:tc>
          <w:tcPr>
            <w:tcW w:w="2977" w:type="pct"/>
            <w:shd w:val="clear" w:color="auto" w:fill="CAE7F3" w:themeFill="accent1" w:themeFillTint="33"/>
          </w:tcPr>
          <w:p w:rsidR="00783039" w:rsidRDefault="00783039" w:rsidP="00C610A4">
            <w:pPr>
              <w:pStyle w:val="Tabletext"/>
              <w:jc w:val="right"/>
            </w:pPr>
            <w:r>
              <w:t>– 0.45</w:t>
            </w:r>
          </w:p>
        </w:tc>
      </w:tr>
      <w:tr w:rsidR="00783039" w:rsidTr="00C610A4">
        <w:tc>
          <w:tcPr>
            <w:tcW w:w="2023" w:type="pct"/>
            <w:shd w:val="clear" w:color="auto" w:fill="CAE7F3" w:themeFill="accent1" w:themeFillTint="33"/>
          </w:tcPr>
          <w:p w:rsidR="00783039" w:rsidRDefault="00783039" w:rsidP="00C610A4">
            <w:pPr>
              <w:pStyle w:val="Tabletext"/>
            </w:pPr>
            <w:r>
              <w:t>Average annual growth</w:t>
            </w:r>
          </w:p>
        </w:tc>
        <w:tc>
          <w:tcPr>
            <w:tcW w:w="2977" w:type="pct"/>
            <w:shd w:val="clear" w:color="auto" w:fill="CAE7F3" w:themeFill="accent1" w:themeFillTint="33"/>
          </w:tcPr>
          <w:p w:rsidR="00783039" w:rsidRDefault="00783039" w:rsidP="00C610A4">
            <w:pPr>
              <w:pStyle w:val="Tabletext"/>
              <w:jc w:val="right"/>
            </w:pPr>
            <w:r>
              <w:t>– 0.34</w:t>
            </w:r>
          </w:p>
        </w:tc>
      </w:tr>
    </w:tbl>
    <w:p w:rsidR="00783039" w:rsidRDefault="00783039" w:rsidP="00783039">
      <w:pPr>
        <w:pStyle w:val="Source"/>
        <w:spacing w:after="60"/>
      </w:pPr>
      <w:r>
        <w:t>Note: In ANZSCO, skill level is defined as a function of the range and complexity of the set of tasks performed in a particular occupation. Occupations at skill level 1, the highest category, have a level of skill commensurate with a bachelor degree or higher qualification. The unemployment rate, tertiary education and average annual growth variables are percentages between 0 and 100. Average weekly earnings are in dollars.</w:t>
      </w:r>
    </w:p>
    <w:p w:rsidR="00783039" w:rsidRDefault="00783039" w:rsidP="00783039">
      <w:pPr>
        <w:pStyle w:val="Source"/>
      </w:pPr>
      <w:r>
        <w:t xml:space="preserve">Source: </w:t>
      </w:r>
      <w:r w:rsidR="00C738FC">
        <w:t>Department of Industry, Innovation and Science</w:t>
      </w:r>
      <w:r>
        <w:t xml:space="preserve"> analysis (2015) using Australian Bureau of Statistics (2015), (2014d), (2014c) and (2005)</w:t>
      </w:r>
    </w:p>
    <w:p w:rsidR="00783039" w:rsidRPr="000618FB" w:rsidRDefault="00783039" w:rsidP="00783039">
      <w:pPr>
        <w:pStyle w:val="Caption"/>
      </w:pPr>
      <w:bookmarkStart w:id="2" w:name="_Ref416726237"/>
      <w:r w:rsidRPr="000618FB">
        <w:t xml:space="preserve">Table </w:t>
      </w:r>
      <w:fldSimple w:instr=" STYLEREF 1 \s " w:fldLock="1">
        <w:r>
          <w:rPr>
            <w:noProof/>
          </w:rPr>
          <w:t>3</w:t>
        </w:r>
      </w:fldSimple>
      <w:r w:rsidRPr="000618FB">
        <w:t>.</w:t>
      </w:r>
      <w:bookmarkEnd w:id="2"/>
      <w:r>
        <w:t>4</w:t>
      </w:r>
      <w:r w:rsidRPr="000618FB">
        <w:t xml:space="preserve">: </w:t>
      </w:r>
      <w:r>
        <w:t>Occupation automation susceptibility regression</w:t>
      </w:r>
    </w:p>
    <w:tbl>
      <w:tblPr>
        <w:tblStyle w:val="TableGrid"/>
        <w:tblW w:w="6973" w:type="dxa"/>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3.4"/>
        <w:tblDescription w:val="This table describes occupation automation susceptibility regression"/>
      </w:tblPr>
      <w:tblGrid>
        <w:gridCol w:w="3020"/>
        <w:gridCol w:w="1594"/>
        <w:gridCol w:w="2359"/>
      </w:tblGrid>
      <w:tr w:rsidR="00783039" w:rsidTr="004A0765">
        <w:trPr>
          <w:trHeight w:val="295"/>
          <w:tblHeader/>
        </w:trPr>
        <w:tc>
          <w:tcPr>
            <w:tcW w:w="3020" w:type="dxa"/>
            <w:shd w:val="clear" w:color="auto" w:fill="22789A" w:themeFill="accent1"/>
          </w:tcPr>
          <w:p w:rsidR="00783039" w:rsidRDefault="00783039" w:rsidP="00C610A4">
            <w:pPr>
              <w:pStyle w:val="Tableheader"/>
            </w:pPr>
            <w:r>
              <w:t>Variable</w:t>
            </w:r>
          </w:p>
        </w:tc>
        <w:tc>
          <w:tcPr>
            <w:tcW w:w="1594" w:type="dxa"/>
            <w:shd w:val="clear" w:color="auto" w:fill="22789A" w:themeFill="accent1"/>
          </w:tcPr>
          <w:p w:rsidR="00783039" w:rsidRDefault="00783039" w:rsidP="00C610A4">
            <w:pPr>
              <w:pStyle w:val="Tableheader"/>
              <w:jc w:val="right"/>
            </w:pPr>
            <w:r>
              <w:t>Coeff</w:t>
            </w:r>
          </w:p>
        </w:tc>
        <w:tc>
          <w:tcPr>
            <w:tcW w:w="2359" w:type="dxa"/>
            <w:shd w:val="clear" w:color="auto" w:fill="22789A" w:themeFill="accent1"/>
          </w:tcPr>
          <w:p w:rsidR="00783039" w:rsidRDefault="00783039" w:rsidP="00C610A4">
            <w:pPr>
              <w:pStyle w:val="Tableheader"/>
              <w:jc w:val="right"/>
            </w:pPr>
            <w:r>
              <w:t>p-value</w:t>
            </w:r>
          </w:p>
        </w:tc>
      </w:tr>
      <w:tr w:rsidR="00783039" w:rsidTr="00C610A4">
        <w:tc>
          <w:tcPr>
            <w:tcW w:w="3020" w:type="dxa"/>
            <w:shd w:val="clear" w:color="auto" w:fill="CAE7F3" w:themeFill="accent1" w:themeFillTint="33"/>
          </w:tcPr>
          <w:p w:rsidR="00783039" w:rsidRDefault="00783039" w:rsidP="00C610A4">
            <w:pPr>
              <w:pStyle w:val="Tabletext"/>
            </w:pPr>
            <w:r>
              <w:t>Average annual growth</w:t>
            </w:r>
          </w:p>
        </w:tc>
        <w:tc>
          <w:tcPr>
            <w:tcW w:w="1594" w:type="dxa"/>
            <w:shd w:val="clear" w:color="auto" w:fill="CAE7F3" w:themeFill="accent1" w:themeFillTint="33"/>
          </w:tcPr>
          <w:p w:rsidR="00783039" w:rsidRDefault="00783039" w:rsidP="00C610A4">
            <w:pPr>
              <w:pStyle w:val="Tabletext"/>
              <w:jc w:val="right"/>
            </w:pPr>
            <w:r>
              <w:t>– 0.89</w:t>
            </w:r>
          </w:p>
        </w:tc>
        <w:tc>
          <w:tcPr>
            <w:tcW w:w="2359" w:type="dxa"/>
            <w:shd w:val="clear" w:color="auto" w:fill="CAE7F3" w:themeFill="accent1" w:themeFillTint="33"/>
          </w:tcPr>
          <w:p w:rsidR="00783039" w:rsidRDefault="00783039" w:rsidP="00C610A4">
            <w:pPr>
              <w:pStyle w:val="Tabletext"/>
              <w:jc w:val="right"/>
            </w:pPr>
            <w:r>
              <w:t>0.04</w:t>
            </w:r>
          </w:p>
        </w:tc>
      </w:tr>
      <w:tr w:rsidR="00783039" w:rsidTr="00C610A4">
        <w:tc>
          <w:tcPr>
            <w:tcW w:w="3020" w:type="dxa"/>
            <w:shd w:val="clear" w:color="auto" w:fill="CAE7F3" w:themeFill="accent1" w:themeFillTint="33"/>
          </w:tcPr>
          <w:p w:rsidR="00783039" w:rsidRDefault="00783039" w:rsidP="00C610A4">
            <w:pPr>
              <w:pStyle w:val="Tabletext"/>
            </w:pPr>
            <w:r>
              <w:t>Tertiary education portion</w:t>
            </w:r>
          </w:p>
        </w:tc>
        <w:tc>
          <w:tcPr>
            <w:tcW w:w="1594" w:type="dxa"/>
            <w:shd w:val="clear" w:color="auto" w:fill="CAE7F3" w:themeFill="accent1" w:themeFillTint="33"/>
          </w:tcPr>
          <w:p w:rsidR="00783039" w:rsidRDefault="00783039" w:rsidP="00C610A4">
            <w:pPr>
              <w:pStyle w:val="Tabletext"/>
              <w:jc w:val="right"/>
            </w:pPr>
            <w:r>
              <w:t>– 0.63</w:t>
            </w:r>
          </w:p>
        </w:tc>
        <w:tc>
          <w:tcPr>
            <w:tcW w:w="2359" w:type="dxa"/>
            <w:shd w:val="clear" w:color="auto" w:fill="CAE7F3" w:themeFill="accent1" w:themeFillTint="33"/>
          </w:tcPr>
          <w:p w:rsidR="00783039" w:rsidRDefault="00783039" w:rsidP="00C610A4">
            <w:pPr>
              <w:pStyle w:val="Tabletext"/>
              <w:jc w:val="right"/>
            </w:pPr>
            <w:r>
              <w:t>0.00</w:t>
            </w:r>
          </w:p>
        </w:tc>
      </w:tr>
      <w:tr w:rsidR="00783039" w:rsidTr="00C610A4">
        <w:tc>
          <w:tcPr>
            <w:tcW w:w="3020" w:type="dxa"/>
            <w:shd w:val="clear" w:color="auto" w:fill="CAE7F3" w:themeFill="accent1" w:themeFillTint="33"/>
          </w:tcPr>
          <w:p w:rsidR="00783039" w:rsidRDefault="00783039" w:rsidP="00C610A4">
            <w:pPr>
              <w:pStyle w:val="Tabletext"/>
            </w:pPr>
            <w:r>
              <w:t>Average weekly earnings</w:t>
            </w:r>
          </w:p>
        </w:tc>
        <w:tc>
          <w:tcPr>
            <w:tcW w:w="1594" w:type="dxa"/>
            <w:shd w:val="clear" w:color="auto" w:fill="CAE7F3" w:themeFill="accent1" w:themeFillTint="33"/>
          </w:tcPr>
          <w:p w:rsidR="00783039" w:rsidRDefault="00783039" w:rsidP="00C610A4">
            <w:pPr>
              <w:pStyle w:val="Tabletext"/>
              <w:jc w:val="right"/>
            </w:pPr>
            <w:r>
              <w:t>– 0.01</w:t>
            </w:r>
          </w:p>
        </w:tc>
        <w:tc>
          <w:tcPr>
            <w:tcW w:w="2359" w:type="dxa"/>
            <w:shd w:val="clear" w:color="auto" w:fill="CAE7F3" w:themeFill="accent1" w:themeFillTint="33"/>
          </w:tcPr>
          <w:p w:rsidR="00783039" w:rsidRDefault="00783039" w:rsidP="00C610A4">
            <w:pPr>
              <w:pStyle w:val="Tabletext"/>
              <w:jc w:val="right"/>
            </w:pPr>
            <w:r>
              <w:t>0.00</w:t>
            </w:r>
          </w:p>
        </w:tc>
      </w:tr>
      <w:tr w:rsidR="00783039" w:rsidTr="00C610A4">
        <w:tc>
          <w:tcPr>
            <w:tcW w:w="3020" w:type="dxa"/>
            <w:shd w:val="clear" w:color="auto" w:fill="CAE7F3" w:themeFill="accent1" w:themeFillTint="33"/>
          </w:tcPr>
          <w:p w:rsidR="00783039" w:rsidRDefault="00783039" w:rsidP="00C610A4">
            <w:pPr>
              <w:pStyle w:val="Tabletext"/>
            </w:pPr>
            <w:r>
              <w:t>Unemployment rate</w:t>
            </w:r>
          </w:p>
        </w:tc>
        <w:tc>
          <w:tcPr>
            <w:tcW w:w="1594" w:type="dxa"/>
            <w:shd w:val="clear" w:color="auto" w:fill="CAE7F3" w:themeFill="accent1" w:themeFillTint="33"/>
          </w:tcPr>
          <w:p w:rsidR="00783039" w:rsidRDefault="00783039" w:rsidP="00C610A4">
            <w:pPr>
              <w:pStyle w:val="Tabletext"/>
              <w:jc w:val="right"/>
            </w:pPr>
            <w:r>
              <w:t>+ 0.89</w:t>
            </w:r>
          </w:p>
        </w:tc>
        <w:tc>
          <w:tcPr>
            <w:tcW w:w="2359" w:type="dxa"/>
            <w:shd w:val="clear" w:color="auto" w:fill="CAE7F3" w:themeFill="accent1" w:themeFillTint="33"/>
          </w:tcPr>
          <w:p w:rsidR="00783039" w:rsidRDefault="00783039" w:rsidP="00C610A4">
            <w:pPr>
              <w:pStyle w:val="Tabletext"/>
              <w:jc w:val="right"/>
            </w:pPr>
            <w:r>
              <w:t>0.08</w:t>
            </w:r>
          </w:p>
        </w:tc>
      </w:tr>
      <w:tr w:rsidR="00783039" w:rsidTr="00C610A4">
        <w:trPr>
          <w:trHeight w:val="80"/>
        </w:trPr>
        <w:tc>
          <w:tcPr>
            <w:tcW w:w="3020" w:type="dxa"/>
            <w:shd w:val="clear" w:color="auto" w:fill="CAE7F3" w:themeFill="accent1" w:themeFillTint="33"/>
          </w:tcPr>
          <w:p w:rsidR="00783039" w:rsidRDefault="00783039" w:rsidP="00C610A4">
            <w:pPr>
              <w:pStyle w:val="Tabletext"/>
            </w:pPr>
          </w:p>
        </w:tc>
        <w:tc>
          <w:tcPr>
            <w:tcW w:w="1594" w:type="dxa"/>
            <w:shd w:val="clear" w:color="auto" w:fill="CAE7F3" w:themeFill="accent1" w:themeFillTint="33"/>
          </w:tcPr>
          <w:p w:rsidR="00783039" w:rsidRDefault="00783039" w:rsidP="00C610A4">
            <w:pPr>
              <w:pStyle w:val="Tabletext"/>
              <w:jc w:val="right"/>
            </w:pPr>
          </w:p>
        </w:tc>
        <w:tc>
          <w:tcPr>
            <w:tcW w:w="2359" w:type="dxa"/>
            <w:shd w:val="clear" w:color="auto" w:fill="CAE7F3" w:themeFill="accent1" w:themeFillTint="33"/>
          </w:tcPr>
          <w:p w:rsidR="00783039" w:rsidRDefault="00783039" w:rsidP="00C610A4">
            <w:pPr>
              <w:pStyle w:val="Tabletext"/>
              <w:jc w:val="right"/>
            </w:pPr>
          </w:p>
        </w:tc>
      </w:tr>
      <w:tr w:rsidR="00783039" w:rsidTr="00C610A4">
        <w:tc>
          <w:tcPr>
            <w:tcW w:w="3020" w:type="dxa"/>
            <w:shd w:val="clear" w:color="auto" w:fill="CAE7F3" w:themeFill="accent1" w:themeFillTint="33"/>
          </w:tcPr>
          <w:p w:rsidR="00783039" w:rsidRDefault="00783039" w:rsidP="00C610A4">
            <w:pPr>
              <w:pStyle w:val="Tabletext"/>
            </w:pPr>
            <w:r>
              <w:t>n</w:t>
            </w:r>
          </w:p>
        </w:tc>
        <w:tc>
          <w:tcPr>
            <w:tcW w:w="1594" w:type="dxa"/>
            <w:shd w:val="clear" w:color="auto" w:fill="CAE7F3" w:themeFill="accent1" w:themeFillTint="33"/>
          </w:tcPr>
          <w:p w:rsidR="00783039" w:rsidRDefault="00783039" w:rsidP="00C610A4">
            <w:pPr>
              <w:pStyle w:val="Tabletext"/>
              <w:jc w:val="right"/>
            </w:pPr>
            <w:r>
              <w:t>296</w:t>
            </w:r>
          </w:p>
        </w:tc>
        <w:tc>
          <w:tcPr>
            <w:tcW w:w="2359" w:type="dxa"/>
            <w:shd w:val="clear" w:color="auto" w:fill="CAE7F3" w:themeFill="accent1" w:themeFillTint="33"/>
          </w:tcPr>
          <w:p w:rsidR="00783039" w:rsidRDefault="00783039" w:rsidP="00C610A4">
            <w:pPr>
              <w:pStyle w:val="Tabletext"/>
              <w:jc w:val="right"/>
            </w:pPr>
          </w:p>
        </w:tc>
      </w:tr>
      <w:tr w:rsidR="00783039" w:rsidTr="00C610A4">
        <w:tc>
          <w:tcPr>
            <w:tcW w:w="3020" w:type="dxa"/>
            <w:shd w:val="clear" w:color="auto" w:fill="CAE7F3" w:themeFill="accent1" w:themeFillTint="33"/>
          </w:tcPr>
          <w:p w:rsidR="00783039" w:rsidRDefault="00783039" w:rsidP="00C610A4">
            <w:pPr>
              <w:pStyle w:val="Tabletext"/>
            </w:pPr>
            <w:r>
              <w:t>R</w:t>
            </w:r>
            <w:r w:rsidRPr="00092E17">
              <w:rPr>
                <w:vertAlign w:val="superscript"/>
              </w:rPr>
              <w:t>2</w:t>
            </w:r>
          </w:p>
        </w:tc>
        <w:tc>
          <w:tcPr>
            <w:tcW w:w="1594" w:type="dxa"/>
            <w:shd w:val="clear" w:color="auto" w:fill="CAE7F3" w:themeFill="accent1" w:themeFillTint="33"/>
          </w:tcPr>
          <w:p w:rsidR="00783039" w:rsidRDefault="00783039" w:rsidP="00C610A4">
            <w:pPr>
              <w:pStyle w:val="Tabletext"/>
              <w:jc w:val="right"/>
            </w:pPr>
            <w:r>
              <w:t>0.47</w:t>
            </w:r>
          </w:p>
        </w:tc>
        <w:tc>
          <w:tcPr>
            <w:tcW w:w="2359" w:type="dxa"/>
            <w:shd w:val="clear" w:color="auto" w:fill="CAE7F3" w:themeFill="accent1" w:themeFillTint="33"/>
          </w:tcPr>
          <w:p w:rsidR="00783039" w:rsidRDefault="00783039" w:rsidP="00C610A4">
            <w:pPr>
              <w:pStyle w:val="Tabletext"/>
              <w:jc w:val="right"/>
            </w:pPr>
          </w:p>
        </w:tc>
      </w:tr>
    </w:tbl>
    <w:p w:rsidR="00CB2955" w:rsidRDefault="00783039" w:rsidP="00CB2955">
      <w:pPr>
        <w:pStyle w:val="Source"/>
        <w:spacing w:after="60"/>
      </w:pPr>
      <w:r>
        <w:t>Note: In ANZSCO, skill level is defined as a function of the range and complexity of the set of tasks performed in a particular occupation. Occupations at skill level 1, the highest category, have a level of skill commensurate with a bachelor degree or higher qualification. The unemployment rate, tertiary education and average annual growth variables are percentages between 0 and 100. Average weekly earnings are in dollars.</w:t>
      </w:r>
      <w:r w:rsidR="00CB2955" w:rsidRPr="00CB2955">
        <w:t xml:space="preserve"> </w:t>
      </w:r>
    </w:p>
    <w:p w:rsidR="00783039" w:rsidRDefault="00783039" w:rsidP="00783039">
      <w:pPr>
        <w:pStyle w:val="Source"/>
      </w:pPr>
      <w:r w:rsidRPr="00C62F3A">
        <w:t xml:space="preserve">Source: </w:t>
      </w:r>
      <w:r w:rsidR="00C738FC">
        <w:t>Department of Industry, Innovation and Science</w:t>
      </w:r>
      <w:r>
        <w:t xml:space="preserve"> analysis (2015) using Australian Bureau of Statistics (2015), (2014d), (2014c) and (2005)</w:t>
      </w:r>
    </w:p>
    <w:p w:rsidR="00CB2955" w:rsidRDefault="00CB2955">
      <w:pPr>
        <w:spacing w:after="200" w:line="276" w:lineRule="auto"/>
        <w:ind w:left="0"/>
        <w:jc w:val="left"/>
        <w:rPr>
          <w:rFonts w:asciiTheme="majorHAnsi" w:eastAsia="Times New Roman" w:hAnsiTheme="majorHAnsi" w:cs="Arial"/>
          <w:b/>
          <w:bCs/>
          <w:iCs/>
          <w:color w:val="6CCCDE"/>
          <w:sz w:val="22"/>
          <w:szCs w:val="28"/>
        </w:rPr>
      </w:pPr>
      <w:r>
        <w:br w:type="page"/>
      </w:r>
    </w:p>
    <w:p w:rsidR="00610F44" w:rsidRDefault="00610F44" w:rsidP="00610F44">
      <w:pPr>
        <w:pStyle w:val="Heading2"/>
        <w:numPr>
          <w:ilvl w:val="1"/>
          <w:numId w:val="3"/>
        </w:numPr>
      </w:pPr>
      <w:r>
        <w:t>Industry automation susceptibility</w:t>
      </w:r>
    </w:p>
    <w:p w:rsidR="00610F44" w:rsidRDefault="00610F44" w:rsidP="00610F44">
      <w:pPr>
        <w:pStyle w:val="BodyText"/>
      </w:pPr>
      <w:r>
        <w:t>An automation score can be calculated for each industry using industry occupation employment shares as weights.</w:t>
      </w:r>
      <w:r>
        <w:rPr>
          <w:rStyle w:val="FootnoteReference"/>
        </w:rPr>
        <w:footnoteReference w:id="9"/>
      </w:r>
      <w:r>
        <w:t xml:space="preserve"> Weights are calculated as the share of each occupation’s employment in an industry’s employment occupation. </w:t>
      </w:r>
    </w:p>
    <w:p w:rsidR="00610F44" w:rsidRDefault="00610F44" w:rsidP="00610F44">
      <w:pPr>
        <w:pStyle w:val="BodyText"/>
      </w:pPr>
      <w:r>
        <w:t>An industry’s automation susceptibility is therefore calculated as:</w:t>
      </w:r>
    </w:p>
    <w:p w:rsidR="00610F44" w:rsidRPr="007B4DA1" w:rsidRDefault="00184EBC" w:rsidP="00610F44">
      <w:pPr>
        <w:spacing w:before="360" w:after="360"/>
        <w:rPr>
          <w:rFonts w:eastAsiaTheme="minorEastAsia"/>
        </w:rPr>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k</m:t>
              </m:r>
            </m:sub>
          </m:sSub>
          <m:r>
            <w:rPr>
              <w:rFonts w:ascii="Cambria Math" w:hAnsi="Cambria Math"/>
            </w:rPr>
            <m:t xml:space="preserve">= </m:t>
          </m:r>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m=1</m:t>
                  </m:r>
                </m:sub>
                <m:sup>
                  <m:r>
                    <w:rPr>
                      <w:rFonts w:ascii="Cambria Math" w:hAnsi="Cambria Math"/>
                    </w:rPr>
                    <m:t>r</m:t>
                  </m:r>
                </m:sup>
                <m:e>
                  <m:sSub>
                    <m:sSubPr>
                      <m:ctrlPr>
                        <w:rPr>
                          <w:rFonts w:ascii="Cambria Math" w:hAnsi="Cambria Math"/>
                          <w:i/>
                        </w:rPr>
                      </m:ctrlPr>
                    </m:sSubPr>
                    <m:e>
                      <m:r>
                        <w:rPr>
                          <w:rFonts w:ascii="Cambria Math" w:hAnsi="Cambria Math"/>
                        </w:rPr>
                        <m:t>a</m:t>
                      </m:r>
                    </m:e>
                    <m:sub>
                      <m:r>
                        <w:rPr>
                          <w:rFonts w:ascii="Cambria Math" w:hAnsi="Cambria Math"/>
                        </w:rPr>
                        <m:t>m</m:t>
                      </m:r>
                    </m:sub>
                  </m:sSub>
                  <m:sSub>
                    <m:sSubPr>
                      <m:ctrlPr>
                        <w:rPr>
                          <w:rFonts w:ascii="Cambria Math" w:hAnsi="Cambria Math"/>
                          <w:i/>
                        </w:rPr>
                      </m:ctrlPr>
                    </m:sSubPr>
                    <m:e>
                      <m:r>
                        <w:rPr>
                          <w:rFonts w:ascii="Cambria Math" w:hAnsi="Cambria Math"/>
                        </w:rPr>
                        <m:t>O</m:t>
                      </m:r>
                    </m:e>
                    <m:sub>
                      <m:r>
                        <w:rPr>
                          <w:rFonts w:ascii="Cambria Math" w:hAnsi="Cambria Math"/>
                        </w:rPr>
                        <m:t>km</m:t>
                      </m:r>
                    </m:sub>
                  </m:sSub>
                </m:e>
              </m:nary>
            </m:num>
            <m:den>
              <m:nary>
                <m:naryPr>
                  <m:chr m:val="∑"/>
                  <m:limLoc m:val="undOvr"/>
                  <m:ctrlPr>
                    <w:rPr>
                      <w:rFonts w:ascii="Cambria Math" w:hAnsi="Cambria Math"/>
                      <w:i/>
                    </w:rPr>
                  </m:ctrlPr>
                </m:naryPr>
                <m:sub>
                  <m:r>
                    <w:rPr>
                      <w:rFonts w:ascii="Cambria Math" w:hAnsi="Cambria Math"/>
                    </w:rPr>
                    <m:t>m=1</m:t>
                  </m:r>
                </m:sub>
                <m:sup>
                  <m:r>
                    <w:rPr>
                      <w:rFonts w:ascii="Cambria Math" w:hAnsi="Cambria Math"/>
                    </w:rPr>
                    <m:t>r</m:t>
                  </m:r>
                </m:sup>
                <m:e>
                  <m:sSub>
                    <m:sSubPr>
                      <m:ctrlPr>
                        <w:rPr>
                          <w:rFonts w:ascii="Cambria Math" w:hAnsi="Cambria Math"/>
                          <w:i/>
                        </w:rPr>
                      </m:ctrlPr>
                    </m:sSubPr>
                    <m:e>
                      <m:r>
                        <w:rPr>
                          <w:rFonts w:ascii="Cambria Math" w:hAnsi="Cambria Math"/>
                        </w:rPr>
                        <m:t>O</m:t>
                      </m:r>
                    </m:e>
                    <m:sub>
                      <m:r>
                        <w:rPr>
                          <w:rFonts w:ascii="Cambria Math" w:hAnsi="Cambria Math"/>
                        </w:rPr>
                        <m:t>km</m:t>
                      </m:r>
                    </m:sub>
                  </m:sSub>
                </m:e>
              </m:nary>
            </m:den>
          </m:f>
        </m:oMath>
      </m:oMathPara>
    </w:p>
    <w:p w:rsidR="00610F44" w:rsidRPr="007B4DA1" w:rsidRDefault="00610F44" w:rsidP="00610F44">
      <w:pPr>
        <w:rPr>
          <w:rFonts w:eastAsiaTheme="minorEastAsia"/>
        </w:rPr>
      </w:pPr>
      <m:oMathPara>
        <m:oMathParaPr>
          <m:jc m:val="center"/>
        </m:oMathParaPr>
        <m:oMath>
          <m:r>
            <w:rPr>
              <w:rFonts w:ascii="Cambria Math" w:eastAsiaTheme="minorEastAsia" w:hAnsi="Cambria Math"/>
            </w:rPr>
            <m:t xml:space="preserve">Occupation m= </m:t>
          </m:r>
          <m:d>
            <m:dPr>
              <m:ctrlPr>
                <w:rPr>
                  <w:rFonts w:ascii="Cambria Math" w:eastAsiaTheme="minorEastAsia" w:hAnsi="Cambria Math"/>
                  <w:i/>
                </w:rPr>
              </m:ctrlPr>
            </m:dPr>
            <m:e>
              <m:r>
                <w:rPr>
                  <w:rFonts w:ascii="Cambria Math" w:eastAsiaTheme="minorEastAsia" w:hAnsi="Cambria Math"/>
                </w:rPr>
                <m:t>1,…r</m:t>
              </m:r>
            </m:e>
          </m:d>
        </m:oMath>
      </m:oMathPara>
    </w:p>
    <w:p w:rsidR="00610F44" w:rsidRDefault="00610F44" w:rsidP="00610F44">
      <w:pPr>
        <w:rPr>
          <w:rFonts w:eastAsiaTheme="minorEastAsia"/>
        </w:rPr>
      </w:pPr>
      <w:r>
        <w:rPr>
          <w:rFonts w:eastAsiaTheme="minorEastAsia"/>
        </w:rPr>
        <w:t>Where:</w:t>
      </w:r>
    </w:p>
    <w:p w:rsidR="00610F44" w:rsidRPr="007B4DA1" w:rsidRDefault="00184EBC" w:rsidP="00610F44">
      <w:pPr>
        <w:pStyle w:val="ListBullet"/>
        <w:numPr>
          <w:ilvl w:val="0"/>
          <w:numId w:val="4"/>
        </w:numPr>
        <w:spacing w:before="180"/>
      </w:pPr>
      <m:oMath>
        <m:sSub>
          <m:sSubPr>
            <m:ctrlPr>
              <w:rPr>
                <w:rFonts w:ascii="Cambria Math" w:hAnsi="Cambria Math"/>
                <w:i/>
              </w:rPr>
            </m:ctrlPr>
          </m:sSubPr>
          <m:e>
            <m:r>
              <w:rPr>
                <w:rFonts w:ascii="Cambria Math" w:hAnsi="Cambria Math"/>
              </w:rPr>
              <m:t>I</m:t>
            </m:r>
          </m:e>
          <m:sub>
            <m:r>
              <w:rPr>
                <w:rFonts w:ascii="Cambria Math" w:hAnsi="Cambria Math"/>
              </w:rPr>
              <m:t>k</m:t>
            </m:r>
          </m:sub>
        </m:sSub>
      </m:oMath>
      <w:r w:rsidR="00610F44">
        <w:t xml:space="preserve"> is the mean automation score for the industry </w:t>
      </w:r>
      <m:oMath>
        <m:r>
          <w:rPr>
            <w:rFonts w:ascii="Cambria Math" w:hAnsi="Cambria Math"/>
          </w:rPr>
          <m:t>k</m:t>
        </m:r>
      </m:oMath>
    </w:p>
    <w:p w:rsidR="00610F44" w:rsidRPr="007B4DA1" w:rsidRDefault="00184EBC" w:rsidP="00610F44">
      <w:pPr>
        <w:pStyle w:val="ListBullet"/>
        <w:numPr>
          <w:ilvl w:val="0"/>
          <w:numId w:val="4"/>
        </w:numPr>
        <w:spacing w:before="180"/>
      </w:pPr>
      <m:oMath>
        <m:sSub>
          <m:sSubPr>
            <m:ctrlPr>
              <w:rPr>
                <w:rFonts w:ascii="Cambria Math" w:hAnsi="Cambria Math"/>
                <w:i/>
              </w:rPr>
            </m:ctrlPr>
          </m:sSubPr>
          <m:e>
            <m:r>
              <w:rPr>
                <w:rFonts w:ascii="Cambria Math" w:hAnsi="Cambria Math"/>
              </w:rPr>
              <m:t>a</m:t>
            </m:r>
          </m:e>
          <m:sub>
            <m:r>
              <w:rPr>
                <w:rFonts w:ascii="Cambria Math" w:hAnsi="Cambria Math"/>
              </w:rPr>
              <m:t>m</m:t>
            </m:r>
          </m:sub>
        </m:sSub>
      </m:oMath>
      <w:r w:rsidR="00610F44">
        <w:t xml:space="preserve"> is the automation score for an occupation </w:t>
      </w:r>
      <m:oMath>
        <m:r>
          <w:rPr>
            <w:rFonts w:ascii="Cambria Math" w:hAnsi="Cambria Math"/>
          </w:rPr>
          <m:t>m</m:t>
        </m:r>
      </m:oMath>
    </w:p>
    <w:p w:rsidR="00610F44" w:rsidRDefault="00184EBC" w:rsidP="00610F44">
      <w:pPr>
        <w:pStyle w:val="ListBullet"/>
        <w:numPr>
          <w:ilvl w:val="0"/>
          <w:numId w:val="4"/>
        </w:numPr>
        <w:spacing w:before="180"/>
      </w:pPr>
      <m:oMath>
        <m:sSub>
          <m:sSubPr>
            <m:ctrlPr>
              <w:rPr>
                <w:rFonts w:ascii="Cambria Math" w:hAnsi="Cambria Math"/>
                <w:i/>
              </w:rPr>
            </m:ctrlPr>
          </m:sSubPr>
          <m:e>
            <m:r>
              <w:rPr>
                <w:rFonts w:ascii="Cambria Math" w:hAnsi="Cambria Math"/>
              </w:rPr>
              <m:t>O</m:t>
            </m:r>
          </m:e>
          <m:sub>
            <m:r>
              <w:rPr>
                <w:rFonts w:ascii="Cambria Math" w:hAnsi="Cambria Math"/>
              </w:rPr>
              <m:t>km</m:t>
            </m:r>
          </m:sub>
        </m:sSub>
      </m:oMath>
      <w:r w:rsidR="00610F44">
        <w:t xml:space="preserve"> is the number of persons employed in industry </w:t>
      </w:r>
      <m:oMath>
        <m:r>
          <w:rPr>
            <w:rFonts w:ascii="Cambria Math" w:hAnsi="Cambria Math"/>
          </w:rPr>
          <m:t>k</m:t>
        </m:r>
      </m:oMath>
      <w:r w:rsidR="00610F44">
        <w:rPr>
          <w:rFonts w:eastAsiaTheme="minorEastAsia"/>
        </w:rPr>
        <w:t xml:space="preserve"> and </w:t>
      </w:r>
      <w:r w:rsidR="00610F44">
        <w:t xml:space="preserve">occupation </w:t>
      </w:r>
      <m:oMath>
        <m:r>
          <w:rPr>
            <w:rFonts w:ascii="Cambria Math" w:hAnsi="Cambria Math"/>
          </w:rPr>
          <m:t>m</m:t>
        </m:r>
      </m:oMath>
    </w:p>
    <w:p w:rsidR="00610F44" w:rsidRDefault="00610F44" w:rsidP="00610F44">
      <w:pPr>
        <w:pStyle w:val="BodyText"/>
      </w:pPr>
      <w:r>
        <w:t xml:space="preserve">Industry automation scores are reported in </w:t>
      </w:r>
      <w:r>
        <w:fldChar w:fldCharType="begin" w:fldLock="1"/>
      </w:r>
      <w:r>
        <w:instrText xml:space="preserve"> REF _Ref416374880 \h  \* MERGEFORMAT </w:instrText>
      </w:r>
      <w:r>
        <w:fldChar w:fldCharType="separate"/>
      </w:r>
      <w:r>
        <w:t>Figure</w:t>
      </w:r>
      <w:r w:rsidRPr="000618FB">
        <w:t xml:space="preserve"> </w:t>
      </w:r>
      <w:r>
        <w:rPr>
          <w:noProof/>
        </w:rPr>
        <w:t>3</w:t>
      </w:r>
      <w:r w:rsidRPr="000618FB">
        <w:rPr>
          <w:noProof/>
        </w:rPr>
        <w:t>.</w:t>
      </w:r>
      <w:r>
        <w:rPr>
          <w:noProof/>
        </w:rPr>
        <w:t>3</w:t>
      </w:r>
      <w:r>
        <w:fldChar w:fldCharType="end"/>
      </w:r>
      <w:r>
        <w:t>. The industries with the highest automation susceptibility in 2014 include the retail, transport and the hospitality industries. Those with the most limited susceptibility include education, professional and health care services.</w:t>
      </w:r>
    </w:p>
    <w:p w:rsidR="00610F44" w:rsidRDefault="00610F44" w:rsidP="00610F44">
      <w:pPr>
        <w:pStyle w:val="LongFigure"/>
      </w:pPr>
      <w:bookmarkStart w:id="3" w:name="_Ref416374880"/>
      <w:r>
        <w:t>Figure</w:t>
      </w:r>
      <w:r w:rsidRPr="000618FB">
        <w:t xml:space="preserve"> </w:t>
      </w:r>
      <w:fldSimple w:instr=" STYLEREF 1 \s " w:fldLock="1">
        <w:r>
          <w:rPr>
            <w:noProof/>
          </w:rPr>
          <w:t>3</w:t>
        </w:r>
      </w:fldSimple>
      <w:r w:rsidRPr="000618FB">
        <w:t>.</w:t>
      </w:r>
      <w:r w:rsidRPr="000618FB">
        <w:fldChar w:fldCharType="begin" w:fldLock="1"/>
      </w:r>
      <w:r w:rsidRPr="000618FB">
        <w:instrText xml:space="preserve"> SEQ </w:instrText>
      </w:r>
      <w:r>
        <w:instrText>Figure</w:instrText>
      </w:r>
      <w:r w:rsidRPr="000618FB">
        <w:instrText xml:space="preserve"> \* ARABIC \s 1 </w:instrText>
      </w:r>
      <w:r w:rsidRPr="000618FB">
        <w:fldChar w:fldCharType="separate"/>
      </w:r>
      <w:r>
        <w:rPr>
          <w:noProof/>
        </w:rPr>
        <w:t>3</w:t>
      </w:r>
      <w:r w:rsidRPr="000618FB">
        <w:fldChar w:fldCharType="end"/>
      </w:r>
      <w:bookmarkEnd w:id="3"/>
      <w:r w:rsidRPr="000618FB">
        <w:t xml:space="preserve">: </w:t>
      </w:r>
      <w:r w:rsidRPr="00D91002">
        <w:t xml:space="preserve">Australian major industries by automation </w:t>
      </w:r>
      <w:r>
        <w:t>susceptibility, 2004 and 2014</w:t>
      </w:r>
    </w:p>
    <w:p w:rsidR="009C6053" w:rsidRDefault="009C6053" w:rsidP="00610F44">
      <w:pPr>
        <w:pStyle w:val="LongFigure"/>
      </w:pPr>
      <w:r>
        <w:rPr>
          <w:noProof/>
          <w:lang w:eastAsia="en-AU"/>
        </w:rPr>
        <w:drawing>
          <wp:inline distT="0" distB="0" distL="0" distR="0">
            <wp:extent cx="5904942" cy="5448300"/>
            <wp:effectExtent l="0" t="0" r="635" b="0"/>
            <wp:docPr id="41" name="Picture 41" descr="This bar chart shows each industry's automation score, in 2004 and in 2014. It shows retail trade at the top with an automation score of 70 per cent. Other industries with high automation scores include transport, hospitality, real estate and manufacturing. Education is at the bottom, with an automation score of 25 per cent. Other industries with low automation scores include professional services, health care, ICT and arts." title="Figure 3.3: Australian major industries by automation susceptibility, 2004 and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04942" cy="5448300"/>
                    </a:xfrm>
                    <a:prstGeom prst="rect">
                      <a:avLst/>
                    </a:prstGeom>
                  </pic:spPr>
                </pic:pic>
              </a:graphicData>
            </a:graphic>
          </wp:inline>
        </w:drawing>
      </w:r>
    </w:p>
    <w:p w:rsidR="00610F44" w:rsidRDefault="00610F44" w:rsidP="00610F44">
      <w:pPr>
        <w:pStyle w:val="Source"/>
        <w:ind w:left="0"/>
      </w:pPr>
      <w:r w:rsidRPr="00C62F3A">
        <w:t xml:space="preserve">Source: </w:t>
      </w:r>
      <w:r w:rsidR="00C738FC">
        <w:t>Department of Industry, Innovation and Science</w:t>
      </w:r>
      <w:r>
        <w:t xml:space="preserve"> analysis</w:t>
      </w:r>
      <w:r w:rsidR="003721C0">
        <w:t xml:space="preserve"> (2015)</w:t>
      </w:r>
    </w:p>
    <w:p w:rsidR="00610F44" w:rsidRDefault="00610F44" w:rsidP="00610F44">
      <w:pPr>
        <w:pStyle w:val="BodyText"/>
      </w:pPr>
      <w:r>
        <w:fldChar w:fldCharType="begin" w:fldLock="1"/>
      </w:r>
      <w:r>
        <w:instrText xml:space="preserve"> REF _Ref416374880 \h  \* MERGEFORMAT </w:instrText>
      </w:r>
      <w:r>
        <w:fldChar w:fldCharType="separate"/>
      </w:r>
      <w:r>
        <w:t>Figure</w:t>
      </w:r>
      <w:r w:rsidRPr="000618FB">
        <w:t xml:space="preserve"> </w:t>
      </w:r>
      <w:r>
        <w:rPr>
          <w:noProof/>
        </w:rPr>
        <w:t>3</w:t>
      </w:r>
      <w:r w:rsidRPr="000618FB">
        <w:rPr>
          <w:noProof/>
        </w:rPr>
        <w:t>.</w:t>
      </w:r>
      <w:r>
        <w:rPr>
          <w:noProof/>
        </w:rPr>
        <w:t>3</w:t>
      </w:r>
      <w:r>
        <w:fldChar w:fldCharType="end"/>
      </w:r>
      <w:r>
        <w:t xml:space="preserve"> also reports industry automation scores for 2004. This assumes that automation scores have been held constant over the past 10 years (an assumption that is further explored below). The industries that have changed the most over the period include the information media, professional services, and the public administration sectors. The utilities sector was the only industry where the automation score increased by any significant amount.</w:t>
      </w:r>
    </w:p>
    <w:p w:rsidR="00610F44" w:rsidRDefault="00610F44" w:rsidP="00610F44">
      <w:pPr>
        <w:pStyle w:val="Heading2"/>
        <w:numPr>
          <w:ilvl w:val="1"/>
          <w:numId w:val="3"/>
        </w:numPr>
      </w:pPr>
      <w:r>
        <w:t>Australia’s automation susceptibility</w:t>
      </w:r>
    </w:p>
    <w:p w:rsidR="00610F44" w:rsidRDefault="00610F44" w:rsidP="00610F44">
      <w:pPr>
        <w:pStyle w:val="BodyText"/>
      </w:pPr>
      <w:r>
        <w:t>A</w:t>
      </w:r>
      <w:r w:rsidRPr="008A2CBD">
        <w:t xml:space="preserve"> </w:t>
      </w:r>
      <w:r>
        <w:t xml:space="preserve">weighted </w:t>
      </w:r>
      <w:r w:rsidRPr="008A2CBD">
        <w:t xml:space="preserve">automation score for the broader economy can be calculated in a similar way. </w:t>
      </w:r>
      <w:r>
        <w:t>This is a more robust assessment of the automation susceptibility of the economy than simply calculating the portion of workers that are highly susceptible, as identified in section 3.2 earlier.</w:t>
      </w:r>
    </w:p>
    <w:p w:rsidR="00610F44" w:rsidRPr="008A2CBD" w:rsidRDefault="00610F44" w:rsidP="00610F44">
      <w:pPr>
        <w:pStyle w:val="BodyText"/>
      </w:pPr>
      <w:r w:rsidRPr="008A2CBD">
        <w:t xml:space="preserve">Let </w:t>
      </w:r>
      <m:oMath>
        <m:r>
          <w:rPr>
            <w:rFonts w:ascii="Cambria Math" w:hAnsi="Cambria Math"/>
          </w:rPr>
          <m:t>A</m:t>
        </m:r>
      </m:oMath>
      <w:r w:rsidRPr="008A2CBD">
        <w:t xml:space="preserve"> be the mean automation </w:t>
      </w:r>
      <w:r>
        <w:t>susceptibility</w:t>
      </w:r>
      <w:r w:rsidRPr="008A2CBD">
        <w:t xml:space="preserve"> of the economy. This is given by:</w:t>
      </w:r>
    </w:p>
    <w:p w:rsidR="00610F44" w:rsidRPr="007B4DA1" w:rsidRDefault="00610F44" w:rsidP="00610F44">
      <w:pPr>
        <w:spacing w:before="360" w:after="360"/>
        <w:rPr>
          <w:rFonts w:eastAsiaTheme="minorEastAsia"/>
        </w:rPr>
      </w:pPr>
      <m:oMathPara>
        <m:oMathParaPr>
          <m:jc m:val="center"/>
        </m:oMathParaPr>
        <m:oMath>
          <m:r>
            <w:rPr>
              <w:rFonts w:ascii="Cambria Math" w:hAnsi="Cambria Math"/>
            </w:rPr>
            <m:t xml:space="preserve">A= </m:t>
          </m:r>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k,m=1</m:t>
                  </m:r>
                </m:sub>
                <m:sup>
                  <m:r>
                    <w:rPr>
                      <w:rFonts w:ascii="Cambria Math" w:hAnsi="Cambria Math"/>
                    </w:rPr>
                    <m:t>p,r</m:t>
                  </m:r>
                </m:sup>
                <m:e>
                  <m:sSub>
                    <m:sSubPr>
                      <m:ctrlPr>
                        <w:rPr>
                          <w:rFonts w:ascii="Cambria Math" w:hAnsi="Cambria Math"/>
                          <w:i/>
                        </w:rPr>
                      </m:ctrlPr>
                    </m:sSubPr>
                    <m:e>
                      <m:r>
                        <w:rPr>
                          <w:rFonts w:ascii="Cambria Math" w:hAnsi="Cambria Math"/>
                        </w:rPr>
                        <m:t>a</m:t>
                      </m:r>
                    </m:e>
                    <m:sub>
                      <m:r>
                        <w:rPr>
                          <w:rFonts w:ascii="Cambria Math" w:hAnsi="Cambria Math"/>
                        </w:rPr>
                        <m:t>m</m:t>
                      </m:r>
                    </m:sub>
                  </m:sSub>
                  <m:sSub>
                    <m:sSubPr>
                      <m:ctrlPr>
                        <w:rPr>
                          <w:rFonts w:ascii="Cambria Math" w:hAnsi="Cambria Math"/>
                          <w:i/>
                        </w:rPr>
                      </m:ctrlPr>
                    </m:sSubPr>
                    <m:e>
                      <m:r>
                        <w:rPr>
                          <w:rFonts w:ascii="Cambria Math" w:hAnsi="Cambria Math"/>
                        </w:rPr>
                        <m:t>O</m:t>
                      </m:r>
                    </m:e>
                    <m:sub>
                      <m:r>
                        <w:rPr>
                          <w:rFonts w:ascii="Cambria Math" w:hAnsi="Cambria Math"/>
                        </w:rPr>
                        <m:t>km</m:t>
                      </m:r>
                    </m:sub>
                  </m:sSub>
                </m:e>
              </m:nary>
            </m:num>
            <m:den>
              <m:nary>
                <m:naryPr>
                  <m:chr m:val="∑"/>
                  <m:limLoc m:val="undOvr"/>
                  <m:ctrlPr>
                    <w:rPr>
                      <w:rFonts w:ascii="Cambria Math" w:hAnsi="Cambria Math"/>
                      <w:i/>
                    </w:rPr>
                  </m:ctrlPr>
                </m:naryPr>
                <m:sub>
                  <m:r>
                    <w:rPr>
                      <w:rFonts w:ascii="Cambria Math" w:hAnsi="Cambria Math"/>
                    </w:rPr>
                    <m:t>k,m=1</m:t>
                  </m:r>
                </m:sub>
                <m:sup>
                  <m:r>
                    <w:rPr>
                      <w:rFonts w:ascii="Cambria Math" w:hAnsi="Cambria Math"/>
                    </w:rPr>
                    <m:t>p,r</m:t>
                  </m:r>
                </m:sup>
                <m:e>
                  <m:sSub>
                    <m:sSubPr>
                      <m:ctrlPr>
                        <w:rPr>
                          <w:rFonts w:ascii="Cambria Math" w:hAnsi="Cambria Math"/>
                          <w:i/>
                        </w:rPr>
                      </m:ctrlPr>
                    </m:sSubPr>
                    <m:e>
                      <m:r>
                        <w:rPr>
                          <w:rFonts w:ascii="Cambria Math" w:hAnsi="Cambria Math"/>
                        </w:rPr>
                        <m:t>O</m:t>
                      </m:r>
                    </m:e>
                    <m:sub>
                      <m:r>
                        <w:rPr>
                          <w:rFonts w:ascii="Cambria Math" w:hAnsi="Cambria Math"/>
                        </w:rPr>
                        <m:t>km</m:t>
                      </m:r>
                    </m:sub>
                  </m:sSub>
                </m:e>
              </m:nary>
            </m:den>
          </m:f>
        </m:oMath>
      </m:oMathPara>
    </w:p>
    <w:p w:rsidR="00610F44" w:rsidRPr="007B4DA1" w:rsidRDefault="00610F44" w:rsidP="00610F44">
      <w:pPr>
        <w:rPr>
          <w:rFonts w:eastAsiaTheme="minorEastAsia"/>
        </w:rPr>
      </w:pPr>
      <m:oMathPara>
        <m:oMathParaPr>
          <m:jc m:val="center"/>
        </m:oMathParaPr>
        <m:oMath>
          <m:r>
            <w:rPr>
              <w:rFonts w:ascii="Cambria Math" w:eastAsiaTheme="minorEastAsia" w:hAnsi="Cambria Math"/>
            </w:rPr>
            <m:t>Year j=</m:t>
          </m:r>
          <m:d>
            <m:dPr>
              <m:ctrlPr>
                <w:rPr>
                  <w:rFonts w:ascii="Cambria Math" w:eastAsiaTheme="minorEastAsia" w:hAnsi="Cambria Math"/>
                  <w:i/>
                </w:rPr>
              </m:ctrlPr>
            </m:dPr>
            <m:e>
              <m:r>
                <w:rPr>
                  <w:rFonts w:ascii="Cambria Math" w:eastAsiaTheme="minorEastAsia" w:hAnsi="Cambria Math"/>
                </w:rPr>
                <m:t>1,…p</m:t>
              </m:r>
            </m:e>
          </m:d>
        </m:oMath>
      </m:oMathPara>
    </w:p>
    <w:p w:rsidR="00610F44" w:rsidRPr="007B4DA1" w:rsidRDefault="00610F44" w:rsidP="00610F44">
      <w:pPr>
        <w:rPr>
          <w:rFonts w:eastAsiaTheme="minorEastAsia"/>
        </w:rPr>
      </w:pPr>
      <m:oMathPara>
        <m:oMathParaPr>
          <m:jc m:val="center"/>
        </m:oMathParaPr>
        <m:oMath>
          <m:r>
            <w:rPr>
              <w:rFonts w:ascii="Cambria Math" w:eastAsiaTheme="minorEastAsia" w:hAnsi="Cambria Math"/>
            </w:rPr>
            <m:t xml:space="preserve">Occupation m= </m:t>
          </m:r>
          <m:d>
            <m:dPr>
              <m:ctrlPr>
                <w:rPr>
                  <w:rFonts w:ascii="Cambria Math" w:eastAsiaTheme="minorEastAsia" w:hAnsi="Cambria Math"/>
                  <w:i/>
                </w:rPr>
              </m:ctrlPr>
            </m:dPr>
            <m:e>
              <m:r>
                <w:rPr>
                  <w:rFonts w:ascii="Cambria Math" w:eastAsiaTheme="minorEastAsia" w:hAnsi="Cambria Math"/>
                </w:rPr>
                <m:t>1,…r</m:t>
              </m:r>
            </m:e>
          </m:d>
        </m:oMath>
      </m:oMathPara>
    </w:p>
    <w:p w:rsidR="00610F44" w:rsidRPr="008A2CBD" w:rsidRDefault="00610F44" w:rsidP="00610F44">
      <w:pPr>
        <w:pStyle w:val="BodyText"/>
      </w:pPr>
      <w:r w:rsidRPr="008A2CBD">
        <w:t xml:space="preserve">Based on Australia’s occupational profile in 2014, the automation </w:t>
      </w:r>
      <w:r>
        <w:t>susceptibility</w:t>
      </w:r>
      <w:r w:rsidRPr="008A2CBD">
        <w:t xml:space="preserve"> of the Australian labour force was 54.1. This has progressively fallen over the past </w:t>
      </w:r>
      <w:r>
        <w:t>decade</w:t>
      </w:r>
      <w:r w:rsidRPr="008A2CBD">
        <w:t xml:space="preserve"> — the mean automation score for </w:t>
      </w:r>
      <w:r>
        <w:t>2004</w:t>
      </w:r>
      <w:r w:rsidRPr="008A2CBD">
        <w:t xml:space="preserve"> was </w:t>
      </w:r>
      <w:r>
        <w:t>57.3</w:t>
      </w:r>
      <w:r w:rsidRPr="008A2CBD">
        <w:t>.</w:t>
      </w:r>
    </w:p>
    <w:p w:rsidR="00610F44" w:rsidRDefault="00783039" w:rsidP="00610F44">
      <w:pPr>
        <w:pStyle w:val="BodyText"/>
      </w:pPr>
      <w:r>
        <w:t>Table 3.5</w:t>
      </w:r>
      <w:r w:rsidR="00610F44">
        <w:t xml:space="preserve"> reports this change — for Australia and for the states and territories. The jurisdiction with the highest automation scores in 2014 was Queensland at 56.0, followed by Tasmania at 55.8. The jurisdictions with the lowest automation score was the Australian Capital Territory at 46.8. </w:t>
      </w:r>
    </w:p>
    <w:p w:rsidR="00610F44" w:rsidRDefault="00610F44" w:rsidP="00610F44">
      <w:pPr>
        <w:pStyle w:val="Caption"/>
      </w:pPr>
      <w:bookmarkStart w:id="4" w:name="_Ref418255958"/>
      <w:r w:rsidRPr="000618FB">
        <w:t xml:space="preserve">Table </w:t>
      </w:r>
      <w:fldSimple w:instr=" STYLEREF 1 \s " w:fldLock="1">
        <w:r>
          <w:rPr>
            <w:noProof/>
          </w:rPr>
          <w:t>3</w:t>
        </w:r>
      </w:fldSimple>
      <w:r w:rsidRPr="000618FB">
        <w:t>.</w:t>
      </w:r>
      <w:bookmarkEnd w:id="4"/>
      <w:r w:rsidR="00783039">
        <w:t>5</w:t>
      </w:r>
      <w:r w:rsidRPr="000618FB">
        <w:t xml:space="preserve">: </w:t>
      </w:r>
      <w:r>
        <w:t xml:space="preserve">Automation susceptibility by state, </w:t>
      </w:r>
      <w:r w:rsidR="0033113B">
        <w:t>2004–</w:t>
      </w:r>
      <w:r>
        <w:t>2014</w:t>
      </w:r>
    </w:p>
    <w:tbl>
      <w:tblPr>
        <w:tblW w:w="6973" w:type="dxa"/>
        <w:tblInd w:w="2234" w:type="dxa"/>
        <w:shd w:val="clear" w:color="auto" w:fill="CAE7F3" w:themeFill="accent1" w:themeFillTint="33"/>
        <w:tblLayout w:type="fixed"/>
        <w:tblCellMar>
          <w:left w:w="57" w:type="dxa"/>
          <w:right w:w="57" w:type="dxa"/>
        </w:tblCellMar>
        <w:tblLook w:val="04A0" w:firstRow="1" w:lastRow="0" w:firstColumn="1" w:lastColumn="0" w:noHBand="0" w:noVBand="1"/>
      </w:tblPr>
      <w:tblGrid>
        <w:gridCol w:w="3483"/>
        <w:gridCol w:w="1745"/>
        <w:gridCol w:w="1745"/>
      </w:tblGrid>
      <w:tr w:rsidR="00610F44" w:rsidRPr="001756EA" w:rsidTr="006F6A92">
        <w:trPr>
          <w:trHeight w:val="300"/>
        </w:trPr>
        <w:tc>
          <w:tcPr>
            <w:tcW w:w="3302" w:type="dxa"/>
            <w:shd w:val="clear" w:color="auto" w:fill="22789A" w:themeFill="accent1"/>
            <w:noWrap/>
            <w:vAlign w:val="bottom"/>
            <w:hideMark/>
          </w:tcPr>
          <w:p w:rsidR="00610F44" w:rsidRPr="001756EA" w:rsidRDefault="00610F44" w:rsidP="006F6A92">
            <w:pPr>
              <w:pStyle w:val="Tableheader"/>
              <w:rPr>
                <w:lang w:eastAsia="en-AU"/>
              </w:rPr>
            </w:pPr>
            <w:r>
              <w:rPr>
                <w:lang w:eastAsia="en-AU"/>
              </w:rPr>
              <w:t>State</w:t>
            </w:r>
          </w:p>
        </w:tc>
        <w:tc>
          <w:tcPr>
            <w:tcW w:w="1654" w:type="dxa"/>
            <w:shd w:val="clear" w:color="auto" w:fill="22789A" w:themeFill="accent1"/>
            <w:noWrap/>
            <w:vAlign w:val="bottom"/>
            <w:hideMark/>
          </w:tcPr>
          <w:p w:rsidR="00610F44" w:rsidRPr="001756EA" w:rsidRDefault="00610F44" w:rsidP="006F6A92">
            <w:pPr>
              <w:pStyle w:val="Tableheader"/>
              <w:jc w:val="right"/>
              <w:rPr>
                <w:lang w:eastAsia="en-AU"/>
              </w:rPr>
            </w:pPr>
            <w:r w:rsidRPr="001756EA">
              <w:rPr>
                <w:lang w:eastAsia="en-AU"/>
              </w:rPr>
              <w:t>2004</w:t>
            </w:r>
          </w:p>
        </w:tc>
        <w:tc>
          <w:tcPr>
            <w:tcW w:w="1654" w:type="dxa"/>
            <w:shd w:val="clear" w:color="auto" w:fill="22789A" w:themeFill="accent1"/>
            <w:noWrap/>
            <w:vAlign w:val="bottom"/>
            <w:hideMark/>
          </w:tcPr>
          <w:p w:rsidR="00610F44" w:rsidRPr="001756EA" w:rsidRDefault="00610F44" w:rsidP="006F6A92">
            <w:pPr>
              <w:pStyle w:val="Tableheader"/>
              <w:jc w:val="right"/>
              <w:rPr>
                <w:lang w:eastAsia="en-AU"/>
              </w:rPr>
            </w:pPr>
            <w:r w:rsidRPr="001756EA">
              <w:rPr>
                <w:lang w:eastAsia="en-AU"/>
              </w:rPr>
              <w:t>2014</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NSW</w:t>
            </w:r>
          </w:p>
        </w:tc>
        <w:tc>
          <w:tcPr>
            <w:tcW w:w="1654" w:type="dxa"/>
            <w:shd w:val="clear" w:color="auto" w:fill="CAE7F3" w:themeFill="accent1" w:themeFillTint="33"/>
            <w:noWrap/>
            <w:vAlign w:val="bottom"/>
            <w:hideMark/>
          </w:tcPr>
          <w:p w:rsidR="00610F44" w:rsidRDefault="00610F44" w:rsidP="006F6A92">
            <w:pPr>
              <w:pStyle w:val="Tabletext"/>
              <w:jc w:val="right"/>
            </w:pPr>
            <w:r>
              <w:t>56.2</w:t>
            </w:r>
          </w:p>
        </w:tc>
        <w:tc>
          <w:tcPr>
            <w:tcW w:w="1654" w:type="dxa"/>
            <w:shd w:val="clear" w:color="auto" w:fill="CAE7F3" w:themeFill="accent1" w:themeFillTint="33"/>
            <w:noWrap/>
            <w:vAlign w:val="bottom"/>
            <w:hideMark/>
          </w:tcPr>
          <w:p w:rsidR="00610F44" w:rsidRDefault="00610F44" w:rsidP="006F6A92">
            <w:pPr>
              <w:pStyle w:val="Tabletext"/>
              <w:jc w:val="right"/>
            </w:pPr>
            <w:r>
              <w:t>53.0</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Vic</w:t>
            </w:r>
          </w:p>
        </w:tc>
        <w:tc>
          <w:tcPr>
            <w:tcW w:w="1654" w:type="dxa"/>
            <w:shd w:val="clear" w:color="auto" w:fill="CAE7F3" w:themeFill="accent1" w:themeFillTint="33"/>
            <w:noWrap/>
            <w:vAlign w:val="bottom"/>
            <w:hideMark/>
          </w:tcPr>
          <w:p w:rsidR="00610F44" w:rsidRDefault="00610F44" w:rsidP="006F6A92">
            <w:pPr>
              <w:pStyle w:val="Tabletext"/>
              <w:jc w:val="right"/>
            </w:pPr>
            <w:r>
              <w:t>56.3</w:t>
            </w:r>
          </w:p>
        </w:tc>
        <w:tc>
          <w:tcPr>
            <w:tcW w:w="1654" w:type="dxa"/>
            <w:shd w:val="clear" w:color="auto" w:fill="CAE7F3" w:themeFill="accent1" w:themeFillTint="33"/>
            <w:noWrap/>
            <w:vAlign w:val="bottom"/>
            <w:hideMark/>
          </w:tcPr>
          <w:p w:rsidR="00610F44" w:rsidRDefault="00610F44" w:rsidP="006F6A92">
            <w:pPr>
              <w:pStyle w:val="Tabletext"/>
              <w:jc w:val="right"/>
            </w:pPr>
            <w:r>
              <w:t>53.3</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Qld</w:t>
            </w:r>
          </w:p>
        </w:tc>
        <w:tc>
          <w:tcPr>
            <w:tcW w:w="1654" w:type="dxa"/>
            <w:shd w:val="clear" w:color="auto" w:fill="CAE7F3" w:themeFill="accent1" w:themeFillTint="33"/>
            <w:noWrap/>
            <w:vAlign w:val="bottom"/>
            <w:hideMark/>
          </w:tcPr>
          <w:p w:rsidR="00610F44" w:rsidRDefault="00610F44" w:rsidP="006F6A92">
            <w:pPr>
              <w:pStyle w:val="Tabletext"/>
              <w:jc w:val="right"/>
            </w:pPr>
            <w:r>
              <w:t>58.7</w:t>
            </w:r>
          </w:p>
        </w:tc>
        <w:tc>
          <w:tcPr>
            <w:tcW w:w="1654" w:type="dxa"/>
            <w:shd w:val="clear" w:color="auto" w:fill="CAE7F3" w:themeFill="accent1" w:themeFillTint="33"/>
            <w:noWrap/>
            <w:vAlign w:val="bottom"/>
            <w:hideMark/>
          </w:tcPr>
          <w:p w:rsidR="00610F44" w:rsidRDefault="00610F44" w:rsidP="006F6A92">
            <w:pPr>
              <w:pStyle w:val="Tabletext"/>
              <w:jc w:val="right"/>
            </w:pPr>
            <w:r>
              <w:t>56.0</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WA</w:t>
            </w:r>
          </w:p>
        </w:tc>
        <w:tc>
          <w:tcPr>
            <w:tcW w:w="1654" w:type="dxa"/>
            <w:shd w:val="clear" w:color="auto" w:fill="CAE7F3" w:themeFill="accent1" w:themeFillTint="33"/>
            <w:noWrap/>
            <w:vAlign w:val="bottom"/>
            <w:hideMark/>
          </w:tcPr>
          <w:p w:rsidR="00610F44" w:rsidRDefault="00610F44" w:rsidP="006F6A92">
            <w:pPr>
              <w:pStyle w:val="Tabletext"/>
              <w:jc w:val="right"/>
            </w:pPr>
            <w:r>
              <w:t>57.6</w:t>
            </w:r>
          </w:p>
        </w:tc>
        <w:tc>
          <w:tcPr>
            <w:tcW w:w="1654" w:type="dxa"/>
            <w:shd w:val="clear" w:color="auto" w:fill="CAE7F3" w:themeFill="accent1" w:themeFillTint="33"/>
            <w:noWrap/>
            <w:vAlign w:val="bottom"/>
            <w:hideMark/>
          </w:tcPr>
          <w:p w:rsidR="00610F44" w:rsidRDefault="00610F44" w:rsidP="006F6A92">
            <w:pPr>
              <w:pStyle w:val="Tabletext"/>
              <w:jc w:val="right"/>
            </w:pPr>
            <w:r>
              <w:t>55.3</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SA</w:t>
            </w:r>
          </w:p>
        </w:tc>
        <w:tc>
          <w:tcPr>
            <w:tcW w:w="1654" w:type="dxa"/>
            <w:shd w:val="clear" w:color="auto" w:fill="CAE7F3" w:themeFill="accent1" w:themeFillTint="33"/>
            <w:noWrap/>
            <w:vAlign w:val="bottom"/>
            <w:hideMark/>
          </w:tcPr>
          <w:p w:rsidR="00610F44" w:rsidRDefault="00610F44" w:rsidP="006F6A92">
            <w:pPr>
              <w:pStyle w:val="Tabletext"/>
              <w:jc w:val="right"/>
            </w:pPr>
            <w:r>
              <w:t>57.8</w:t>
            </w:r>
          </w:p>
        </w:tc>
        <w:tc>
          <w:tcPr>
            <w:tcW w:w="1654" w:type="dxa"/>
            <w:shd w:val="clear" w:color="auto" w:fill="CAE7F3" w:themeFill="accent1" w:themeFillTint="33"/>
            <w:noWrap/>
            <w:vAlign w:val="bottom"/>
            <w:hideMark/>
          </w:tcPr>
          <w:p w:rsidR="00610F44" w:rsidRDefault="00610F44" w:rsidP="006F6A92">
            <w:pPr>
              <w:pStyle w:val="Tabletext"/>
              <w:jc w:val="right"/>
            </w:pPr>
            <w:r>
              <w:t>54.5</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Tas</w:t>
            </w:r>
          </w:p>
        </w:tc>
        <w:tc>
          <w:tcPr>
            <w:tcW w:w="1654" w:type="dxa"/>
            <w:shd w:val="clear" w:color="auto" w:fill="CAE7F3" w:themeFill="accent1" w:themeFillTint="33"/>
            <w:noWrap/>
            <w:vAlign w:val="bottom"/>
            <w:hideMark/>
          </w:tcPr>
          <w:p w:rsidR="00610F44" w:rsidRDefault="00610F44" w:rsidP="006F6A92">
            <w:pPr>
              <w:pStyle w:val="Tabletext"/>
              <w:jc w:val="right"/>
            </w:pPr>
            <w:r>
              <w:t>56.9</w:t>
            </w:r>
          </w:p>
        </w:tc>
        <w:tc>
          <w:tcPr>
            <w:tcW w:w="1654" w:type="dxa"/>
            <w:shd w:val="clear" w:color="auto" w:fill="CAE7F3" w:themeFill="accent1" w:themeFillTint="33"/>
            <w:noWrap/>
            <w:vAlign w:val="bottom"/>
            <w:hideMark/>
          </w:tcPr>
          <w:p w:rsidR="00610F44" w:rsidRDefault="00610F44" w:rsidP="006F6A92">
            <w:pPr>
              <w:pStyle w:val="Tabletext"/>
              <w:jc w:val="right"/>
            </w:pPr>
            <w:r>
              <w:t>55.8</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ACT</w:t>
            </w:r>
          </w:p>
        </w:tc>
        <w:tc>
          <w:tcPr>
            <w:tcW w:w="1654" w:type="dxa"/>
            <w:shd w:val="clear" w:color="auto" w:fill="CAE7F3" w:themeFill="accent1" w:themeFillTint="33"/>
            <w:noWrap/>
            <w:vAlign w:val="bottom"/>
            <w:hideMark/>
          </w:tcPr>
          <w:p w:rsidR="00610F44" w:rsidRDefault="00610F44" w:rsidP="006F6A92">
            <w:pPr>
              <w:pStyle w:val="Tabletext"/>
              <w:jc w:val="right"/>
            </w:pPr>
            <w:r>
              <w:t>50.0</w:t>
            </w:r>
          </w:p>
        </w:tc>
        <w:tc>
          <w:tcPr>
            <w:tcW w:w="1654" w:type="dxa"/>
            <w:shd w:val="clear" w:color="auto" w:fill="CAE7F3" w:themeFill="accent1" w:themeFillTint="33"/>
            <w:noWrap/>
            <w:vAlign w:val="bottom"/>
            <w:hideMark/>
          </w:tcPr>
          <w:p w:rsidR="00610F44" w:rsidRDefault="00610F44" w:rsidP="006F6A92">
            <w:pPr>
              <w:pStyle w:val="Tabletext"/>
              <w:jc w:val="right"/>
            </w:pPr>
            <w:r>
              <w:t>46.8</w:t>
            </w:r>
          </w:p>
        </w:tc>
      </w:tr>
      <w:tr w:rsidR="00610F44" w:rsidRPr="001756EA" w:rsidTr="006F6A92">
        <w:trPr>
          <w:trHeight w:val="300"/>
        </w:trPr>
        <w:tc>
          <w:tcPr>
            <w:tcW w:w="3302" w:type="dxa"/>
            <w:shd w:val="clear" w:color="auto" w:fill="CAE7F3" w:themeFill="accent1" w:themeFillTint="33"/>
            <w:noWrap/>
            <w:vAlign w:val="bottom"/>
            <w:hideMark/>
          </w:tcPr>
          <w:p w:rsidR="00610F44" w:rsidRPr="001756EA" w:rsidRDefault="00610F44" w:rsidP="006F6A92">
            <w:pPr>
              <w:pStyle w:val="Tabletext"/>
              <w:rPr>
                <w:lang w:eastAsia="en-AU"/>
              </w:rPr>
            </w:pPr>
            <w:r w:rsidRPr="001756EA">
              <w:rPr>
                <w:lang w:eastAsia="en-AU"/>
              </w:rPr>
              <w:t>NT</w:t>
            </w:r>
          </w:p>
        </w:tc>
        <w:tc>
          <w:tcPr>
            <w:tcW w:w="1654" w:type="dxa"/>
            <w:shd w:val="clear" w:color="auto" w:fill="CAE7F3" w:themeFill="accent1" w:themeFillTint="33"/>
            <w:noWrap/>
            <w:vAlign w:val="bottom"/>
            <w:hideMark/>
          </w:tcPr>
          <w:p w:rsidR="00610F44" w:rsidRDefault="00610F44" w:rsidP="006F6A92">
            <w:pPr>
              <w:pStyle w:val="Tabletext"/>
              <w:jc w:val="right"/>
            </w:pPr>
            <w:r>
              <w:t>56.8</w:t>
            </w:r>
          </w:p>
        </w:tc>
        <w:tc>
          <w:tcPr>
            <w:tcW w:w="1654" w:type="dxa"/>
            <w:shd w:val="clear" w:color="auto" w:fill="CAE7F3" w:themeFill="accent1" w:themeFillTint="33"/>
            <w:noWrap/>
            <w:vAlign w:val="bottom"/>
            <w:hideMark/>
          </w:tcPr>
          <w:p w:rsidR="00610F44" w:rsidRDefault="00610F44" w:rsidP="006F6A92">
            <w:pPr>
              <w:pStyle w:val="Tabletext"/>
              <w:jc w:val="right"/>
            </w:pPr>
            <w:r>
              <w:t>51.8</w:t>
            </w:r>
          </w:p>
        </w:tc>
      </w:tr>
      <w:tr w:rsidR="00610F44" w:rsidRPr="00411091" w:rsidTr="006F6A92">
        <w:trPr>
          <w:trHeight w:val="300"/>
        </w:trPr>
        <w:tc>
          <w:tcPr>
            <w:tcW w:w="3302" w:type="dxa"/>
            <w:shd w:val="clear" w:color="auto" w:fill="CAE7F3" w:themeFill="accent1" w:themeFillTint="33"/>
            <w:noWrap/>
            <w:vAlign w:val="bottom"/>
            <w:hideMark/>
          </w:tcPr>
          <w:p w:rsidR="00610F44" w:rsidRPr="00411091" w:rsidRDefault="00610F44" w:rsidP="006F6A92">
            <w:pPr>
              <w:pStyle w:val="Tabletext"/>
              <w:rPr>
                <w:b/>
                <w:bCs/>
                <w:lang w:eastAsia="en-AU"/>
              </w:rPr>
            </w:pPr>
            <w:r w:rsidRPr="00411091">
              <w:rPr>
                <w:b/>
                <w:bCs/>
                <w:lang w:eastAsia="en-AU"/>
              </w:rPr>
              <w:t>Australia</w:t>
            </w:r>
          </w:p>
        </w:tc>
        <w:tc>
          <w:tcPr>
            <w:tcW w:w="1654" w:type="dxa"/>
            <w:shd w:val="clear" w:color="auto" w:fill="CAE7F3" w:themeFill="accent1" w:themeFillTint="33"/>
            <w:noWrap/>
            <w:vAlign w:val="bottom"/>
            <w:hideMark/>
          </w:tcPr>
          <w:p w:rsidR="00610F44" w:rsidRPr="00411091" w:rsidRDefault="00610F44" w:rsidP="006F6A92">
            <w:pPr>
              <w:pStyle w:val="Tabletext"/>
              <w:jc w:val="right"/>
              <w:rPr>
                <w:b/>
              </w:rPr>
            </w:pPr>
            <w:r w:rsidRPr="00411091">
              <w:rPr>
                <w:b/>
              </w:rPr>
              <w:t>57.3</w:t>
            </w:r>
          </w:p>
        </w:tc>
        <w:tc>
          <w:tcPr>
            <w:tcW w:w="1654" w:type="dxa"/>
            <w:shd w:val="clear" w:color="auto" w:fill="CAE7F3" w:themeFill="accent1" w:themeFillTint="33"/>
            <w:noWrap/>
            <w:vAlign w:val="bottom"/>
            <w:hideMark/>
          </w:tcPr>
          <w:p w:rsidR="00610F44" w:rsidRPr="00411091" w:rsidRDefault="00610F44" w:rsidP="006F6A92">
            <w:pPr>
              <w:pStyle w:val="Tabletext"/>
              <w:jc w:val="right"/>
              <w:rPr>
                <w:b/>
              </w:rPr>
            </w:pPr>
            <w:r w:rsidRPr="00411091">
              <w:rPr>
                <w:b/>
              </w:rPr>
              <w:t>54.1</w:t>
            </w:r>
          </w:p>
        </w:tc>
      </w:tr>
    </w:tbl>
    <w:p w:rsidR="00610F44" w:rsidRDefault="00610F44" w:rsidP="00610F44">
      <w:pPr>
        <w:pStyle w:val="Source"/>
      </w:pPr>
      <w:r w:rsidRPr="00C62F3A">
        <w:t xml:space="preserve">Source: </w:t>
      </w:r>
      <w:r w:rsidR="00C738FC">
        <w:t>Department of Industry, Innovation and Science</w:t>
      </w:r>
      <w:r w:rsidR="003721C0">
        <w:t xml:space="preserve"> analysis (2015) </w:t>
      </w:r>
      <w:r>
        <w:t>using Australian Bureau of Statistics (2014a)</w:t>
      </w:r>
    </w:p>
    <w:p w:rsidR="00610F44" w:rsidRDefault="00610F44" w:rsidP="00610F44">
      <w:pPr>
        <w:pStyle w:val="BodyText"/>
      </w:pPr>
      <w:r>
        <w:t>All states followed the national average and saw a decline in their automation susceptibility. The largest decrease was experienced in the Northern Territory, while Tasmania only marginally improved on its 2004 score.</w:t>
      </w:r>
    </w:p>
    <w:p w:rsidR="00610F44" w:rsidRDefault="00610F44" w:rsidP="00610F44">
      <w:pPr>
        <w:pStyle w:val="Heading1"/>
        <w:numPr>
          <w:ilvl w:val="0"/>
          <w:numId w:val="3"/>
        </w:numPr>
      </w:pPr>
      <w:r>
        <w:t>Decomposing automation</w:t>
      </w:r>
    </w:p>
    <w:p w:rsidR="00610F44" w:rsidRDefault="00610F44" w:rsidP="00610F44">
      <w:pPr>
        <w:pStyle w:val="BodyText"/>
      </w:pPr>
      <w:r>
        <w:t xml:space="preserve">The decline in the automation susceptibility of the Australian labour market can be divided into a </w:t>
      </w:r>
      <w:r>
        <w:rPr>
          <w:i/>
        </w:rPr>
        <w:t xml:space="preserve">within-industry </w:t>
      </w:r>
      <w:r>
        <w:t xml:space="preserve">impact and a </w:t>
      </w:r>
      <w:r>
        <w:rPr>
          <w:i/>
        </w:rPr>
        <w:t xml:space="preserve">between industry </w:t>
      </w:r>
      <w:r>
        <w:t xml:space="preserve">impact. </w:t>
      </w:r>
    </w:p>
    <w:p w:rsidR="00610F44" w:rsidRDefault="00610F44" w:rsidP="00610F44">
      <w:pPr>
        <w:pStyle w:val="BodyText"/>
      </w:pPr>
      <w:r>
        <w:rPr>
          <w:i/>
        </w:rPr>
        <w:t>W</w:t>
      </w:r>
      <w:r w:rsidRPr="00563958">
        <w:rPr>
          <w:i/>
        </w:rPr>
        <w:t>ithin-industry</w:t>
      </w:r>
      <w:r>
        <w:t xml:space="preserve"> impacts relate to changes to an industry’s occupational composition as firms modernise their workforces. Suppose, for example, that changes to an industry’s occupational composition saw occupations with lower automation susceptibility occupy a greater share of industry employment. This would result in a lower automation susceptibility score for that industry. Such is the case of the mining industry, which has seen an increasing number of human resource managers (from 21,800 in 2004 to 267,000 in 2014), ICT trainers (1,200 to 11,600), and safety inspectors (from 9,400 to 98,700).</w:t>
      </w:r>
      <w:r>
        <w:rPr>
          <w:rStyle w:val="FootnoteReference"/>
        </w:rPr>
        <w:footnoteReference w:id="10"/>
      </w:r>
      <w:r>
        <w:t xml:space="preserve"> All these occupations have low automation scores, drawing down the average automation susceptibility for the mining industry overall.</w:t>
      </w:r>
    </w:p>
    <w:p w:rsidR="00610F44" w:rsidRDefault="00610F44" w:rsidP="00610F44">
      <w:pPr>
        <w:pStyle w:val="BodyText"/>
      </w:pPr>
      <w:r>
        <w:rPr>
          <w:i/>
        </w:rPr>
        <w:t>B</w:t>
      </w:r>
      <w:r w:rsidRPr="00563958">
        <w:rPr>
          <w:i/>
        </w:rPr>
        <w:t>etween-industry</w:t>
      </w:r>
      <w:r>
        <w:rPr>
          <w:i/>
        </w:rPr>
        <w:t xml:space="preserve"> </w:t>
      </w:r>
      <w:r>
        <w:t>impacts, by contrast, relate to the relative size of industries as the economy changes over time. As industries with high automation susceptibility shrink — and those with limited automation susceptibility grow — the overall automation susceptibility of the economy falls.</w:t>
      </w:r>
    </w:p>
    <w:p w:rsidR="00610F44" w:rsidRDefault="00610F44" w:rsidP="00610F44">
      <w:pPr>
        <w:pStyle w:val="BodyText"/>
      </w:pPr>
      <w:r>
        <w:t>This decomposition is important because it allows us to identify the extent to which industry composition versus industry size is driving change. It could be the case that structural change is either accentuating the makeup of industry — or indeed masking how much of an impact industry composition is having. Plainly put, has the fall in Australia’s automation susceptibility been the result of a growing healthcare industry? Or rather, has it been the result of the mining industry employing more ICT trainers?</w:t>
      </w:r>
    </w:p>
    <w:p w:rsidR="00610F44" w:rsidRDefault="00610F44" w:rsidP="00610F44">
      <w:pPr>
        <w:pStyle w:val="Heading2"/>
        <w:numPr>
          <w:ilvl w:val="1"/>
          <w:numId w:val="3"/>
        </w:numPr>
      </w:pPr>
      <w:r>
        <w:t>Decomposition approach</w:t>
      </w:r>
    </w:p>
    <w:p w:rsidR="00610F44" w:rsidRDefault="00610F44" w:rsidP="00610F44">
      <w:pPr>
        <w:pStyle w:val="BodyText"/>
      </w:pPr>
      <w:r>
        <w:t>The approach used to decompose the two effects is the same as that used in the literature to explore similar changes in the labour force regarding skills.</w:t>
      </w:r>
      <w:r>
        <w:rPr>
          <w:rStyle w:val="FootnoteReference"/>
        </w:rPr>
        <w:footnoteReference w:id="11"/>
      </w:r>
      <w:r>
        <w:t xml:space="preserve"> </w:t>
      </w:r>
    </w:p>
    <w:p w:rsidR="00610F44" w:rsidRDefault="00610F44" w:rsidP="00610F44">
      <w:pPr>
        <w:pStyle w:val="BodyText"/>
      </w:pPr>
      <w:r>
        <w:t>Let the mean automation susceptibility of the economy be given as:</w:t>
      </w:r>
    </w:p>
    <w:p w:rsidR="00610F44" w:rsidRPr="007B4DA1" w:rsidRDefault="00610F44" w:rsidP="00610F44">
      <w:pPr>
        <w:spacing w:before="360" w:after="360"/>
        <w:rPr>
          <w:rFonts w:eastAsiaTheme="minorEastAsia"/>
        </w:rPr>
      </w:pPr>
      <m:oMathPara>
        <m:oMathParaPr>
          <m:jc m:val="center"/>
        </m:oMathParaPr>
        <m:oMath>
          <m:r>
            <w:rPr>
              <w:rFonts w:ascii="Cambria Math" w:hAnsi="Cambria Math"/>
            </w:rPr>
            <m:t xml:space="preserve">A= </m:t>
          </m:r>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k,m=1</m:t>
                  </m:r>
                </m:sub>
                <m:sup>
                  <m:r>
                    <w:rPr>
                      <w:rFonts w:ascii="Cambria Math" w:hAnsi="Cambria Math"/>
                    </w:rPr>
                    <m:t>q,r</m:t>
                  </m:r>
                </m:sup>
                <m:e>
                  <m:sSub>
                    <m:sSubPr>
                      <m:ctrlPr>
                        <w:rPr>
                          <w:rFonts w:ascii="Cambria Math" w:hAnsi="Cambria Math"/>
                          <w:i/>
                        </w:rPr>
                      </m:ctrlPr>
                    </m:sSubPr>
                    <m:e>
                      <m:r>
                        <w:rPr>
                          <w:rFonts w:ascii="Cambria Math" w:hAnsi="Cambria Math"/>
                        </w:rPr>
                        <m:t>a</m:t>
                      </m:r>
                    </m:e>
                    <m:sub>
                      <m:r>
                        <w:rPr>
                          <w:rFonts w:ascii="Cambria Math" w:hAnsi="Cambria Math"/>
                        </w:rPr>
                        <m:t>m</m:t>
                      </m:r>
                    </m:sub>
                  </m:sSub>
                  <m:sSub>
                    <m:sSubPr>
                      <m:ctrlPr>
                        <w:rPr>
                          <w:rFonts w:ascii="Cambria Math" w:hAnsi="Cambria Math"/>
                          <w:i/>
                        </w:rPr>
                      </m:ctrlPr>
                    </m:sSubPr>
                    <m:e>
                      <m:r>
                        <w:rPr>
                          <w:rFonts w:ascii="Cambria Math" w:hAnsi="Cambria Math"/>
                        </w:rPr>
                        <m:t>O</m:t>
                      </m:r>
                    </m:e>
                    <m:sub>
                      <m:r>
                        <w:rPr>
                          <w:rFonts w:ascii="Cambria Math" w:hAnsi="Cambria Math"/>
                        </w:rPr>
                        <m:t>km</m:t>
                      </m:r>
                    </m:sub>
                  </m:sSub>
                </m:e>
              </m:nary>
            </m:num>
            <m:den>
              <m:nary>
                <m:naryPr>
                  <m:chr m:val="∑"/>
                  <m:limLoc m:val="undOvr"/>
                  <m:ctrlPr>
                    <w:rPr>
                      <w:rFonts w:ascii="Cambria Math" w:hAnsi="Cambria Math"/>
                      <w:i/>
                    </w:rPr>
                  </m:ctrlPr>
                </m:naryPr>
                <m:sub>
                  <m:r>
                    <w:rPr>
                      <w:rFonts w:ascii="Cambria Math" w:hAnsi="Cambria Math"/>
                    </w:rPr>
                    <m:t>k,m=1</m:t>
                  </m:r>
                </m:sub>
                <m:sup>
                  <m:r>
                    <w:rPr>
                      <w:rFonts w:ascii="Cambria Math" w:hAnsi="Cambria Math"/>
                    </w:rPr>
                    <m:t>q,r</m:t>
                  </m:r>
                </m:sup>
                <m:e>
                  <m:sSub>
                    <m:sSubPr>
                      <m:ctrlPr>
                        <w:rPr>
                          <w:rFonts w:ascii="Cambria Math" w:hAnsi="Cambria Math"/>
                          <w:i/>
                        </w:rPr>
                      </m:ctrlPr>
                    </m:sSubPr>
                    <m:e>
                      <m:r>
                        <w:rPr>
                          <w:rFonts w:ascii="Cambria Math" w:hAnsi="Cambria Math"/>
                        </w:rPr>
                        <m:t>O</m:t>
                      </m:r>
                    </m:e>
                    <m:sub>
                      <m:r>
                        <w:rPr>
                          <w:rFonts w:ascii="Cambria Math" w:hAnsi="Cambria Math"/>
                        </w:rPr>
                        <m:t>km</m:t>
                      </m:r>
                    </m:sub>
                  </m:sSub>
                </m:e>
              </m:nary>
            </m:den>
          </m:f>
        </m:oMath>
      </m:oMathPara>
    </w:p>
    <w:p w:rsidR="00610F44" w:rsidRPr="007B4DA1" w:rsidRDefault="00610F44" w:rsidP="00610F44">
      <w:pPr>
        <w:rPr>
          <w:rFonts w:eastAsiaTheme="minorEastAsia"/>
        </w:rPr>
      </w:pPr>
      <m:oMathPara>
        <m:oMathParaPr>
          <m:jc m:val="center"/>
        </m:oMathParaPr>
        <m:oMath>
          <m:r>
            <w:rPr>
              <w:rFonts w:ascii="Cambria Math" w:eastAsiaTheme="minorEastAsia" w:hAnsi="Cambria Math"/>
            </w:rPr>
            <m:t>Industry k=</m:t>
          </m:r>
          <m:d>
            <m:dPr>
              <m:ctrlPr>
                <w:rPr>
                  <w:rFonts w:ascii="Cambria Math" w:eastAsiaTheme="minorEastAsia" w:hAnsi="Cambria Math"/>
                  <w:i/>
                </w:rPr>
              </m:ctrlPr>
            </m:dPr>
            <m:e>
              <m:r>
                <w:rPr>
                  <w:rFonts w:ascii="Cambria Math" w:eastAsiaTheme="minorEastAsia" w:hAnsi="Cambria Math"/>
                </w:rPr>
                <m:t>1,…q</m:t>
              </m:r>
            </m:e>
          </m:d>
        </m:oMath>
      </m:oMathPara>
    </w:p>
    <w:p w:rsidR="00610F44" w:rsidRPr="007B4DA1" w:rsidRDefault="00610F44" w:rsidP="00610F44">
      <w:pPr>
        <w:rPr>
          <w:rFonts w:eastAsiaTheme="minorEastAsia"/>
        </w:rPr>
      </w:pPr>
      <m:oMathPara>
        <m:oMathParaPr>
          <m:jc m:val="center"/>
        </m:oMathParaPr>
        <m:oMath>
          <m:r>
            <w:rPr>
              <w:rFonts w:ascii="Cambria Math" w:eastAsiaTheme="minorEastAsia" w:hAnsi="Cambria Math"/>
            </w:rPr>
            <m:t xml:space="preserve">Occupation m= </m:t>
          </m:r>
          <m:d>
            <m:dPr>
              <m:ctrlPr>
                <w:rPr>
                  <w:rFonts w:ascii="Cambria Math" w:eastAsiaTheme="minorEastAsia" w:hAnsi="Cambria Math"/>
                  <w:i/>
                </w:rPr>
              </m:ctrlPr>
            </m:dPr>
            <m:e>
              <m:r>
                <w:rPr>
                  <w:rFonts w:ascii="Cambria Math" w:eastAsiaTheme="minorEastAsia" w:hAnsi="Cambria Math"/>
                </w:rPr>
                <m:t>1,…r</m:t>
              </m:r>
            </m:e>
          </m:d>
        </m:oMath>
      </m:oMathPara>
    </w:p>
    <w:p w:rsidR="00610F44" w:rsidRDefault="00610F44" w:rsidP="00610F44">
      <w:pPr>
        <w:rPr>
          <w:rFonts w:eastAsiaTheme="minorEastAsia"/>
        </w:rPr>
      </w:pPr>
      <w:r>
        <w:rPr>
          <w:rFonts w:eastAsiaTheme="minorEastAsia"/>
        </w:rPr>
        <w:t>Where:</w:t>
      </w:r>
    </w:p>
    <w:p w:rsidR="00610F44" w:rsidRPr="007B4DA1" w:rsidRDefault="00610F44" w:rsidP="00610F44">
      <w:pPr>
        <w:pStyle w:val="ListBullet"/>
        <w:numPr>
          <w:ilvl w:val="0"/>
          <w:numId w:val="4"/>
        </w:numPr>
        <w:spacing w:before="180"/>
      </w:pPr>
      <m:oMath>
        <m:r>
          <w:rPr>
            <w:rFonts w:ascii="Cambria Math" w:hAnsi="Cambria Math"/>
          </w:rPr>
          <m:t>A</m:t>
        </m:r>
      </m:oMath>
      <w:r>
        <w:t xml:space="preserve"> is the mean automation score for the economy</w:t>
      </w:r>
    </w:p>
    <w:p w:rsidR="00610F44" w:rsidRPr="007B4DA1" w:rsidRDefault="00610F44" w:rsidP="00610F44">
      <w:pPr>
        <w:pStyle w:val="ListBullet"/>
        <w:numPr>
          <w:ilvl w:val="0"/>
          <w:numId w:val="4"/>
        </w:numPr>
        <w:spacing w:before="180"/>
      </w:pPr>
      <m:oMath>
        <m:r>
          <w:rPr>
            <w:rFonts w:ascii="Cambria Math" w:hAnsi="Cambria Math"/>
          </w:rPr>
          <m:t>a</m:t>
        </m:r>
      </m:oMath>
      <w:r>
        <w:t xml:space="preserve"> is the automation score for an occupation</w:t>
      </w:r>
    </w:p>
    <w:p w:rsidR="00610F44" w:rsidRDefault="00610F44" w:rsidP="00610F44">
      <w:pPr>
        <w:pStyle w:val="ListBullet"/>
        <w:numPr>
          <w:ilvl w:val="0"/>
          <w:numId w:val="4"/>
        </w:numPr>
        <w:spacing w:before="180"/>
      </w:pPr>
      <m:oMath>
        <m:r>
          <w:rPr>
            <w:rFonts w:ascii="Cambria Math" w:hAnsi="Cambria Math"/>
          </w:rPr>
          <m:t>O</m:t>
        </m:r>
      </m:oMath>
      <w:r>
        <w:t xml:space="preserve"> is the number of persons employed</w:t>
      </w:r>
    </w:p>
    <w:p w:rsidR="00610F44" w:rsidRDefault="00610F44" w:rsidP="00610F44">
      <w:pPr>
        <w:rPr>
          <w:rFonts w:eastAsiaTheme="minorEastAsia"/>
        </w:rPr>
      </w:pPr>
      <w:r>
        <w:rPr>
          <w:rFonts w:eastAsiaTheme="minorEastAsia"/>
        </w:rPr>
        <w:t>It follows then that:</w:t>
      </w:r>
    </w:p>
    <w:p w:rsidR="00610F44" w:rsidRPr="007B4DA1" w:rsidRDefault="00610F44" w:rsidP="00610F44">
      <w:pPr>
        <w:spacing w:before="360" w:after="360"/>
        <w:rPr>
          <w:rFonts w:eastAsiaTheme="minorEastAsia"/>
        </w:rPr>
      </w:pPr>
      <m:oMathPara>
        <m:oMathParaPr>
          <m:jc m:val="center"/>
        </m:oMathParaPr>
        <m:oMath>
          <m:r>
            <w:rPr>
              <w:rFonts w:ascii="Cambria Math" w:hAnsi="Cambria Math"/>
            </w:rPr>
            <m:t>∆A=</m:t>
          </m:r>
          <m:sSub>
            <m:sSubPr>
              <m:ctrlPr>
                <w:rPr>
                  <w:rFonts w:ascii="Cambria Math" w:hAnsi="Cambria Math"/>
                  <w:i/>
                </w:rPr>
              </m:ctrlPr>
            </m:sSubPr>
            <m:e>
              <m:r>
                <w:rPr>
                  <w:rFonts w:ascii="Cambria Math" w:hAnsi="Cambria Math"/>
                </w:rPr>
                <m:t>s</m:t>
              </m:r>
            </m:e>
            <m:sub>
              <m:r>
                <w:rPr>
                  <w:rFonts w:ascii="Cambria Math" w:hAnsi="Cambria Math"/>
                </w:rPr>
                <m:t>m</m:t>
              </m:r>
            </m:sub>
          </m:sSub>
          <m:nary>
            <m:naryPr>
              <m:chr m:val="∑"/>
              <m:limLoc m:val="undOvr"/>
              <m:ctrlPr>
                <w:rPr>
                  <w:rFonts w:ascii="Cambria Math" w:hAnsi="Cambria Math"/>
                  <w:i/>
                </w:rPr>
              </m:ctrlPr>
            </m:naryPr>
            <m:sub>
              <m:r>
                <w:rPr>
                  <w:rFonts w:ascii="Cambria Math" w:hAnsi="Cambria Math"/>
                </w:rPr>
                <m:t>k,m=1</m:t>
              </m:r>
            </m:sub>
            <m:sup>
              <m:r>
                <w:rPr>
                  <w:rFonts w:ascii="Cambria Math" w:hAnsi="Cambria Math"/>
                </w:rPr>
                <m:t>q,r</m:t>
              </m:r>
            </m:sup>
            <m:e>
              <m:r>
                <w:rPr>
                  <w:rFonts w:ascii="Cambria Math" w:hAnsi="Cambria Math"/>
                </w:rPr>
                <m:t>∆</m:t>
              </m:r>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m</m:t>
                          </m:r>
                        </m:sub>
                      </m:sSub>
                    </m:num>
                    <m:den>
                      <m:nary>
                        <m:naryPr>
                          <m:chr m:val="∑"/>
                          <m:limLoc m:val="undOvr"/>
                          <m:ctrlPr>
                            <w:rPr>
                              <w:rFonts w:ascii="Cambria Math" w:hAnsi="Cambria Math"/>
                              <w:i/>
                            </w:rPr>
                          </m:ctrlPr>
                        </m:naryPr>
                        <m:sub>
                          <m:r>
                            <w:rPr>
                              <w:rFonts w:ascii="Cambria Math" w:hAnsi="Cambria Math"/>
                            </w:rPr>
                            <m:t>k,m=1</m:t>
                          </m:r>
                        </m:sub>
                        <m:sup>
                          <m:r>
                            <w:rPr>
                              <w:rFonts w:ascii="Cambria Math" w:hAnsi="Cambria Math"/>
                            </w:rPr>
                            <m:t>q,r</m:t>
                          </m:r>
                        </m:sup>
                        <m:e>
                          <m:sSub>
                            <m:sSubPr>
                              <m:ctrlPr>
                                <w:rPr>
                                  <w:rFonts w:ascii="Cambria Math" w:hAnsi="Cambria Math"/>
                                  <w:i/>
                                </w:rPr>
                              </m:ctrlPr>
                            </m:sSubPr>
                            <m:e>
                              <m:r>
                                <w:rPr>
                                  <w:rFonts w:ascii="Cambria Math" w:hAnsi="Cambria Math"/>
                                </w:rPr>
                                <m:t>O</m:t>
                              </m:r>
                            </m:e>
                            <m:sub>
                              <m:r>
                                <w:rPr>
                                  <w:rFonts w:ascii="Cambria Math" w:hAnsi="Cambria Math"/>
                                </w:rPr>
                                <m:t>km</m:t>
                              </m:r>
                            </m:sub>
                          </m:sSub>
                        </m:e>
                      </m:nary>
                    </m:den>
                  </m:f>
                </m:e>
              </m:d>
            </m:e>
          </m:nary>
          <m:r>
            <w:rPr>
              <w:rFonts w:ascii="Cambria Math" w:hAnsi="Cambria Math"/>
            </w:rPr>
            <m:t xml:space="preserve"> </m:t>
          </m:r>
        </m:oMath>
      </m:oMathPara>
    </w:p>
    <w:p w:rsidR="00610F44" w:rsidRDefault="00610F44" w:rsidP="00610F44">
      <w:pPr>
        <w:rPr>
          <w:rFonts w:eastAsiaTheme="minorEastAsia"/>
        </w:rPr>
      </w:pPr>
      <w:r>
        <w:rPr>
          <w:rFonts w:eastAsiaTheme="minorEastAsia"/>
        </w:rPr>
        <w:t>For simplicity, let the occupational share of industry k be:</w:t>
      </w:r>
    </w:p>
    <w:p w:rsidR="00610F44" w:rsidRPr="004679A3" w:rsidRDefault="00184EBC" w:rsidP="00610F44">
      <w:pPr>
        <w:spacing w:before="360" w:after="360"/>
        <w:rPr>
          <w:rFonts w:ascii="Cambria Math" w:hAnsi="Cambria Math"/>
          <w:i/>
        </w:rPr>
      </w:pPr>
      <m:oMathPara>
        <m:oMath>
          <m:sSub>
            <m:sSubPr>
              <m:ctrlPr>
                <w:rPr>
                  <w:rFonts w:ascii="Cambria Math" w:hAnsi="Cambria Math"/>
                  <w:i/>
                </w:rPr>
              </m:ctrlPr>
            </m:sSubPr>
            <m:e>
              <m:r>
                <w:rPr>
                  <w:rFonts w:ascii="Cambria Math" w:hAnsi="Cambria Math"/>
                </w:rPr>
                <m:t>b</m:t>
              </m:r>
            </m:e>
            <m:sub>
              <m:r>
                <w:rPr>
                  <w:rFonts w:ascii="Cambria Math" w:hAnsi="Cambria Math"/>
                </w:rPr>
                <m:t>km</m:t>
              </m:r>
            </m:sub>
          </m:sSub>
          <m:r>
            <w:rPr>
              <w:rFonts w:ascii="Cambria Math" w:hAnsi="Cambria Math"/>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O</m:t>
                  </m:r>
                </m:e>
                <m:sub>
                  <m:r>
                    <w:rPr>
                      <w:rFonts w:ascii="Cambria Math" w:hAnsi="Cambria Math"/>
                    </w:rPr>
                    <m:t>m</m:t>
                  </m:r>
                </m:sub>
              </m:sSub>
            </m:num>
            <m:den>
              <m:nary>
                <m:naryPr>
                  <m:chr m:val="∑"/>
                  <m:limLoc m:val="undOvr"/>
                  <m:ctrlPr>
                    <w:rPr>
                      <w:rFonts w:ascii="Cambria Math" w:hAnsi="Cambria Math"/>
                      <w:i/>
                    </w:rPr>
                  </m:ctrlPr>
                </m:naryPr>
                <m:sub>
                  <m:r>
                    <w:rPr>
                      <w:rFonts w:ascii="Cambria Math" w:hAnsi="Cambria Math"/>
                    </w:rPr>
                    <m:t>m=1</m:t>
                  </m:r>
                </m:sub>
                <m:sup>
                  <m:r>
                    <w:rPr>
                      <w:rFonts w:ascii="Cambria Math" w:hAnsi="Cambria Math"/>
                    </w:rPr>
                    <m:t>r</m:t>
                  </m:r>
                </m:sup>
                <m:e>
                  <m:sSub>
                    <m:sSubPr>
                      <m:ctrlPr>
                        <w:rPr>
                          <w:rFonts w:ascii="Cambria Math" w:hAnsi="Cambria Math"/>
                          <w:i/>
                        </w:rPr>
                      </m:ctrlPr>
                    </m:sSubPr>
                    <m:e>
                      <m:r>
                        <w:rPr>
                          <w:rFonts w:ascii="Cambria Math" w:hAnsi="Cambria Math"/>
                        </w:rPr>
                        <m:t>O</m:t>
                      </m:r>
                    </m:e>
                    <m:sub>
                      <m:r>
                        <w:rPr>
                          <w:rFonts w:ascii="Cambria Math" w:hAnsi="Cambria Math"/>
                        </w:rPr>
                        <m:t>m</m:t>
                      </m:r>
                    </m:sub>
                  </m:sSub>
                </m:e>
              </m:nary>
            </m:den>
          </m:f>
        </m:oMath>
      </m:oMathPara>
    </w:p>
    <w:p w:rsidR="00610F44" w:rsidRDefault="00610F44" w:rsidP="00610F44">
      <w:r>
        <w:t>And an industry’s share of total employment be:</w:t>
      </w:r>
    </w:p>
    <w:p w:rsidR="00610F44" w:rsidRPr="004679A3" w:rsidRDefault="00184EBC" w:rsidP="00610F44">
      <w:pPr>
        <w:spacing w:before="360" w:after="360"/>
        <w:rPr>
          <w:rFonts w:ascii="Cambria Math" w:hAnsi="Cambria Math"/>
          <w:i/>
        </w:rPr>
      </w:pPr>
      <m:oMathPara>
        <m:oMath>
          <m:sSub>
            <m:sSubPr>
              <m:ctrlPr>
                <w:rPr>
                  <w:rFonts w:ascii="Cambria Math" w:hAnsi="Cambria Math"/>
                  <w:i/>
                </w:rPr>
              </m:ctrlPr>
            </m:sSubPr>
            <m:e>
              <m:r>
                <w:rPr>
                  <w:rFonts w:ascii="Cambria Math" w:hAnsi="Cambria Math"/>
                </w:rPr>
                <m:t>h</m:t>
              </m:r>
            </m:e>
            <m:sub>
              <m:r>
                <w:rPr>
                  <w:rFonts w:ascii="Cambria Math" w:hAnsi="Cambria Math"/>
                </w:rPr>
                <m:t>km</m:t>
              </m:r>
            </m:sub>
          </m:sSub>
          <m:r>
            <w:rPr>
              <w:rFonts w:ascii="Cambria Math" w:hAnsi="Cambria Math"/>
            </w:rPr>
            <m:t>=</m:t>
          </m:r>
          <m:f>
            <m:fPr>
              <m:type m:val="lin"/>
              <m:ctrlPr>
                <w:rPr>
                  <w:rFonts w:ascii="Cambria Math" w:hAnsi="Cambria Math"/>
                  <w:i/>
                </w:rPr>
              </m:ctrlPr>
            </m:fPr>
            <m:num>
              <m:nary>
                <m:naryPr>
                  <m:chr m:val="∑"/>
                  <m:limLoc m:val="undOvr"/>
                  <m:ctrlPr>
                    <w:rPr>
                      <w:rFonts w:ascii="Cambria Math" w:hAnsi="Cambria Math"/>
                      <w:i/>
                    </w:rPr>
                  </m:ctrlPr>
                </m:naryPr>
                <m:sub>
                  <m:r>
                    <w:rPr>
                      <w:rFonts w:ascii="Cambria Math" w:hAnsi="Cambria Math"/>
                    </w:rPr>
                    <m:t>m=1</m:t>
                  </m:r>
                </m:sub>
                <m:sup>
                  <m:r>
                    <w:rPr>
                      <w:rFonts w:ascii="Cambria Math" w:hAnsi="Cambria Math"/>
                    </w:rPr>
                    <m:t>r</m:t>
                  </m:r>
                </m:sup>
                <m:e>
                  <m:sSub>
                    <m:sSubPr>
                      <m:ctrlPr>
                        <w:rPr>
                          <w:rFonts w:ascii="Cambria Math" w:hAnsi="Cambria Math"/>
                          <w:i/>
                        </w:rPr>
                      </m:ctrlPr>
                    </m:sSubPr>
                    <m:e>
                      <m:r>
                        <w:rPr>
                          <w:rFonts w:ascii="Cambria Math" w:hAnsi="Cambria Math"/>
                        </w:rPr>
                        <m:t>O</m:t>
                      </m:r>
                    </m:e>
                    <m:sub>
                      <m:r>
                        <w:rPr>
                          <w:rFonts w:ascii="Cambria Math" w:hAnsi="Cambria Math"/>
                        </w:rPr>
                        <m:t>m</m:t>
                      </m:r>
                    </m:sub>
                  </m:sSub>
                </m:e>
              </m:nary>
            </m:num>
            <m:den>
              <m:nary>
                <m:naryPr>
                  <m:chr m:val="∑"/>
                  <m:limLoc m:val="undOvr"/>
                  <m:ctrlPr>
                    <w:rPr>
                      <w:rFonts w:ascii="Cambria Math" w:hAnsi="Cambria Math"/>
                      <w:i/>
                    </w:rPr>
                  </m:ctrlPr>
                </m:naryPr>
                <m:sub>
                  <m:r>
                    <w:rPr>
                      <w:rFonts w:ascii="Cambria Math" w:hAnsi="Cambria Math"/>
                    </w:rPr>
                    <m:t>k=1</m:t>
                  </m:r>
                </m:sub>
                <m:sup>
                  <m:r>
                    <w:rPr>
                      <w:rFonts w:ascii="Cambria Math" w:hAnsi="Cambria Math"/>
                    </w:rPr>
                    <m:t>q</m:t>
                  </m:r>
                </m:sup>
                <m:e>
                  <m:sSub>
                    <m:sSubPr>
                      <m:ctrlPr>
                        <w:rPr>
                          <w:rFonts w:ascii="Cambria Math" w:hAnsi="Cambria Math"/>
                          <w:i/>
                        </w:rPr>
                      </m:ctrlPr>
                    </m:sSubPr>
                    <m:e>
                      <m:r>
                        <w:rPr>
                          <w:rFonts w:ascii="Cambria Math" w:hAnsi="Cambria Math"/>
                        </w:rPr>
                        <m:t>O</m:t>
                      </m:r>
                    </m:e>
                    <m:sub>
                      <m:r>
                        <w:rPr>
                          <w:rFonts w:ascii="Cambria Math" w:hAnsi="Cambria Math"/>
                        </w:rPr>
                        <m:t>k</m:t>
                      </m:r>
                    </m:sub>
                  </m:sSub>
                </m:e>
              </m:nary>
            </m:den>
          </m:f>
        </m:oMath>
      </m:oMathPara>
    </w:p>
    <w:p w:rsidR="00610F44" w:rsidRDefault="00610F44" w:rsidP="00610F44">
      <w:r>
        <w:t>Which gives:</w:t>
      </w:r>
    </w:p>
    <w:p w:rsidR="00610F44" w:rsidRPr="00057D04" w:rsidRDefault="00610F44" w:rsidP="00610F44">
      <w:pPr>
        <w:spacing w:before="360" w:after="360"/>
        <w:rPr>
          <w:rFonts w:ascii="Cambria Math" w:hAnsi="Cambria Math"/>
          <w:i/>
        </w:rPr>
      </w:pPr>
      <m:oMathPara>
        <m:oMath>
          <m:r>
            <w:rPr>
              <w:rFonts w:ascii="Cambria Math" w:hAnsi="Cambria Math"/>
            </w:rPr>
            <m:t>∆A=</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km</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k</m:t>
                  </m:r>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km</m:t>
                  </m:r>
                </m:sub>
              </m:sSub>
              <m:sSub>
                <m:sSubPr>
                  <m:ctrlPr>
                    <w:rPr>
                      <w:rFonts w:ascii="Cambria Math" w:hAnsi="Cambria Math"/>
                      <w:i/>
                    </w:rPr>
                  </m:ctrlPr>
                </m:sSubPr>
                <m:e>
                  <m:r>
                    <w:rPr>
                      <w:rFonts w:ascii="Cambria Math" w:hAnsi="Cambria Math"/>
                    </w:rPr>
                    <m:t>∆h</m:t>
                  </m:r>
                </m:e>
                <m:sub>
                  <m:r>
                    <w:rPr>
                      <w:rFonts w:ascii="Cambria Math" w:hAnsi="Cambria Math"/>
                    </w:rPr>
                    <m:t>k</m:t>
                  </m:r>
                </m:sub>
              </m:sSub>
            </m:e>
          </m:nary>
        </m:oMath>
      </m:oMathPara>
    </w:p>
    <w:p w:rsidR="00610F44" w:rsidRDefault="00610F44" w:rsidP="00610F44">
      <w:pPr>
        <w:rPr>
          <w:rFonts w:eastAsiaTheme="minorEastAsia"/>
        </w:rPr>
      </w:pPr>
      <w:r>
        <w:rPr>
          <w:rFonts w:eastAsiaTheme="minorEastAsia"/>
        </w:rPr>
        <w:t xml:space="preserve">Where, </w:t>
      </w:r>
      <m:oMath>
        <m:acc>
          <m:accPr>
            <m:chr m:val="̅"/>
            <m:ctrlPr>
              <w:rPr>
                <w:rFonts w:ascii="Cambria Math" w:hAnsi="Cambria Math"/>
                <w:i/>
              </w:rPr>
            </m:ctrlPr>
          </m:accPr>
          <m:e>
            <m:r>
              <w:rPr>
                <w:rFonts w:ascii="Cambria Math" w:hAnsi="Cambria Math"/>
              </w:rPr>
              <m:t>h</m:t>
            </m:r>
          </m:e>
        </m:acc>
      </m:oMath>
      <w:r>
        <w:rPr>
          <w:rFonts w:eastAsiaTheme="minorEastAsia"/>
        </w:rPr>
        <w:t xml:space="preserve"> and </w:t>
      </w:r>
      <m:oMath>
        <m:acc>
          <m:accPr>
            <m:chr m:val="̅"/>
            <m:ctrlPr>
              <w:rPr>
                <w:rFonts w:ascii="Cambria Math" w:hAnsi="Cambria Math"/>
                <w:i/>
              </w:rPr>
            </m:ctrlPr>
          </m:accPr>
          <m:e>
            <m:r>
              <w:rPr>
                <w:rFonts w:ascii="Cambria Math" w:hAnsi="Cambria Math"/>
              </w:rPr>
              <m:t>b</m:t>
            </m:r>
          </m:e>
        </m:acc>
      </m:oMath>
      <w:r>
        <w:rPr>
          <w:rFonts w:eastAsiaTheme="minorEastAsia"/>
        </w:rPr>
        <w:t xml:space="preserve"> represent the inter-temporal means for each variable.</w:t>
      </w:r>
    </w:p>
    <w:p w:rsidR="00610F44" w:rsidRDefault="00610F44" w:rsidP="00610F44">
      <w:pPr>
        <w:rPr>
          <w:rFonts w:eastAsiaTheme="minorEastAsia"/>
        </w:rPr>
      </w:pPr>
      <w:r>
        <w:rPr>
          <w:rFonts w:eastAsiaTheme="minorEastAsia"/>
        </w:rPr>
        <w:t xml:space="preserve">The first term on the right hand side of the equation denotes the </w:t>
      </w:r>
      <w:r>
        <w:rPr>
          <w:rFonts w:eastAsiaTheme="minorEastAsia"/>
          <w:i/>
        </w:rPr>
        <w:t xml:space="preserve">within-industry </w:t>
      </w:r>
      <w:r>
        <w:rPr>
          <w:rFonts w:eastAsiaTheme="minorEastAsia"/>
        </w:rPr>
        <w:t xml:space="preserve">effects. The second term the </w:t>
      </w:r>
      <w:r>
        <w:rPr>
          <w:rFonts w:eastAsiaTheme="minorEastAsia"/>
          <w:i/>
        </w:rPr>
        <w:t xml:space="preserve">between-industry </w:t>
      </w:r>
      <w:r w:rsidRPr="002D17BC">
        <w:rPr>
          <w:rFonts w:eastAsiaTheme="minorEastAsia"/>
        </w:rPr>
        <w:t>effect</w:t>
      </w:r>
      <w:r>
        <w:rPr>
          <w:rFonts w:eastAsiaTheme="minorEastAsia"/>
        </w:rPr>
        <w:t xml:space="preserve">. </w:t>
      </w:r>
    </w:p>
    <w:p w:rsidR="00610F44" w:rsidRDefault="00610F44" w:rsidP="00610F44">
      <w:pPr>
        <w:pStyle w:val="Heading2"/>
        <w:numPr>
          <w:ilvl w:val="1"/>
          <w:numId w:val="3"/>
        </w:numPr>
      </w:pPr>
      <w:r>
        <w:t>Results</w:t>
      </w:r>
    </w:p>
    <w:p w:rsidR="00610F44" w:rsidRDefault="00610F44" w:rsidP="00610F44">
      <w:pPr>
        <w:pStyle w:val="BodyText"/>
      </w:pPr>
      <w:r>
        <w:fldChar w:fldCharType="begin"/>
      </w:r>
      <w:r>
        <w:instrText xml:space="preserve"> REF _Ref415737665 \h </w:instrText>
      </w:r>
      <w:r>
        <w:fldChar w:fldCharType="separate"/>
      </w:r>
      <w:r w:rsidR="00150797" w:rsidRPr="000618FB">
        <w:t xml:space="preserve">Table </w:t>
      </w:r>
      <w:r w:rsidR="00150797">
        <w:rPr>
          <w:noProof/>
        </w:rPr>
        <w:t>4</w:t>
      </w:r>
      <w:r w:rsidR="00150797" w:rsidRPr="000618FB">
        <w:t>.</w:t>
      </w:r>
      <w:r w:rsidR="00150797">
        <w:rPr>
          <w:noProof/>
        </w:rPr>
        <w:t>1</w:t>
      </w:r>
      <w:r>
        <w:fldChar w:fldCharType="end"/>
      </w:r>
      <w:r>
        <w:t xml:space="preserve"> presents the change in automation susceptibility over the past two decades.</w:t>
      </w:r>
    </w:p>
    <w:p w:rsidR="00610F44" w:rsidRPr="000618FB" w:rsidRDefault="00610F44" w:rsidP="00610F44">
      <w:pPr>
        <w:pStyle w:val="Caption"/>
      </w:pPr>
      <w:bookmarkStart w:id="5" w:name="_Ref415737665"/>
      <w:r w:rsidRPr="000618FB">
        <w:t xml:space="preserve">Table </w:t>
      </w:r>
      <w:fldSimple w:instr=" STYLEREF 1 \s " w:fldLock="1">
        <w:r>
          <w:rPr>
            <w:noProof/>
          </w:rPr>
          <w:t>4</w:t>
        </w:r>
      </w:fldSimple>
      <w:r w:rsidRPr="000618FB">
        <w:t>.</w:t>
      </w:r>
      <w:fldSimple w:instr=" SEQ Table \* ARABIC \s 1 " w:fldLock="1">
        <w:r>
          <w:rPr>
            <w:noProof/>
          </w:rPr>
          <w:t>1</w:t>
        </w:r>
      </w:fldSimple>
      <w:bookmarkEnd w:id="5"/>
      <w:r w:rsidRPr="000618FB">
        <w:t xml:space="preserve">: </w:t>
      </w:r>
      <w:r>
        <w:t>Decomposition of change in automation susceptibility</w:t>
      </w:r>
    </w:p>
    <w:tbl>
      <w:tblPr>
        <w:tblStyle w:val="TableGrid"/>
        <w:tblW w:w="0" w:type="auto"/>
        <w:tblInd w:w="223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AE7F3" w:themeFill="accent1" w:themeFillTint="33"/>
        <w:tblLook w:val="04A0" w:firstRow="1" w:lastRow="0" w:firstColumn="1" w:lastColumn="0" w:noHBand="0" w:noVBand="1"/>
        <w:tblCaption w:val="Table 4.1"/>
        <w:tblDescription w:val="This table describes decomposition of change in automation susceptibility"/>
      </w:tblPr>
      <w:tblGrid>
        <w:gridCol w:w="1117"/>
        <w:gridCol w:w="1237"/>
        <w:gridCol w:w="1599"/>
        <w:gridCol w:w="1717"/>
        <w:gridCol w:w="1275"/>
      </w:tblGrid>
      <w:tr w:rsidR="004E766B" w:rsidTr="00160CE2">
        <w:trPr>
          <w:trHeight w:val="295"/>
          <w:tblHeader/>
        </w:trPr>
        <w:tc>
          <w:tcPr>
            <w:tcW w:w="1117" w:type="dxa"/>
            <w:vMerge w:val="restart"/>
            <w:shd w:val="clear" w:color="auto" w:fill="22789A" w:themeFill="accent1"/>
          </w:tcPr>
          <w:p w:rsidR="004E766B" w:rsidRDefault="004E766B" w:rsidP="006F6A92">
            <w:pPr>
              <w:pStyle w:val="Tableheader"/>
            </w:pPr>
            <w:r>
              <w:t>Period</w:t>
            </w:r>
          </w:p>
        </w:tc>
        <w:tc>
          <w:tcPr>
            <w:tcW w:w="1237" w:type="dxa"/>
            <w:vMerge w:val="restart"/>
            <w:shd w:val="clear" w:color="auto" w:fill="22789A" w:themeFill="accent1"/>
          </w:tcPr>
          <w:p w:rsidR="004E766B" w:rsidRDefault="004E766B" w:rsidP="006F6A92">
            <w:pPr>
              <w:pStyle w:val="Tableheader"/>
              <w:jc w:val="right"/>
            </w:pPr>
            <w:r>
              <w:t>Change in automation susceptibility score</w:t>
            </w:r>
          </w:p>
        </w:tc>
        <w:tc>
          <w:tcPr>
            <w:tcW w:w="1599" w:type="dxa"/>
            <w:shd w:val="clear" w:color="auto" w:fill="22789A" w:themeFill="accent1"/>
          </w:tcPr>
          <w:p w:rsidR="004E766B" w:rsidRDefault="004E766B" w:rsidP="005945AB">
            <w:pPr>
              <w:pStyle w:val="Tableheader"/>
              <w:jc w:val="right"/>
            </w:pPr>
          </w:p>
        </w:tc>
        <w:tc>
          <w:tcPr>
            <w:tcW w:w="1717" w:type="dxa"/>
            <w:shd w:val="clear" w:color="auto" w:fill="22789A" w:themeFill="accent1"/>
          </w:tcPr>
          <w:p w:rsidR="004E766B" w:rsidRDefault="004E766B" w:rsidP="003B526C">
            <w:pPr>
              <w:pStyle w:val="Tableheader"/>
              <w:jc w:val="center"/>
            </w:pPr>
            <w:r>
              <w:t>Per cent change</w:t>
            </w:r>
          </w:p>
        </w:tc>
        <w:tc>
          <w:tcPr>
            <w:tcW w:w="1275" w:type="dxa"/>
            <w:shd w:val="clear" w:color="auto" w:fill="22789A" w:themeFill="accent1"/>
          </w:tcPr>
          <w:p w:rsidR="004E766B" w:rsidRDefault="004E766B" w:rsidP="006F6A92">
            <w:pPr>
              <w:pStyle w:val="Tableheader"/>
              <w:jc w:val="center"/>
            </w:pPr>
          </w:p>
        </w:tc>
      </w:tr>
      <w:tr w:rsidR="004E766B" w:rsidTr="00160CE2">
        <w:trPr>
          <w:trHeight w:val="295"/>
        </w:trPr>
        <w:tc>
          <w:tcPr>
            <w:tcW w:w="1117" w:type="dxa"/>
            <w:vMerge/>
            <w:shd w:val="clear" w:color="auto" w:fill="22789A" w:themeFill="accent1"/>
          </w:tcPr>
          <w:p w:rsidR="004E766B" w:rsidRDefault="004E766B" w:rsidP="006F6A92">
            <w:pPr>
              <w:pStyle w:val="Tableheader"/>
            </w:pPr>
          </w:p>
        </w:tc>
        <w:tc>
          <w:tcPr>
            <w:tcW w:w="1237" w:type="dxa"/>
            <w:vMerge/>
            <w:shd w:val="clear" w:color="auto" w:fill="22789A" w:themeFill="accent1"/>
          </w:tcPr>
          <w:p w:rsidR="004E766B" w:rsidRDefault="004E766B" w:rsidP="006F6A92">
            <w:pPr>
              <w:pStyle w:val="Tableheader"/>
              <w:jc w:val="right"/>
            </w:pPr>
          </w:p>
        </w:tc>
        <w:tc>
          <w:tcPr>
            <w:tcW w:w="1599" w:type="dxa"/>
            <w:shd w:val="clear" w:color="auto" w:fill="22789A" w:themeFill="accent1"/>
          </w:tcPr>
          <w:p w:rsidR="004E766B" w:rsidRDefault="004E766B" w:rsidP="006F6A92">
            <w:pPr>
              <w:pStyle w:val="Tableheader"/>
              <w:jc w:val="right"/>
            </w:pPr>
            <w:r>
              <w:t>Within-industry</w:t>
            </w:r>
          </w:p>
        </w:tc>
        <w:tc>
          <w:tcPr>
            <w:tcW w:w="1717" w:type="dxa"/>
            <w:shd w:val="clear" w:color="auto" w:fill="22789A" w:themeFill="accent1"/>
          </w:tcPr>
          <w:p w:rsidR="004E766B" w:rsidRDefault="004E766B" w:rsidP="006F6A92">
            <w:pPr>
              <w:pStyle w:val="Tableheader"/>
              <w:jc w:val="right"/>
            </w:pPr>
            <w:r>
              <w:t>Between-industry</w:t>
            </w:r>
          </w:p>
        </w:tc>
        <w:tc>
          <w:tcPr>
            <w:tcW w:w="1275" w:type="dxa"/>
            <w:shd w:val="clear" w:color="auto" w:fill="22789A" w:themeFill="accent1"/>
          </w:tcPr>
          <w:p w:rsidR="004E766B" w:rsidRDefault="004E766B" w:rsidP="006F6A92">
            <w:pPr>
              <w:pStyle w:val="Tableheader"/>
              <w:jc w:val="right"/>
            </w:pPr>
            <w:r>
              <w:t xml:space="preserve">Total </w:t>
            </w:r>
          </w:p>
        </w:tc>
      </w:tr>
      <w:tr w:rsidR="004E766B" w:rsidTr="00160CE2">
        <w:tc>
          <w:tcPr>
            <w:tcW w:w="1117" w:type="dxa"/>
            <w:shd w:val="clear" w:color="auto" w:fill="CAE7F3" w:themeFill="accent1" w:themeFillTint="33"/>
          </w:tcPr>
          <w:p w:rsidR="004E766B" w:rsidRDefault="004E766B" w:rsidP="006F6A92">
            <w:pPr>
              <w:pStyle w:val="Tabletext"/>
            </w:pPr>
            <w:r>
              <w:t>2004–2009</w:t>
            </w:r>
          </w:p>
        </w:tc>
        <w:tc>
          <w:tcPr>
            <w:tcW w:w="1237" w:type="dxa"/>
            <w:shd w:val="clear" w:color="auto" w:fill="CAE7F3" w:themeFill="accent1" w:themeFillTint="33"/>
          </w:tcPr>
          <w:p w:rsidR="004E766B" w:rsidRDefault="004E766B" w:rsidP="006F6A92">
            <w:pPr>
              <w:pStyle w:val="Tabletext"/>
              <w:jc w:val="right"/>
            </w:pPr>
            <w:r>
              <w:t>-2.1</w:t>
            </w:r>
          </w:p>
        </w:tc>
        <w:tc>
          <w:tcPr>
            <w:tcW w:w="1599" w:type="dxa"/>
            <w:shd w:val="clear" w:color="auto" w:fill="CAE7F3" w:themeFill="accent1" w:themeFillTint="33"/>
          </w:tcPr>
          <w:p w:rsidR="004E766B" w:rsidRDefault="004E766B" w:rsidP="006F6A92">
            <w:pPr>
              <w:pStyle w:val="Tabletext"/>
              <w:jc w:val="right"/>
            </w:pPr>
            <w:r>
              <w:t>61.5</w:t>
            </w:r>
          </w:p>
        </w:tc>
        <w:tc>
          <w:tcPr>
            <w:tcW w:w="1717" w:type="dxa"/>
            <w:shd w:val="clear" w:color="auto" w:fill="CAE7F3" w:themeFill="accent1" w:themeFillTint="33"/>
          </w:tcPr>
          <w:p w:rsidR="004E766B" w:rsidRDefault="004E766B" w:rsidP="006F6A92">
            <w:pPr>
              <w:pStyle w:val="Tabletext"/>
              <w:jc w:val="right"/>
            </w:pPr>
            <w:r>
              <w:t>4.0</w:t>
            </w:r>
          </w:p>
        </w:tc>
        <w:tc>
          <w:tcPr>
            <w:tcW w:w="1275" w:type="dxa"/>
            <w:shd w:val="clear" w:color="auto" w:fill="CAE7F3" w:themeFill="accent1" w:themeFillTint="33"/>
          </w:tcPr>
          <w:p w:rsidR="004E766B" w:rsidRDefault="004E766B" w:rsidP="006F6A92">
            <w:pPr>
              <w:pStyle w:val="Tabletext"/>
              <w:jc w:val="right"/>
            </w:pPr>
            <w:r>
              <w:t>65.6</w:t>
            </w:r>
          </w:p>
        </w:tc>
      </w:tr>
      <w:tr w:rsidR="004E766B" w:rsidTr="00160CE2">
        <w:tc>
          <w:tcPr>
            <w:tcW w:w="1117" w:type="dxa"/>
            <w:shd w:val="clear" w:color="auto" w:fill="CAE7F3" w:themeFill="accent1" w:themeFillTint="33"/>
          </w:tcPr>
          <w:p w:rsidR="004E766B" w:rsidRDefault="004E766B" w:rsidP="006F6A92">
            <w:pPr>
              <w:pStyle w:val="Tabletext"/>
            </w:pPr>
            <w:r>
              <w:t>2009–2014</w:t>
            </w:r>
          </w:p>
        </w:tc>
        <w:tc>
          <w:tcPr>
            <w:tcW w:w="1237" w:type="dxa"/>
            <w:shd w:val="clear" w:color="auto" w:fill="CAE7F3" w:themeFill="accent1" w:themeFillTint="33"/>
          </w:tcPr>
          <w:p w:rsidR="004E766B" w:rsidRDefault="004E766B" w:rsidP="006F6A92">
            <w:pPr>
              <w:pStyle w:val="Tabletext"/>
              <w:jc w:val="right"/>
            </w:pPr>
            <w:r>
              <w:t>-1.1</w:t>
            </w:r>
          </w:p>
        </w:tc>
        <w:tc>
          <w:tcPr>
            <w:tcW w:w="1599" w:type="dxa"/>
            <w:shd w:val="clear" w:color="auto" w:fill="CAE7F3" w:themeFill="accent1" w:themeFillTint="33"/>
          </w:tcPr>
          <w:p w:rsidR="004E766B" w:rsidRDefault="004E766B" w:rsidP="006F6A92">
            <w:pPr>
              <w:pStyle w:val="Tabletext"/>
              <w:jc w:val="right"/>
            </w:pPr>
            <w:r>
              <w:t>19.4</w:t>
            </w:r>
          </w:p>
        </w:tc>
        <w:tc>
          <w:tcPr>
            <w:tcW w:w="1717" w:type="dxa"/>
            <w:shd w:val="clear" w:color="auto" w:fill="CAE7F3" w:themeFill="accent1" w:themeFillTint="33"/>
          </w:tcPr>
          <w:p w:rsidR="004E766B" w:rsidRDefault="004E766B" w:rsidP="006F6A92">
            <w:pPr>
              <w:pStyle w:val="Tabletext"/>
              <w:jc w:val="right"/>
            </w:pPr>
            <w:r>
              <w:t>15.0</w:t>
            </w:r>
          </w:p>
        </w:tc>
        <w:tc>
          <w:tcPr>
            <w:tcW w:w="1275" w:type="dxa"/>
            <w:shd w:val="clear" w:color="auto" w:fill="CAE7F3" w:themeFill="accent1" w:themeFillTint="33"/>
          </w:tcPr>
          <w:p w:rsidR="004E766B" w:rsidRDefault="004E766B" w:rsidP="006F6A92">
            <w:pPr>
              <w:pStyle w:val="Tabletext"/>
              <w:jc w:val="right"/>
            </w:pPr>
            <w:r>
              <w:t>34.4</w:t>
            </w:r>
          </w:p>
        </w:tc>
      </w:tr>
      <w:tr w:rsidR="004E766B" w:rsidRPr="00AD63B0" w:rsidTr="00160CE2">
        <w:tc>
          <w:tcPr>
            <w:tcW w:w="1117" w:type="dxa"/>
            <w:shd w:val="clear" w:color="auto" w:fill="CAE7F3" w:themeFill="accent1" w:themeFillTint="33"/>
          </w:tcPr>
          <w:p w:rsidR="004E766B" w:rsidRPr="00AD63B0" w:rsidRDefault="004E766B" w:rsidP="006F6A92">
            <w:pPr>
              <w:pStyle w:val="Tabletext"/>
              <w:rPr>
                <w:b/>
              </w:rPr>
            </w:pPr>
            <w:r>
              <w:rPr>
                <w:b/>
              </w:rPr>
              <w:t>2004–</w:t>
            </w:r>
            <w:r w:rsidRPr="00AD63B0">
              <w:rPr>
                <w:b/>
              </w:rPr>
              <w:t>2014</w:t>
            </w:r>
          </w:p>
        </w:tc>
        <w:tc>
          <w:tcPr>
            <w:tcW w:w="1237" w:type="dxa"/>
            <w:shd w:val="clear" w:color="auto" w:fill="CAE7F3" w:themeFill="accent1" w:themeFillTint="33"/>
          </w:tcPr>
          <w:p w:rsidR="004E766B" w:rsidRPr="00AD63B0" w:rsidRDefault="004E766B" w:rsidP="006F6A92">
            <w:pPr>
              <w:pStyle w:val="Tabletext"/>
              <w:jc w:val="right"/>
              <w:rPr>
                <w:b/>
              </w:rPr>
            </w:pPr>
            <w:r>
              <w:rPr>
                <w:b/>
              </w:rPr>
              <w:t>-3.2</w:t>
            </w:r>
          </w:p>
        </w:tc>
        <w:tc>
          <w:tcPr>
            <w:tcW w:w="1599" w:type="dxa"/>
            <w:shd w:val="clear" w:color="auto" w:fill="CAE7F3" w:themeFill="accent1" w:themeFillTint="33"/>
          </w:tcPr>
          <w:p w:rsidR="004E766B" w:rsidRPr="00AD63B0" w:rsidRDefault="004E766B" w:rsidP="006F6A92">
            <w:pPr>
              <w:pStyle w:val="Tabletext"/>
              <w:jc w:val="right"/>
              <w:rPr>
                <w:b/>
              </w:rPr>
            </w:pPr>
            <w:r>
              <w:rPr>
                <w:b/>
              </w:rPr>
              <w:t>81.0</w:t>
            </w:r>
          </w:p>
        </w:tc>
        <w:tc>
          <w:tcPr>
            <w:tcW w:w="1717" w:type="dxa"/>
            <w:shd w:val="clear" w:color="auto" w:fill="CAE7F3" w:themeFill="accent1" w:themeFillTint="33"/>
          </w:tcPr>
          <w:p w:rsidR="004E766B" w:rsidRPr="00AD63B0" w:rsidRDefault="004E766B" w:rsidP="006F6A92">
            <w:pPr>
              <w:pStyle w:val="Tabletext"/>
              <w:jc w:val="right"/>
              <w:rPr>
                <w:b/>
              </w:rPr>
            </w:pPr>
            <w:r>
              <w:rPr>
                <w:b/>
              </w:rPr>
              <w:t>19.0</w:t>
            </w:r>
          </w:p>
        </w:tc>
        <w:tc>
          <w:tcPr>
            <w:tcW w:w="1275" w:type="dxa"/>
            <w:shd w:val="clear" w:color="auto" w:fill="CAE7F3" w:themeFill="accent1" w:themeFillTint="33"/>
          </w:tcPr>
          <w:p w:rsidR="004E766B" w:rsidRPr="00AD63B0" w:rsidRDefault="004E766B" w:rsidP="006F6A92">
            <w:pPr>
              <w:pStyle w:val="Tabletext"/>
              <w:jc w:val="right"/>
              <w:rPr>
                <w:b/>
              </w:rPr>
            </w:pPr>
            <w:r w:rsidRPr="00AD63B0">
              <w:rPr>
                <w:b/>
              </w:rPr>
              <w:t>100.0</w:t>
            </w:r>
          </w:p>
        </w:tc>
      </w:tr>
    </w:tbl>
    <w:p w:rsidR="00610F44" w:rsidRDefault="00610F44" w:rsidP="00610F44">
      <w:pPr>
        <w:pStyle w:val="Source"/>
      </w:pPr>
      <w:r w:rsidRPr="00C62F3A">
        <w:t xml:space="preserve">Source: </w:t>
      </w:r>
      <w:r w:rsidR="00C738FC">
        <w:t>Department of Industry, Innovation and Science</w:t>
      </w:r>
      <w:r w:rsidR="003721C0">
        <w:t xml:space="preserve"> analysis (2015) </w:t>
      </w:r>
      <w:r>
        <w:t>using Australian Bureau of Statistics (2014b)</w:t>
      </w:r>
    </w:p>
    <w:p w:rsidR="00610F44" w:rsidRDefault="00610F44" w:rsidP="00610F44">
      <w:pPr>
        <w:pStyle w:val="BodyText"/>
      </w:pPr>
      <w:r>
        <w:t xml:space="preserve">Over the period </w:t>
      </w:r>
      <w:r w:rsidR="0033113B">
        <w:t>2004–</w:t>
      </w:r>
      <w:r>
        <w:t xml:space="preserve">2014, the automation susceptibility score fell from 57.3 to 54.1. According to the results in </w:t>
      </w:r>
      <w:r>
        <w:fldChar w:fldCharType="begin" w:fldLock="1"/>
      </w:r>
      <w:r>
        <w:instrText xml:space="preserve"> REF _Ref415737665 \h </w:instrText>
      </w:r>
      <w:r>
        <w:fldChar w:fldCharType="separate"/>
      </w:r>
      <w:r w:rsidRPr="000618FB">
        <w:t xml:space="preserve">Table </w:t>
      </w:r>
      <w:r>
        <w:rPr>
          <w:noProof/>
        </w:rPr>
        <w:t>4</w:t>
      </w:r>
      <w:r w:rsidRPr="000618FB">
        <w:t>.</w:t>
      </w:r>
      <w:r>
        <w:rPr>
          <w:noProof/>
        </w:rPr>
        <w:t>1</w:t>
      </w:r>
      <w:r>
        <w:fldChar w:fldCharType="end"/>
      </w:r>
      <w:r>
        <w:t xml:space="preserve">, the vast majority (81 per cent) of this change was due to the </w:t>
      </w:r>
      <w:r>
        <w:rPr>
          <w:i/>
        </w:rPr>
        <w:t xml:space="preserve">within-industry </w:t>
      </w:r>
      <w:r w:rsidRPr="00AD63B0">
        <w:t>effects</w:t>
      </w:r>
      <w:r w:rsidR="0033113B">
        <w:t xml:space="preserve"> — </w:t>
      </w:r>
      <w:r>
        <w:t>in short, industries skilling up and evolving.</w:t>
      </w:r>
    </w:p>
    <w:p w:rsidR="00610F44" w:rsidRDefault="00610F44" w:rsidP="00610F44">
      <w:pPr>
        <w:pStyle w:val="BodyText"/>
      </w:pPr>
      <w:r>
        <w:t xml:space="preserve">The contribution of between-industry change has been positive, accentuating the decline. Changes in the relative sizes of industries have seen resources flow to sectors that on average require more creative and social skills. </w:t>
      </w:r>
    </w:p>
    <w:p w:rsidR="00610F44" w:rsidRDefault="00610F44" w:rsidP="00610F44">
      <w:pPr>
        <w:pStyle w:val="BodyText"/>
      </w:pPr>
      <w:r>
        <w:fldChar w:fldCharType="begin"/>
      </w:r>
      <w:r>
        <w:instrText xml:space="preserve"> REF _Ref415737665 \h </w:instrText>
      </w:r>
      <w:r>
        <w:fldChar w:fldCharType="separate"/>
      </w:r>
      <w:r w:rsidR="00150797" w:rsidRPr="000618FB">
        <w:t xml:space="preserve">Table </w:t>
      </w:r>
      <w:r w:rsidR="00150797">
        <w:rPr>
          <w:noProof/>
        </w:rPr>
        <w:t>4</w:t>
      </w:r>
      <w:r w:rsidR="00150797" w:rsidRPr="000618FB">
        <w:t>.</w:t>
      </w:r>
      <w:r w:rsidR="00150797">
        <w:rPr>
          <w:noProof/>
        </w:rPr>
        <w:t>1</w:t>
      </w:r>
      <w:r>
        <w:fldChar w:fldCharType="end"/>
      </w:r>
      <w:r>
        <w:t xml:space="preserve"> also decomposes this change over time. About two thirds of the decline in automation susceptibility occurred in the first half of the decade. The greatest </w:t>
      </w:r>
      <w:r w:rsidRPr="00EE1034">
        <w:rPr>
          <w:i/>
        </w:rPr>
        <w:t>within-industry</w:t>
      </w:r>
      <w:r>
        <w:t xml:space="preserve"> effect occurred during the </w:t>
      </w:r>
      <w:r w:rsidR="0033113B">
        <w:t>2004–</w:t>
      </w:r>
      <w:r>
        <w:t xml:space="preserve">2009 period, while the greatest </w:t>
      </w:r>
      <w:r>
        <w:rPr>
          <w:i/>
        </w:rPr>
        <w:t xml:space="preserve">between-industry </w:t>
      </w:r>
      <w:r>
        <w:t>impact occurred in the five years between 2009 and 2014. This is likely influenced by the 2007 financial crisis, the commodities and mining boom, and the resulting impacts on the employment market.</w:t>
      </w:r>
    </w:p>
    <w:p w:rsidR="00610F44" w:rsidRDefault="00610F44" w:rsidP="00610F44">
      <w:pPr>
        <w:pStyle w:val="Heading1"/>
        <w:numPr>
          <w:ilvl w:val="0"/>
          <w:numId w:val="3"/>
        </w:numPr>
      </w:pPr>
      <w:bookmarkStart w:id="6" w:name="_Ref415671478"/>
      <w:r>
        <w:t>Sensitivities and limitations</w:t>
      </w:r>
    </w:p>
    <w:p w:rsidR="00610F44" w:rsidRDefault="00610F44" w:rsidP="00610F44">
      <w:pPr>
        <w:pStyle w:val="BodyText"/>
      </w:pPr>
      <w:r>
        <w:t>When assessing the impact of innovation, it’s important to acknowledge that technology is notoriously difficult to forecast. In 2004 Levy and Murnane were adamant that computers would not be able to drive a car: ‘But executing a left turn against oncoming traffic involves so many factors that it is hard to imagine discovering the set of rules that can replicate a driver’s behaviour.’</w:t>
      </w:r>
      <w:r w:rsidR="006C1C38" w:rsidRPr="006C1C38">
        <w:rPr>
          <w:rStyle w:val="FootnoteReference"/>
        </w:rPr>
        <w:t xml:space="preserve"> </w:t>
      </w:r>
      <w:r w:rsidR="006C1C38">
        <w:rPr>
          <w:rStyle w:val="FootnoteReference"/>
        </w:rPr>
        <w:footnoteReference w:id="12"/>
      </w:r>
      <w:r>
        <w:t xml:space="preserve"> In 2010 Google announced on its official blog that it had ‘developed technology for cars that can drive themselves’, dashing the prediction made by Levy and Murnane only six years earlier.</w:t>
      </w:r>
      <w:r>
        <w:rPr>
          <w:rStyle w:val="FootnoteReference"/>
        </w:rPr>
        <w:footnoteReference w:id="13"/>
      </w:r>
    </w:p>
    <w:p w:rsidR="00610F44" w:rsidRDefault="00610F44" w:rsidP="00610F44">
      <w:r>
        <w:t xml:space="preserve">The key limitation of this paper is the assumption that an occupation’s automation susceptibility remains constant over the decade. This is unlikely to be true for two reasons. </w:t>
      </w:r>
    </w:p>
    <w:p w:rsidR="00610F44" w:rsidRDefault="00610F44" w:rsidP="00610F44">
      <w:r>
        <w:t>First, occupations evolve over time to adapt to changing circumstances. Adept use of technology has meant that paralegals are now spending less time searching through legal texts and more time applying legal concepts and providing in-depth analysis. K</w:t>
      </w:r>
      <w:r w:rsidRPr="00AA6AF2">
        <w:t>elly and Lewis show that in Australia occupations have beco</w:t>
      </w:r>
      <w:r>
        <w:t>me less focused on motor skills</w:t>
      </w:r>
      <w:r w:rsidRPr="00AA6AF2">
        <w:t xml:space="preserve"> and more focused on interactive and cognitive skills.</w:t>
      </w:r>
      <w:r w:rsidRPr="00AA6AF2">
        <w:rPr>
          <w:rStyle w:val="FootnoteReference"/>
        </w:rPr>
        <w:footnoteReference w:id="14"/>
      </w:r>
      <w:r w:rsidRPr="00AA6AF2">
        <w:t xml:space="preserve"> </w:t>
      </w:r>
      <w:r>
        <w:t xml:space="preserve">Similarly, Spitz found that the skill requirement </w:t>
      </w:r>
      <w:r>
        <w:rPr>
          <w:i/>
        </w:rPr>
        <w:t xml:space="preserve">within </w:t>
      </w:r>
      <w:r>
        <w:t>occupations have become more complex over time, which is likely to have made occupations less automatable as a whole.</w:t>
      </w:r>
      <w:r>
        <w:rPr>
          <w:rStyle w:val="FootnoteReference"/>
        </w:rPr>
        <w:footnoteReference w:id="15"/>
      </w:r>
    </w:p>
    <w:p w:rsidR="00610F44" w:rsidRDefault="00610F44" w:rsidP="00610F44">
      <w:pPr>
        <w:spacing w:before="180"/>
      </w:pPr>
      <w:r w:rsidRPr="00E329DF">
        <w:t xml:space="preserve">Second, technology </w:t>
      </w:r>
      <w:r>
        <w:t xml:space="preserve">also </w:t>
      </w:r>
      <w:r w:rsidRPr="00E329DF">
        <w:t xml:space="preserve">evolves and becomes better equipped to automate the tasks of professions. A task that technology remained incapable of performing </w:t>
      </w:r>
      <w:r>
        <w:t>10</w:t>
      </w:r>
      <w:r w:rsidRPr="00E329DF">
        <w:t xml:space="preserve"> years ago may well be a task that technology approaches confidently today. </w:t>
      </w:r>
    </w:p>
    <w:p w:rsidR="00610F44" w:rsidRDefault="00610F44" w:rsidP="00610F44">
      <w:pPr>
        <w:spacing w:before="180"/>
      </w:pPr>
      <w:r>
        <w:t xml:space="preserve">Combined, this implies that had an analysis of the automation susceptibility of occupations been conducted in 2004, the automation scores may have been higher or lower than in 2014. </w:t>
      </w:r>
      <w:bookmarkEnd w:id="6"/>
      <w:r>
        <w:t>Holding technology constant as this paper has does allow a better analysis the underlying impact of structural change, but further analysis on the changing automation scores over time is necessary to get a stronger understanding of the impact of automation in Australia over a larger period of time.</w:t>
      </w:r>
    </w:p>
    <w:p w:rsidR="00610F44" w:rsidRDefault="00610F44" w:rsidP="00610F44">
      <w:pPr>
        <w:pStyle w:val="Heading1"/>
        <w:numPr>
          <w:ilvl w:val="0"/>
          <w:numId w:val="3"/>
        </w:numPr>
      </w:pPr>
      <w:r>
        <w:t xml:space="preserve">Conclusion </w:t>
      </w:r>
    </w:p>
    <w:p w:rsidR="00610F44" w:rsidRDefault="00610F44" w:rsidP="00610F44">
      <w:pPr>
        <w:spacing w:before="120" w:after="120"/>
      </w:pPr>
      <w:r>
        <w:t xml:space="preserve">Over the past decades, technology has had a transformative effect on the Australian economic landscape. It has affected not only what is produced, but also </w:t>
      </w:r>
      <w:r w:rsidRPr="00E13249">
        <w:t>how</w:t>
      </w:r>
      <w:r>
        <w:rPr>
          <w:i/>
        </w:rPr>
        <w:t xml:space="preserve">. </w:t>
      </w:r>
      <w:r>
        <w:t>Coupled with broader economic and demographic forces, the net result is a workforce that is more associated with creativity, social interaction and perception.</w:t>
      </w:r>
    </w:p>
    <w:p w:rsidR="00610F44" w:rsidRDefault="00610F44" w:rsidP="00610F44">
      <w:pPr>
        <w:pStyle w:val="BodyText"/>
      </w:pPr>
      <w:r>
        <w:t xml:space="preserve">This paper has used a measure devised by Frey and Osborne to assess the automation susceptibility of the Australian workforce. It is based on the extent to which tasks performed in an occupation are able to be mimicked by technology. In total, automation scores were calculated for 435 Australian occupations. </w:t>
      </w:r>
    </w:p>
    <w:p w:rsidR="00610F44" w:rsidRDefault="00610F44" w:rsidP="00610F44">
      <w:pPr>
        <w:spacing w:before="200"/>
      </w:pPr>
      <w:r>
        <w:t xml:space="preserve">Across the workforce, automation susceptibility adopts a bimodal distribution. A large segment of employment (43.9 per cent) is considered to have high automation susceptibility, while a second segment (32.7 per cent) was rated as limited. This distribution is similar to that observed in the United States. In general, employees in </w:t>
      </w:r>
      <w:r w:rsidRPr="003207ED">
        <w:t>job</w:t>
      </w:r>
      <w:r>
        <w:t xml:space="preserve">s that involve non-automatable tasks are better off than their automatable colleagues. They are better educated, higher skilled, earn more, are less likely to be unemployed, and are in an occupation that enjoys strong </w:t>
      </w:r>
      <w:r w:rsidRPr="003207ED">
        <w:t>job</w:t>
      </w:r>
      <w:r>
        <w:t xml:space="preserve"> growth. This analysis suggests that technology is skill-biased, benefiting higher-skilled workers over their lower-skilled counterparts.</w:t>
      </w:r>
    </w:p>
    <w:p w:rsidR="00610F44" w:rsidRDefault="00610F44" w:rsidP="00610F44">
      <w:pPr>
        <w:spacing w:before="180"/>
      </w:pPr>
      <w:r>
        <w:t>Over time we have seen industries increase their use of automation technologies to replace traditionally routine jobs</w:t>
      </w:r>
      <w:r w:rsidR="0033113B">
        <w:t xml:space="preserve"> — </w:t>
      </w:r>
      <w:r>
        <w:t>labourers, mail sorters and keyboard operators for example. At the same time however these industries have been employing more workers whose skills are less likely to be replicated by machines</w:t>
      </w:r>
      <w:r w:rsidR="0033113B">
        <w:t xml:space="preserve"> — </w:t>
      </w:r>
      <w:r>
        <w:t xml:space="preserve">web designers, solicitors and advertising managers. In fact, those jobs with low automation susceptibility have grown by nearly three times faster than their automatable counterparts. This can be thought of as the </w:t>
      </w:r>
      <w:r>
        <w:rPr>
          <w:i/>
        </w:rPr>
        <w:t xml:space="preserve">within-industry </w:t>
      </w:r>
      <w:r>
        <w:t xml:space="preserve">impact of compositional change. </w:t>
      </w:r>
    </w:p>
    <w:p w:rsidR="00610F44" w:rsidRPr="00316515" w:rsidRDefault="00610F44" w:rsidP="00610F44">
      <w:pPr>
        <w:spacing w:before="180"/>
      </w:pPr>
      <w:r>
        <w:t xml:space="preserve">We are also seeing employment move from industries of high automation susceptibility to sectors where technology is less likely to replace workers. For example, the industries with the most limited susceptibility for automation include education, professional and health care services. All three of these industries grew substantially over the past decade, adding hundreds of thousands of workers. This is the effect of the </w:t>
      </w:r>
      <w:r>
        <w:rPr>
          <w:i/>
        </w:rPr>
        <w:t xml:space="preserve">between-industry </w:t>
      </w:r>
      <w:r>
        <w:t>change.</w:t>
      </w:r>
    </w:p>
    <w:p w:rsidR="00610F44" w:rsidRDefault="00610F44" w:rsidP="00610F44">
      <w:pPr>
        <w:pStyle w:val="BodyText"/>
      </w:pPr>
      <w:r>
        <w:t>It is thanks to these two forces that automation susceptibility of the Australian labour force has progressively fallen over the past two decades. So how much of this fall was due to movements inside an industry as it modernises, compared to those larger changes of industry sizes? It could be that the growth in certain industries and the decline in others over the past decade has either accentuated or masked the impact industry composition and adaptation is having.</w:t>
      </w:r>
    </w:p>
    <w:p w:rsidR="00610F44" w:rsidRDefault="00610F44" w:rsidP="00610F44">
      <w:pPr>
        <w:pStyle w:val="BodyText"/>
      </w:pPr>
      <w:r>
        <w:t xml:space="preserve">This analysis has shown that these growths and declines has indeed accentuated the decline in automation, but the evolution of the internal composition of Australian industries has been the main driver. A decomposition of these two effects shows that 81 per cent of the decline was due to </w:t>
      </w:r>
      <w:r w:rsidRPr="00852B86">
        <w:rPr>
          <w:i/>
        </w:rPr>
        <w:t>within-industry</w:t>
      </w:r>
      <w:r>
        <w:t xml:space="preserve"> effects. Australian industries are evidently taking the opportunity to modernise their workforces, hiring workers that have the skills necessary to take advantage of future opportunities. </w:t>
      </w:r>
    </w:p>
    <w:p w:rsidR="00610F44" w:rsidRDefault="00610F44" w:rsidP="00610F44">
      <w:pPr>
        <w:pStyle w:val="BodyText"/>
      </w:pPr>
      <w:r w:rsidRPr="00F61D5E">
        <w:t>However, there remain concerns about the displacement effects of automation. In particular, there are concerns that increased automation will lead to greater unemployment, a hollowed middle-class, and increased inequality.</w:t>
      </w:r>
      <w:r>
        <w:t xml:space="preserve"> It is true that t</w:t>
      </w:r>
      <w:r w:rsidRPr="0003392D">
        <w:t>echnology will displace some</w:t>
      </w:r>
      <w:r>
        <w:t xml:space="preserve"> if not many</w:t>
      </w:r>
      <w:r w:rsidRPr="0003392D">
        <w:t xml:space="preserve"> jobs. But this does not mean that ne</w:t>
      </w:r>
      <w:r>
        <w:t>w jobs cannot take their places. New jobs that will be more creative, more perceptive, and more social. New jobs that, because of these skills, will be better paid and more stable.</w:t>
      </w:r>
    </w:p>
    <w:p w:rsidR="00610F44" w:rsidRDefault="00610F44" w:rsidP="00610F44">
      <w:pPr>
        <w:pStyle w:val="BodyText"/>
      </w:pPr>
      <w:r>
        <w:t xml:space="preserve">We have a tendency to focus on those occupations and industries that are disappearing. A loss of any job or sector in Australia is unfortunate, but this fails to appreciate the larger picture. The same factors that lead to an industry’s decline present opportunities for other industries, firms and workers to flourish. Despite automation pressures, average job growth over the past ten years has been the same as the ten years before that. As shown in the analysis, structural change and industry composition supports the reduction in Australia’s automation susceptibility. It has </w:t>
      </w:r>
      <w:r w:rsidRPr="00F61D5E">
        <w:t>freed up resources that were previously required to undertake mundane, routine and often manual tasks, and allowed them to be employed in high value, high skilled</w:t>
      </w:r>
      <w:r>
        <w:t xml:space="preserve"> and high paid</w:t>
      </w:r>
      <w:r w:rsidRPr="00F61D5E">
        <w:t xml:space="preserve"> roles.</w:t>
      </w:r>
      <w:r>
        <w:t xml:space="preserve"> </w:t>
      </w:r>
    </w:p>
    <w:p w:rsidR="00610F44" w:rsidRDefault="00610F44" w:rsidP="00610F44">
      <w:pPr>
        <w:pStyle w:val="BodyText"/>
      </w:pPr>
      <w:r w:rsidRPr="0003392D">
        <w:t xml:space="preserve">Higher disposable incomes thanks to the productivity increases of technology have allowed Australians to employ financial advisors, website developers and personal trainers which were not employed only a couple of decades ago.  We’re also spending more on our </w:t>
      </w:r>
      <w:r>
        <w:t>wellbeing</w:t>
      </w:r>
      <w:r w:rsidRPr="0003392D">
        <w:t xml:space="preserve">, which has seen professions in the healthcare industry </w:t>
      </w:r>
      <w:r>
        <w:t>increase rapidly</w:t>
      </w:r>
      <w:r w:rsidRPr="0003392D">
        <w:t xml:space="preserve"> in recent years.</w:t>
      </w:r>
    </w:p>
    <w:p w:rsidR="00610F44" w:rsidRPr="00BC4439" w:rsidRDefault="00610F44" w:rsidP="00610F44">
      <w:pPr>
        <w:pStyle w:val="BodyText"/>
      </w:pPr>
      <w:r w:rsidRPr="00320141">
        <w:t xml:space="preserve">Structural change has seen the Australian workforce change markedly in the past few decades, and </w:t>
      </w:r>
      <w:r>
        <w:t>into the future it will allow workers to better capitalise on t</w:t>
      </w:r>
      <w:r w:rsidRPr="00003EEC">
        <w:t>he comparative advantages of being human</w:t>
      </w:r>
      <w:r>
        <w:t xml:space="preserve"> — </w:t>
      </w:r>
      <w:r w:rsidRPr="00003EEC">
        <w:t>the ability to solve problems intuitively, improvise spontaneously and act creatively</w:t>
      </w:r>
      <w:r>
        <w:t>. Consistently workers and industry have embraced and leveraged technological change to ride this wave to prosperity.</w:t>
      </w:r>
    </w:p>
    <w:p w:rsidR="00610F44" w:rsidRDefault="00610F44" w:rsidP="00610F44">
      <w:pPr>
        <w:pStyle w:val="Heading6"/>
        <w:numPr>
          <w:ilvl w:val="5"/>
          <w:numId w:val="3"/>
        </w:numPr>
      </w:pPr>
      <w:bookmarkStart w:id="7" w:name="_Ref422764154"/>
      <w:r>
        <w:t>Concordances</w:t>
      </w:r>
      <w:bookmarkEnd w:id="7"/>
    </w:p>
    <w:p w:rsidR="00783039" w:rsidRDefault="00610F44" w:rsidP="00783039">
      <w:pPr>
        <w:spacing w:before="200"/>
      </w:pPr>
      <w:r>
        <w:t xml:space="preserve">Australia uses a different system of labelling occupations to the US. For example, in the US there are employees with the </w:t>
      </w:r>
      <w:r w:rsidRPr="003207ED">
        <w:t>job</w:t>
      </w:r>
      <w:r>
        <w:t xml:space="preserve"> title ‘accountants and auditors’. However in Australia these employees could be ‘accountants’ or they could be ‘auditors and company secretaries’. To make the relationships more complex, an Australian ‘auditor and company secretary’ is not necessarily an American ‘accountant and auditor’. They could also be considered in the US to be a ‘budget analyst’, a ‘financial manager’, or a ‘tax preparer’. </w:t>
      </w:r>
      <w:r>
        <w:fldChar w:fldCharType="begin" w:fldLock="1"/>
      </w:r>
      <w:r>
        <w:instrText xml:space="preserve"> REF _Ref417026274 \h </w:instrText>
      </w:r>
      <w:r>
        <w:fldChar w:fldCharType="separate"/>
      </w:r>
      <w:r>
        <w:t>Figure</w:t>
      </w:r>
      <w:r w:rsidRPr="000618FB">
        <w:t xml:space="preserve"> </w:t>
      </w:r>
      <w:r>
        <w:rPr>
          <w:noProof/>
        </w:rPr>
        <w:t>A1</w:t>
      </w:r>
      <w:r>
        <w:fldChar w:fldCharType="end"/>
      </w:r>
      <w:r>
        <w:t xml:space="preserve"> illustrates the complexity.</w:t>
      </w:r>
      <w:r w:rsidR="00783039" w:rsidRPr="00783039">
        <w:t xml:space="preserve"> </w:t>
      </w:r>
    </w:p>
    <w:p w:rsidR="00783039" w:rsidRDefault="00783039" w:rsidP="00783039">
      <w:pPr>
        <w:pStyle w:val="CaptionWide"/>
      </w:pPr>
      <w:bookmarkStart w:id="8" w:name="_Ref417026274"/>
      <w:bookmarkStart w:id="9" w:name="_Ref417026269"/>
      <w:r>
        <w:t>Figure</w:t>
      </w:r>
      <w:r w:rsidRPr="000618FB">
        <w:t xml:space="preserve"> </w:t>
      </w:r>
      <w:fldSimple w:instr=" STYLEREF 6 \s " w:fldLock="1">
        <w:r>
          <w:rPr>
            <w:noProof/>
          </w:rPr>
          <w:t>A</w:t>
        </w:r>
      </w:fldSimple>
      <w:r w:rsidRPr="000618FB">
        <w:fldChar w:fldCharType="begin" w:fldLock="1"/>
      </w:r>
      <w:r w:rsidRPr="000618FB">
        <w:instrText xml:space="preserve"> SEQ </w:instrText>
      </w:r>
      <w:r>
        <w:instrText>Figure</w:instrText>
      </w:r>
      <w:r w:rsidRPr="000618FB">
        <w:instrText xml:space="preserve"> \* ARABIC \s </w:instrText>
      </w:r>
      <w:r>
        <w:instrText>6</w:instrText>
      </w:r>
      <w:r w:rsidRPr="000618FB">
        <w:instrText xml:space="preserve"> </w:instrText>
      </w:r>
      <w:r w:rsidRPr="000618FB">
        <w:fldChar w:fldCharType="separate"/>
      </w:r>
      <w:r>
        <w:rPr>
          <w:noProof/>
        </w:rPr>
        <w:t>1</w:t>
      </w:r>
      <w:r w:rsidRPr="000618FB">
        <w:fldChar w:fldCharType="end"/>
      </w:r>
      <w:bookmarkEnd w:id="8"/>
      <w:r w:rsidRPr="000618FB">
        <w:t xml:space="preserve">: </w:t>
      </w:r>
      <w:r w:rsidRPr="00861D85">
        <w:t>US to Australian concordances, accountants</w:t>
      </w:r>
      <w:bookmarkEnd w:id="9"/>
    </w:p>
    <w:p w:rsidR="00783039" w:rsidRDefault="00783039" w:rsidP="00783039">
      <w:pPr>
        <w:pStyle w:val="PlaceholderWide"/>
        <w:tabs>
          <w:tab w:val="left" w:pos="70"/>
          <w:tab w:val="right" w:pos="9043"/>
        </w:tabs>
        <w:jc w:val="left"/>
        <w:rPr>
          <w:b/>
        </w:rPr>
      </w:pPr>
      <w:r w:rsidRPr="002A08C8">
        <w:rPr>
          <w:b/>
        </w:rPr>
        <w:tab/>
        <w:t>United States</w:t>
      </w:r>
      <w:r>
        <w:rPr>
          <w:b/>
        </w:rPr>
        <w:tab/>
        <w:t>Australia</w:t>
      </w:r>
    </w:p>
    <w:p w:rsidR="00A6442E" w:rsidRPr="002A08C8" w:rsidRDefault="00A6442E" w:rsidP="00783039">
      <w:pPr>
        <w:pStyle w:val="PlaceholderWide"/>
        <w:tabs>
          <w:tab w:val="left" w:pos="70"/>
          <w:tab w:val="right" w:pos="9043"/>
        </w:tabs>
        <w:jc w:val="left"/>
        <w:rPr>
          <w:b/>
        </w:rPr>
      </w:pPr>
      <w:r>
        <w:rPr>
          <w:noProof/>
          <w:lang w:eastAsia="en-AU"/>
        </w:rPr>
        <w:drawing>
          <wp:inline distT="0" distB="0" distL="0" distR="0" wp14:anchorId="6F14137A" wp14:editId="703C2F5F">
            <wp:extent cx="5731510" cy="2853749"/>
            <wp:effectExtent l="0" t="0" r="2540" b="3810"/>
            <wp:docPr id="12" name="Picture 12" descr="This flow chart shows that the relationship between US and Australian occupations is not a one-to-one relationship. It shows that the US occupation of 'accountant and auditor' is joined to both an 'accountant' and a 'auditor/company secretary' in Australia. Similarly, an accountant in Australia could also be joined to a 'budget analyst' and a 'tax preparer' in the United States. The chart goes on to show the complexity of relationships between several other accounting-related occupations." title="Figue A1: US to Australian concordances, accoun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2853749"/>
                    </a:xfrm>
                    <a:prstGeom prst="rect">
                      <a:avLst/>
                    </a:prstGeom>
                  </pic:spPr>
                </pic:pic>
              </a:graphicData>
            </a:graphic>
          </wp:inline>
        </w:drawing>
      </w:r>
    </w:p>
    <w:p w:rsidR="00783039" w:rsidRDefault="00783039" w:rsidP="00783039">
      <w:pPr>
        <w:pStyle w:val="SourceWide"/>
      </w:pPr>
      <w:r w:rsidRPr="00C62F3A">
        <w:t xml:space="preserve">Source: </w:t>
      </w:r>
      <w:r>
        <w:t>Bureau of Labor Statistics, United States (2012)</w:t>
      </w:r>
    </w:p>
    <w:p w:rsidR="00783039" w:rsidRDefault="00610F44" w:rsidP="00783039">
      <w:r w:rsidRPr="00FB05A9">
        <w:t xml:space="preserve">Therefore, it is not as simple as taking the score for ‘accountants and auditors’ and applying it to both ‘accountants’ and ‘auditors and company secretaries’, as multiple other US </w:t>
      </w:r>
      <w:r>
        <w:t>occupations</w:t>
      </w:r>
      <w:r w:rsidRPr="00FB05A9">
        <w:t xml:space="preserve"> contribute to these Australian occupations. Contin</w:t>
      </w:r>
      <w:r>
        <w:t xml:space="preserve">uing the above example, </w:t>
      </w:r>
      <w:r>
        <w:fldChar w:fldCharType="begin"/>
      </w:r>
      <w:r>
        <w:instrText xml:space="preserve"> REF _Ref426715797 \h </w:instrText>
      </w:r>
      <w:r>
        <w:fldChar w:fldCharType="separate"/>
      </w:r>
      <w:r w:rsidR="00150797">
        <w:t>Figure</w:t>
      </w:r>
      <w:r w:rsidR="00150797" w:rsidRPr="000618FB">
        <w:t xml:space="preserve"> </w:t>
      </w:r>
      <w:r w:rsidR="00150797">
        <w:rPr>
          <w:noProof/>
        </w:rPr>
        <w:t>A2</w:t>
      </w:r>
      <w:r>
        <w:fldChar w:fldCharType="end"/>
      </w:r>
      <w:r w:rsidRPr="00FB05A9">
        <w:t xml:space="preserve"> details Australian accountants in more detail.</w:t>
      </w:r>
      <w:r w:rsidR="00783039" w:rsidRPr="00783039">
        <w:t xml:space="preserve"> </w:t>
      </w:r>
    </w:p>
    <w:p w:rsidR="00783039" w:rsidRDefault="00783039" w:rsidP="00783039">
      <w:pPr>
        <w:pStyle w:val="CaptionWide"/>
        <w:jc w:val="left"/>
      </w:pPr>
      <w:bookmarkStart w:id="10" w:name="_Ref426715797"/>
      <w:r>
        <w:t>Figure</w:t>
      </w:r>
      <w:r w:rsidRPr="000618FB">
        <w:t xml:space="preserve"> </w:t>
      </w:r>
      <w:fldSimple w:instr=" STYLEREF 6 \s " w:fldLock="1">
        <w:r>
          <w:rPr>
            <w:noProof/>
          </w:rPr>
          <w:t>A</w:t>
        </w:r>
      </w:fldSimple>
      <w:r w:rsidRPr="000618FB">
        <w:fldChar w:fldCharType="begin" w:fldLock="1"/>
      </w:r>
      <w:r w:rsidRPr="000618FB">
        <w:instrText xml:space="preserve"> SEQ </w:instrText>
      </w:r>
      <w:r>
        <w:instrText>Figure</w:instrText>
      </w:r>
      <w:r w:rsidRPr="000618FB">
        <w:instrText xml:space="preserve"> \* ARABIC \s </w:instrText>
      </w:r>
      <w:r>
        <w:instrText>6</w:instrText>
      </w:r>
      <w:r w:rsidRPr="000618FB">
        <w:instrText xml:space="preserve"> </w:instrText>
      </w:r>
      <w:r w:rsidRPr="000618FB">
        <w:fldChar w:fldCharType="separate"/>
      </w:r>
      <w:r>
        <w:rPr>
          <w:noProof/>
        </w:rPr>
        <w:t>2</w:t>
      </w:r>
      <w:r w:rsidRPr="000618FB">
        <w:fldChar w:fldCharType="end"/>
      </w:r>
      <w:bookmarkEnd w:id="10"/>
      <w:r>
        <w:t xml:space="preserve">: </w:t>
      </w:r>
      <w:r w:rsidRPr="00D91002">
        <w:t>US to Australian concordances, accountants detailed</w:t>
      </w:r>
    </w:p>
    <w:p w:rsidR="00783039" w:rsidRPr="002A08C8" w:rsidRDefault="00783039" w:rsidP="00783039">
      <w:pPr>
        <w:pStyle w:val="PlaceholderWide"/>
        <w:tabs>
          <w:tab w:val="left" w:pos="70"/>
          <w:tab w:val="center" w:pos="3066"/>
          <w:tab w:val="center" w:pos="5921"/>
          <w:tab w:val="right" w:pos="8973"/>
        </w:tabs>
        <w:jc w:val="left"/>
        <w:rPr>
          <w:b/>
        </w:rPr>
      </w:pPr>
      <w:r>
        <w:tab/>
      </w:r>
      <w:r w:rsidRPr="002A08C8">
        <w:rPr>
          <w:b/>
        </w:rPr>
        <w:t>SOC</w:t>
      </w:r>
      <w:r w:rsidRPr="002A08C8">
        <w:rPr>
          <w:b/>
        </w:rPr>
        <w:tab/>
        <w:t>ISCO</w:t>
      </w:r>
      <w:r w:rsidRPr="002A08C8">
        <w:rPr>
          <w:b/>
        </w:rPr>
        <w:tab/>
        <w:t>ANZSCO (</w:t>
      </w:r>
      <w:r>
        <w:rPr>
          <w:b/>
        </w:rPr>
        <w:t>six</w:t>
      </w:r>
      <w:r w:rsidR="00CB2955">
        <w:rPr>
          <w:b/>
        </w:rPr>
        <w:t>-</w:t>
      </w:r>
      <w:r w:rsidRPr="002A08C8">
        <w:rPr>
          <w:b/>
        </w:rPr>
        <w:t>digit)</w:t>
      </w:r>
      <w:r w:rsidRPr="002A08C8">
        <w:rPr>
          <w:b/>
        </w:rPr>
        <w:tab/>
        <w:t>ANZSCO (</w:t>
      </w:r>
      <w:r>
        <w:rPr>
          <w:b/>
        </w:rPr>
        <w:t>four</w:t>
      </w:r>
      <w:r w:rsidR="00CB2955">
        <w:rPr>
          <w:b/>
        </w:rPr>
        <w:t>-</w:t>
      </w:r>
      <w:r w:rsidRPr="002A08C8">
        <w:rPr>
          <w:b/>
        </w:rPr>
        <w:t>digit)</w:t>
      </w:r>
      <w:r w:rsidRPr="002A08C8">
        <w:rPr>
          <w:b/>
        </w:rPr>
        <w:tab/>
      </w:r>
    </w:p>
    <w:p w:rsidR="00783039" w:rsidRPr="001E6513" w:rsidRDefault="00783039" w:rsidP="00783039">
      <w:pPr>
        <w:pStyle w:val="PlaceholderWide"/>
        <w:rPr>
          <w:lang w:eastAsia="en-AU"/>
        </w:rPr>
      </w:pPr>
      <w:r>
        <w:rPr>
          <w:noProof/>
          <w:lang w:eastAsia="en-AU"/>
        </w:rPr>
        <w:drawing>
          <wp:inline distT="0" distB="0" distL="0" distR="0" wp14:anchorId="0B2529E0" wp14:editId="2BC4250F">
            <wp:extent cx="5731510" cy="2846772"/>
            <wp:effectExtent l="0" t="0" r="2540" b="0"/>
            <wp:docPr id="7" name="Picture 7" descr="This flow chart builds on the previous flow chart by identifying the international concordances the US occupation of 'accountant' needs to travel through to reach the Australian occupations of 'accountant' and 'auditor' in Australia." title="Figure A2: US to Australian concordances, accountants det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731510" cy="2846772"/>
                    </a:xfrm>
                    <a:prstGeom prst="rect">
                      <a:avLst/>
                    </a:prstGeom>
                  </pic:spPr>
                </pic:pic>
              </a:graphicData>
            </a:graphic>
          </wp:inline>
        </w:drawing>
      </w:r>
    </w:p>
    <w:p w:rsidR="00783039" w:rsidRPr="00485836" w:rsidRDefault="00783039" w:rsidP="00783039">
      <w:pPr>
        <w:pStyle w:val="LongSource"/>
      </w:pPr>
      <w:r w:rsidRPr="00485836">
        <w:t xml:space="preserve">Source: </w:t>
      </w:r>
      <w:r>
        <w:t>Bureau of Labor Statistics, United States (2012); ABS (2013)</w:t>
      </w:r>
    </w:p>
    <w:p w:rsidR="00610F44" w:rsidRDefault="00610F44" w:rsidP="00610F44">
      <w:pPr>
        <w:spacing w:before="200"/>
      </w:pPr>
      <w:r>
        <w:t xml:space="preserve">To calculate the automation score for Australian accountants, the automation scores of US occupations analogous to Australian accountants are filtered through crosswalks, or concordances. US </w:t>
      </w:r>
      <w:r w:rsidRPr="003207ED">
        <w:t>job</w:t>
      </w:r>
      <w:r>
        <w:t xml:space="preserve"> codes (Standard Occupational Classifications, or SOC) must first be converted to international </w:t>
      </w:r>
      <w:r w:rsidRPr="003207ED">
        <w:t>job</w:t>
      </w:r>
      <w:r>
        <w:t xml:space="preserve"> codes (International Standard Classification of Occupations, or ISCO) using publicly available concordance tables.</w:t>
      </w:r>
      <w:r w:rsidR="006C1C38">
        <w:rPr>
          <w:rStyle w:val="FootnoteReference"/>
        </w:rPr>
        <w:footnoteReference w:id="16"/>
      </w:r>
      <w:r>
        <w:t xml:space="preserve"> From here, the Australian Bureau of Statistics produces tables to allow the international </w:t>
      </w:r>
      <w:r w:rsidRPr="003207ED">
        <w:t>job</w:t>
      </w:r>
      <w:r w:rsidR="00452887">
        <w:t xml:space="preserve"> codes to be converted to six-</w:t>
      </w:r>
      <w:r>
        <w:t xml:space="preserve">digit Australian </w:t>
      </w:r>
      <w:r w:rsidRPr="003207ED">
        <w:t>job</w:t>
      </w:r>
      <w:r>
        <w:t xml:space="preserve"> codes (the Australian and New Zealand Standard Classification of Occupations,</w:t>
      </w:r>
      <w:r w:rsidR="00452887">
        <w:t xml:space="preserve"> or ANZSCO) and then on to four-</w:t>
      </w:r>
      <w:r>
        <w:t xml:space="preserve">digit Australian </w:t>
      </w:r>
      <w:r w:rsidRPr="003207ED">
        <w:t>job</w:t>
      </w:r>
      <w:r>
        <w:t xml:space="preserve"> codes.</w:t>
      </w:r>
      <w:r w:rsidR="006C1C38">
        <w:rPr>
          <w:rStyle w:val="FootnoteReference"/>
        </w:rPr>
        <w:footnoteReference w:id="17"/>
      </w:r>
    </w:p>
    <w:p w:rsidR="00610F44" w:rsidRDefault="00610F44" w:rsidP="00610F44">
      <w:pPr>
        <w:spacing w:before="200"/>
      </w:pPr>
      <w:r>
        <w:t xml:space="preserve">US </w:t>
      </w:r>
      <w:r w:rsidRPr="003207ED">
        <w:t>job</w:t>
      </w:r>
      <w:r>
        <w:t xml:space="preserve"> scores cannot simply be divided equally between their international or Australian counterparts. While both US ‘tax preparers’ (with an unfortunate automation score of 99) and ‘accountants and auditors’ (only marginally less automatable at 94) correlate to Australian ‘accountants’, US ‘accountants and auditors’ contribute to a far greater share of the workforce by a factor of almost 15. Treating these occupations equally would distort the Australian automation scores. Therefore, automation scores of US occupations are weighted according to US employment figures</w:t>
      </w:r>
      <w:bookmarkStart w:id="11" w:name="_Ref410305286"/>
      <w:r>
        <w:rPr>
          <w:rStyle w:val="FootnoteReference"/>
        </w:rPr>
        <w:footnoteReference w:id="18"/>
      </w:r>
      <w:bookmarkEnd w:id="11"/>
      <w:r>
        <w:t xml:space="preserve"> for that occupation</w:t>
      </w:r>
      <w:r>
        <w:rPr>
          <w:rStyle w:val="FootnoteReference"/>
        </w:rPr>
        <w:footnoteReference w:id="19"/>
      </w:r>
      <w:r>
        <w:t>, relative to the total employed that are contributing to the Australian occupation.</w:t>
      </w:r>
    </w:p>
    <w:p w:rsidR="00610F44" w:rsidRDefault="00610F44" w:rsidP="00610F44">
      <w:pPr>
        <w:spacing w:before="200"/>
      </w:pPr>
      <w:r>
        <w:t xml:space="preserve">Several Australian occupations are missing from the final results. First, due to the nature of concordances not every Australian </w:t>
      </w:r>
      <w:r w:rsidRPr="003207ED">
        <w:t>job</w:t>
      </w:r>
      <w:r>
        <w:t xml:space="preserve"> has a US counterpart. Second, US employment data is not available for a small number of US occupations</w:t>
      </w:r>
      <w:r>
        <w:rPr>
          <w:rStyle w:val="FootnoteReference"/>
        </w:rPr>
        <w:footnoteReference w:id="20"/>
      </w:r>
      <w:r>
        <w:t xml:space="preserve">, and therefore weights cannot be adequately constructed. Lastly, even when an Australian </w:t>
      </w:r>
      <w:r w:rsidRPr="003207ED">
        <w:t>job</w:t>
      </w:r>
      <w:r>
        <w:t xml:space="preserve"> has a US counterpart with adequate employment data, the original Oxford study did not calculate an automation score for some US </w:t>
      </w:r>
      <w:r w:rsidRPr="003207ED">
        <w:t>job</w:t>
      </w:r>
      <w:r>
        <w:t>s due to limitations of data. Therefore, even though Australian anaesthetists (ANZSCO 2532) correlate to US anaesthesiologists (SOC 29</w:t>
      </w:r>
      <w:r w:rsidR="0033113B">
        <w:t>–</w:t>
      </w:r>
      <w:r>
        <w:t>1061), an automation score is not available to be</w:t>
      </w:r>
      <w:r w:rsidR="00452887">
        <w:t xml:space="preserve"> brought across. 23 of 358 four-</w:t>
      </w:r>
      <w:r>
        <w:t xml:space="preserve">digit ANZSCO occupations are not included due to the above three limitations, and are found listed at the rear of Appendix </w:t>
      </w:r>
      <w:r w:rsidR="005A3027">
        <w:t>C</w:t>
      </w:r>
      <w:r>
        <w:t>.</w:t>
      </w:r>
    </w:p>
    <w:p w:rsidR="00610F44" w:rsidRDefault="00610F44" w:rsidP="00610F44">
      <w:pPr>
        <w:spacing w:before="200"/>
      </w:pPr>
      <w:r>
        <w:t>The remaining 435</w:t>
      </w:r>
      <w:r>
        <w:rPr>
          <w:rStyle w:val="FootnoteReference"/>
        </w:rPr>
        <w:footnoteReference w:id="21"/>
      </w:r>
      <w:r w:rsidR="00452887">
        <w:t xml:space="preserve"> four-</w:t>
      </w:r>
      <w:r>
        <w:t>digit ANZSCO occupations and their automation scores, representing 93.3 per cent of Australian employment,</w:t>
      </w:r>
      <w:r w:rsidR="006C1C38">
        <w:rPr>
          <w:rStyle w:val="FootnoteReference"/>
        </w:rPr>
        <w:footnoteReference w:id="22"/>
      </w:r>
      <w:r>
        <w:t xml:space="preserve"> are at</w:t>
      </w:r>
      <w:r w:rsidR="00EC6A26">
        <w:br/>
      </w:r>
      <w:r>
        <w:t xml:space="preserve">Appendix </w:t>
      </w:r>
      <w:r w:rsidR="005A3027">
        <w:t>C</w:t>
      </w:r>
      <w:r>
        <w:t>.</w:t>
      </w:r>
    </w:p>
    <w:p w:rsidR="00610F44" w:rsidRPr="00A11D7B" w:rsidRDefault="00610F44" w:rsidP="00610F44">
      <w:pPr>
        <w:pStyle w:val="BodyText"/>
      </w:pPr>
    </w:p>
    <w:p w:rsidR="00610F44" w:rsidRDefault="00610F44" w:rsidP="00610F44">
      <w:pPr>
        <w:pStyle w:val="Heading6"/>
        <w:numPr>
          <w:ilvl w:val="5"/>
          <w:numId w:val="3"/>
        </w:numPr>
      </w:pPr>
      <w:bookmarkStart w:id="12" w:name="_Ref422765169"/>
      <w:r>
        <w:t>Occupational characteristics</w:t>
      </w:r>
      <w:bookmarkEnd w:id="12"/>
    </w:p>
    <w:p w:rsidR="00610F44" w:rsidRPr="00F26BD3" w:rsidRDefault="00610F44" w:rsidP="00610F44">
      <w:pPr>
        <w:pStyle w:val="Heading3"/>
        <w:numPr>
          <w:ilvl w:val="0"/>
          <w:numId w:val="0"/>
        </w:numPr>
        <w:ind w:left="2835" w:hanging="675"/>
      </w:pPr>
      <w:r w:rsidRPr="00F26BD3">
        <w:t>Education</w:t>
      </w:r>
    </w:p>
    <w:p w:rsidR="00610F44" w:rsidRDefault="00610F44" w:rsidP="00610F44">
      <w:pPr>
        <w:spacing w:before="200"/>
      </w:pPr>
      <w:r>
        <w:t xml:space="preserve">There is a strong relationship between a </w:t>
      </w:r>
      <w:r w:rsidRPr="003207ED">
        <w:t>job</w:t>
      </w:r>
      <w:r>
        <w:t xml:space="preserve">’s automation score and the number of workers in that </w:t>
      </w:r>
      <w:r w:rsidRPr="003207ED">
        <w:t>job</w:t>
      </w:r>
      <w:r>
        <w:t xml:space="preserve"> who have tertiary qualifications. </w:t>
      </w:r>
    </w:p>
    <w:p w:rsidR="00610F44" w:rsidRDefault="00610F44" w:rsidP="00610F44">
      <w:pPr>
        <w:pStyle w:val="CaptionWide"/>
      </w:pPr>
      <w:r>
        <w:t>Figure</w:t>
      </w:r>
      <w:r w:rsidRPr="000618FB">
        <w:t xml:space="preserve"> </w:t>
      </w:r>
      <w:r w:rsidR="00E02D6F">
        <w:t>B</w:t>
      </w:r>
      <w:r w:rsidR="006F6A92">
        <w:t>1</w:t>
      </w:r>
      <w:r w:rsidRPr="000618FB">
        <w:t xml:space="preserve">: </w:t>
      </w:r>
      <w:r>
        <w:t>Relationship between tertiary education and automation score, 2014</w:t>
      </w:r>
    </w:p>
    <w:p w:rsidR="00EA23F1" w:rsidRPr="00EA23F1" w:rsidRDefault="00EA23F1" w:rsidP="00EA23F1">
      <w:pPr>
        <w:pStyle w:val="PlaceholderWide"/>
      </w:pPr>
      <w:r>
        <w:rPr>
          <w:noProof/>
          <w:lang w:eastAsia="en-AU"/>
        </w:rPr>
        <w:drawing>
          <wp:inline distT="0" distB="0" distL="0" distR="0">
            <wp:extent cx="5731510" cy="3296920"/>
            <wp:effectExtent l="0" t="0" r="2540" b="0"/>
            <wp:docPr id="43" name="Picture 43" descr="This scatter plot shows the relationship between an occupation's automation score, and the portion of tertiary qualified people who work in that occupation. A downward sloping trend line shows that the higher an occupation's automation score, the lower that occupation's portion of tertiary educated workers is. It also points out two outliers - hairdresser and accountant. Although accountants have quite a high proportion of tertiary educated workers, the occupation also has a high automation score (placing it on the top right of the graph). In contrast, a hairdresser is in the bottom left of the graph, indicating that it has both a low automation score, but a low number of tertiary educated workers." title="Figure B1: Relationship between tertiary education and automation sco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3296920"/>
                    </a:xfrm>
                    <a:prstGeom prst="rect">
                      <a:avLst/>
                    </a:prstGeom>
                  </pic:spPr>
                </pic:pic>
              </a:graphicData>
            </a:graphic>
          </wp:inline>
        </w:drawing>
      </w:r>
    </w:p>
    <w:p w:rsidR="00610F44" w:rsidRDefault="00610F44" w:rsidP="00610F44">
      <w:pPr>
        <w:pStyle w:val="SourceWide"/>
      </w:pPr>
      <w:r w:rsidRPr="00C62F3A">
        <w:t xml:space="preserve">Source: </w:t>
      </w:r>
      <w:r w:rsidR="00C738FC">
        <w:t>Department of Industry, Innovation and Science</w:t>
      </w:r>
      <w:r w:rsidR="003721C0">
        <w:t xml:space="preserve"> analysis (2015),</w:t>
      </w:r>
      <w:r>
        <w:t xml:space="preserve"> Australian Bureau of Statistics (2014c)</w:t>
      </w:r>
    </w:p>
    <w:p w:rsidR="00610F44" w:rsidRDefault="00610F44" w:rsidP="00610F44">
      <w:pPr>
        <w:spacing w:before="200"/>
      </w:pPr>
      <w:r>
        <w:t xml:space="preserve">Although there exists a strong relationship between education and automation, there are occupations that do not follow this pattern. For example, while hairdressers are one of the least </w:t>
      </w:r>
      <w:r w:rsidRPr="002F4669">
        <w:rPr>
          <w:color w:val="595A5B" w:themeColor="text1"/>
        </w:rPr>
        <w:t xml:space="preserve">educated </w:t>
      </w:r>
      <w:r>
        <w:t>professions in the workforce, their automation score of only 15.8 rivals many. And while accountants have a college degree or higher 80 per cent of the time, their automation score of 94.3 places them in the 25 most automatable occupations.</w:t>
      </w:r>
    </w:p>
    <w:p w:rsidR="00610F44" w:rsidRDefault="00610F44" w:rsidP="00610F44">
      <w:pPr>
        <w:pStyle w:val="Heading3"/>
        <w:numPr>
          <w:ilvl w:val="0"/>
          <w:numId w:val="0"/>
        </w:numPr>
        <w:ind w:left="2835" w:hanging="675"/>
      </w:pPr>
      <w:r>
        <w:t>Earnings</w:t>
      </w:r>
    </w:p>
    <w:p w:rsidR="00610F44" w:rsidRDefault="00610F44" w:rsidP="00610F44">
      <w:pPr>
        <w:spacing w:before="200"/>
      </w:pPr>
      <w:r>
        <w:t xml:space="preserve">Earnings also play an important role in the relationship between automation and workers. As shown in </w:t>
      </w:r>
      <w:r w:rsidR="009A1E51">
        <w:t>Figure B2</w:t>
      </w:r>
      <w:r>
        <w:t>, the occupations most susceptible to automation receive an average weekly income of $1,042. Those occupations least susceptible to automation receive a substantially larger pay packet — an average of $1,587 a week. Evidently those occupations least likely to be automated — those involving manual dexterity, social perceptiveness and originality for example — allow their workers to demand almost $30,000 extra in earnings per year than their at-</w:t>
      </w:r>
      <w:r w:rsidRPr="003C199C">
        <w:t>risk</w:t>
      </w:r>
      <w:r>
        <w:t xml:space="preserve"> colleagues.</w:t>
      </w:r>
    </w:p>
    <w:p w:rsidR="00610F44" w:rsidRDefault="00610F44" w:rsidP="00610F44">
      <w:pPr>
        <w:pStyle w:val="CaptionWide"/>
      </w:pPr>
      <w:bookmarkStart w:id="13" w:name="_Ref422765759"/>
      <w:r>
        <w:t>Figure</w:t>
      </w:r>
      <w:r w:rsidRPr="000618FB">
        <w:t xml:space="preserve"> </w:t>
      </w:r>
      <w:bookmarkEnd w:id="13"/>
      <w:r w:rsidR="00E02D6F">
        <w:t>B</w:t>
      </w:r>
      <w:r w:rsidR="0033113B">
        <w:t>2</w:t>
      </w:r>
      <w:r w:rsidRPr="000618FB">
        <w:t xml:space="preserve">: </w:t>
      </w:r>
      <w:r>
        <w:t>Relationship between average weekly earnings and automation score, 2014</w:t>
      </w:r>
    </w:p>
    <w:p w:rsidR="00610F44" w:rsidRDefault="00E836B2" w:rsidP="00610F44">
      <w:pPr>
        <w:pStyle w:val="PlaceholderWide"/>
      </w:pPr>
      <w:r>
        <w:rPr>
          <w:noProof/>
          <w:lang w:eastAsia="en-AU"/>
        </w:rPr>
        <w:drawing>
          <wp:inline distT="0" distB="0" distL="0" distR="0" wp14:anchorId="0FBB1D0A" wp14:editId="1855D2AA">
            <wp:extent cx="5731510" cy="3937635"/>
            <wp:effectExtent l="0" t="0" r="2540" b="5715"/>
            <wp:docPr id="44" name="Picture 44" descr="This scatter plot shows the relationship between average weekly earning and automation score. The graph has a downward trend, indicating that the higher an occupation's automation score, the lower its weekly earnings are. It highlights that low automation score occupations have an average weekly earnings of $1,587, while occupations with a high automation score have an average weekly earnings of $1,042." title="Figure B2: Relationship between average weekly earnings and automation sco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3937635"/>
                    </a:xfrm>
                    <a:prstGeom prst="rect">
                      <a:avLst/>
                    </a:prstGeom>
                  </pic:spPr>
                </pic:pic>
              </a:graphicData>
            </a:graphic>
          </wp:inline>
        </w:drawing>
      </w:r>
    </w:p>
    <w:p w:rsidR="00610F44" w:rsidRPr="0020396A" w:rsidRDefault="00610F44" w:rsidP="00610F44">
      <w:pPr>
        <w:pStyle w:val="PlaceholderWide"/>
      </w:pPr>
    </w:p>
    <w:p w:rsidR="00610F44" w:rsidRDefault="00610F44" w:rsidP="00610F44">
      <w:pPr>
        <w:pStyle w:val="SourceWide"/>
      </w:pPr>
      <w:r w:rsidRPr="00C62F3A">
        <w:t xml:space="preserve">Source: </w:t>
      </w:r>
      <w:r w:rsidR="00C738FC">
        <w:t>Department of Industry, Innovation and Science</w:t>
      </w:r>
      <w:r w:rsidR="003721C0">
        <w:t xml:space="preserve"> analysis (2015),</w:t>
      </w:r>
      <w:r>
        <w:t xml:space="preserve"> Australian Bureau of Statistics (2015)</w:t>
      </w:r>
    </w:p>
    <w:p w:rsidR="00610F44" w:rsidRDefault="00610F44" w:rsidP="00610F44">
      <w:pPr>
        <w:pStyle w:val="Heading3"/>
        <w:numPr>
          <w:ilvl w:val="0"/>
          <w:numId w:val="0"/>
        </w:numPr>
        <w:ind w:left="2835" w:hanging="675"/>
      </w:pPr>
      <w:r>
        <w:t>Unemployment</w:t>
      </w:r>
    </w:p>
    <w:p w:rsidR="00610F44" w:rsidRDefault="00610F44" w:rsidP="00610F44">
      <w:pPr>
        <w:spacing w:before="200"/>
      </w:pPr>
      <w:r>
        <w:t>Those occupations where automation capability will likely exist are already experiencing increased unemployment. The one obvious outlier is the stage profession</w:t>
      </w:r>
      <w:r w:rsidR="0033113B">
        <w:t xml:space="preserve"> — </w:t>
      </w:r>
      <w:r>
        <w:t>actors, dancers and other entertainers. Although their automation score is a relatively low 21.4, the occupation experiences over 16 per cent unemployment</w:t>
      </w:r>
      <w:r w:rsidR="0033113B">
        <w:t xml:space="preserve"> — </w:t>
      </w:r>
      <w:r>
        <w:t>the fifth highest on our list.</w:t>
      </w:r>
    </w:p>
    <w:p w:rsidR="00610F44" w:rsidRDefault="00610F44" w:rsidP="00610F44">
      <w:pPr>
        <w:pStyle w:val="CaptionWide"/>
      </w:pPr>
      <w:r>
        <w:t>Figure</w:t>
      </w:r>
      <w:r w:rsidRPr="000618FB">
        <w:t xml:space="preserve"> </w:t>
      </w:r>
      <w:r w:rsidR="00E02D6F">
        <w:t>B3</w:t>
      </w:r>
      <w:r w:rsidRPr="000618FB">
        <w:t xml:space="preserve">: </w:t>
      </w:r>
      <w:r>
        <w:t>Relationship between an occupation’s unemployment rate and automation score, 2014</w:t>
      </w:r>
    </w:p>
    <w:p w:rsidR="002D2F82" w:rsidRPr="002D2F82" w:rsidRDefault="002D2F82" w:rsidP="002D2F82">
      <w:pPr>
        <w:pStyle w:val="PlaceholderWide"/>
      </w:pPr>
      <w:r>
        <w:rPr>
          <w:noProof/>
          <w:lang w:eastAsia="en-AU"/>
        </w:rPr>
        <w:drawing>
          <wp:inline distT="0" distB="0" distL="0" distR="0" wp14:anchorId="287F78DC" wp14:editId="3D4C5767">
            <wp:extent cx="5731510" cy="4115435"/>
            <wp:effectExtent l="0" t="0" r="2540" b="0"/>
            <wp:docPr id="49" name="Picture 49" descr="This scatter plot shows the relationship between an occupation's unemployment rate and automation score. The graph has an upwards trend, indicating that the higher an occupation's automation score, the higher its unemployment rate is. It highlights that low automation score occupations have an average unemployment rate of 2.6 per cent, while occupations with a high automation score have an average unemployment rate of 5.1 per cent." title="Figure B3: Relationship between an occupation’s unemployment rate and automation sco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B3.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4115435"/>
                    </a:xfrm>
                    <a:prstGeom prst="rect">
                      <a:avLst/>
                    </a:prstGeom>
                  </pic:spPr>
                </pic:pic>
              </a:graphicData>
            </a:graphic>
          </wp:inline>
        </w:drawing>
      </w:r>
    </w:p>
    <w:p w:rsidR="00610F44" w:rsidRPr="00C62F3A" w:rsidRDefault="00610F44" w:rsidP="00610F44">
      <w:pPr>
        <w:pStyle w:val="NoteWide"/>
      </w:pPr>
      <w:r w:rsidRPr="00C62F3A">
        <w:t xml:space="preserve">Note: </w:t>
      </w:r>
      <w:r>
        <w:t>Economy-wide unemployment currently stands at around 6.3 per</w:t>
      </w:r>
      <w:r w:rsidR="0033113B">
        <w:t xml:space="preserve"> </w:t>
      </w:r>
      <w:r>
        <w:t>cent. This figure is larger than the weighted average of the occupation unemployment rate figures (3.7 per</w:t>
      </w:r>
      <w:r w:rsidR="0033113B">
        <w:t xml:space="preserve"> </w:t>
      </w:r>
      <w:r>
        <w:t>cent) as the long-term unemployed are not included in occupation-specific unemployment.</w:t>
      </w:r>
    </w:p>
    <w:p w:rsidR="00610F44" w:rsidRDefault="00610F44" w:rsidP="00610F44">
      <w:pPr>
        <w:pStyle w:val="SourceWide"/>
      </w:pPr>
      <w:r w:rsidRPr="00C62F3A">
        <w:t xml:space="preserve">Source: </w:t>
      </w:r>
      <w:r w:rsidR="00C738FC">
        <w:t>Department of Industry, Innovation and Science</w:t>
      </w:r>
      <w:r w:rsidR="003721C0">
        <w:t xml:space="preserve"> analysis (2015),</w:t>
      </w:r>
      <w:r>
        <w:t xml:space="preserve"> Australian Bureau of Statistics (2014d)</w:t>
      </w:r>
    </w:p>
    <w:p w:rsidR="00610F44" w:rsidRPr="00611BE8" w:rsidRDefault="00610F44" w:rsidP="00610F44">
      <w:pPr>
        <w:pStyle w:val="BodyText"/>
      </w:pPr>
    </w:p>
    <w:p w:rsidR="00610F44" w:rsidRDefault="00610F44" w:rsidP="00610F44">
      <w:pPr>
        <w:pStyle w:val="Heading6"/>
        <w:numPr>
          <w:ilvl w:val="5"/>
          <w:numId w:val="3"/>
        </w:numPr>
      </w:pPr>
      <w:bookmarkStart w:id="14" w:name="_Ref422236553"/>
      <w:bookmarkStart w:id="15" w:name="_Ref422765813"/>
      <w:bookmarkEnd w:id="14"/>
      <w:r>
        <w:t>Automation scores</w:t>
      </w:r>
      <w:bookmarkEnd w:id="15"/>
    </w:p>
    <w:p w:rsidR="00610F44" w:rsidRPr="000618FB" w:rsidRDefault="00610F44" w:rsidP="00610F44">
      <w:pPr>
        <w:pStyle w:val="Caption"/>
      </w:pPr>
      <w:r w:rsidRPr="000618FB">
        <w:t xml:space="preserve">Table </w:t>
      </w:r>
      <w:r w:rsidR="00B86723">
        <w:t>C</w:t>
      </w:r>
      <w:fldSimple w:instr=" SEQ Table \* ARABIC \s 6 " w:fldLock="1">
        <w:r>
          <w:rPr>
            <w:noProof/>
          </w:rPr>
          <w:t>1</w:t>
        </w:r>
      </w:fldSimple>
      <w:r w:rsidRPr="000618FB">
        <w:t xml:space="preserve">: </w:t>
      </w:r>
      <w:r>
        <w:t>Automation susceptibility of Australian occupations</w:t>
      </w:r>
    </w:p>
    <w:tbl>
      <w:tblPr>
        <w:tblW w:w="7008" w:type="dxa"/>
        <w:tblInd w:w="2234" w:type="dxa"/>
        <w:shd w:val="clear" w:color="auto" w:fill="CAE7F3" w:themeFill="accent1" w:themeFillTint="33"/>
        <w:tblLook w:val="04A0" w:firstRow="1" w:lastRow="0" w:firstColumn="1" w:lastColumn="0" w:noHBand="0" w:noVBand="1"/>
      </w:tblPr>
      <w:tblGrid>
        <w:gridCol w:w="1135"/>
        <w:gridCol w:w="4807"/>
        <w:gridCol w:w="1066"/>
      </w:tblGrid>
      <w:tr w:rsidR="00610F44" w:rsidRPr="005B2DB3" w:rsidTr="006F6A92">
        <w:trPr>
          <w:trHeight w:val="426"/>
          <w:tblHeader/>
        </w:trPr>
        <w:tc>
          <w:tcPr>
            <w:tcW w:w="1135" w:type="dxa"/>
            <w:shd w:val="clear" w:color="auto" w:fill="22789A" w:themeFill="accent1"/>
            <w:hideMark/>
          </w:tcPr>
          <w:p w:rsidR="00610F44" w:rsidRPr="005B2DB3" w:rsidRDefault="00610F44" w:rsidP="006F6A92">
            <w:pPr>
              <w:pStyle w:val="Tableheader"/>
              <w:rPr>
                <w:lang w:eastAsia="en-AU"/>
              </w:rPr>
            </w:pPr>
            <w:r w:rsidRPr="005B2DB3">
              <w:rPr>
                <w:lang w:eastAsia="en-AU"/>
              </w:rPr>
              <w:t>ANZSCO</w:t>
            </w:r>
          </w:p>
        </w:tc>
        <w:tc>
          <w:tcPr>
            <w:tcW w:w="4807" w:type="dxa"/>
            <w:shd w:val="clear" w:color="auto" w:fill="22789A" w:themeFill="accent1"/>
            <w:hideMark/>
          </w:tcPr>
          <w:p w:rsidR="00610F44" w:rsidRPr="005B2DB3" w:rsidRDefault="00610F44" w:rsidP="006F6A92">
            <w:pPr>
              <w:pStyle w:val="Tableheader"/>
              <w:rPr>
                <w:lang w:eastAsia="en-AU"/>
              </w:rPr>
            </w:pPr>
            <w:r w:rsidRPr="005B2DB3">
              <w:rPr>
                <w:lang w:eastAsia="en-AU"/>
              </w:rPr>
              <w:t>Occupation</w:t>
            </w:r>
          </w:p>
        </w:tc>
        <w:tc>
          <w:tcPr>
            <w:tcW w:w="1066" w:type="dxa"/>
            <w:shd w:val="clear" w:color="auto" w:fill="22789A" w:themeFill="accent1"/>
            <w:hideMark/>
          </w:tcPr>
          <w:p w:rsidR="00610F44" w:rsidRPr="005B2DB3" w:rsidRDefault="00610F44" w:rsidP="006F6A92">
            <w:pPr>
              <w:pStyle w:val="Tableheader"/>
              <w:jc w:val="right"/>
              <w:rPr>
                <w:lang w:eastAsia="en-AU"/>
              </w:rPr>
            </w:pPr>
            <w:r w:rsidRPr="005B2DB3">
              <w:rPr>
                <w:lang w:eastAsia="en-AU"/>
              </w:rPr>
              <w:t>Score</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bookmarkStart w:id="16" w:name="RANGE!A2:A336"/>
            <w:r w:rsidRPr="005B2DB3">
              <w:rPr>
                <w:lang w:eastAsia="en-AU"/>
              </w:rPr>
              <w:t>1111</w:t>
            </w:r>
            <w:bookmarkEnd w:id="16"/>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Chief executives and managing directors</w:t>
            </w:r>
          </w:p>
        </w:tc>
        <w:tc>
          <w:tcPr>
            <w:tcW w:w="1066" w:type="dxa"/>
            <w:shd w:val="clear" w:color="auto" w:fill="auto"/>
            <w:noWrap/>
            <w:hideMark/>
          </w:tcPr>
          <w:p w:rsidR="00610F44" w:rsidRPr="005B2DB3" w:rsidRDefault="00610F44" w:rsidP="006F6A92">
            <w:pPr>
              <w:pStyle w:val="Tabletext"/>
              <w:jc w:val="right"/>
              <w:rPr>
                <w:lang w:eastAsia="en-AU"/>
              </w:rPr>
            </w:pPr>
            <w:bookmarkStart w:id="17" w:name="RANGE!G2:G336"/>
            <w:r w:rsidRPr="005B2DB3">
              <w:rPr>
                <w:lang w:eastAsia="en-AU"/>
              </w:rPr>
              <w:t>14.0</w:t>
            </w:r>
            <w:bookmarkEnd w:id="17"/>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1112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General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14.0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Aquaculture farmers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31.2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1212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Crop farmers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51.0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1213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Livestock farmers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37.4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1214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Mixed crop and livestock farmers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Advertising and sales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Corporate services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38.9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Finance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Human resource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11.3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Policy and planning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1325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Research and development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Construction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Engineering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Importers, exporters and wholesalers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23.9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1334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Manufacturers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1335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Production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1336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Supply and distribution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1341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Child care centre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1342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Health and welfare services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1343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School principals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1344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education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1351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ICT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1391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Commissioned officers (management)</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1399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specialist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13.1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Cafe and restaurant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Caravan park and camping ground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Hotel and motel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Licensed club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accommodation and hospitality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26.1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Retail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16.1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1491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Amusement, fitness and sports centre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23.7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1492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Call or contact centre and customer service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49.9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1493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Conference and event organisers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1494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Transport services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1499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hospitality, retail and service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26.4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Actors, dancers and other entertainers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21.4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Music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Photographers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Visual arts and crafts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16.5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Artistic directors, and media producers and presenters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10.0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Authors, and book and script editors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38.5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Film, television, radio and stage directors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2124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Journalists and other writers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17.0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Accountants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94.3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Auditors, company secretaries and corporate treasurers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76.3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Financial brokers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Financial dealers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20.5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Financial investment advisers and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43.8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Human resource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24.8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ICT trainers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Training and development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Actuaries, mathematicians and statisticians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11.9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Archivists, curators and records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Economists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Intelligence and policy analysts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Land economists and valuers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67.6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Librarians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59.5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Management and organisation analysts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10.9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2249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information and organisation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35.2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2251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Advertising and marketing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58.2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2252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ICT sales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2253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Public relations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18.0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2254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Technical sales representatives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21.7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Air transport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Marine transport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20.0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Architects and landscape architects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Cartographers and surveyors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48.7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Fashion, industrial and jewellery designers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Graphic and web designers, and illustrators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2325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Interior designers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2326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Urban and regional planners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Chemical and materials engineers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Civil engineering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Electrical engineers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10.0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2334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Electronics engineers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12.9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2335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Industrial, mechanical and production engineers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2336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Mining engineers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12.0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2339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engineering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Agricultural and forestry scientists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Chemists, and food and wine scientists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Environmental scientists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Geologists and geophysicists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53.2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Life scientists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Medical laboratory scientists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59.8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Veterinarians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2349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natural and physical science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16.1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Early childhood (pre-primary school) teachers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Primary school teachers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Secondary school teachers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Special education teachers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Vocational education teachers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2491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Education advisers and reviewers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2492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Private tutors and teachers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11.9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2493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Teachers of English to speakers of other languages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17.1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Dietitians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Medical imaging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30.2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Occupational and environmental health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12.0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Optometrists and orthoptists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14.0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Pharmacists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health diagnostic and promotion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41.9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Chiropractors and osteopaths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Complementary health therapists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Dental practitioners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Occupational therapists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2525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Physiotherapists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2526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Podiatrists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2527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Speech professionals and audiologists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2611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ICT business and systems analysts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2613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Software and applications programmers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27.3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2621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Database and systems administrators, and ict security specialists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2631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Computer network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2633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Telecommunications engineering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Barristers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Judicial and other legal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Solicitors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Counsellors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Ministers of religion</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Psychologists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0.5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Social professionals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24.6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2725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Social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2726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Welfare, recreation and community arts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Agricultural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73.1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Medical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61.7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Primary products inspectors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33.7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Science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Architectural, building and surveying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45.3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Civil engineering draftspersons and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Electrical engineering draftspersons and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77.3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Electronic engineering draftspersons and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82.8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3125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Mechanical engineering draftspersons and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56.1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3126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Safety inspectors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21.1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3129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building and engineering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43.5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ICT support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31.0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3132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Telecommunications technical specialists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73.2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Automotive electricians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59.2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Motor mechanics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Metal casting, forging and finishing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92.2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Sheetmetal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80.7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Structural steel and welding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Aircraft maintenance engineers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52.4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Metal fitters and machinists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64.4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Precision metal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55.8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3234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Toolmakers and engineering patternmakers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3241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Panelbeaters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80.7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3242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Vehicle body builders and trimmers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68.2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3243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Vehicle painters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79.6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Bricklayers and stonemasons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Carpenters and joiners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72.0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Floor finishers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80.6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Painting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75.2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Glaziers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Plasterers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77.5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Roof tilers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90.0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3334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Wall and floor tilers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80.6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3341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Plumbers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40.3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3411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Electricians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27.7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3421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Airconditioning and refrigeration mechanics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56.3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3422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Electrical distribution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3423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Electronics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47.9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3424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Telecommunications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44.8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3511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Bakers and pastry</w:t>
            </w:r>
            <w:r w:rsidR="00EC6A26">
              <w:rPr>
                <w:lang w:eastAsia="en-AU"/>
              </w:rPr>
              <w:t xml:space="preserve"> </w:t>
            </w:r>
            <w:r w:rsidRPr="005B2DB3">
              <w:rPr>
                <w:lang w:eastAsia="en-AU"/>
              </w:rPr>
              <w:t>cooks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3512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Butchers and smallgoods makers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86.4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3513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Chefs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52.2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3514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Cooks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86.2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3611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Animal attendants and trainers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73.9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3612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Shearers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3613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Veterinary nurses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42.6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3621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Florists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40.0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3622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Gardeners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3623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Greenkeepers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3624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Nurserypersons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Hairdressers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15.8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Binders, finishers and screen printers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90.1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Graphic pre-press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74.8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Printers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Canvas and leather goods makers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69.9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Clothing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80.9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Upholsterers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3941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Cabinetmakers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91.3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3942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Wood machinists and other wood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90.7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3991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Boat builders and shipwrights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3992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Chemical, gas, petroleum and power generation plant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60.3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3993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Gallery, library and museum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90.7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3994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Jewellers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3995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Performing arts technicians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49.6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3996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Signwriters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93.3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3999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miscellaneous technicians and trades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46.6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4111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Ambulance officers and paramedics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49.4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4112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Dental hygienists, technicians and therapists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67.0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4113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Diversional therapists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4114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Enrolled and mothercraft nurses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4116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Massage therapists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27.2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4117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Welfare support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12.7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Child carers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4221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Education aides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4231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Aged and disabled carers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4232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Dental assistants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60.1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4233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Nursing support and personal care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47.4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4234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Special care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Bar attendants and baristas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77.0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4312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Cafe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92.9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4313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Gaming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76.9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4314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Hotel service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94.0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4315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Waiters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93.6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4319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hospitality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66.2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4412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Fire and emergency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4413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Police</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10.4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4421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Prison officers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54.6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4422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Security officers and guards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Beauty therapists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Driving instructors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13.0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Funeral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Gallery, museum and tour guides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61.0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Personal care consultants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Tourism and travel advisers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45.6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Travel attendants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35.4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4518</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personal service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Fitness instructors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Outdoor adventure guides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Sports coaches, instructors and officials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4524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Sportspersons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40.3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5111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Contract, program and project administrators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34.7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5121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Office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1.4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5122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Practice managers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60.2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Personal assistants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5212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Secretaries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General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5321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Keyboard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5411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Call or contact centre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52.3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5412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Inquiry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5421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Receptionists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91.6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5511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Accounting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97.2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5512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Bookkeepers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97.7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5513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Payroll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97.0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5521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Bank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97.8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5522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Credit and loans officers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90.1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5523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Insurance, money market and statistical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92.6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5611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Betting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76.9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5612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Couriers and postal deliverers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77.8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5613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Filing and registry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94.5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5614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Mail sorters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77.2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5615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Survey interviewers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94.0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5616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Switchboard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96.1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5619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clerical and office support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96.7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Purchasing and supply logistics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75.3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Transport and despatch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83.5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Conveyancers and legal executives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86.5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Court and legal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87.5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Debt collectors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Human resource clerks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90.0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Inspectors and regulatory officers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42.8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Insurance investigators, loss adjusters and risk surveyors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96.6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Library assistants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96.3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5999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miscellaneous clerical and administrative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67.3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6111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Auctioneers, and stock and station agents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34.7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6112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Insurance agents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88.5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6113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Sales representatives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77.9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6121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Real estate sales agents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79.5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Sales assistants (general)</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91.7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ICT sales assistants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92.3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Motor vehicle and vehicle parts salespersons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92.3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Pharmacy sales assistants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92.3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Retail supervisors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28.0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Service station attendants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75.5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Street vendors and related salespersons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94.0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6219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sales assistants and salespersons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96.2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Checkout operators and office cashiers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96.9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6391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Models and sales demonstrators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54.4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6392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Retail and wool buyers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64.1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6393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Telemarketers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6394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Ticket salespersons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93.2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6395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Visual merchandisers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28.4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6399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sales support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78.6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Clay, concrete, glass and stone processing machine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84.4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Industrial spraypainters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79.6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Paper and wood processing machine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80.1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Photographic developers and printers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67.1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Plastics and rubber production machine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87.9</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Sewing machinists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Textile and footwear production machine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71.7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machine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75.2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Crane, hoist and lift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72.0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Drillers, miners and shot firers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7123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Engineering production systems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7129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stationary plant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61.7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Agricultural, forestry and horticultural plant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7212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Earthmoving plant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93.2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7213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Forklift drivers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91.0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7219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mobile plant operators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82.1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Automobile drivers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78.7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7312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Bus and coach drivers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82.3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7313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Train and tram drivers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75.8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7321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Delivery drivers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78.7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7331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Truck drivers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78.4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7411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Storepersons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76.4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8111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Car detailers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37.0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8112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Commercial cleaners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65.5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8113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Domestic cleaners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69.0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8114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Housekeepers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70.6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8115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Laundry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73.1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8116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cleaners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78.5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Building and plumbing labourers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85.8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Concreters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90.0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Fencers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85.6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Insulation and home improvement installers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67.3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Paving and surfacing labourers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87.2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Railway track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87.2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Structural steel construction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77.7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8219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construction and mining labourers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56.7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Food and drink factory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74.2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Meat boners and slicers, and slaughterers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86.4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Meat, poultry and seafood process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85.2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8321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Packers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60.1</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8322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Product assemblers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8393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Product quality controllers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97.0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8394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Timber and wood process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79.4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8399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factory process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8413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Forestry and logging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8414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Garden and nursery labourers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95.0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8415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Livestock farm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61.8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8419</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farm, forestry and garden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67.5</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8511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Fast food cooks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82.8</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8512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Food trades assistants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84.3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8513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Kitchenhands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84.3</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8911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Freight and furniture handlers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76.7</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8912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Shelf fillers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64.0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8991</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Caretakers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66.0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8992</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Deck and fishing hands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69.4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8993</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Handypersons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65.4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8994</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Motor vehicle parts and accessories fitters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66.6</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8995</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Printing assistants and table workers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80.4</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8996</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Recycling and rubbish collectors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78.0</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r w:rsidRPr="005B2DB3">
              <w:rPr>
                <w:lang w:eastAsia="en-AU"/>
              </w:rPr>
              <w:t>8997</w:t>
            </w:r>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Vending machine attendants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89.2</w:t>
            </w:r>
          </w:p>
        </w:tc>
      </w:tr>
      <w:tr w:rsidR="00610F44" w:rsidRPr="005B2DB3" w:rsidTr="006F6A92">
        <w:trPr>
          <w:trHeight w:val="300"/>
        </w:trPr>
        <w:tc>
          <w:tcPr>
            <w:tcW w:w="1135" w:type="dxa"/>
            <w:shd w:val="clear" w:color="auto" w:fill="auto"/>
            <w:noWrap/>
            <w:hideMark/>
          </w:tcPr>
          <w:p w:rsidR="00610F44" w:rsidRPr="005B2DB3" w:rsidRDefault="00610F44" w:rsidP="006F6A92">
            <w:pPr>
              <w:pStyle w:val="Tabletext"/>
              <w:rPr>
                <w:lang w:eastAsia="en-AU"/>
              </w:rPr>
            </w:pPr>
            <w:bookmarkStart w:id="18" w:name="RANGE!A336"/>
            <w:r w:rsidRPr="005B2DB3">
              <w:rPr>
                <w:lang w:eastAsia="en-AU"/>
              </w:rPr>
              <w:t>8999</w:t>
            </w:r>
            <w:bookmarkEnd w:id="18"/>
          </w:p>
        </w:tc>
        <w:tc>
          <w:tcPr>
            <w:tcW w:w="4807" w:type="dxa"/>
            <w:shd w:val="clear" w:color="auto" w:fill="auto"/>
            <w:noWrap/>
            <w:hideMark/>
          </w:tcPr>
          <w:p w:rsidR="00610F44" w:rsidRPr="005B2DB3" w:rsidRDefault="00610F44" w:rsidP="006F6A92">
            <w:pPr>
              <w:pStyle w:val="Tabletext"/>
              <w:rPr>
                <w:lang w:eastAsia="en-AU"/>
              </w:rPr>
            </w:pPr>
            <w:r w:rsidRPr="005B2DB3">
              <w:rPr>
                <w:lang w:eastAsia="en-AU"/>
              </w:rPr>
              <w:t>Other miscellaneous labourers</w:t>
            </w:r>
          </w:p>
        </w:tc>
        <w:tc>
          <w:tcPr>
            <w:tcW w:w="1066" w:type="dxa"/>
            <w:shd w:val="clear" w:color="auto" w:fill="auto"/>
            <w:noWrap/>
            <w:hideMark/>
          </w:tcPr>
          <w:p w:rsidR="00610F44" w:rsidRPr="005B2DB3" w:rsidRDefault="00610F44" w:rsidP="006F6A92">
            <w:pPr>
              <w:pStyle w:val="Tabletext"/>
              <w:jc w:val="right"/>
              <w:rPr>
                <w:lang w:eastAsia="en-AU"/>
              </w:rPr>
            </w:pPr>
            <w:r w:rsidRPr="005B2DB3">
              <w:rPr>
                <w:lang w:eastAsia="en-AU"/>
              </w:rPr>
              <w:t>75.1</w:t>
            </w:r>
          </w:p>
        </w:tc>
      </w:tr>
    </w:tbl>
    <w:p w:rsidR="006F6A92" w:rsidRPr="00206370" w:rsidRDefault="006F6A92" w:rsidP="006F6A92">
      <w:pPr>
        <w:pStyle w:val="Source"/>
      </w:pPr>
      <w:r>
        <w:t xml:space="preserve">Source: </w:t>
      </w:r>
      <w:r w:rsidR="00C738FC">
        <w:t>Department of Industry, Innovation and Science</w:t>
      </w:r>
      <w:r w:rsidR="003721C0">
        <w:t xml:space="preserve"> analysis (2015)</w:t>
      </w:r>
    </w:p>
    <w:p w:rsidR="00610F44" w:rsidRDefault="00610F44" w:rsidP="00610F44">
      <w:pPr>
        <w:pStyle w:val="BodyText"/>
      </w:pPr>
    </w:p>
    <w:p w:rsidR="00610F44" w:rsidRPr="000618FB" w:rsidRDefault="00610F44" w:rsidP="00610F44">
      <w:pPr>
        <w:pStyle w:val="Caption"/>
      </w:pPr>
      <w:r w:rsidRPr="000618FB">
        <w:t xml:space="preserve">Table </w:t>
      </w:r>
      <w:r w:rsidR="00B86723">
        <w:t>C</w:t>
      </w:r>
      <w:fldSimple w:instr=" SEQ Table \* ARABIC \s 1 ">
        <w:r w:rsidR="00150797">
          <w:rPr>
            <w:noProof/>
          </w:rPr>
          <w:t>2</w:t>
        </w:r>
      </w:fldSimple>
      <w:r w:rsidRPr="000618FB">
        <w:t xml:space="preserve">: </w:t>
      </w:r>
      <w:r>
        <w:t>ANZSCO occupations not included in analysis</w:t>
      </w:r>
    </w:p>
    <w:tbl>
      <w:tblPr>
        <w:tblW w:w="6973" w:type="dxa"/>
        <w:tblInd w:w="2234" w:type="dxa"/>
        <w:shd w:val="clear" w:color="auto" w:fill="CAE7F3" w:themeFill="accent1" w:themeFillTint="33"/>
        <w:tblLook w:val="04A0" w:firstRow="1" w:lastRow="0" w:firstColumn="1" w:lastColumn="0" w:noHBand="0" w:noVBand="1"/>
      </w:tblPr>
      <w:tblGrid>
        <w:gridCol w:w="1135"/>
        <w:gridCol w:w="5838"/>
      </w:tblGrid>
      <w:tr w:rsidR="00610F44" w:rsidRPr="00B82DE3" w:rsidTr="006F6A92">
        <w:trPr>
          <w:trHeight w:val="315"/>
        </w:trPr>
        <w:tc>
          <w:tcPr>
            <w:tcW w:w="1135" w:type="dxa"/>
            <w:shd w:val="clear" w:color="auto" w:fill="22789A" w:themeFill="accent1"/>
            <w:noWrap/>
            <w:vAlign w:val="center"/>
            <w:hideMark/>
          </w:tcPr>
          <w:p w:rsidR="00610F44" w:rsidRPr="00B82DE3" w:rsidRDefault="00610F44" w:rsidP="006F6A92">
            <w:pPr>
              <w:pStyle w:val="Tableheader"/>
              <w:rPr>
                <w:lang w:eastAsia="en-AU"/>
              </w:rPr>
            </w:pPr>
            <w:r w:rsidRPr="00B82DE3">
              <w:rPr>
                <w:lang w:eastAsia="en-AU"/>
              </w:rPr>
              <w:t>A</w:t>
            </w:r>
            <w:r w:rsidR="00BF0554">
              <w:rPr>
                <w:lang w:eastAsia="en-AU"/>
              </w:rPr>
              <w:t>NZSCO</w:t>
            </w:r>
          </w:p>
        </w:tc>
        <w:tc>
          <w:tcPr>
            <w:tcW w:w="5838" w:type="dxa"/>
            <w:shd w:val="clear" w:color="auto" w:fill="22789A" w:themeFill="accent1"/>
            <w:noWrap/>
            <w:vAlign w:val="center"/>
            <w:hideMark/>
          </w:tcPr>
          <w:p w:rsidR="00610F44" w:rsidRPr="00B82DE3" w:rsidRDefault="00610F44" w:rsidP="006F6A92">
            <w:pPr>
              <w:pStyle w:val="Tableheader"/>
              <w:rPr>
                <w:lang w:eastAsia="en-AU"/>
              </w:rPr>
            </w:pPr>
            <w:r w:rsidRPr="00B82DE3">
              <w:rPr>
                <w:lang w:eastAsia="en-AU"/>
              </w:rPr>
              <w:t xml:space="preserve">Occupations </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1113</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Legislators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1392</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Senior non-commissioned defence force members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2413</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 xml:space="preserve">Middle school teachers </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2421</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University lecturers and tutors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2531</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Generalist medical practitioners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2532</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Anaesthetists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2533</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Internal medicine specialists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2534</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Psychiatrists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2535</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Surgeons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2539</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Other medical practitioners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2541</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Midwives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2542</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Nurse educators and researchers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2543</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Nurse managers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2544</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Registered nurses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2612</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Multimedia specialists and web developers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2632</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ICT support and test engineers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4115</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Indigenous health workers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4411</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Defence force members - other ranks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8391</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Metal engineering process workers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8392</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Plastics and rubber factory workers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8411</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Aquaculture workers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8412</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Crop farm workers</w:t>
            </w:r>
          </w:p>
        </w:tc>
      </w:tr>
      <w:tr w:rsidR="00610F44" w:rsidRPr="00B82DE3" w:rsidTr="006F6A92">
        <w:trPr>
          <w:trHeight w:val="315"/>
        </w:trPr>
        <w:tc>
          <w:tcPr>
            <w:tcW w:w="1135" w:type="dxa"/>
            <w:shd w:val="clear" w:color="auto" w:fill="auto"/>
            <w:noWrap/>
            <w:vAlign w:val="center"/>
            <w:hideMark/>
          </w:tcPr>
          <w:p w:rsidR="00610F44" w:rsidRPr="00B82DE3" w:rsidRDefault="00610F44" w:rsidP="006F6A92">
            <w:pPr>
              <w:pStyle w:val="Tabletext"/>
              <w:rPr>
                <w:lang w:eastAsia="en-AU"/>
              </w:rPr>
            </w:pPr>
            <w:r w:rsidRPr="00B82DE3">
              <w:rPr>
                <w:lang w:eastAsia="en-AU"/>
              </w:rPr>
              <w:t>8416</w:t>
            </w:r>
          </w:p>
        </w:tc>
        <w:tc>
          <w:tcPr>
            <w:tcW w:w="5838" w:type="dxa"/>
            <w:shd w:val="clear" w:color="auto" w:fill="auto"/>
            <w:noWrap/>
            <w:vAlign w:val="center"/>
            <w:hideMark/>
          </w:tcPr>
          <w:p w:rsidR="00610F44" w:rsidRPr="00B82DE3" w:rsidRDefault="00610F44" w:rsidP="006F6A92">
            <w:pPr>
              <w:pStyle w:val="Tabletext"/>
              <w:rPr>
                <w:lang w:eastAsia="en-AU"/>
              </w:rPr>
            </w:pPr>
            <w:r w:rsidRPr="00B82DE3">
              <w:rPr>
                <w:lang w:eastAsia="en-AU"/>
              </w:rPr>
              <w:t>Mixed crop and livestock farm workers</w:t>
            </w:r>
          </w:p>
        </w:tc>
      </w:tr>
    </w:tbl>
    <w:p w:rsidR="005552C9" w:rsidRPr="00C62F3A" w:rsidRDefault="005552C9" w:rsidP="005552C9">
      <w:pPr>
        <w:pStyle w:val="Note"/>
      </w:pPr>
      <w:r>
        <w:t>Note: Please see Appendix A for detailed reason behind omission</w:t>
      </w:r>
    </w:p>
    <w:p w:rsidR="006F6A92" w:rsidRDefault="006F6A92" w:rsidP="00610F44">
      <w:pPr>
        <w:pStyle w:val="Note"/>
      </w:pPr>
      <w:r>
        <w:t xml:space="preserve">Source: </w:t>
      </w:r>
      <w:r w:rsidR="00C738FC">
        <w:t>Department of Industry, Innovation and Science</w:t>
      </w:r>
      <w:r w:rsidR="003721C0">
        <w:t xml:space="preserve"> analysis (2015)</w:t>
      </w:r>
    </w:p>
    <w:p w:rsidR="00610F44" w:rsidRPr="00396EA7" w:rsidRDefault="00610F44" w:rsidP="00610F44">
      <w:pPr>
        <w:pStyle w:val="BodyText"/>
      </w:pPr>
    </w:p>
    <w:p w:rsidR="00610F44" w:rsidRDefault="00610F44" w:rsidP="00610F44">
      <w:pPr>
        <w:pStyle w:val="Heading6"/>
        <w:numPr>
          <w:ilvl w:val="0"/>
          <w:numId w:val="0"/>
        </w:numPr>
        <w:ind w:left="4536" w:hanging="2376"/>
      </w:pPr>
      <w:r>
        <w:t>References</w:t>
      </w:r>
    </w:p>
    <w:p w:rsidR="00610F44" w:rsidRDefault="00610F44" w:rsidP="00610F44">
      <w:pPr>
        <w:pStyle w:val="BodyText"/>
      </w:pPr>
      <w:r>
        <w:t xml:space="preserve">Australian Bureau of Statistics (2005) </w:t>
      </w:r>
      <w:r w:rsidRPr="002A29CA">
        <w:rPr>
          <w:i/>
        </w:rPr>
        <w:t>Information Paper: ANZSCO - Australian and New Zealand Standard Classification of Occupations</w:t>
      </w:r>
      <w:r>
        <w:t xml:space="preserve">, </w:t>
      </w:r>
      <w:r w:rsidRPr="00AB4C2B">
        <w:rPr>
          <w:i/>
        </w:rPr>
        <w:t>2005</w:t>
      </w:r>
      <w:r>
        <w:t xml:space="preserve">, </w:t>
      </w:r>
      <w:r w:rsidR="00AB4C2B">
        <w:t>c</w:t>
      </w:r>
      <w:r>
        <w:t xml:space="preserve">at. </w:t>
      </w:r>
      <w:r w:rsidR="00AB4C2B">
        <w:t>n</w:t>
      </w:r>
      <w:r>
        <w:t xml:space="preserve">o. 1221.0, </w:t>
      </w:r>
      <w:hyperlink r:id="rId35" w:history="1">
        <w:r w:rsidRPr="005C012C">
          <w:rPr>
            <w:rStyle w:val="Hyperlink"/>
          </w:rPr>
          <w:t>http://www.abs.gov.au/ausstats/abs@.nsf/0/C4BECE1704987586CA257089001A9181?opendocument</w:t>
        </w:r>
      </w:hyperlink>
      <w:r>
        <w:t xml:space="preserve"> </w:t>
      </w:r>
    </w:p>
    <w:p w:rsidR="00610F44" w:rsidRDefault="00610F44" w:rsidP="00EC6A26">
      <w:pPr>
        <w:pStyle w:val="BodyText"/>
      </w:pPr>
      <w:r>
        <w:t>Australian Bureau of Statistics (2013) ANZSCO</w:t>
      </w:r>
      <w:r w:rsidR="00EC6A26">
        <w:t xml:space="preserve"> — </w:t>
      </w:r>
      <w:r w:rsidRPr="002A29CA">
        <w:rPr>
          <w:i/>
        </w:rPr>
        <w:t>Australian and New Zealand Standard Classification of Occupations</w:t>
      </w:r>
      <w:r w:rsidRPr="00AB4C2B">
        <w:rPr>
          <w:i/>
        </w:rPr>
        <w:t>, 2013, Version 1.2,</w:t>
      </w:r>
      <w:r>
        <w:t xml:space="preserve"> </w:t>
      </w:r>
      <w:r w:rsidR="00AB4C2B">
        <w:t>c</w:t>
      </w:r>
      <w:r>
        <w:t xml:space="preserve">at. </w:t>
      </w:r>
      <w:r w:rsidR="00AB4C2B">
        <w:t>n</w:t>
      </w:r>
      <w:r>
        <w:t xml:space="preserve">o. 1220.0, </w:t>
      </w:r>
      <w:hyperlink r:id="rId36" w:history="1">
        <w:r w:rsidR="00692635" w:rsidRPr="00484202">
          <w:rPr>
            <w:rStyle w:val="Hyperlink"/>
          </w:rPr>
          <w:t>http://www.abs.gov.au/AUSSTATS/abs@.nsf/DetailsPage/</w:t>
        </w:r>
        <w:r w:rsidR="00692635" w:rsidRPr="00484202">
          <w:rPr>
            <w:rStyle w:val="Hyperlink"/>
          </w:rPr>
          <w:br/>
          <w:t>1220.02013,%20Version%201.2?OpenDocument</w:t>
        </w:r>
      </w:hyperlink>
    </w:p>
    <w:p w:rsidR="00610F44" w:rsidRDefault="00610F44" w:rsidP="00610F44">
      <w:pPr>
        <w:pStyle w:val="BodyText"/>
      </w:pPr>
      <w:r>
        <w:t xml:space="preserve">Australian Bureau of Statistics (2014a) </w:t>
      </w:r>
      <w:r w:rsidR="00AB4C2B" w:rsidRPr="00AB4C2B">
        <w:rPr>
          <w:i/>
        </w:rPr>
        <w:t>Special Data Request from</w:t>
      </w:r>
      <w:r w:rsidR="00AB4C2B">
        <w:t xml:space="preserve"> </w:t>
      </w:r>
      <w:r w:rsidRPr="002A29CA">
        <w:rPr>
          <w:i/>
        </w:rPr>
        <w:t>Employment by Occupation Unit Group (</w:t>
      </w:r>
      <w:r w:rsidR="00452887">
        <w:rPr>
          <w:i/>
        </w:rPr>
        <w:t>four-</w:t>
      </w:r>
      <w:r w:rsidRPr="002A29CA">
        <w:rPr>
          <w:i/>
        </w:rPr>
        <w:t>digit ANZSCO) by state</w:t>
      </w:r>
      <w:r w:rsidRPr="00AB4C2B">
        <w:rPr>
          <w:i/>
        </w:rPr>
        <w:t xml:space="preserve">, </w:t>
      </w:r>
      <w:r w:rsidR="0033113B" w:rsidRPr="00AB4C2B">
        <w:rPr>
          <w:i/>
        </w:rPr>
        <w:t>1991–92</w:t>
      </w:r>
      <w:r w:rsidRPr="00AB4C2B">
        <w:rPr>
          <w:i/>
        </w:rPr>
        <w:t xml:space="preserve"> to </w:t>
      </w:r>
      <w:r w:rsidR="0033113B" w:rsidRPr="00AB4C2B">
        <w:rPr>
          <w:i/>
        </w:rPr>
        <w:t>2013–14</w:t>
      </w:r>
    </w:p>
    <w:p w:rsidR="00610F44" w:rsidRDefault="00610F44" w:rsidP="00610F44">
      <w:pPr>
        <w:pStyle w:val="BodyText"/>
      </w:pPr>
      <w:r>
        <w:t xml:space="preserve">Australian Bureau of Statistics (2014b) </w:t>
      </w:r>
      <w:r w:rsidR="00AB4C2B" w:rsidRPr="00AB4C2B">
        <w:rPr>
          <w:i/>
        </w:rPr>
        <w:t>Special Data Request from</w:t>
      </w:r>
      <w:r w:rsidR="00AB4C2B">
        <w:t xml:space="preserve"> </w:t>
      </w:r>
      <w:r w:rsidRPr="002A29CA">
        <w:rPr>
          <w:i/>
        </w:rPr>
        <w:t>Employment by Occupation Unit Group (</w:t>
      </w:r>
      <w:r w:rsidR="00452887">
        <w:rPr>
          <w:i/>
        </w:rPr>
        <w:t>four-</w:t>
      </w:r>
      <w:r w:rsidRPr="002A29CA">
        <w:rPr>
          <w:i/>
        </w:rPr>
        <w:t>digit ANZSCO) by industry</w:t>
      </w:r>
      <w:r>
        <w:t>,</w:t>
      </w:r>
      <w:r w:rsidRPr="00F451EB">
        <w:t xml:space="preserve"> </w:t>
      </w:r>
      <w:r w:rsidR="0033113B">
        <w:t>1991–92</w:t>
      </w:r>
      <w:r>
        <w:t xml:space="preserve"> to</w:t>
      </w:r>
      <w:r w:rsidR="00692635">
        <w:br/>
      </w:r>
      <w:r w:rsidR="0033113B">
        <w:t>2013–14</w:t>
      </w:r>
      <w:r>
        <w:t xml:space="preserve">, based on </w:t>
      </w:r>
      <w:r w:rsidRPr="002A29CA">
        <w:rPr>
          <w:i/>
        </w:rPr>
        <w:t>Labour Force, Australia, Detailed, Quarterly</w:t>
      </w:r>
      <w:r w:rsidR="00AB4C2B">
        <w:t>, Cat. No. 6291.0.55.003</w:t>
      </w:r>
    </w:p>
    <w:p w:rsidR="00610F44" w:rsidRDefault="00610F44" w:rsidP="00610F44">
      <w:pPr>
        <w:pStyle w:val="BodyText"/>
      </w:pPr>
      <w:r>
        <w:t xml:space="preserve">Australian Bureau of Statistics (2014c) </w:t>
      </w:r>
      <w:r w:rsidR="00AB4C2B" w:rsidRPr="00AB4C2B">
        <w:rPr>
          <w:i/>
        </w:rPr>
        <w:t>Special Data Request from</w:t>
      </w:r>
      <w:r w:rsidR="00AB4C2B">
        <w:t xml:space="preserve"> </w:t>
      </w:r>
      <w:r w:rsidRPr="002A29CA">
        <w:rPr>
          <w:i/>
        </w:rPr>
        <w:t>Education attainment by occupation: Survey of Education and Work</w:t>
      </w:r>
      <w:r w:rsidRPr="0058736C">
        <w:t xml:space="preserve">, </w:t>
      </w:r>
      <w:r w:rsidR="00AB4C2B">
        <w:t>c</w:t>
      </w:r>
      <w:r w:rsidRPr="0058736C">
        <w:t>a</w:t>
      </w:r>
      <w:r>
        <w:t xml:space="preserve">t. </w:t>
      </w:r>
      <w:r w:rsidR="00AB4C2B">
        <w:t>n</w:t>
      </w:r>
      <w:r>
        <w:t xml:space="preserve">o. 6227.0 and </w:t>
      </w:r>
      <w:r w:rsidRPr="002A29CA">
        <w:rPr>
          <w:i/>
        </w:rPr>
        <w:t>Census of Population and Housing</w:t>
      </w:r>
    </w:p>
    <w:p w:rsidR="00610F44" w:rsidRDefault="00610F44" w:rsidP="00610F44">
      <w:pPr>
        <w:pStyle w:val="BodyText"/>
      </w:pPr>
      <w:r>
        <w:t xml:space="preserve">Australian Bureau of Statistics (2014d) </w:t>
      </w:r>
      <w:r w:rsidR="00AB4C2B" w:rsidRPr="00AB4C2B">
        <w:rPr>
          <w:i/>
        </w:rPr>
        <w:t>Special Data Request from</w:t>
      </w:r>
      <w:r w:rsidR="00692635">
        <w:t xml:space="preserve"> </w:t>
      </w:r>
      <w:r w:rsidRPr="002A29CA">
        <w:rPr>
          <w:i/>
        </w:rPr>
        <w:t>Unemployment and</w:t>
      </w:r>
      <w:r w:rsidR="00AB4C2B">
        <w:rPr>
          <w:i/>
        </w:rPr>
        <w:t xml:space="preserve"> employment by ANZSCO occupation</w:t>
      </w:r>
    </w:p>
    <w:p w:rsidR="00193B62" w:rsidRDefault="00610F44" w:rsidP="008D4B25">
      <w:pPr>
        <w:pStyle w:val="BodyText"/>
        <w:spacing w:after="0"/>
      </w:pPr>
      <w:r>
        <w:t xml:space="preserve">Australian Bureau of Statistics (2014e) </w:t>
      </w:r>
      <w:r w:rsidRPr="002A29CA">
        <w:rPr>
          <w:i/>
        </w:rPr>
        <w:t>Australian System of National Accounts</w:t>
      </w:r>
      <w:r>
        <w:t xml:space="preserve">, </w:t>
      </w:r>
      <w:r w:rsidR="0033113B" w:rsidRPr="00AB4C2B">
        <w:rPr>
          <w:i/>
        </w:rPr>
        <w:t>2013–14</w:t>
      </w:r>
      <w:r w:rsidR="00193B62">
        <w:t xml:space="preserve">, </w:t>
      </w:r>
      <w:r w:rsidR="00AB4C2B">
        <w:t>c</w:t>
      </w:r>
      <w:r w:rsidR="00193B62">
        <w:t xml:space="preserve">at. </w:t>
      </w:r>
      <w:r w:rsidR="00AB4C2B">
        <w:t>n</w:t>
      </w:r>
      <w:r w:rsidR="00193B62">
        <w:t>o. 5204.0</w:t>
      </w:r>
    </w:p>
    <w:p w:rsidR="00610F44" w:rsidRDefault="00184EBC" w:rsidP="00610F44">
      <w:pPr>
        <w:pStyle w:val="BodyText"/>
      </w:pPr>
      <w:hyperlink r:id="rId37" w:history="1">
        <w:r w:rsidR="00610F44" w:rsidRPr="005C012C">
          <w:rPr>
            <w:rStyle w:val="Hyperlink"/>
          </w:rPr>
          <w:t>http://www.abs.gov.au/AUSSTATS/abs@.nsf/MF/5204.0</w:t>
        </w:r>
      </w:hyperlink>
      <w:r w:rsidR="00610F44">
        <w:t xml:space="preserve"> </w:t>
      </w:r>
    </w:p>
    <w:p w:rsidR="008D4B25" w:rsidRDefault="00610F44" w:rsidP="008D4B25">
      <w:pPr>
        <w:pStyle w:val="BodyText"/>
        <w:spacing w:after="0"/>
      </w:pPr>
      <w:r>
        <w:t xml:space="preserve">Australian Bureau of Statistics (2014f) </w:t>
      </w:r>
      <w:r w:rsidRPr="002A29CA">
        <w:rPr>
          <w:i/>
        </w:rPr>
        <w:t xml:space="preserve">Labour Force, Australia, Detailed, </w:t>
      </w:r>
      <w:r w:rsidRPr="00AB4C2B">
        <w:rPr>
          <w:i/>
        </w:rPr>
        <w:t>Quarterly, Nov 2014,</w:t>
      </w:r>
      <w:r>
        <w:t xml:space="preserve"> </w:t>
      </w:r>
      <w:r w:rsidR="00AB4C2B">
        <w:t>c</w:t>
      </w:r>
      <w:r>
        <w:t xml:space="preserve">at. </w:t>
      </w:r>
      <w:r w:rsidR="00AB4C2B">
        <w:t>n</w:t>
      </w:r>
      <w:r>
        <w:t xml:space="preserve">o. 6291.0.55.003, </w:t>
      </w:r>
    </w:p>
    <w:p w:rsidR="00610F44" w:rsidRDefault="00184EBC" w:rsidP="00610F44">
      <w:pPr>
        <w:pStyle w:val="BodyText"/>
      </w:pPr>
      <w:hyperlink r:id="rId38" w:history="1">
        <w:r w:rsidR="00692635" w:rsidRPr="00484202">
          <w:rPr>
            <w:rStyle w:val="Hyperlink"/>
          </w:rPr>
          <w:t>http://www.abs.gov.au/AUSSTATS/abs@.nsf/allprimarymainfeatures/</w:t>
        </w:r>
        <w:r w:rsidR="00692635" w:rsidRPr="00484202">
          <w:rPr>
            <w:rStyle w:val="Hyperlink"/>
          </w:rPr>
          <w:br/>
          <w:t>2FDAA8C0FE297AD8CA257E0C000F19CF?opendocument</w:t>
        </w:r>
      </w:hyperlink>
      <w:r w:rsidR="00610F44">
        <w:t xml:space="preserve"> </w:t>
      </w:r>
    </w:p>
    <w:p w:rsidR="00610F44" w:rsidRDefault="00610F44" w:rsidP="00610F44">
      <w:pPr>
        <w:pStyle w:val="BodyText"/>
      </w:pPr>
      <w:r>
        <w:t xml:space="preserve">Australian Bureau of Statistics (2015) </w:t>
      </w:r>
      <w:r w:rsidRPr="002A29CA">
        <w:rPr>
          <w:i/>
        </w:rPr>
        <w:t>Employee Earnings and Hours,</w:t>
      </w:r>
      <w:r w:rsidR="00692635">
        <w:rPr>
          <w:i/>
        </w:rPr>
        <w:br/>
      </w:r>
      <w:r w:rsidR="003E7EF0">
        <w:rPr>
          <w:i/>
        </w:rPr>
        <w:t>c</w:t>
      </w:r>
      <w:r w:rsidRPr="002A29CA">
        <w:rPr>
          <w:i/>
        </w:rPr>
        <w:t xml:space="preserve">at. </w:t>
      </w:r>
      <w:r w:rsidR="003E7EF0">
        <w:rPr>
          <w:i/>
        </w:rPr>
        <w:t>n</w:t>
      </w:r>
      <w:r w:rsidRPr="002A29CA">
        <w:rPr>
          <w:i/>
        </w:rPr>
        <w:t>o. 6306</w:t>
      </w:r>
      <w:r w:rsidRPr="00AB4C2B">
        <w:rPr>
          <w:i/>
        </w:rPr>
        <w:t>, May 2014</w:t>
      </w:r>
      <w:r w:rsidR="00AB4C2B">
        <w:t>,</w:t>
      </w:r>
      <w:r>
        <w:t xml:space="preserve"> </w:t>
      </w:r>
      <w:hyperlink r:id="rId39" w:history="1">
        <w:r w:rsidRPr="005C012C">
          <w:rPr>
            <w:rStyle w:val="Hyperlink"/>
          </w:rPr>
          <w:t>http://www.abs.gov.au/ausstats/abs@.nsf/mf/6306.0/</w:t>
        </w:r>
      </w:hyperlink>
      <w:r>
        <w:t xml:space="preserve"> </w:t>
      </w:r>
    </w:p>
    <w:p w:rsidR="00610F44" w:rsidRDefault="00610F44" w:rsidP="00610F44">
      <w:pPr>
        <w:pStyle w:val="BodyText"/>
      </w:pPr>
      <w:r>
        <w:t>Autor D, Levy F and Murnane R</w:t>
      </w:r>
      <w:r w:rsidRPr="00CF20F1">
        <w:t xml:space="preserve"> J (2001</w:t>
      </w:r>
      <w:r w:rsidR="00CC2D23">
        <w:t>)</w:t>
      </w:r>
      <w:r w:rsidRPr="00CF20F1">
        <w:t xml:space="preserve"> </w:t>
      </w:r>
      <w:r w:rsidRPr="00AB4C2B">
        <w:t>The skill content of recent technological change: An empirical exploration</w:t>
      </w:r>
      <w:r w:rsidR="00AB4C2B">
        <w:t>,</w:t>
      </w:r>
      <w:r w:rsidRPr="00CF20F1">
        <w:t xml:space="preserve"> </w:t>
      </w:r>
      <w:r w:rsidRPr="00AB4C2B">
        <w:rPr>
          <w:i/>
        </w:rPr>
        <w:t>National Bureau of Economic Research</w:t>
      </w:r>
      <w:r w:rsidR="00AB4C2B">
        <w:t>,</w:t>
      </w:r>
      <w:r>
        <w:t xml:space="preserve"> </w:t>
      </w:r>
      <w:hyperlink r:id="rId40" w:history="1">
        <w:r w:rsidRPr="004C7472">
          <w:rPr>
            <w:rStyle w:val="Hyperlink"/>
          </w:rPr>
          <w:t>http://www.nber.org/papers/w8337</w:t>
        </w:r>
      </w:hyperlink>
      <w:r>
        <w:t xml:space="preserve"> </w:t>
      </w:r>
    </w:p>
    <w:p w:rsidR="00610F44" w:rsidRDefault="00610F44" w:rsidP="00610F44">
      <w:pPr>
        <w:pStyle w:val="BodyText"/>
      </w:pPr>
      <w:r>
        <w:t xml:space="preserve">Bureau of Labor Statistics, United States (2012) </w:t>
      </w:r>
      <w:r w:rsidRPr="002A29CA">
        <w:rPr>
          <w:i/>
        </w:rPr>
        <w:t>Crosswalks between the 2010 SOC and systems used by other Federal and international statistical agencies</w:t>
      </w:r>
      <w:r>
        <w:t xml:space="preserve">, </w:t>
      </w:r>
      <w:hyperlink r:id="rId41" w:history="1">
        <w:r w:rsidRPr="005C012C">
          <w:rPr>
            <w:rStyle w:val="Hyperlink"/>
          </w:rPr>
          <w:t>http://www.bls.gov/soc/soccrosswalks.htm</w:t>
        </w:r>
      </w:hyperlink>
    </w:p>
    <w:p w:rsidR="00610F44" w:rsidRPr="0058736C" w:rsidRDefault="00610F44" w:rsidP="005552C9">
      <w:pPr>
        <w:pStyle w:val="BodyText"/>
        <w:jc w:val="left"/>
      </w:pPr>
      <w:r>
        <w:t xml:space="preserve">Bureau of Labor Statistics, United States (2015) </w:t>
      </w:r>
      <w:r w:rsidRPr="002A29CA">
        <w:rPr>
          <w:i/>
        </w:rPr>
        <w:t>National Occupational</w:t>
      </w:r>
      <w:r w:rsidR="005552C9">
        <w:rPr>
          <w:i/>
        </w:rPr>
        <w:t xml:space="preserve"> </w:t>
      </w:r>
      <w:r w:rsidRPr="002A29CA">
        <w:rPr>
          <w:i/>
        </w:rPr>
        <w:t>Employment and Wage Estimates</w:t>
      </w:r>
      <w:r w:rsidRPr="00AB4C2B">
        <w:rPr>
          <w:i/>
        </w:rPr>
        <w:t>, May 2014</w:t>
      </w:r>
      <w:r>
        <w:t xml:space="preserve">, </w:t>
      </w:r>
      <w:hyperlink r:id="rId42" w:history="1">
        <w:r w:rsidRPr="005C012C">
          <w:rPr>
            <w:rStyle w:val="Hyperlink"/>
          </w:rPr>
          <w:t>http://www.bls.gov/oes/current/oes_nat.htm</w:t>
        </w:r>
      </w:hyperlink>
      <w:r>
        <w:t xml:space="preserve"> </w:t>
      </w:r>
    </w:p>
    <w:p w:rsidR="003E7EF0" w:rsidRDefault="00CC2D23" w:rsidP="003E7EF0">
      <w:pPr>
        <w:pStyle w:val="BodyText"/>
        <w:spacing w:after="0"/>
      </w:pPr>
      <w:r>
        <w:t>Connolly E &amp; Lewis C (2010)</w:t>
      </w:r>
      <w:r w:rsidR="00610F44" w:rsidRPr="00DC7294">
        <w:t xml:space="preserve"> </w:t>
      </w:r>
      <w:r w:rsidR="00610F44" w:rsidRPr="00AB4C2B">
        <w:t>Structural change in the Australian economy</w:t>
      </w:r>
      <w:r w:rsidR="00610F44" w:rsidRPr="00DC7294">
        <w:t xml:space="preserve">, </w:t>
      </w:r>
      <w:r w:rsidR="00610F44" w:rsidRPr="00AB4C2B">
        <w:rPr>
          <w:i/>
        </w:rPr>
        <w:t>RBA Bulletin September 2010</w:t>
      </w:r>
      <w:r w:rsidR="003E7EF0">
        <w:t>, p</w:t>
      </w:r>
      <w:r w:rsidR="00610F44">
        <w:t xml:space="preserve">1, </w:t>
      </w:r>
    </w:p>
    <w:p w:rsidR="00610F44" w:rsidRDefault="00184EBC" w:rsidP="00610F44">
      <w:pPr>
        <w:pStyle w:val="BodyText"/>
      </w:pPr>
      <w:hyperlink r:id="rId43" w:history="1">
        <w:r w:rsidR="00610F44" w:rsidRPr="005C012C">
          <w:rPr>
            <w:rStyle w:val="Hyperlink"/>
          </w:rPr>
          <w:t>http://www.rba.gov.au/publications/bulletin/2010/sep/1.html</w:t>
        </w:r>
      </w:hyperlink>
      <w:r w:rsidR="00610F44">
        <w:t xml:space="preserve"> </w:t>
      </w:r>
    </w:p>
    <w:p w:rsidR="008D4B25" w:rsidRDefault="00610F44" w:rsidP="008D4B25">
      <w:pPr>
        <w:pStyle w:val="BodyText"/>
        <w:spacing w:after="0"/>
      </w:pPr>
      <w:r>
        <w:t xml:space="preserve">Deloitte (2014) </w:t>
      </w:r>
      <w:r w:rsidRPr="002A29CA">
        <w:rPr>
          <w:i/>
        </w:rPr>
        <w:t>One-third of jobs in the UK at risk from automation</w:t>
      </w:r>
      <w:r>
        <w:t xml:space="preserve">, Press Release, 10 November 2014, </w:t>
      </w:r>
    </w:p>
    <w:p w:rsidR="00610F44" w:rsidRDefault="00184EBC" w:rsidP="00610F44">
      <w:pPr>
        <w:pStyle w:val="BodyText"/>
      </w:pPr>
      <w:hyperlink r:id="rId44" w:history="1">
        <w:r w:rsidR="00610F44" w:rsidRPr="004C7472">
          <w:rPr>
            <w:rStyle w:val="Hyperlink"/>
          </w:rPr>
          <w:t>http://www2.deloitte.com/uk/en/pages/press-releases/articles/deloitte-one-third-of-jobs-in-the-uk-at-risk-from-automation.html</w:t>
        </w:r>
      </w:hyperlink>
      <w:r w:rsidR="00610F44">
        <w:t xml:space="preserve"> </w:t>
      </w:r>
    </w:p>
    <w:p w:rsidR="008D4B25" w:rsidRDefault="00C738FC" w:rsidP="008D4B25">
      <w:pPr>
        <w:pStyle w:val="BodyText"/>
        <w:spacing w:after="0"/>
      </w:pPr>
      <w:r>
        <w:t>Department of Industry, Innovation and Science</w:t>
      </w:r>
      <w:r w:rsidR="00610F44">
        <w:t xml:space="preserve"> (2014) </w:t>
      </w:r>
      <w:r w:rsidR="00610F44" w:rsidRPr="002A29CA">
        <w:rPr>
          <w:i/>
        </w:rPr>
        <w:t>Australian Industry Report</w:t>
      </w:r>
      <w:r w:rsidR="00610F44">
        <w:t>, figure 2.17, p</w:t>
      </w:r>
      <w:r w:rsidR="003E7EF0">
        <w:t xml:space="preserve"> </w:t>
      </w:r>
      <w:r w:rsidR="00610F44">
        <w:t xml:space="preserve">98, </w:t>
      </w:r>
    </w:p>
    <w:p w:rsidR="00610F44" w:rsidRDefault="00184EBC" w:rsidP="00610F44">
      <w:pPr>
        <w:pStyle w:val="BodyText"/>
      </w:pPr>
      <w:hyperlink r:id="rId45" w:history="1">
        <w:r w:rsidR="00692635" w:rsidRPr="00484202">
          <w:rPr>
            <w:rStyle w:val="Hyperlink"/>
          </w:rPr>
          <w:t>http://industry.gov.au/Office-of-the-Chief-Economist/Publications/Pages/Australian-Industry-Report.aspx</w:t>
        </w:r>
      </w:hyperlink>
      <w:r w:rsidR="00610F44">
        <w:t xml:space="preserve"> </w:t>
      </w:r>
    </w:p>
    <w:p w:rsidR="008D4B25" w:rsidRPr="006758E4" w:rsidRDefault="00610F44" w:rsidP="008D4B25">
      <w:pPr>
        <w:pStyle w:val="BodyText"/>
        <w:spacing w:after="0"/>
      </w:pPr>
      <w:r>
        <w:t>Frey C</w:t>
      </w:r>
      <w:r w:rsidRPr="0058736C">
        <w:t xml:space="preserve"> B, </w:t>
      </w:r>
      <w:r>
        <w:t>and</w:t>
      </w:r>
      <w:r w:rsidRPr="0058736C">
        <w:t xml:space="preserve"> Osborne M A (2013</w:t>
      </w:r>
      <w:r w:rsidR="00CC2D23">
        <w:t>)</w:t>
      </w:r>
      <w:r w:rsidRPr="0058736C">
        <w:t xml:space="preserve"> </w:t>
      </w:r>
      <w:r w:rsidRPr="006758E4">
        <w:t xml:space="preserve">The future of employment: how susceptible are jobs to computerisation, </w:t>
      </w:r>
      <w:r w:rsidR="006758E4">
        <w:rPr>
          <w:i/>
        </w:rPr>
        <w:t>Oxford Martin School,</w:t>
      </w:r>
    </w:p>
    <w:p w:rsidR="00610F44" w:rsidRDefault="00184EBC" w:rsidP="00610F44">
      <w:pPr>
        <w:pStyle w:val="BodyText"/>
      </w:pPr>
      <w:hyperlink r:id="rId46" w:history="1">
        <w:r w:rsidR="000C1C71" w:rsidRPr="00484202">
          <w:rPr>
            <w:rStyle w:val="Hyperlink"/>
          </w:rPr>
          <w:t>http://www.oxfordmartin.ox.ac.uk/downloads/academic/</w:t>
        </w:r>
        <w:r w:rsidR="000C1C71" w:rsidRPr="00484202">
          <w:rPr>
            <w:rStyle w:val="Hyperlink"/>
          </w:rPr>
          <w:br/>
          <w:t>The_Future_of_Employment.pdf</w:t>
        </w:r>
      </w:hyperlink>
      <w:r w:rsidR="00610F44">
        <w:t xml:space="preserve"> </w:t>
      </w:r>
    </w:p>
    <w:p w:rsidR="00610F44" w:rsidRDefault="00610F44" w:rsidP="008D4B25">
      <w:pPr>
        <w:pStyle w:val="BodyText"/>
        <w:rPr>
          <w:szCs w:val="16"/>
        </w:rPr>
      </w:pPr>
      <w:r w:rsidRPr="00BC4A9D">
        <w:rPr>
          <w:szCs w:val="16"/>
        </w:rPr>
        <w:t>Kelly R</w:t>
      </w:r>
      <w:r>
        <w:rPr>
          <w:szCs w:val="16"/>
        </w:rPr>
        <w:t xml:space="preserve"> and</w:t>
      </w:r>
      <w:r w:rsidR="00CC2D23">
        <w:rPr>
          <w:szCs w:val="16"/>
        </w:rPr>
        <w:t xml:space="preserve"> Lewis P (2010)</w:t>
      </w:r>
      <w:r w:rsidRPr="00BC4A9D">
        <w:rPr>
          <w:szCs w:val="16"/>
        </w:rPr>
        <w:t xml:space="preserve"> </w:t>
      </w:r>
      <w:r w:rsidRPr="006758E4">
        <w:rPr>
          <w:szCs w:val="16"/>
        </w:rPr>
        <w:t>The change in labour skills in Australia over the business cycle</w:t>
      </w:r>
      <w:r w:rsidR="00CC2D23">
        <w:rPr>
          <w:szCs w:val="16"/>
        </w:rPr>
        <w:t>,</w:t>
      </w:r>
      <w:r w:rsidRPr="00BC4A9D">
        <w:rPr>
          <w:szCs w:val="16"/>
        </w:rPr>
        <w:t xml:space="preserve"> </w:t>
      </w:r>
      <w:r w:rsidRPr="006758E4">
        <w:rPr>
          <w:i/>
          <w:szCs w:val="16"/>
        </w:rPr>
        <w:t>Australian Bulletin of Labour</w:t>
      </w:r>
      <w:r>
        <w:rPr>
          <w:szCs w:val="16"/>
        </w:rPr>
        <w:t xml:space="preserve">, 36(3), </w:t>
      </w:r>
      <w:r w:rsidR="003E7EF0">
        <w:rPr>
          <w:szCs w:val="16"/>
        </w:rPr>
        <w:t xml:space="preserve">p </w:t>
      </w:r>
      <w:r>
        <w:rPr>
          <w:szCs w:val="16"/>
        </w:rPr>
        <w:t xml:space="preserve">260, </w:t>
      </w:r>
      <w:hyperlink r:id="rId47" w:history="1">
        <w:r w:rsidRPr="005C012C">
          <w:rPr>
            <w:rStyle w:val="Hyperlink"/>
            <w:szCs w:val="16"/>
          </w:rPr>
          <w:t>http://search.proquest.com/docview/763326770/fulltextPDF/CD3F383483244F8DPQ/1?accountid=163701</w:t>
        </w:r>
      </w:hyperlink>
      <w:r>
        <w:rPr>
          <w:szCs w:val="16"/>
        </w:rPr>
        <w:t xml:space="preserve"> </w:t>
      </w:r>
    </w:p>
    <w:p w:rsidR="00610F44" w:rsidRDefault="00610F44" w:rsidP="00610F44">
      <w:pPr>
        <w:pStyle w:val="BodyText"/>
      </w:pPr>
      <w:r>
        <w:t>Levy F</w:t>
      </w:r>
      <w:r w:rsidRPr="00CC6EC9">
        <w:t xml:space="preserve"> </w:t>
      </w:r>
      <w:r>
        <w:t>and</w:t>
      </w:r>
      <w:r w:rsidRPr="00CC6EC9">
        <w:t xml:space="preserve"> Murnane R J (</w:t>
      </w:r>
      <w:r>
        <w:t>2004</w:t>
      </w:r>
      <w:r w:rsidRPr="00CC6EC9">
        <w:t xml:space="preserve">) </w:t>
      </w:r>
      <w:r w:rsidRPr="00CC2D23">
        <w:t>The new division of labor: How computers are creating the next job market</w:t>
      </w:r>
      <w:r w:rsidR="00CC2D23">
        <w:t>,</w:t>
      </w:r>
      <w:r w:rsidRPr="00CC6EC9">
        <w:t xml:space="preserve"> </w:t>
      </w:r>
      <w:r w:rsidRPr="00CC2D23">
        <w:rPr>
          <w:i/>
        </w:rPr>
        <w:t>Princeton University Press</w:t>
      </w:r>
      <w:r w:rsidRPr="00CC6EC9">
        <w:t>.</w:t>
      </w:r>
      <w:r>
        <w:t xml:space="preserve"> </w:t>
      </w:r>
      <w:hyperlink r:id="rId48" w:history="1">
        <w:r w:rsidRPr="004C7472">
          <w:rPr>
            <w:rStyle w:val="Hyperlink"/>
          </w:rPr>
          <w:t>http://press.princeton.edu/titles/7704.html</w:t>
        </w:r>
      </w:hyperlink>
      <w:r>
        <w:t xml:space="preserve"> </w:t>
      </w:r>
    </w:p>
    <w:p w:rsidR="00610F44" w:rsidRDefault="00610F44" w:rsidP="00610F44">
      <w:pPr>
        <w:pStyle w:val="BodyText"/>
      </w:pPr>
      <w:r w:rsidRPr="0058736C">
        <w:t xml:space="preserve">O*NET (2015) </w:t>
      </w:r>
      <w:r w:rsidRPr="002A29CA">
        <w:rPr>
          <w:i/>
        </w:rPr>
        <w:t>O*NET OnLine</w:t>
      </w:r>
      <w:r w:rsidRPr="0058736C">
        <w:t xml:space="preserve">, </w:t>
      </w:r>
      <w:hyperlink r:id="rId49" w:history="1">
        <w:r w:rsidRPr="005C012C">
          <w:rPr>
            <w:rStyle w:val="Hyperlink"/>
          </w:rPr>
          <w:t>https://www.onetonline.org/</w:t>
        </w:r>
      </w:hyperlink>
    </w:p>
    <w:p w:rsidR="008D4B25" w:rsidRDefault="00610F44" w:rsidP="008D4B25">
      <w:pPr>
        <w:pStyle w:val="BodyText"/>
        <w:spacing w:after="0"/>
      </w:pPr>
      <w:r w:rsidRPr="00BC4A9D">
        <w:t>Spitz</w:t>
      </w:r>
      <w:r w:rsidRPr="00BC4A9D">
        <w:rPr>
          <w:rFonts w:ascii="Cambria Math" w:hAnsi="Cambria Math" w:cs="Cambria Math"/>
        </w:rPr>
        <w:t>‐</w:t>
      </w:r>
      <w:r>
        <w:t>Oener A</w:t>
      </w:r>
      <w:r w:rsidRPr="00BC4A9D">
        <w:t xml:space="preserve"> (2006</w:t>
      </w:r>
      <w:r w:rsidR="00CC2D23">
        <w:t>)</w:t>
      </w:r>
      <w:r w:rsidRPr="00BC4A9D">
        <w:t xml:space="preserve"> </w:t>
      </w:r>
      <w:r w:rsidRPr="003E7EF0">
        <w:t>Technical change, job tasks, and rising educational demands: looking outside the wage structure</w:t>
      </w:r>
      <w:r w:rsidR="00CC2D23">
        <w:t>,</w:t>
      </w:r>
      <w:r w:rsidRPr="00BC4A9D">
        <w:t xml:space="preserve"> </w:t>
      </w:r>
      <w:r w:rsidRPr="003E7EF0">
        <w:rPr>
          <w:i/>
        </w:rPr>
        <w:t>Journal of Labor Economics</w:t>
      </w:r>
      <w:r>
        <w:t xml:space="preserve">, 24(2), </w:t>
      </w:r>
      <w:r w:rsidR="003E7EF0">
        <w:t xml:space="preserve">pp </w:t>
      </w:r>
      <w:r>
        <w:t>235</w:t>
      </w:r>
      <w:r w:rsidR="0033113B">
        <w:t>–</w:t>
      </w:r>
      <w:r>
        <w:t xml:space="preserve">270, </w:t>
      </w:r>
    </w:p>
    <w:p w:rsidR="00610F44" w:rsidRPr="00F01010" w:rsidRDefault="00184EBC" w:rsidP="00610F44">
      <w:pPr>
        <w:pStyle w:val="BodyText"/>
      </w:pPr>
      <w:hyperlink r:id="rId50" w:history="1">
        <w:r w:rsidR="00777EDD" w:rsidRPr="00484202">
          <w:rPr>
            <w:rStyle w:val="Hyperlink"/>
          </w:rPr>
          <w:t>http://www2.wiwi.hu-berlin.de/institute/wt2/sommersemester05/brown_bag/</w:t>
        </w:r>
        <w:r w:rsidR="00777EDD" w:rsidRPr="00484202">
          <w:rPr>
            <w:rStyle w:val="Hyperlink"/>
          </w:rPr>
          <w:br/>
          <w:t>task.pdf</w:t>
        </w:r>
      </w:hyperlink>
      <w:r w:rsidR="00610F44">
        <w:t xml:space="preserve"> </w:t>
      </w:r>
    </w:p>
    <w:p w:rsidR="000354FC" w:rsidRDefault="00610F44" w:rsidP="000354FC">
      <w:pPr>
        <w:pStyle w:val="BodyText"/>
        <w:spacing w:after="0"/>
      </w:pPr>
      <w:r>
        <w:t xml:space="preserve">Thrun S (2010) </w:t>
      </w:r>
      <w:r>
        <w:rPr>
          <w:i/>
        </w:rPr>
        <w:t>What we’re driving</w:t>
      </w:r>
      <w:r>
        <w:t xml:space="preserve"> </w:t>
      </w:r>
      <w:r>
        <w:rPr>
          <w:i/>
        </w:rPr>
        <w:t>at</w:t>
      </w:r>
      <w:r>
        <w:t xml:space="preserve">, Google Official Blog, </w:t>
      </w:r>
      <w:r w:rsidR="000354FC">
        <w:t xml:space="preserve">web log post, </w:t>
      </w:r>
      <w:r>
        <w:t>October 9,</w:t>
      </w:r>
      <w:r w:rsidR="000354FC">
        <w:t xml:space="preserve"> viewed 9 July 2015,</w:t>
      </w:r>
    </w:p>
    <w:p w:rsidR="00610F44" w:rsidRPr="00F628FA" w:rsidRDefault="00610F44" w:rsidP="00610F44">
      <w:pPr>
        <w:pStyle w:val="BodyText"/>
      </w:pPr>
      <w:r>
        <w:t xml:space="preserve"> </w:t>
      </w:r>
      <w:hyperlink r:id="rId51" w:history="1">
        <w:r w:rsidRPr="00CB544C">
          <w:rPr>
            <w:rStyle w:val="Hyperlink"/>
          </w:rPr>
          <w:t>http://googleblog.blogspot.com.au/2010/10/what-were-driving-at.html</w:t>
        </w:r>
      </w:hyperlink>
      <w:r>
        <w:t xml:space="preserve"> </w:t>
      </w:r>
    </w:p>
    <w:p w:rsidR="002F56EE" w:rsidRPr="00A87C5A" w:rsidRDefault="002F56EE" w:rsidP="002F56EE">
      <w:pPr>
        <w:pStyle w:val="BodyText"/>
      </w:pPr>
    </w:p>
    <w:sectPr w:rsidR="002F56EE" w:rsidRPr="00A87C5A" w:rsidSect="00354EA2">
      <w:footerReference w:type="default" r:id="rId52"/>
      <w:footerReference w:type="first" r:id="rId5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6053" w:rsidRDefault="009C6053" w:rsidP="00F244EA">
      <w:pPr>
        <w:spacing w:after="0" w:line="240" w:lineRule="auto"/>
      </w:pPr>
      <w:r>
        <w:separator/>
      </w:r>
    </w:p>
  </w:endnote>
  <w:endnote w:type="continuationSeparator" w:id="0">
    <w:p w:rsidR="009C6053" w:rsidRDefault="009C6053" w:rsidP="00F24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Default="009C60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Default="009C60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Default="009C605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Pr="001C2E57" w:rsidRDefault="009C6053" w:rsidP="00F244EA">
    <w:pPr>
      <w:pStyle w:val="Footer"/>
    </w:pPr>
    <w:r w:rsidRPr="001C2E57">
      <w:fldChar w:fldCharType="begin"/>
    </w:r>
    <w:r w:rsidRPr="001C2E57">
      <w:instrText>IF</w:instrText>
    </w:r>
    <w:fldSimple w:instr=" STYLEREF &quot;Title Heading&quot; \* Charformat ">
      <w:r w:rsidR="00184EBC">
        <w:rPr>
          <w:noProof/>
        </w:rPr>
        <w:instrText>Mechanical boon: will automation advance Australia?</w:instrText>
      </w:r>
    </w:fldSimple>
    <w:r w:rsidRPr="001C2E57">
      <w:instrText xml:space="preserve"> &lt;&gt; "Error*" </w:instrText>
    </w:r>
    <w:fldSimple w:instr=" STYLEREF &quot;Title Heading&quot; \* Charformat ">
      <w:r w:rsidR="00184EBC">
        <w:rPr>
          <w:noProof/>
        </w:rPr>
        <w:instrText>Mechanical boon: will automation advance Australia?</w:instrText>
      </w:r>
    </w:fldSimple>
    <w:r w:rsidRPr="001C2E57">
      <w:instrText xml:space="preserve"> </w:instrText>
    </w:r>
    <w:r w:rsidRPr="001C2E57">
      <w:fldChar w:fldCharType="separate"/>
    </w:r>
    <w:r w:rsidR="00184EBC">
      <w:rPr>
        <w:noProof/>
      </w:rPr>
      <w:t>Mechanical boon: will automation advance Australia?</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184EBC">
      <w:rPr>
        <w:noProof/>
      </w:rPr>
      <w:t>2</w:t>
    </w:r>
    <w:r w:rsidRPr="001C2E57">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Pr="001C2E57" w:rsidRDefault="009C6053" w:rsidP="007A59E6">
    <w:pPr>
      <w:pStyle w:val="Footer"/>
    </w:pPr>
    <w:r w:rsidRPr="001C2E57">
      <w:fldChar w:fldCharType="begin"/>
    </w:r>
    <w:r w:rsidRPr="001C2E57">
      <w:instrText>IF</w:instrText>
    </w:r>
    <w:fldSimple w:instr=" STYLEREF &quot;Title Heading&quot; \* Charformat ">
      <w:r>
        <w:rPr>
          <w:noProof/>
        </w:rPr>
        <w:instrText>Mechanical boon: will automation advance Australia?</w:instrText>
      </w:r>
    </w:fldSimple>
    <w:r w:rsidRPr="001C2E57">
      <w:instrText xml:space="preserve"> &lt;&gt; "Error*" </w:instrText>
    </w:r>
    <w:fldSimple w:instr=" STYLEREF &quot;Title Heading&quot; \* Charformat ">
      <w:r>
        <w:rPr>
          <w:noProof/>
        </w:rPr>
        <w:instrText>Mechanical boon: will automation advance Australia?</w:instrText>
      </w:r>
    </w:fldSimple>
    <w:r w:rsidRPr="001C2E57">
      <w:instrText xml:space="preserve"> </w:instrText>
    </w:r>
    <w:r w:rsidRPr="001C2E57">
      <w:fldChar w:fldCharType="separate"/>
    </w:r>
    <w:r>
      <w:rPr>
        <w:noProof/>
      </w:rPr>
      <w:t>Mechanical boon: will automation advance Australia?</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Pr="001C2E57" w:rsidRDefault="009C6053" w:rsidP="00F244EA">
    <w:pPr>
      <w:pStyle w:val="Footer"/>
    </w:pPr>
    <w:r w:rsidRPr="001C2E57">
      <w:fldChar w:fldCharType="begin"/>
    </w:r>
    <w:r w:rsidRPr="001C2E57">
      <w:instrText>IF</w:instrText>
    </w:r>
    <w:fldSimple w:instr=" STYLEREF &quot;Title Heading&quot; \* Charformat ">
      <w:r w:rsidR="00184EBC">
        <w:rPr>
          <w:noProof/>
        </w:rPr>
        <w:instrText>Mechanical boon: will automation advance Australia?</w:instrText>
      </w:r>
    </w:fldSimple>
    <w:r w:rsidRPr="001C2E57">
      <w:instrText xml:space="preserve"> &lt;&gt; "Error*" </w:instrText>
    </w:r>
    <w:fldSimple w:instr=" STYLEREF &quot;Title Heading&quot; \* Charformat ">
      <w:r w:rsidR="00184EBC">
        <w:rPr>
          <w:noProof/>
        </w:rPr>
        <w:instrText>Mechanical boon: will automation advance Australia?</w:instrText>
      </w:r>
    </w:fldSimple>
    <w:r w:rsidRPr="001C2E57">
      <w:instrText xml:space="preserve"> </w:instrText>
    </w:r>
    <w:r w:rsidRPr="001C2E57">
      <w:fldChar w:fldCharType="separate"/>
    </w:r>
    <w:r w:rsidR="00184EBC">
      <w:rPr>
        <w:noProof/>
      </w:rPr>
      <w:t>Mechanical boon: will automation advance Australia?</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sidR="00184EBC">
      <w:rPr>
        <w:noProof/>
      </w:rPr>
      <w:t>38</w:t>
    </w:r>
    <w:r w:rsidRPr="001C2E57">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Pr="001C2E57" w:rsidRDefault="009C6053" w:rsidP="007A59E6">
    <w:pPr>
      <w:pStyle w:val="Footer"/>
    </w:pPr>
    <w:r w:rsidRPr="001C2E57">
      <w:fldChar w:fldCharType="begin"/>
    </w:r>
    <w:r w:rsidRPr="001C2E57">
      <w:instrText>IF</w:instrText>
    </w:r>
    <w:fldSimple w:instr=" STYLEREF &quot;Title Heading&quot; \* Charformat ">
      <w:r>
        <w:rPr>
          <w:noProof/>
        </w:rPr>
        <w:instrText>Mechanical boon: will automation advance Australia?</w:instrText>
      </w:r>
    </w:fldSimple>
    <w:r w:rsidRPr="001C2E57">
      <w:instrText xml:space="preserve"> &lt;&gt; "Error*" </w:instrText>
    </w:r>
    <w:fldSimple w:instr=" STYLEREF &quot;Title Heading&quot; \* Charformat ">
      <w:r>
        <w:rPr>
          <w:noProof/>
        </w:rPr>
        <w:instrText>Mechanical boon: will automation advance Australia?</w:instrText>
      </w:r>
    </w:fldSimple>
    <w:r w:rsidRPr="001C2E57">
      <w:instrText xml:space="preserve"> </w:instrText>
    </w:r>
    <w:r w:rsidRPr="001C2E57">
      <w:fldChar w:fldCharType="separate"/>
    </w:r>
    <w:r>
      <w:rPr>
        <w:noProof/>
      </w:rPr>
      <w:t>Mechanical boon: will automation advance Australia?</w:t>
    </w:r>
    <w:r w:rsidRPr="001C2E57">
      <w:fldChar w:fldCharType="end"/>
    </w:r>
    <w:r>
      <w:ptab w:relativeTo="margin" w:alignment="right" w:leader="none"/>
    </w:r>
    <w:r w:rsidRPr="001C2E57">
      <w:fldChar w:fldCharType="begin"/>
    </w:r>
    <w:r w:rsidRPr="001C2E57">
      <w:instrText xml:space="preserve"> PAGE   \* MERGEFORMAT </w:instrText>
    </w:r>
    <w:r w:rsidRPr="001C2E57">
      <w:fldChar w:fldCharType="separate"/>
    </w:r>
    <w:r>
      <w:rPr>
        <w:noProof/>
      </w:rPr>
      <w:t>1</w:t>
    </w:r>
    <w:r w:rsidRPr="001C2E5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6053" w:rsidRDefault="009C6053" w:rsidP="00F244EA">
      <w:pPr>
        <w:spacing w:after="0" w:line="240" w:lineRule="auto"/>
      </w:pPr>
      <w:r>
        <w:separator/>
      </w:r>
    </w:p>
  </w:footnote>
  <w:footnote w:type="continuationSeparator" w:id="0">
    <w:p w:rsidR="009C6053" w:rsidRDefault="009C6053" w:rsidP="00F244EA">
      <w:pPr>
        <w:spacing w:after="0" w:line="240" w:lineRule="auto"/>
      </w:pPr>
      <w:r>
        <w:continuationSeparator/>
      </w:r>
    </w:p>
  </w:footnote>
  <w:footnote w:id="1">
    <w:p w:rsidR="009C6053" w:rsidRDefault="009C6053" w:rsidP="00610F44">
      <w:pPr>
        <w:pStyle w:val="FootnoteText"/>
      </w:pPr>
      <w:r>
        <w:rPr>
          <w:rStyle w:val="FootnoteReference"/>
        </w:rPr>
        <w:footnoteRef/>
      </w:r>
      <w:r>
        <w:t xml:space="preserve"> </w:t>
      </w:r>
      <w:r w:rsidRPr="00D21284">
        <w:t>Foxconn, China’s largest private employer began replacing a million workers with robots in 2013</w:t>
      </w:r>
      <w:r>
        <w:t>.</w:t>
      </w:r>
      <w:r w:rsidRPr="00D21284">
        <w:t xml:space="preserve">  In the Netherlands, Philips uses 128 robots to produce electric razors, with only nine quality assurance workers at the very end of the production line</w:t>
      </w:r>
      <w:r>
        <w:t>.</w:t>
      </w:r>
      <w:r w:rsidRPr="00D21284">
        <w:t xml:space="preserve"> Since 2001, Japanese robotics company FANUC has been operating a human less “lights out” factory of robots that manufacture other robots</w:t>
      </w:r>
      <w:r>
        <w:t>.</w:t>
      </w:r>
    </w:p>
  </w:footnote>
  <w:footnote w:id="2">
    <w:p w:rsidR="009C6053" w:rsidRDefault="009C6053" w:rsidP="006C1C38">
      <w:pPr>
        <w:pStyle w:val="FootnoteText"/>
      </w:pPr>
      <w:r>
        <w:rPr>
          <w:rStyle w:val="FootnoteReference"/>
        </w:rPr>
        <w:footnoteRef/>
      </w:r>
      <w:r>
        <w:t xml:space="preserve"> </w:t>
      </w:r>
      <w:r w:rsidRPr="00DC7294">
        <w:t>Connolly E &amp; Lewis C (2010)</w:t>
      </w:r>
    </w:p>
  </w:footnote>
  <w:footnote w:id="3">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Pr>
          <w:rStyle w:val="FootnoteChar"/>
          <w:szCs w:val="16"/>
        </w:rPr>
        <w:t>Frey C B &amp; Osborne M A</w:t>
      </w:r>
      <w:r w:rsidRPr="00DC7294">
        <w:rPr>
          <w:rStyle w:val="FootnoteChar"/>
          <w:szCs w:val="16"/>
        </w:rPr>
        <w:t xml:space="preserve"> (2013)</w:t>
      </w:r>
    </w:p>
  </w:footnote>
  <w:footnote w:id="4">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Pr>
          <w:rStyle w:val="FootnoteChar"/>
          <w:szCs w:val="16"/>
        </w:rPr>
        <w:t xml:space="preserve">Take, for example, </w:t>
      </w:r>
      <w:r w:rsidRPr="00107267">
        <w:rPr>
          <w:rStyle w:val="FootnoteChar"/>
          <w:i/>
          <w:szCs w:val="16"/>
        </w:rPr>
        <w:t>The Painting Fool</w:t>
      </w:r>
      <w:r>
        <w:rPr>
          <w:rStyle w:val="FootnoteChar"/>
          <w:szCs w:val="16"/>
        </w:rPr>
        <w:t>, a computer program written by computer scientist Simon Colton, which runs its own web searches and researches a subject before completing an artwork.</w:t>
      </w:r>
    </w:p>
  </w:footnote>
  <w:footnote w:id="5">
    <w:p w:rsidR="009C6053" w:rsidRDefault="009C6053" w:rsidP="00610F44">
      <w:pPr>
        <w:pStyle w:val="FootnoteText"/>
      </w:pPr>
      <w:r>
        <w:rPr>
          <w:rStyle w:val="FootnoteReference"/>
        </w:rPr>
        <w:footnoteRef/>
      </w:r>
      <w:r>
        <w:t xml:space="preserve"> Deloitte (2014)</w:t>
      </w:r>
    </w:p>
  </w:footnote>
  <w:footnote w:id="6">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sidRPr="006F625A">
        <w:rPr>
          <w:rStyle w:val="FootnoteChar"/>
          <w:szCs w:val="16"/>
        </w:rPr>
        <w:t>Frey and Osborne</w:t>
      </w:r>
      <w:r>
        <w:rPr>
          <w:rStyle w:val="FootnoteChar"/>
          <w:szCs w:val="16"/>
        </w:rPr>
        <w:t>’s</w:t>
      </w:r>
      <w:r w:rsidRPr="006F625A">
        <w:rPr>
          <w:rStyle w:val="FootnoteChar"/>
          <w:szCs w:val="16"/>
        </w:rPr>
        <w:t xml:space="preserve"> original research, which used 2010 US occupational data, estimated that 47 per cent of US employment </w:t>
      </w:r>
      <w:r>
        <w:rPr>
          <w:rStyle w:val="FootnoteChar"/>
          <w:szCs w:val="16"/>
        </w:rPr>
        <w:t>had high susceptibility</w:t>
      </w:r>
      <w:r w:rsidRPr="006F625A">
        <w:rPr>
          <w:rStyle w:val="FootnoteChar"/>
          <w:szCs w:val="16"/>
        </w:rPr>
        <w:t xml:space="preserve"> of being automated</w:t>
      </w:r>
      <w:r>
        <w:rPr>
          <w:rStyle w:val="FootnoteChar"/>
          <w:szCs w:val="16"/>
        </w:rPr>
        <w:t>.</w:t>
      </w:r>
      <w:r w:rsidRPr="006F625A">
        <w:rPr>
          <w:rStyle w:val="FootnoteChar"/>
          <w:szCs w:val="16"/>
        </w:rPr>
        <w:t xml:space="preserve"> Any discrepancy is likely because this paper uses the latest available US employment data from 2013 to allow a more consistent comparison between US and Australian automation</w:t>
      </w:r>
      <w:r>
        <w:rPr>
          <w:rStyle w:val="FootnoteChar"/>
          <w:szCs w:val="16"/>
        </w:rPr>
        <w:t>.</w:t>
      </w:r>
    </w:p>
  </w:footnote>
  <w:footnote w:id="7">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sidRPr="0058736C">
        <w:t>Frey C B &amp; Osborne M A (2013)</w:t>
      </w:r>
      <w:r w:rsidRPr="006F625A">
        <w:rPr>
          <w:rStyle w:val="FootnoteChar"/>
          <w:szCs w:val="16"/>
        </w:rPr>
        <w:t xml:space="preserve"> p 38</w:t>
      </w:r>
    </w:p>
  </w:footnote>
  <w:footnote w:id="8">
    <w:p w:rsidR="009C6053" w:rsidRDefault="009C6053" w:rsidP="00610F44">
      <w:pPr>
        <w:pStyle w:val="FootnoteText"/>
      </w:pPr>
      <w:r>
        <w:rPr>
          <w:rStyle w:val="FootnoteReference"/>
        </w:rPr>
        <w:footnoteRef/>
      </w:r>
      <w:r>
        <w:t xml:space="preserve"> Autor D Levy F &amp; Murnane R J (2001)</w:t>
      </w:r>
    </w:p>
  </w:footnote>
  <w:footnote w:id="9">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Pr>
          <w:szCs w:val="16"/>
        </w:rPr>
        <w:t>C</w:t>
      </w:r>
      <w:r w:rsidRPr="00A55184">
        <w:rPr>
          <w:szCs w:val="16"/>
        </w:rPr>
        <w:t>alculated usi</w:t>
      </w:r>
      <w:r>
        <w:rPr>
          <w:szCs w:val="16"/>
        </w:rPr>
        <w:t>ng Australian Bureau of Statistics (2014b)</w:t>
      </w:r>
    </w:p>
  </w:footnote>
  <w:footnote w:id="10">
    <w:p w:rsidR="009C6053" w:rsidRDefault="009C6053" w:rsidP="00610F44">
      <w:pPr>
        <w:pStyle w:val="FootnoteText"/>
      </w:pPr>
      <w:r>
        <w:rPr>
          <w:rStyle w:val="FootnoteReference"/>
        </w:rPr>
        <w:footnoteRef/>
      </w:r>
      <w:r>
        <w:t xml:space="preserve"> Australian Bureau of Statistics (2014b)</w:t>
      </w:r>
    </w:p>
  </w:footnote>
  <w:footnote w:id="11">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See Kelly and Lewis </w:t>
      </w:r>
      <w:r>
        <w:rPr>
          <w:szCs w:val="16"/>
        </w:rPr>
        <w:t>(</w:t>
      </w:r>
      <w:r w:rsidRPr="006F625A">
        <w:rPr>
          <w:szCs w:val="16"/>
        </w:rPr>
        <w:t>2010</w:t>
      </w:r>
      <w:r>
        <w:rPr>
          <w:szCs w:val="16"/>
        </w:rPr>
        <w:t>)</w:t>
      </w:r>
      <w:r w:rsidRPr="006F625A">
        <w:rPr>
          <w:szCs w:val="16"/>
        </w:rPr>
        <w:t xml:space="preserve"> for ex</w:t>
      </w:r>
      <w:r>
        <w:rPr>
          <w:szCs w:val="16"/>
        </w:rPr>
        <w:t>ample</w:t>
      </w:r>
    </w:p>
  </w:footnote>
  <w:footnote w:id="12">
    <w:p w:rsidR="009C6053" w:rsidRDefault="009C6053" w:rsidP="006C1C38">
      <w:pPr>
        <w:pStyle w:val="FootnoteText"/>
      </w:pPr>
      <w:r>
        <w:rPr>
          <w:rStyle w:val="FootnoteReference"/>
        </w:rPr>
        <w:footnoteRef/>
      </w:r>
      <w:r>
        <w:t xml:space="preserve"> </w:t>
      </w:r>
      <w:r w:rsidRPr="00CC6EC9">
        <w:t>Levy F &amp; Murnane R J (</w:t>
      </w:r>
      <w:r>
        <w:t>2004</w:t>
      </w:r>
      <w:r w:rsidRPr="00CC6EC9">
        <w:t>)</w:t>
      </w:r>
    </w:p>
  </w:footnote>
  <w:footnote w:id="13">
    <w:p w:rsidR="009C6053" w:rsidRDefault="009C6053" w:rsidP="00610F44">
      <w:pPr>
        <w:pStyle w:val="FootnoteText"/>
      </w:pPr>
      <w:r>
        <w:rPr>
          <w:rStyle w:val="FootnoteReference"/>
        </w:rPr>
        <w:footnoteRef/>
      </w:r>
      <w:r>
        <w:t xml:space="preserve"> Thrun S (2010)</w:t>
      </w:r>
    </w:p>
  </w:footnote>
  <w:footnote w:id="14">
    <w:p w:rsidR="009C6053" w:rsidRDefault="009C6053" w:rsidP="00610F44">
      <w:pPr>
        <w:pStyle w:val="FootnoteText"/>
      </w:pPr>
      <w:r>
        <w:rPr>
          <w:rStyle w:val="FootnoteReference"/>
        </w:rPr>
        <w:footnoteRef/>
      </w:r>
      <w:r>
        <w:t xml:space="preserve"> </w:t>
      </w:r>
      <w:r>
        <w:rPr>
          <w:szCs w:val="16"/>
        </w:rPr>
        <w:t>Kelly R &amp; Lewis P (2010)</w:t>
      </w:r>
    </w:p>
  </w:footnote>
  <w:footnote w:id="15">
    <w:p w:rsidR="009C6053" w:rsidRDefault="009C6053" w:rsidP="00610F44">
      <w:pPr>
        <w:pStyle w:val="FootnoteText"/>
      </w:pPr>
      <w:r>
        <w:rPr>
          <w:rStyle w:val="FootnoteReference"/>
        </w:rPr>
        <w:footnoteRef/>
      </w:r>
      <w:r>
        <w:t xml:space="preserve"> </w:t>
      </w:r>
      <w:r w:rsidRPr="00BC4A9D">
        <w:t>Spitz</w:t>
      </w:r>
      <w:r w:rsidRPr="00BC4A9D">
        <w:rPr>
          <w:rFonts w:ascii="Cambria Math" w:hAnsi="Cambria Math" w:cs="Cambria Math"/>
        </w:rPr>
        <w:t>‐</w:t>
      </w:r>
      <w:r>
        <w:t>Oener A (2006)</w:t>
      </w:r>
    </w:p>
  </w:footnote>
  <w:footnote w:id="16">
    <w:p w:rsidR="009C6053" w:rsidRPr="006F625A" w:rsidRDefault="009C6053" w:rsidP="006C1C38">
      <w:pPr>
        <w:pStyle w:val="FootnoteText"/>
        <w:rPr>
          <w:szCs w:val="16"/>
        </w:rPr>
      </w:pPr>
      <w:r w:rsidRPr="006F625A">
        <w:rPr>
          <w:rStyle w:val="FootnoteReference"/>
          <w:szCs w:val="16"/>
        </w:rPr>
        <w:footnoteRef/>
      </w:r>
      <w:r w:rsidRPr="006F625A">
        <w:rPr>
          <w:szCs w:val="16"/>
        </w:rPr>
        <w:t xml:space="preserve"> </w:t>
      </w:r>
      <w:r>
        <w:rPr>
          <w:rStyle w:val="FootnoteChar"/>
          <w:szCs w:val="16"/>
        </w:rPr>
        <w:t>Bureau of Labor Statistics United States (2012)</w:t>
      </w:r>
    </w:p>
  </w:footnote>
  <w:footnote w:id="17">
    <w:p w:rsidR="009C6053" w:rsidRPr="006F625A" w:rsidRDefault="009C6053" w:rsidP="006C1C38">
      <w:pPr>
        <w:pStyle w:val="FootnoteText"/>
        <w:rPr>
          <w:szCs w:val="16"/>
        </w:rPr>
      </w:pPr>
      <w:r w:rsidRPr="006F625A">
        <w:rPr>
          <w:rStyle w:val="FootnoteReference"/>
          <w:szCs w:val="16"/>
        </w:rPr>
        <w:footnoteRef/>
      </w:r>
      <w:r w:rsidRPr="006F625A">
        <w:rPr>
          <w:szCs w:val="16"/>
        </w:rPr>
        <w:t xml:space="preserve"> </w:t>
      </w:r>
      <w:r>
        <w:rPr>
          <w:rStyle w:val="FootnoteChar"/>
          <w:szCs w:val="16"/>
        </w:rPr>
        <w:t>Australian Bureau of Statistics (2013)</w:t>
      </w:r>
    </w:p>
  </w:footnote>
  <w:footnote w:id="18">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Pr>
          <w:rStyle w:val="FootnoteChar"/>
          <w:szCs w:val="16"/>
        </w:rPr>
        <w:t>Bureau of Labor Statistics United States (2015)</w:t>
      </w:r>
    </w:p>
  </w:footnote>
  <w:footnote w:id="19">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sidRPr="006F625A">
        <w:rPr>
          <w:rStyle w:val="FootnoteChar"/>
          <w:szCs w:val="16"/>
        </w:rPr>
        <w:t xml:space="preserve">That is when two or more occupations are merged in a subsequent </w:t>
      </w:r>
      <w:r w:rsidRPr="003207ED">
        <w:rPr>
          <w:rStyle w:val="FootnoteChar"/>
          <w:szCs w:val="16"/>
        </w:rPr>
        <w:t>job</w:t>
      </w:r>
      <w:r w:rsidRPr="006F625A">
        <w:rPr>
          <w:rStyle w:val="FootnoteChar"/>
          <w:szCs w:val="16"/>
        </w:rPr>
        <w:t xml:space="preserve"> system (such as when multiple US occupations merge to create ISCO 2411 ‘accountant’) the contributing US </w:t>
      </w:r>
      <w:r w:rsidRPr="003207ED">
        <w:rPr>
          <w:rStyle w:val="FootnoteChar"/>
          <w:szCs w:val="16"/>
        </w:rPr>
        <w:t>job</w:t>
      </w:r>
      <w:r w:rsidRPr="006F625A">
        <w:rPr>
          <w:rStyle w:val="FootnoteChar"/>
          <w:szCs w:val="16"/>
        </w:rPr>
        <w:t xml:space="preserve">s’ scores are weighted according to the total number employed in that </w:t>
      </w:r>
      <w:r w:rsidRPr="003207ED">
        <w:rPr>
          <w:rStyle w:val="FootnoteChar"/>
          <w:szCs w:val="16"/>
        </w:rPr>
        <w:t>job</w:t>
      </w:r>
      <w:r w:rsidRPr="006F625A">
        <w:rPr>
          <w:rStyle w:val="FootnoteChar"/>
          <w:szCs w:val="16"/>
        </w:rPr>
        <w:t xml:space="preserve"> in the US</w:t>
      </w:r>
      <w:r>
        <w:rPr>
          <w:rStyle w:val="FootnoteChar"/>
          <w:szCs w:val="16"/>
        </w:rPr>
        <w:t>.</w:t>
      </w:r>
      <w:r w:rsidRPr="006F625A">
        <w:rPr>
          <w:rStyle w:val="FootnoteChar"/>
          <w:szCs w:val="16"/>
        </w:rPr>
        <w:t xml:space="preserve"> However concordance tables do not provide an indication of how occupations are distributed</w:t>
      </w:r>
      <w:r>
        <w:rPr>
          <w:rStyle w:val="FootnoteChar"/>
          <w:szCs w:val="16"/>
        </w:rPr>
        <w:t>.</w:t>
      </w:r>
      <w:r w:rsidRPr="006F625A">
        <w:rPr>
          <w:rStyle w:val="FootnoteChar"/>
          <w:szCs w:val="16"/>
        </w:rPr>
        <w:t xml:space="preserve"> When one occupation is split into two or more occupations in a subsequent </w:t>
      </w:r>
      <w:r w:rsidRPr="003207ED">
        <w:rPr>
          <w:rStyle w:val="FootnoteChar"/>
          <w:szCs w:val="16"/>
        </w:rPr>
        <w:t>job</w:t>
      </w:r>
      <w:r w:rsidRPr="006F625A">
        <w:rPr>
          <w:rStyle w:val="FootnoteChar"/>
          <w:szCs w:val="16"/>
        </w:rPr>
        <w:t xml:space="preserve"> system (such as ISCO </w:t>
      </w:r>
      <w:r>
        <w:rPr>
          <w:rStyle w:val="FootnoteChar"/>
          <w:szCs w:val="16"/>
        </w:rPr>
        <w:t>2411 splitting into several six-</w:t>
      </w:r>
      <w:r w:rsidRPr="006F625A">
        <w:rPr>
          <w:rStyle w:val="FootnoteChar"/>
          <w:szCs w:val="16"/>
        </w:rPr>
        <w:t xml:space="preserve">digit ANZSCO </w:t>
      </w:r>
      <w:r w:rsidRPr="003207ED">
        <w:rPr>
          <w:rStyle w:val="FootnoteChar"/>
          <w:szCs w:val="16"/>
        </w:rPr>
        <w:t>job</w:t>
      </w:r>
      <w:r w:rsidRPr="006F625A">
        <w:rPr>
          <w:rStyle w:val="FootnoteChar"/>
          <w:szCs w:val="16"/>
        </w:rPr>
        <w:t>s) the occupation’s employment figure which is then used to create a weighting is split evenly amongst the subsequent occupations</w:t>
      </w:r>
      <w:r>
        <w:rPr>
          <w:rStyle w:val="FootnoteChar"/>
          <w:szCs w:val="16"/>
        </w:rPr>
        <w:t>.</w:t>
      </w:r>
    </w:p>
  </w:footnote>
  <w:footnote w:id="20">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sidRPr="006F625A">
        <w:rPr>
          <w:rStyle w:val="FootnoteChar"/>
          <w:szCs w:val="16"/>
        </w:rPr>
        <w:t>Specifically the US ‘Hunters and Trappers’ occupation</w:t>
      </w:r>
      <w:r w:rsidRPr="006F625A">
        <w:rPr>
          <w:szCs w:val="16"/>
        </w:rPr>
        <w:t xml:space="preserve"> </w:t>
      </w:r>
    </w:p>
  </w:footnote>
  <w:footnote w:id="21">
    <w:p w:rsidR="009C6053" w:rsidRPr="006F625A" w:rsidRDefault="009C6053" w:rsidP="00610F44">
      <w:pPr>
        <w:pStyle w:val="FootnoteText"/>
        <w:rPr>
          <w:szCs w:val="16"/>
        </w:rPr>
      </w:pPr>
      <w:r w:rsidRPr="006F625A">
        <w:rPr>
          <w:rStyle w:val="FootnoteReference"/>
          <w:szCs w:val="16"/>
        </w:rPr>
        <w:footnoteRef/>
      </w:r>
      <w:r w:rsidRPr="006F625A">
        <w:rPr>
          <w:szCs w:val="16"/>
        </w:rPr>
        <w:t xml:space="preserve"> </w:t>
      </w:r>
      <w:r w:rsidRPr="006F625A">
        <w:rPr>
          <w:rStyle w:val="FootnoteChar"/>
          <w:szCs w:val="16"/>
        </w:rPr>
        <w:t xml:space="preserve">116 </w:t>
      </w:r>
      <w:r w:rsidRPr="003207ED">
        <w:rPr>
          <w:rStyle w:val="FootnoteChar"/>
          <w:szCs w:val="16"/>
        </w:rPr>
        <w:t>job</w:t>
      </w:r>
      <w:r w:rsidRPr="006F625A">
        <w:rPr>
          <w:rStyle w:val="FootnoteChar"/>
          <w:szCs w:val="16"/>
        </w:rPr>
        <w:t>s are classified as ‘not further defined’ and therefore do not have international concordances</w:t>
      </w:r>
      <w:r>
        <w:rPr>
          <w:rStyle w:val="FootnoteChar"/>
          <w:szCs w:val="16"/>
        </w:rPr>
        <w:t>.</w:t>
      </w:r>
      <w:r w:rsidRPr="006F625A">
        <w:rPr>
          <w:rStyle w:val="FootnoteChar"/>
          <w:szCs w:val="16"/>
        </w:rPr>
        <w:t xml:space="preserve"> </w:t>
      </w:r>
      <w:r>
        <w:rPr>
          <w:rStyle w:val="FootnoteChar"/>
          <w:szCs w:val="16"/>
        </w:rPr>
        <w:t>These are not included in this analysis.</w:t>
      </w:r>
    </w:p>
  </w:footnote>
  <w:footnote w:id="22">
    <w:p w:rsidR="009C6053" w:rsidRPr="006F625A" w:rsidRDefault="009C6053" w:rsidP="006C1C38">
      <w:pPr>
        <w:pStyle w:val="FootnoteText"/>
        <w:rPr>
          <w:szCs w:val="16"/>
        </w:rPr>
      </w:pPr>
      <w:r w:rsidRPr="006F625A">
        <w:rPr>
          <w:rStyle w:val="FootnoteReference"/>
          <w:szCs w:val="16"/>
        </w:rPr>
        <w:footnoteRef/>
      </w:r>
      <w:r w:rsidRPr="006F625A">
        <w:rPr>
          <w:szCs w:val="16"/>
        </w:rPr>
        <w:t xml:space="preserve"> </w:t>
      </w:r>
      <w:r w:rsidRPr="006F625A">
        <w:rPr>
          <w:rStyle w:val="FootnoteChar"/>
          <w:szCs w:val="16"/>
        </w:rPr>
        <w:t xml:space="preserve">According to average employment over four quarters, </w:t>
      </w:r>
      <w:r>
        <w:rPr>
          <w:rStyle w:val="FootnoteChar"/>
          <w:szCs w:val="16"/>
        </w:rPr>
        <w:t>2013–14</w:t>
      </w:r>
      <w:r w:rsidRPr="006F625A">
        <w:rPr>
          <w:rStyle w:val="FootnoteChar"/>
          <w:szCs w:val="16"/>
        </w:rPr>
        <w:t xml:space="preserve">; </w:t>
      </w:r>
      <w:r>
        <w:rPr>
          <w:rStyle w:val="FootnoteChar"/>
          <w:szCs w:val="16"/>
        </w:rPr>
        <w:t>Australian Bureau of Statistics (2014b)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Default="009C60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Default="009C605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6053" w:rsidRDefault="009C60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741272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C07E4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99001024"/>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03323B38"/>
    <w:multiLevelType w:val="multilevel"/>
    <w:tmpl w:val="3A866F96"/>
    <w:styleLink w:val="OCEHeadings"/>
    <w:lvl w:ilvl="0">
      <w:start w:val="1"/>
      <w:numFmt w:val="decimal"/>
      <w:pStyle w:val="Heading1"/>
      <w:lvlText w:val="%1."/>
      <w:lvlJc w:val="left"/>
      <w:pPr>
        <w:ind w:left="2835" w:hanging="675"/>
      </w:pPr>
      <w:rPr>
        <w:rFonts w:hint="default"/>
      </w:rPr>
    </w:lvl>
    <w:lvl w:ilvl="1">
      <w:start w:val="1"/>
      <w:numFmt w:val="decimal"/>
      <w:pStyle w:val="Heading2"/>
      <w:lvlText w:val="%1.%2"/>
      <w:lvlJc w:val="left"/>
      <w:pPr>
        <w:ind w:left="2835" w:hanging="675"/>
      </w:pPr>
      <w:rPr>
        <w:rFonts w:hint="default"/>
      </w:rPr>
    </w:lvl>
    <w:lvl w:ilvl="2">
      <w:start w:val="1"/>
      <w:numFmt w:val="none"/>
      <w:pStyle w:val="Heading3"/>
      <w:suff w:val="nothing"/>
      <w:lvlText w:val=""/>
      <w:lvlJc w:val="left"/>
      <w:pPr>
        <w:ind w:left="2160" w:firstLine="0"/>
      </w:pPr>
      <w:rPr>
        <w:rFonts w:hint="default"/>
      </w:rPr>
    </w:lvl>
    <w:lvl w:ilvl="3">
      <w:start w:val="1"/>
      <w:numFmt w:val="none"/>
      <w:suff w:val="nothing"/>
      <w:lvlText w:val=""/>
      <w:lvlJc w:val="left"/>
      <w:pPr>
        <w:ind w:left="2160" w:firstLine="0"/>
      </w:pPr>
      <w:rPr>
        <w:rFonts w:hint="default"/>
      </w:rPr>
    </w:lvl>
    <w:lvl w:ilvl="4">
      <w:start w:val="1"/>
      <w:numFmt w:val="none"/>
      <w:suff w:val="nothing"/>
      <w:lvlText w:val=""/>
      <w:lvlJc w:val="left"/>
      <w:pPr>
        <w:ind w:left="2160" w:firstLine="0"/>
      </w:pPr>
      <w:rPr>
        <w:rFonts w:hint="default"/>
      </w:rPr>
    </w:lvl>
    <w:lvl w:ilvl="5">
      <w:start w:val="1"/>
      <w:numFmt w:val="upperLetter"/>
      <w:pStyle w:val="Heading6"/>
      <w:lvlText w:val="Appendix %6"/>
      <w:lvlJc w:val="left"/>
      <w:pPr>
        <w:ind w:left="4536" w:hanging="2376"/>
      </w:pPr>
      <w:rPr>
        <w:rFonts w:hint="default"/>
      </w:rPr>
    </w:lvl>
    <w:lvl w:ilvl="6">
      <w:start w:val="1"/>
      <w:numFmt w:val="decimal"/>
      <w:pStyle w:val="Heading7"/>
      <w:lvlText w:val="%6.%7"/>
      <w:lvlJc w:val="left"/>
      <w:pPr>
        <w:ind w:left="2835" w:hanging="675"/>
      </w:pPr>
      <w:rPr>
        <w:rFonts w:hint="default"/>
      </w:rPr>
    </w:lvl>
    <w:lvl w:ilvl="7">
      <w:start w:val="1"/>
      <w:numFmt w:val="none"/>
      <w:pStyle w:val="Heading8"/>
      <w:suff w:val="nothing"/>
      <w:lvlText w:val=""/>
      <w:lvlJc w:val="left"/>
      <w:pPr>
        <w:ind w:left="2160" w:firstLine="0"/>
      </w:pPr>
      <w:rPr>
        <w:rFonts w:hint="default"/>
      </w:rPr>
    </w:lvl>
    <w:lvl w:ilvl="8">
      <w:start w:val="1"/>
      <w:numFmt w:val="none"/>
      <w:suff w:val="nothing"/>
      <w:lvlText w:val=""/>
      <w:lvlJc w:val="left"/>
      <w:pPr>
        <w:ind w:left="2160" w:firstLine="0"/>
      </w:pPr>
      <w:rPr>
        <w:rFonts w:hint="default"/>
      </w:rPr>
    </w:lvl>
  </w:abstractNum>
  <w:abstractNum w:abstractNumId="4" w15:restartNumberingAfterBreak="0">
    <w:nsid w:val="182859EC"/>
    <w:multiLevelType w:val="multilevel"/>
    <w:tmpl w:val="3684BDEC"/>
    <w:styleLink w:val="OCETableBullets"/>
    <w:lvl w:ilvl="0">
      <w:start w:val="1"/>
      <w:numFmt w:val="bullet"/>
      <w:pStyle w:val="TableListBullet"/>
      <w:lvlText w:val=""/>
      <w:lvlJc w:val="left"/>
      <w:pPr>
        <w:ind w:left="113" w:hanging="113"/>
      </w:pPr>
      <w:rPr>
        <w:rFonts w:ascii="Wingdings" w:hAnsi="Wingdings" w:hint="default"/>
      </w:rPr>
    </w:lvl>
    <w:lvl w:ilvl="1">
      <w:start w:val="1"/>
      <w:numFmt w:val="none"/>
      <w:suff w:val="nothing"/>
      <w:lvlText w:val=""/>
      <w:lvlJc w:val="left"/>
      <w:pPr>
        <w:ind w:left="-32767" w:firstLine="0"/>
      </w:pPr>
      <w:rPr>
        <w:rFonts w:hint="default"/>
      </w:rPr>
    </w:lvl>
    <w:lvl w:ilvl="2">
      <w:start w:val="1"/>
      <w:numFmt w:val="none"/>
      <w:suff w:val="nothing"/>
      <w:lvlText w:val=""/>
      <w:lvlJc w:val="left"/>
      <w:pPr>
        <w:ind w:left="-32767" w:firstLine="0"/>
      </w:pPr>
      <w:rPr>
        <w:rFonts w:hint="default"/>
      </w:rPr>
    </w:lvl>
    <w:lvl w:ilvl="3">
      <w:start w:val="1"/>
      <w:numFmt w:val="none"/>
      <w:suff w:val="nothing"/>
      <w:lvlText w:val=""/>
      <w:lvlJc w:val="left"/>
      <w:pPr>
        <w:ind w:left="-32767" w:firstLine="0"/>
      </w:pPr>
      <w:rPr>
        <w:rFonts w:hint="default"/>
      </w:rPr>
    </w:lvl>
    <w:lvl w:ilvl="4">
      <w:start w:val="1"/>
      <w:numFmt w:val="none"/>
      <w:suff w:val="nothing"/>
      <w:lvlText w:val=""/>
      <w:lvlJc w:val="left"/>
      <w:pPr>
        <w:ind w:left="-32767" w:firstLine="0"/>
      </w:pPr>
      <w:rPr>
        <w:rFonts w:hint="default"/>
      </w:rPr>
    </w:lvl>
    <w:lvl w:ilvl="5">
      <w:start w:val="1"/>
      <w:numFmt w:val="none"/>
      <w:suff w:val="nothing"/>
      <w:lvlText w:val=""/>
      <w:lvlJc w:val="left"/>
      <w:pPr>
        <w:ind w:left="-32767" w:firstLine="0"/>
      </w:pPr>
      <w:rPr>
        <w:rFonts w:hint="default"/>
      </w:rPr>
    </w:lvl>
    <w:lvl w:ilvl="6">
      <w:start w:val="1"/>
      <w:numFmt w:val="bullet"/>
      <w:suff w:val="nothing"/>
      <w:lvlText w:val=""/>
      <w:lvlJc w:val="left"/>
      <w:pPr>
        <w:ind w:left="-32767" w:firstLine="0"/>
      </w:pPr>
      <w:rPr>
        <w:rFonts w:ascii="Symbol" w:hAnsi="Symbol" w:hint="default"/>
      </w:rPr>
    </w:lvl>
    <w:lvl w:ilvl="7">
      <w:start w:val="1"/>
      <w:numFmt w:val="bullet"/>
      <w:suff w:val="nothing"/>
      <w:lvlText w:val="o"/>
      <w:lvlJc w:val="left"/>
      <w:pPr>
        <w:ind w:left="-32767" w:firstLine="0"/>
      </w:pPr>
      <w:rPr>
        <w:rFonts w:ascii="Courier New" w:hAnsi="Courier New" w:hint="default"/>
      </w:rPr>
    </w:lvl>
    <w:lvl w:ilvl="8">
      <w:start w:val="1"/>
      <w:numFmt w:val="bullet"/>
      <w:suff w:val="nothing"/>
      <w:lvlText w:val=""/>
      <w:lvlJc w:val="left"/>
      <w:pPr>
        <w:ind w:left="-32767" w:firstLine="0"/>
      </w:pPr>
      <w:rPr>
        <w:rFonts w:ascii="Wingdings" w:hAnsi="Wingdings" w:hint="default"/>
      </w:rPr>
    </w:lvl>
  </w:abstractNum>
  <w:abstractNum w:abstractNumId="5" w15:restartNumberingAfterBreak="0">
    <w:nsid w:val="187029E1"/>
    <w:multiLevelType w:val="multilevel"/>
    <w:tmpl w:val="9E06CAEE"/>
    <w:styleLink w:val="EASDMultilevelList"/>
    <w:lvl w:ilvl="0">
      <w:start w:val="1"/>
      <w:numFmt w:val="decimal"/>
      <w:lvlText w:val="%1."/>
      <w:lvlJc w:val="left"/>
      <w:pPr>
        <w:ind w:left="2520" w:hanging="360"/>
      </w:pPr>
      <w:rPr>
        <w:rFonts w:hint="default"/>
      </w:rPr>
    </w:lvl>
    <w:lvl w:ilvl="1">
      <w:start w:val="1"/>
      <w:numFmt w:val="decimal"/>
      <w:lvlText w:val="%1.%2."/>
      <w:lvlJc w:val="left"/>
      <w:pPr>
        <w:ind w:left="2121" w:firstLine="399"/>
      </w:pPr>
      <w:rPr>
        <w:rFonts w:hint="default"/>
      </w:rPr>
    </w:lvl>
    <w:lvl w:ilvl="2">
      <w:start w:val="1"/>
      <w:numFmt w:val="decimal"/>
      <w:lvlText w:val="%1.%2.%3."/>
      <w:lvlJc w:val="left"/>
      <w:pPr>
        <w:ind w:left="2121" w:firstLine="759"/>
      </w:pPr>
      <w:rPr>
        <w:rFonts w:hint="default"/>
      </w:rPr>
    </w:lvl>
    <w:lvl w:ilvl="3">
      <w:start w:val="1"/>
      <w:numFmt w:val="decimal"/>
      <w:lvlText w:val="%1.%2.%3.%4."/>
      <w:lvlJc w:val="left"/>
      <w:pPr>
        <w:ind w:left="2121" w:firstLine="1119"/>
      </w:pPr>
      <w:rPr>
        <w:rFonts w:hint="default"/>
      </w:rPr>
    </w:lvl>
    <w:lvl w:ilvl="4">
      <w:start w:val="1"/>
      <w:numFmt w:val="decimal"/>
      <w:lvlText w:val="%1.%2.%3.%4.%5."/>
      <w:lvlJc w:val="left"/>
      <w:pPr>
        <w:ind w:left="4392" w:hanging="792"/>
      </w:pPr>
      <w:rPr>
        <w:rFonts w:hint="default"/>
      </w:rPr>
    </w:lvl>
    <w:lvl w:ilvl="5">
      <w:start w:val="1"/>
      <w:numFmt w:val="decimal"/>
      <w:lvlText w:val="%1.%2.%3.%4.%5.%6."/>
      <w:lvlJc w:val="left"/>
      <w:pPr>
        <w:ind w:left="4896" w:hanging="936"/>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5904" w:hanging="1224"/>
      </w:pPr>
      <w:rPr>
        <w:rFonts w:hint="default"/>
      </w:rPr>
    </w:lvl>
    <w:lvl w:ilvl="8">
      <w:start w:val="1"/>
      <w:numFmt w:val="decimal"/>
      <w:lvlText w:val="%1.%2.%3.%4.%5.%6.%7.%8.%9."/>
      <w:lvlJc w:val="left"/>
      <w:pPr>
        <w:ind w:left="6480" w:hanging="1440"/>
      </w:pPr>
      <w:rPr>
        <w:rFonts w:hint="default"/>
      </w:rPr>
    </w:lvl>
  </w:abstractNum>
  <w:abstractNum w:abstractNumId="6" w15:restartNumberingAfterBreak="0">
    <w:nsid w:val="18801DAD"/>
    <w:multiLevelType w:val="multilevel"/>
    <w:tmpl w:val="0CF0D11A"/>
    <w:styleLink w:val="OCENumberedList"/>
    <w:lvl w:ilvl="0">
      <w:start w:val="1"/>
      <w:numFmt w:val="decimal"/>
      <w:pStyle w:val="ListNumber"/>
      <w:lvlText w:val="%1."/>
      <w:lvlJc w:val="left"/>
      <w:pPr>
        <w:ind w:left="2495" w:hanging="335"/>
      </w:pPr>
      <w:rPr>
        <w:rFonts w:hint="default"/>
      </w:rPr>
    </w:lvl>
    <w:lvl w:ilvl="1">
      <w:start w:val="1"/>
      <w:numFmt w:val="decimal"/>
      <w:pStyle w:val="ListNumber2"/>
      <w:lvlText w:val="%1.%2"/>
      <w:lvlJc w:val="left"/>
      <w:pPr>
        <w:ind w:left="2977" w:hanging="425"/>
      </w:pPr>
      <w:rPr>
        <w:rFonts w:hint="default"/>
      </w:rPr>
    </w:lvl>
    <w:lvl w:ilvl="2">
      <w:start w:val="1"/>
      <w:numFmt w:val="decimal"/>
      <w:pStyle w:val="ListNumber3"/>
      <w:lvlText w:val="%1.%2.%3"/>
      <w:lvlJc w:val="left"/>
      <w:pPr>
        <w:ind w:left="3686" w:hanging="709"/>
      </w:pPr>
      <w:rPr>
        <w:rFonts w:hint="default"/>
      </w:rPr>
    </w:lvl>
    <w:lvl w:ilvl="3">
      <w:start w:val="1"/>
      <w:numFmt w:val="none"/>
      <w:lvlText w:val=""/>
      <w:lvlJc w:val="left"/>
      <w:pPr>
        <w:ind w:left="3686" w:firstLine="0"/>
      </w:pPr>
      <w:rPr>
        <w:rFonts w:hint="default"/>
      </w:rPr>
    </w:lvl>
    <w:lvl w:ilvl="4">
      <w:start w:val="1"/>
      <w:numFmt w:val="none"/>
      <w:lvlRestart w:val="0"/>
      <w:suff w:val="nothing"/>
      <w:lvlText w:val=""/>
      <w:lvlJc w:val="left"/>
      <w:pPr>
        <w:ind w:left="3686" w:firstLine="0"/>
      </w:pPr>
      <w:rPr>
        <w:rFonts w:hint="default"/>
      </w:rPr>
    </w:lvl>
    <w:lvl w:ilvl="5">
      <w:start w:val="1"/>
      <w:numFmt w:val="none"/>
      <w:lvlRestart w:val="0"/>
      <w:suff w:val="nothing"/>
      <w:lvlText w:val=""/>
      <w:lvlJc w:val="left"/>
      <w:pPr>
        <w:ind w:left="3686" w:firstLine="0"/>
      </w:pPr>
      <w:rPr>
        <w:rFonts w:hint="default"/>
      </w:rPr>
    </w:lvl>
    <w:lvl w:ilvl="6">
      <w:start w:val="1"/>
      <w:numFmt w:val="none"/>
      <w:lvlRestart w:val="0"/>
      <w:suff w:val="nothing"/>
      <w:lvlText w:val=""/>
      <w:lvlJc w:val="left"/>
      <w:pPr>
        <w:ind w:left="3686" w:firstLine="0"/>
      </w:pPr>
      <w:rPr>
        <w:rFonts w:hint="default"/>
      </w:rPr>
    </w:lvl>
    <w:lvl w:ilvl="7">
      <w:start w:val="1"/>
      <w:numFmt w:val="none"/>
      <w:lvlRestart w:val="0"/>
      <w:suff w:val="nothing"/>
      <w:lvlText w:val=""/>
      <w:lvlJc w:val="left"/>
      <w:pPr>
        <w:ind w:left="3686" w:firstLine="0"/>
      </w:pPr>
      <w:rPr>
        <w:rFonts w:hint="default"/>
      </w:rPr>
    </w:lvl>
    <w:lvl w:ilvl="8">
      <w:start w:val="1"/>
      <w:numFmt w:val="none"/>
      <w:lvlRestart w:val="0"/>
      <w:suff w:val="nothing"/>
      <w:lvlText w:val=""/>
      <w:lvlJc w:val="left"/>
      <w:pPr>
        <w:ind w:left="3686" w:firstLine="0"/>
      </w:pPr>
      <w:rPr>
        <w:rFonts w:hint="default"/>
      </w:rPr>
    </w:lvl>
  </w:abstractNum>
  <w:abstractNum w:abstractNumId="7" w15:restartNumberingAfterBreak="0">
    <w:nsid w:val="1A7C4150"/>
    <w:multiLevelType w:val="multilevel"/>
    <w:tmpl w:val="99A82F9E"/>
    <w:lvl w:ilvl="0">
      <w:start w:val="1"/>
      <w:numFmt w:val="decimal"/>
      <w:lvlText w:val="%1."/>
      <w:lvlJc w:val="left"/>
      <w:pPr>
        <w:ind w:left="2835" w:hanging="675"/>
      </w:pPr>
      <w:rPr>
        <w:rFonts w:hint="default"/>
      </w:rPr>
    </w:lvl>
    <w:lvl w:ilvl="1">
      <w:start w:val="1"/>
      <w:numFmt w:val="decimal"/>
      <w:lvlText w:val="%1.%2"/>
      <w:lvlJc w:val="left"/>
      <w:pPr>
        <w:ind w:left="2835" w:hanging="675"/>
      </w:pPr>
      <w:rPr>
        <w:rFonts w:hint="default"/>
      </w:rPr>
    </w:lvl>
    <w:lvl w:ilvl="2">
      <w:start w:val="1"/>
      <w:numFmt w:val="decimal"/>
      <w:lvlText w:val="%1.%2.%3"/>
      <w:lvlJc w:val="left"/>
      <w:pPr>
        <w:ind w:left="2835" w:hanging="675"/>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upperLetter"/>
      <w:lvlText w:val="Appendix %6"/>
      <w:lvlJc w:val="left"/>
      <w:pPr>
        <w:ind w:left="4536" w:hanging="2376"/>
      </w:pPr>
      <w:rPr>
        <w:rFonts w:hint="default"/>
      </w:rPr>
    </w:lvl>
    <w:lvl w:ilvl="6">
      <w:start w:val="1"/>
      <w:numFmt w:val="decimal"/>
      <w:lvlText w:val="%6.%7"/>
      <w:lvlJc w:val="left"/>
      <w:pPr>
        <w:ind w:left="2835" w:hanging="675"/>
      </w:pPr>
      <w:rPr>
        <w:rFonts w:hint="default"/>
      </w:rPr>
    </w:lvl>
    <w:lvl w:ilvl="7">
      <w:start w:val="1"/>
      <w:numFmt w:val="decimal"/>
      <w:lvlText w:val="%6.%7.%8"/>
      <w:lvlJc w:val="left"/>
      <w:pPr>
        <w:ind w:left="2835" w:hanging="675"/>
      </w:pPr>
      <w:rPr>
        <w:rFonts w:hint="default"/>
      </w:rPr>
    </w:lvl>
    <w:lvl w:ilvl="8">
      <w:start w:val="1"/>
      <w:numFmt w:val="none"/>
      <w:lvlText w:val=""/>
      <w:lvlJc w:val="left"/>
      <w:pPr>
        <w:ind w:left="0" w:firstLine="0"/>
      </w:pPr>
      <w:rPr>
        <w:rFonts w:hint="default"/>
      </w:rPr>
    </w:lvl>
  </w:abstractNum>
  <w:abstractNum w:abstractNumId="8" w15:restartNumberingAfterBreak="0">
    <w:nsid w:val="254C1349"/>
    <w:multiLevelType w:val="hybridMultilevel"/>
    <w:tmpl w:val="C2F240F2"/>
    <w:lvl w:ilvl="0" w:tplc="12E089BA">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CA8400C"/>
    <w:multiLevelType w:val="singleLevel"/>
    <w:tmpl w:val="D42E603A"/>
    <w:lvl w:ilvl="0">
      <w:start w:val="1"/>
      <w:numFmt w:val="bullet"/>
      <w:pStyle w:val="Bullet2"/>
      <w:lvlText w:val=""/>
      <w:lvlJc w:val="left"/>
      <w:pPr>
        <w:tabs>
          <w:tab w:val="num" w:pos="1418"/>
        </w:tabs>
        <w:ind w:left="1418" w:hanging="709"/>
      </w:pPr>
      <w:rPr>
        <w:rFonts w:ascii="Symbol" w:hAnsi="Symbol" w:hint="default"/>
        <w:b w:val="0"/>
        <w:i w:val="0"/>
        <w:sz w:val="20"/>
      </w:rPr>
    </w:lvl>
  </w:abstractNum>
  <w:abstractNum w:abstractNumId="10" w15:restartNumberingAfterBreak="0">
    <w:nsid w:val="427C52AC"/>
    <w:multiLevelType w:val="hybridMultilevel"/>
    <w:tmpl w:val="18EEAF78"/>
    <w:lvl w:ilvl="0" w:tplc="421473CC">
      <w:start w:val="1"/>
      <w:numFmt w:val="bullet"/>
      <w:pStyle w:val="Keypointsbullet"/>
      <w:lvlText w:val=""/>
      <w:lvlJc w:val="left"/>
      <w:pPr>
        <w:ind w:left="2880" w:hanging="360"/>
      </w:pPr>
      <w:rPr>
        <w:rFonts w:ascii="Wingdings" w:hAnsi="Wingdings" w:hint="default"/>
      </w:rPr>
    </w:lvl>
    <w:lvl w:ilvl="1" w:tplc="0C090003">
      <w:start w:val="1"/>
      <w:numFmt w:val="bullet"/>
      <w:lvlText w:val="o"/>
      <w:lvlJc w:val="left"/>
      <w:pPr>
        <w:ind w:left="3600" w:hanging="360"/>
      </w:pPr>
      <w:rPr>
        <w:rFonts w:ascii="Courier New" w:hAnsi="Courier New" w:cs="Courier New" w:hint="default"/>
      </w:rPr>
    </w:lvl>
    <w:lvl w:ilvl="2" w:tplc="0C090005" w:tentative="1">
      <w:start w:val="1"/>
      <w:numFmt w:val="bullet"/>
      <w:lvlText w:val=""/>
      <w:lvlJc w:val="left"/>
      <w:pPr>
        <w:ind w:left="4320" w:hanging="360"/>
      </w:pPr>
      <w:rPr>
        <w:rFonts w:ascii="Wingdings" w:hAnsi="Wingdings" w:hint="default"/>
      </w:rPr>
    </w:lvl>
    <w:lvl w:ilvl="3" w:tplc="0C090001" w:tentative="1">
      <w:start w:val="1"/>
      <w:numFmt w:val="bullet"/>
      <w:lvlText w:val=""/>
      <w:lvlJc w:val="left"/>
      <w:pPr>
        <w:ind w:left="5040" w:hanging="360"/>
      </w:pPr>
      <w:rPr>
        <w:rFonts w:ascii="Symbol" w:hAnsi="Symbol" w:hint="default"/>
      </w:rPr>
    </w:lvl>
    <w:lvl w:ilvl="4" w:tplc="0C090003" w:tentative="1">
      <w:start w:val="1"/>
      <w:numFmt w:val="bullet"/>
      <w:lvlText w:val="o"/>
      <w:lvlJc w:val="left"/>
      <w:pPr>
        <w:ind w:left="5760" w:hanging="360"/>
      </w:pPr>
      <w:rPr>
        <w:rFonts w:ascii="Courier New" w:hAnsi="Courier New" w:cs="Courier New" w:hint="default"/>
      </w:rPr>
    </w:lvl>
    <w:lvl w:ilvl="5" w:tplc="0C090005" w:tentative="1">
      <w:start w:val="1"/>
      <w:numFmt w:val="bullet"/>
      <w:lvlText w:val=""/>
      <w:lvlJc w:val="left"/>
      <w:pPr>
        <w:ind w:left="6480" w:hanging="360"/>
      </w:pPr>
      <w:rPr>
        <w:rFonts w:ascii="Wingdings" w:hAnsi="Wingdings" w:hint="default"/>
      </w:rPr>
    </w:lvl>
    <w:lvl w:ilvl="6" w:tplc="0C090001" w:tentative="1">
      <w:start w:val="1"/>
      <w:numFmt w:val="bullet"/>
      <w:lvlText w:val=""/>
      <w:lvlJc w:val="left"/>
      <w:pPr>
        <w:ind w:left="7200" w:hanging="360"/>
      </w:pPr>
      <w:rPr>
        <w:rFonts w:ascii="Symbol" w:hAnsi="Symbol" w:hint="default"/>
      </w:rPr>
    </w:lvl>
    <w:lvl w:ilvl="7" w:tplc="0C090003" w:tentative="1">
      <w:start w:val="1"/>
      <w:numFmt w:val="bullet"/>
      <w:lvlText w:val="o"/>
      <w:lvlJc w:val="left"/>
      <w:pPr>
        <w:ind w:left="7920" w:hanging="360"/>
      </w:pPr>
      <w:rPr>
        <w:rFonts w:ascii="Courier New" w:hAnsi="Courier New" w:cs="Courier New" w:hint="default"/>
      </w:rPr>
    </w:lvl>
    <w:lvl w:ilvl="8" w:tplc="0C090005" w:tentative="1">
      <w:start w:val="1"/>
      <w:numFmt w:val="bullet"/>
      <w:lvlText w:val=""/>
      <w:lvlJc w:val="left"/>
      <w:pPr>
        <w:ind w:left="8640" w:hanging="360"/>
      </w:pPr>
      <w:rPr>
        <w:rFonts w:ascii="Wingdings" w:hAnsi="Wingdings" w:hint="default"/>
      </w:rPr>
    </w:lvl>
  </w:abstractNum>
  <w:abstractNum w:abstractNumId="11" w15:restartNumberingAfterBreak="0">
    <w:nsid w:val="44B76F3D"/>
    <w:multiLevelType w:val="hybridMultilevel"/>
    <w:tmpl w:val="D8E8B7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B94390E"/>
    <w:multiLevelType w:val="multilevel"/>
    <w:tmpl w:val="A3F68728"/>
    <w:styleLink w:val="OCEBulletedList"/>
    <w:lvl w:ilvl="0">
      <w:start w:val="1"/>
      <w:numFmt w:val="bullet"/>
      <w:pStyle w:val="ListBullet"/>
      <w:lvlText w:val=""/>
      <w:lvlJc w:val="left"/>
      <w:pPr>
        <w:ind w:left="2552" w:hanging="392"/>
      </w:pPr>
      <w:rPr>
        <w:rFonts w:ascii="Wingdings" w:hAnsi="Wingdings" w:hint="default"/>
      </w:rPr>
    </w:lvl>
    <w:lvl w:ilvl="1">
      <w:start w:val="1"/>
      <w:numFmt w:val="bullet"/>
      <w:pStyle w:val="ListBullet2"/>
      <w:lvlText w:val="-"/>
      <w:lvlJc w:val="left"/>
      <w:pPr>
        <w:ind w:left="2835" w:hanging="283"/>
      </w:pPr>
      <w:rPr>
        <w:rFonts w:ascii="Courier New" w:hAnsi="Courier New" w:hint="default"/>
      </w:rPr>
    </w:lvl>
    <w:lvl w:ilvl="2">
      <w:start w:val="1"/>
      <w:numFmt w:val="bullet"/>
      <w:pStyle w:val="ListBullet3"/>
      <w:lvlText w:val=""/>
      <w:lvlJc w:val="left"/>
      <w:pPr>
        <w:ind w:left="3062" w:hanging="227"/>
      </w:pPr>
      <w:rPr>
        <w:rFonts w:ascii="Wingdings" w:hAnsi="Wingdings" w:hint="default"/>
      </w:rPr>
    </w:lvl>
    <w:lvl w:ilvl="3">
      <w:start w:val="1"/>
      <w:numFmt w:val="none"/>
      <w:pStyle w:val="ListBullet4"/>
      <w:suff w:val="nothing"/>
      <w:lvlText w:val=""/>
      <w:lvlJc w:val="left"/>
      <w:pPr>
        <w:ind w:left="3062"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60E1601F"/>
    <w:multiLevelType w:val="multilevel"/>
    <w:tmpl w:val="3684BDEC"/>
    <w:numStyleLink w:val="OCETableBullets"/>
  </w:abstractNum>
  <w:abstractNum w:abstractNumId="14" w15:restartNumberingAfterBreak="0">
    <w:nsid w:val="7E9912D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
  </w:num>
  <w:num w:numId="2">
    <w:abstractNumId w:val="9"/>
  </w:num>
  <w:num w:numId="3">
    <w:abstractNumId w:val="3"/>
  </w:num>
  <w:num w:numId="4">
    <w:abstractNumId w:val="12"/>
  </w:num>
  <w:num w:numId="5">
    <w:abstractNumId w:val="6"/>
  </w:num>
  <w:num w:numId="6">
    <w:abstractNumId w:val="5"/>
  </w:num>
  <w:num w:numId="7">
    <w:abstractNumId w:val="10"/>
  </w:num>
  <w:num w:numId="8">
    <w:abstractNumId w:val="10"/>
  </w:num>
  <w:num w:numId="9">
    <w:abstractNumId w:val="2"/>
  </w:num>
  <w:num w:numId="10">
    <w:abstractNumId w:val="1"/>
  </w:num>
  <w:num w:numId="11">
    <w:abstractNumId w:val="0"/>
  </w:num>
  <w:num w:numId="12">
    <w:abstractNumId w:val="8"/>
  </w:num>
  <w:num w:numId="13">
    <w:abstractNumId w:val="8"/>
  </w:num>
  <w:num w:numId="14">
    <w:abstractNumId w:val="8"/>
  </w:num>
  <w:num w:numId="15">
    <w:abstractNumId w:val="4"/>
  </w:num>
  <w:num w:numId="16">
    <w:abstractNumId w:val="4"/>
  </w:num>
  <w:num w:numId="17">
    <w:abstractNumId w:val="3"/>
  </w:num>
  <w:num w:numId="18">
    <w:abstractNumId w:val="3"/>
  </w:num>
  <w:num w:numId="19">
    <w:abstractNumId w:val="3"/>
  </w:num>
  <w:num w:numId="20">
    <w:abstractNumId w:val="3"/>
  </w:num>
  <w:num w:numId="21">
    <w:abstractNumId w:val="3"/>
  </w:num>
  <w:num w:numId="22">
    <w:abstractNumId w:val="3"/>
  </w:num>
  <w:num w:numId="23">
    <w:abstractNumId w:val="12"/>
  </w:num>
  <w:num w:numId="24">
    <w:abstractNumId w:val="6"/>
  </w:num>
  <w:num w:numId="25">
    <w:abstractNumId w:val="12"/>
  </w:num>
  <w:num w:numId="26">
    <w:abstractNumId w:val="12"/>
  </w:num>
  <w:num w:numId="27">
    <w:abstractNumId w:val="12"/>
  </w:num>
  <w:num w:numId="28">
    <w:abstractNumId w:val="6"/>
  </w:num>
  <w:num w:numId="29">
    <w:abstractNumId w:val="6"/>
  </w:num>
  <w:num w:numId="30">
    <w:abstractNumId w:val="14"/>
  </w:num>
  <w:num w:numId="31">
    <w:abstractNumId w:val="9"/>
  </w:num>
  <w:num w:numId="32">
    <w:abstractNumId w:val="3"/>
  </w:num>
  <w:num w:numId="33">
    <w:abstractNumId w:val="12"/>
  </w:num>
  <w:num w:numId="34">
    <w:abstractNumId w:val="6"/>
  </w:num>
  <w:num w:numId="35">
    <w:abstractNumId w:val="5"/>
  </w:num>
  <w:num w:numId="36">
    <w:abstractNumId w:val="10"/>
  </w:num>
  <w:num w:numId="37">
    <w:abstractNumId w:val="13"/>
  </w:num>
  <w:num w:numId="38">
    <w:abstractNumId w:val="4"/>
  </w:num>
  <w:num w:numId="39">
    <w:abstractNumId w:val="7"/>
  </w:num>
  <w:num w:numId="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removePersonalInformation/>
  <w:removeDateAndTime/>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282"/>
    <w:rsid w:val="000036F1"/>
    <w:rsid w:val="00003B81"/>
    <w:rsid w:val="00004365"/>
    <w:rsid w:val="00007EBB"/>
    <w:rsid w:val="000122D8"/>
    <w:rsid w:val="00013D47"/>
    <w:rsid w:val="00013F4A"/>
    <w:rsid w:val="0002648C"/>
    <w:rsid w:val="00035325"/>
    <w:rsid w:val="000354FC"/>
    <w:rsid w:val="00041FE3"/>
    <w:rsid w:val="0005753A"/>
    <w:rsid w:val="00060184"/>
    <w:rsid w:val="00060CE1"/>
    <w:rsid w:val="000618FB"/>
    <w:rsid w:val="000641E0"/>
    <w:rsid w:val="0006492D"/>
    <w:rsid w:val="000728D2"/>
    <w:rsid w:val="00082BF4"/>
    <w:rsid w:val="00090174"/>
    <w:rsid w:val="000920D2"/>
    <w:rsid w:val="000A3D7F"/>
    <w:rsid w:val="000A63C0"/>
    <w:rsid w:val="000A6F5B"/>
    <w:rsid w:val="000B0846"/>
    <w:rsid w:val="000B279E"/>
    <w:rsid w:val="000C1C71"/>
    <w:rsid w:val="000C6D25"/>
    <w:rsid w:val="000E415F"/>
    <w:rsid w:val="00100B74"/>
    <w:rsid w:val="00107267"/>
    <w:rsid w:val="00107A3F"/>
    <w:rsid w:val="0011640A"/>
    <w:rsid w:val="0012045F"/>
    <w:rsid w:val="00120E94"/>
    <w:rsid w:val="001210A7"/>
    <w:rsid w:val="00125971"/>
    <w:rsid w:val="0013066A"/>
    <w:rsid w:val="00135E19"/>
    <w:rsid w:val="0015000D"/>
    <w:rsid w:val="00150797"/>
    <w:rsid w:val="00155DC1"/>
    <w:rsid w:val="00160CE2"/>
    <w:rsid w:val="00163D6E"/>
    <w:rsid w:val="001658D2"/>
    <w:rsid w:val="00166576"/>
    <w:rsid w:val="00166996"/>
    <w:rsid w:val="0017293E"/>
    <w:rsid w:val="0017438C"/>
    <w:rsid w:val="00174624"/>
    <w:rsid w:val="00180E4F"/>
    <w:rsid w:val="00184EBC"/>
    <w:rsid w:val="00186D3D"/>
    <w:rsid w:val="00193B62"/>
    <w:rsid w:val="001A2F39"/>
    <w:rsid w:val="001A322A"/>
    <w:rsid w:val="001A6352"/>
    <w:rsid w:val="001B345E"/>
    <w:rsid w:val="001B732C"/>
    <w:rsid w:val="001C4733"/>
    <w:rsid w:val="001C5291"/>
    <w:rsid w:val="001F1E5D"/>
    <w:rsid w:val="001F5BC1"/>
    <w:rsid w:val="001F5F85"/>
    <w:rsid w:val="001F7477"/>
    <w:rsid w:val="00207D37"/>
    <w:rsid w:val="0022378D"/>
    <w:rsid w:val="00225842"/>
    <w:rsid w:val="00234CEA"/>
    <w:rsid w:val="002475AA"/>
    <w:rsid w:val="00252C28"/>
    <w:rsid w:val="00255773"/>
    <w:rsid w:val="0026658D"/>
    <w:rsid w:val="00271073"/>
    <w:rsid w:val="00272952"/>
    <w:rsid w:val="002757A5"/>
    <w:rsid w:val="00280EB9"/>
    <w:rsid w:val="00285A2F"/>
    <w:rsid w:val="002A33E7"/>
    <w:rsid w:val="002A7F2D"/>
    <w:rsid w:val="002B1DD2"/>
    <w:rsid w:val="002B3220"/>
    <w:rsid w:val="002C1206"/>
    <w:rsid w:val="002D0127"/>
    <w:rsid w:val="002D2F82"/>
    <w:rsid w:val="002D4188"/>
    <w:rsid w:val="002D5C65"/>
    <w:rsid w:val="002E3270"/>
    <w:rsid w:val="002E43BD"/>
    <w:rsid w:val="002F0EEF"/>
    <w:rsid w:val="002F56EE"/>
    <w:rsid w:val="0030442F"/>
    <w:rsid w:val="00307AD6"/>
    <w:rsid w:val="00311A07"/>
    <w:rsid w:val="00311B71"/>
    <w:rsid w:val="00316A3C"/>
    <w:rsid w:val="00322656"/>
    <w:rsid w:val="0033113B"/>
    <w:rsid w:val="00340E62"/>
    <w:rsid w:val="00345516"/>
    <w:rsid w:val="00347A7F"/>
    <w:rsid w:val="00354E7E"/>
    <w:rsid w:val="00354EA2"/>
    <w:rsid w:val="00364BAD"/>
    <w:rsid w:val="00370CD0"/>
    <w:rsid w:val="003712D9"/>
    <w:rsid w:val="003721C0"/>
    <w:rsid w:val="00385BB6"/>
    <w:rsid w:val="00387F73"/>
    <w:rsid w:val="00396E87"/>
    <w:rsid w:val="003A253A"/>
    <w:rsid w:val="003A4E11"/>
    <w:rsid w:val="003B12F3"/>
    <w:rsid w:val="003B141B"/>
    <w:rsid w:val="003B526C"/>
    <w:rsid w:val="003C0FAA"/>
    <w:rsid w:val="003D7074"/>
    <w:rsid w:val="003E32D9"/>
    <w:rsid w:val="003E3D79"/>
    <w:rsid w:val="003E7EF0"/>
    <w:rsid w:val="003F7E51"/>
    <w:rsid w:val="00407BFB"/>
    <w:rsid w:val="00410B42"/>
    <w:rsid w:val="004253A5"/>
    <w:rsid w:val="00426883"/>
    <w:rsid w:val="00430E39"/>
    <w:rsid w:val="00432ABB"/>
    <w:rsid w:val="00440046"/>
    <w:rsid w:val="00445DE2"/>
    <w:rsid w:val="00446C1F"/>
    <w:rsid w:val="00447B15"/>
    <w:rsid w:val="00452887"/>
    <w:rsid w:val="004561DA"/>
    <w:rsid w:val="004562D2"/>
    <w:rsid w:val="00457D05"/>
    <w:rsid w:val="00464632"/>
    <w:rsid w:val="0047180F"/>
    <w:rsid w:val="0048023B"/>
    <w:rsid w:val="00480CAF"/>
    <w:rsid w:val="00483169"/>
    <w:rsid w:val="00493446"/>
    <w:rsid w:val="004939EA"/>
    <w:rsid w:val="00495AE1"/>
    <w:rsid w:val="00496236"/>
    <w:rsid w:val="004A0765"/>
    <w:rsid w:val="004A46E3"/>
    <w:rsid w:val="004A752B"/>
    <w:rsid w:val="004B53E7"/>
    <w:rsid w:val="004B70E3"/>
    <w:rsid w:val="004B7AEA"/>
    <w:rsid w:val="004C1602"/>
    <w:rsid w:val="004C2892"/>
    <w:rsid w:val="004D7C31"/>
    <w:rsid w:val="004E2107"/>
    <w:rsid w:val="004E2E6A"/>
    <w:rsid w:val="004E3D67"/>
    <w:rsid w:val="004E4021"/>
    <w:rsid w:val="004E766B"/>
    <w:rsid w:val="004F7D5E"/>
    <w:rsid w:val="00505701"/>
    <w:rsid w:val="0051017B"/>
    <w:rsid w:val="00513F90"/>
    <w:rsid w:val="005141A1"/>
    <w:rsid w:val="00516A09"/>
    <w:rsid w:val="00516D57"/>
    <w:rsid w:val="00522523"/>
    <w:rsid w:val="00523B54"/>
    <w:rsid w:val="00525CAD"/>
    <w:rsid w:val="00527CD7"/>
    <w:rsid w:val="005453E2"/>
    <w:rsid w:val="005552C9"/>
    <w:rsid w:val="005577F2"/>
    <w:rsid w:val="00562489"/>
    <w:rsid w:val="00573F05"/>
    <w:rsid w:val="00585BB3"/>
    <w:rsid w:val="005862E9"/>
    <w:rsid w:val="0058710F"/>
    <w:rsid w:val="00587701"/>
    <w:rsid w:val="005945AB"/>
    <w:rsid w:val="005971FA"/>
    <w:rsid w:val="005A3027"/>
    <w:rsid w:val="005A39A1"/>
    <w:rsid w:val="005B789A"/>
    <w:rsid w:val="005C4185"/>
    <w:rsid w:val="005C5D37"/>
    <w:rsid w:val="005D0DE5"/>
    <w:rsid w:val="005E121F"/>
    <w:rsid w:val="005E5AE3"/>
    <w:rsid w:val="005F0620"/>
    <w:rsid w:val="005F4627"/>
    <w:rsid w:val="005F5226"/>
    <w:rsid w:val="00604241"/>
    <w:rsid w:val="00610F44"/>
    <w:rsid w:val="0061140B"/>
    <w:rsid w:val="006128D9"/>
    <w:rsid w:val="00612950"/>
    <w:rsid w:val="00616A03"/>
    <w:rsid w:val="00620945"/>
    <w:rsid w:val="006321E5"/>
    <w:rsid w:val="006370E6"/>
    <w:rsid w:val="00640B00"/>
    <w:rsid w:val="00641BBD"/>
    <w:rsid w:val="006446EF"/>
    <w:rsid w:val="00651AE7"/>
    <w:rsid w:val="0065213F"/>
    <w:rsid w:val="00652811"/>
    <w:rsid w:val="00663A24"/>
    <w:rsid w:val="00663B9A"/>
    <w:rsid w:val="006758E4"/>
    <w:rsid w:val="00685F6E"/>
    <w:rsid w:val="006915ED"/>
    <w:rsid w:val="00692635"/>
    <w:rsid w:val="006A3983"/>
    <w:rsid w:val="006A6873"/>
    <w:rsid w:val="006B2217"/>
    <w:rsid w:val="006C0A8C"/>
    <w:rsid w:val="006C1C38"/>
    <w:rsid w:val="006C5E1A"/>
    <w:rsid w:val="006C604E"/>
    <w:rsid w:val="006D3274"/>
    <w:rsid w:val="006D6C5F"/>
    <w:rsid w:val="006F1F8D"/>
    <w:rsid w:val="006F398D"/>
    <w:rsid w:val="006F6A92"/>
    <w:rsid w:val="00706265"/>
    <w:rsid w:val="00717F7C"/>
    <w:rsid w:val="00722986"/>
    <w:rsid w:val="00746272"/>
    <w:rsid w:val="00746291"/>
    <w:rsid w:val="00751128"/>
    <w:rsid w:val="007602FD"/>
    <w:rsid w:val="00765582"/>
    <w:rsid w:val="00766E58"/>
    <w:rsid w:val="007719E5"/>
    <w:rsid w:val="007765E4"/>
    <w:rsid w:val="00777EDD"/>
    <w:rsid w:val="007812AE"/>
    <w:rsid w:val="00783039"/>
    <w:rsid w:val="00795CA9"/>
    <w:rsid w:val="00796467"/>
    <w:rsid w:val="007A59E6"/>
    <w:rsid w:val="007A7202"/>
    <w:rsid w:val="007C6F2D"/>
    <w:rsid w:val="007D7031"/>
    <w:rsid w:val="007F13C4"/>
    <w:rsid w:val="007F194E"/>
    <w:rsid w:val="007F2EA4"/>
    <w:rsid w:val="007F3295"/>
    <w:rsid w:val="008006BA"/>
    <w:rsid w:val="00802621"/>
    <w:rsid w:val="008057E6"/>
    <w:rsid w:val="00810F3D"/>
    <w:rsid w:val="008174F6"/>
    <w:rsid w:val="00817A6A"/>
    <w:rsid w:val="00817D00"/>
    <w:rsid w:val="008233B0"/>
    <w:rsid w:val="0082355B"/>
    <w:rsid w:val="0083086F"/>
    <w:rsid w:val="00832CAA"/>
    <w:rsid w:val="00850C5D"/>
    <w:rsid w:val="0086611B"/>
    <w:rsid w:val="0087267D"/>
    <w:rsid w:val="008735F6"/>
    <w:rsid w:val="00876BAA"/>
    <w:rsid w:val="00895006"/>
    <w:rsid w:val="00895030"/>
    <w:rsid w:val="008A25C6"/>
    <w:rsid w:val="008B4FA8"/>
    <w:rsid w:val="008C3E24"/>
    <w:rsid w:val="008C6145"/>
    <w:rsid w:val="008C7439"/>
    <w:rsid w:val="008D0685"/>
    <w:rsid w:val="008D1F5D"/>
    <w:rsid w:val="008D4B25"/>
    <w:rsid w:val="008F28CD"/>
    <w:rsid w:val="008F3372"/>
    <w:rsid w:val="00903E9B"/>
    <w:rsid w:val="00917C8D"/>
    <w:rsid w:val="00921942"/>
    <w:rsid w:val="0092504F"/>
    <w:rsid w:val="0093309C"/>
    <w:rsid w:val="00935433"/>
    <w:rsid w:val="00944C03"/>
    <w:rsid w:val="00951561"/>
    <w:rsid w:val="009635EF"/>
    <w:rsid w:val="009642F6"/>
    <w:rsid w:val="00973C7C"/>
    <w:rsid w:val="00985ADB"/>
    <w:rsid w:val="009861EC"/>
    <w:rsid w:val="00995FBA"/>
    <w:rsid w:val="009A1E51"/>
    <w:rsid w:val="009A3B62"/>
    <w:rsid w:val="009A4FF8"/>
    <w:rsid w:val="009B3448"/>
    <w:rsid w:val="009C187E"/>
    <w:rsid w:val="009C6053"/>
    <w:rsid w:val="009E16E5"/>
    <w:rsid w:val="009E2490"/>
    <w:rsid w:val="009E42B5"/>
    <w:rsid w:val="009E5DBE"/>
    <w:rsid w:val="009F0037"/>
    <w:rsid w:val="009F0A21"/>
    <w:rsid w:val="009F5FB3"/>
    <w:rsid w:val="009F6DFA"/>
    <w:rsid w:val="009F78F1"/>
    <w:rsid w:val="00A01741"/>
    <w:rsid w:val="00A0712A"/>
    <w:rsid w:val="00A07FE5"/>
    <w:rsid w:val="00A15233"/>
    <w:rsid w:val="00A21660"/>
    <w:rsid w:val="00A30089"/>
    <w:rsid w:val="00A32C6A"/>
    <w:rsid w:val="00A45C3D"/>
    <w:rsid w:val="00A527F7"/>
    <w:rsid w:val="00A56D66"/>
    <w:rsid w:val="00A61083"/>
    <w:rsid w:val="00A6442E"/>
    <w:rsid w:val="00A646CC"/>
    <w:rsid w:val="00A65155"/>
    <w:rsid w:val="00A84D04"/>
    <w:rsid w:val="00A87C5A"/>
    <w:rsid w:val="00A95F9C"/>
    <w:rsid w:val="00AA0BE7"/>
    <w:rsid w:val="00AA71B0"/>
    <w:rsid w:val="00AB4844"/>
    <w:rsid w:val="00AB4C2B"/>
    <w:rsid w:val="00AB4D42"/>
    <w:rsid w:val="00AC0A27"/>
    <w:rsid w:val="00AE3349"/>
    <w:rsid w:val="00AE46E9"/>
    <w:rsid w:val="00AF0526"/>
    <w:rsid w:val="00AF1199"/>
    <w:rsid w:val="00AF1D6E"/>
    <w:rsid w:val="00AF2F00"/>
    <w:rsid w:val="00B0306F"/>
    <w:rsid w:val="00B05807"/>
    <w:rsid w:val="00B16F86"/>
    <w:rsid w:val="00B2365E"/>
    <w:rsid w:val="00B3291A"/>
    <w:rsid w:val="00B343CA"/>
    <w:rsid w:val="00B42D88"/>
    <w:rsid w:val="00B5752F"/>
    <w:rsid w:val="00B6022F"/>
    <w:rsid w:val="00B67312"/>
    <w:rsid w:val="00B72E9A"/>
    <w:rsid w:val="00B86723"/>
    <w:rsid w:val="00B9127E"/>
    <w:rsid w:val="00BA31B0"/>
    <w:rsid w:val="00BA478A"/>
    <w:rsid w:val="00BB087B"/>
    <w:rsid w:val="00BC1EBA"/>
    <w:rsid w:val="00BC412E"/>
    <w:rsid w:val="00BE2E52"/>
    <w:rsid w:val="00BF0554"/>
    <w:rsid w:val="00C0070E"/>
    <w:rsid w:val="00C07AB2"/>
    <w:rsid w:val="00C11D0B"/>
    <w:rsid w:val="00C21AAD"/>
    <w:rsid w:val="00C2262E"/>
    <w:rsid w:val="00C51D12"/>
    <w:rsid w:val="00C527E6"/>
    <w:rsid w:val="00C55C83"/>
    <w:rsid w:val="00C610A4"/>
    <w:rsid w:val="00C63CFA"/>
    <w:rsid w:val="00C648E0"/>
    <w:rsid w:val="00C65D9D"/>
    <w:rsid w:val="00C726CD"/>
    <w:rsid w:val="00C73580"/>
    <w:rsid w:val="00C738FC"/>
    <w:rsid w:val="00C8039D"/>
    <w:rsid w:val="00C8621D"/>
    <w:rsid w:val="00C9326C"/>
    <w:rsid w:val="00C964DB"/>
    <w:rsid w:val="00CA17D5"/>
    <w:rsid w:val="00CA5160"/>
    <w:rsid w:val="00CB267B"/>
    <w:rsid w:val="00CB2955"/>
    <w:rsid w:val="00CB448F"/>
    <w:rsid w:val="00CC0C2F"/>
    <w:rsid w:val="00CC2CAB"/>
    <w:rsid w:val="00CC2D23"/>
    <w:rsid w:val="00CC38E3"/>
    <w:rsid w:val="00CD595F"/>
    <w:rsid w:val="00CE51A0"/>
    <w:rsid w:val="00CF0D8C"/>
    <w:rsid w:val="00CF30D8"/>
    <w:rsid w:val="00CF357C"/>
    <w:rsid w:val="00D01FAB"/>
    <w:rsid w:val="00D15552"/>
    <w:rsid w:val="00D1580C"/>
    <w:rsid w:val="00D1663A"/>
    <w:rsid w:val="00D30438"/>
    <w:rsid w:val="00D37E46"/>
    <w:rsid w:val="00D43764"/>
    <w:rsid w:val="00D50174"/>
    <w:rsid w:val="00D5121F"/>
    <w:rsid w:val="00D53B4E"/>
    <w:rsid w:val="00D56EFB"/>
    <w:rsid w:val="00D620AE"/>
    <w:rsid w:val="00D66B6D"/>
    <w:rsid w:val="00D67873"/>
    <w:rsid w:val="00D71A31"/>
    <w:rsid w:val="00D755C0"/>
    <w:rsid w:val="00D830F9"/>
    <w:rsid w:val="00D8534F"/>
    <w:rsid w:val="00D86837"/>
    <w:rsid w:val="00D9288D"/>
    <w:rsid w:val="00D9649E"/>
    <w:rsid w:val="00DB2638"/>
    <w:rsid w:val="00DB6D06"/>
    <w:rsid w:val="00DC0E9F"/>
    <w:rsid w:val="00DD2763"/>
    <w:rsid w:val="00DD4AAB"/>
    <w:rsid w:val="00DD7204"/>
    <w:rsid w:val="00DE40EE"/>
    <w:rsid w:val="00DE4703"/>
    <w:rsid w:val="00DF1E20"/>
    <w:rsid w:val="00DF7BBA"/>
    <w:rsid w:val="00E02D6F"/>
    <w:rsid w:val="00E03969"/>
    <w:rsid w:val="00E2097B"/>
    <w:rsid w:val="00E3314E"/>
    <w:rsid w:val="00E45C78"/>
    <w:rsid w:val="00E530CD"/>
    <w:rsid w:val="00E57835"/>
    <w:rsid w:val="00E609D5"/>
    <w:rsid w:val="00E614C0"/>
    <w:rsid w:val="00E6385A"/>
    <w:rsid w:val="00E70C38"/>
    <w:rsid w:val="00E77B01"/>
    <w:rsid w:val="00E836B2"/>
    <w:rsid w:val="00E845F8"/>
    <w:rsid w:val="00E846A6"/>
    <w:rsid w:val="00E85A86"/>
    <w:rsid w:val="00E86FEE"/>
    <w:rsid w:val="00EA23F1"/>
    <w:rsid w:val="00EA34B8"/>
    <w:rsid w:val="00EB736A"/>
    <w:rsid w:val="00EC0098"/>
    <w:rsid w:val="00EC0548"/>
    <w:rsid w:val="00EC6A26"/>
    <w:rsid w:val="00ED1389"/>
    <w:rsid w:val="00EE0A8B"/>
    <w:rsid w:val="00EF054B"/>
    <w:rsid w:val="00EF37CC"/>
    <w:rsid w:val="00F04158"/>
    <w:rsid w:val="00F04CC2"/>
    <w:rsid w:val="00F1195C"/>
    <w:rsid w:val="00F12AAF"/>
    <w:rsid w:val="00F1430B"/>
    <w:rsid w:val="00F17117"/>
    <w:rsid w:val="00F244EA"/>
    <w:rsid w:val="00F26232"/>
    <w:rsid w:val="00F35D19"/>
    <w:rsid w:val="00F37625"/>
    <w:rsid w:val="00F558B0"/>
    <w:rsid w:val="00F56A1E"/>
    <w:rsid w:val="00F61ECB"/>
    <w:rsid w:val="00F87674"/>
    <w:rsid w:val="00F87BD3"/>
    <w:rsid w:val="00FA135A"/>
    <w:rsid w:val="00FA16B1"/>
    <w:rsid w:val="00FB28D2"/>
    <w:rsid w:val="00FB3DCF"/>
    <w:rsid w:val="00FB61FB"/>
    <w:rsid w:val="00FC05A6"/>
    <w:rsid w:val="00FD13F9"/>
    <w:rsid w:val="00FD3EBC"/>
    <w:rsid w:val="00FD62ED"/>
    <w:rsid w:val="00FF339A"/>
    <w:rsid w:val="00FF3F08"/>
    <w:rsid w:val="00FF52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 w:unhideWhenUsed="1"/>
    <w:lsdException w:name="index heading" w:semiHidden="1" w:unhideWhenUsed="1"/>
    <w:lsdException w:name="caption" w:semiHidden="1" w:unhideWhenUsed="1"/>
    <w:lsdException w:name="table of figures" w:semiHidden="1" w:uiPriority="99" w:unhideWhenUsed="1"/>
    <w:lsdException w:name="envelope address" w:semiHidden="1" w:uiPriority="19" w:unhideWhenUsed="1"/>
    <w:lsdException w:name="envelope return" w:semiHidden="1" w:uiPriority="19"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19" w:unhideWhenUsed="1"/>
    <w:lsdException w:name="endnote text" w:semiHidden="1" w:uiPriority="19" w:unhideWhenUsed="1"/>
    <w:lsdException w:name="table of authorities" w:semiHidden="1" w:unhideWhenUsed="1"/>
    <w:lsdException w:name="macro" w:semiHidden="1" w:unhideWhenUsed="1"/>
    <w:lsdException w:name="toa heading" w:semiHidden="1" w:unhideWhenUsed="1"/>
    <w:lsdException w:name="List" w:semiHidden="1" w:uiPriority="29" w:unhideWhenUsed="1"/>
    <w:lsdException w:name="List Bullet" w:semiHidden="1" w:uiPriority="4" w:unhideWhenUsed="1" w:qFormat="1"/>
    <w:lsdException w:name="List Number" w:uiPriority="4" w:qFormat="1"/>
    <w:lsdException w:name="List 2" w:semiHidden="1" w:uiPriority="29" w:unhideWhenUsed="1"/>
    <w:lsdException w:name="List 3" w:semiHidden="1" w:uiPriority="29" w:unhideWhenUsed="1"/>
    <w:lsdException w:name="List 4" w:uiPriority="29"/>
    <w:lsdException w:name="List 5" w:uiPriority="29"/>
    <w:lsdException w:name="List Bullet 2" w:semiHidden="1" w:uiPriority="4" w:unhideWhenUsed="1" w:qFormat="1"/>
    <w:lsdException w:name="List Bullet 3" w:semiHidden="1" w:uiPriority="4" w:unhideWhenUsed="1" w:qFormat="1"/>
    <w:lsdException w:name="List Bullet 4" w:semiHidden="1" w:unhideWhenUsed="1"/>
    <w:lsdException w:name="List Bullet 5" w:semiHidden="1" w:unhideWhenUsed="1"/>
    <w:lsdException w:name="List Number 2" w:semiHidden="1" w:uiPriority="4" w:unhideWhenUsed="1" w:qFormat="1"/>
    <w:lsdException w:name="List Number 3" w:semiHidden="1" w:uiPriority="4"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uiPriority="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19"/>
    <w:lsdException w:name="Document Map" w:semiHidden="1" w:uiPriority="19" w:unhideWhenUsed="1"/>
    <w:lsdException w:name="Plain Text" w:semiHidden="1"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17F7C"/>
    <w:pPr>
      <w:spacing w:after="180" w:line="260" w:lineRule="exact"/>
      <w:ind w:left="2160"/>
      <w:jc w:val="both"/>
    </w:pPr>
    <w:rPr>
      <w:rFonts w:ascii="Arial" w:hAnsi="Arial"/>
      <w:color w:val="595A5B"/>
      <w:sz w:val="20"/>
    </w:rPr>
  </w:style>
  <w:style w:type="paragraph" w:styleId="Heading1">
    <w:name w:val="heading 1"/>
    <w:basedOn w:val="Normal"/>
    <w:next w:val="BodyText"/>
    <w:link w:val="Heading1Char"/>
    <w:qFormat/>
    <w:rsid w:val="008F3372"/>
    <w:pPr>
      <w:keepNext/>
      <w:numPr>
        <w:numId w:val="32"/>
      </w:numPr>
      <w:spacing w:before="300" w:line="280" w:lineRule="atLeast"/>
      <w:jc w:val="left"/>
      <w:outlineLvl w:val="0"/>
    </w:pPr>
    <w:rPr>
      <w:rFonts w:asciiTheme="majorHAnsi" w:eastAsia="Times New Roman" w:hAnsiTheme="majorHAnsi" w:cs="Arial"/>
      <w:b/>
      <w:bCs/>
      <w:color w:val="22789A"/>
      <w:kern w:val="32"/>
      <w:sz w:val="32"/>
      <w:szCs w:val="32"/>
    </w:rPr>
  </w:style>
  <w:style w:type="paragraph" w:styleId="Heading2">
    <w:name w:val="heading 2"/>
    <w:basedOn w:val="BodyText"/>
    <w:next w:val="BodyText"/>
    <w:link w:val="Heading2Char"/>
    <w:qFormat/>
    <w:rsid w:val="008F3372"/>
    <w:pPr>
      <w:keepNext/>
      <w:numPr>
        <w:ilvl w:val="1"/>
        <w:numId w:val="32"/>
      </w:numPr>
      <w:spacing w:before="300" w:line="280" w:lineRule="atLeast"/>
      <w:jc w:val="left"/>
      <w:outlineLvl w:val="1"/>
    </w:pPr>
    <w:rPr>
      <w:rFonts w:asciiTheme="majorHAnsi" w:eastAsia="Times New Roman" w:hAnsiTheme="majorHAnsi" w:cs="Arial"/>
      <w:b/>
      <w:bCs/>
      <w:iCs/>
      <w:color w:val="6CCCDE"/>
      <w:sz w:val="22"/>
      <w:szCs w:val="28"/>
    </w:rPr>
  </w:style>
  <w:style w:type="paragraph" w:styleId="Heading3">
    <w:name w:val="heading 3"/>
    <w:aliases w:val="Heading level 2"/>
    <w:basedOn w:val="BodyText"/>
    <w:next w:val="BodyText"/>
    <w:link w:val="Heading3Char"/>
    <w:qFormat/>
    <w:rsid w:val="008F3372"/>
    <w:pPr>
      <w:keepNext/>
      <w:numPr>
        <w:ilvl w:val="2"/>
        <w:numId w:val="32"/>
      </w:numPr>
      <w:spacing w:before="300" w:line="280" w:lineRule="atLeast"/>
      <w:jc w:val="left"/>
      <w:outlineLvl w:val="2"/>
    </w:pPr>
    <w:rPr>
      <w:rFonts w:asciiTheme="majorHAnsi" w:eastAsia="Times New Roman" w:hAnsiTheme="majorHAnsi" w:cs="Arial"/>
      <w:bCs/>
      <w:color w:val="22789A"/>
      <w:sz w:val="22"/>
    </w:rPr>
  </w:style>
  <w:style w:type="paragraph" w:styleId="Heading4">
    <w:name w:val="heading 4"/>
    <w:basedOn w:val="BodyText"/>
    <w:next w:val="BodyText"/>
    <w:link w:val="Heading4Char"/>
    <w:uiPriority w:val="9"/>
    <w:unhideWhenUsed/>
    <w:qFormat/>
    <w:rsid w:val="008F3372"/>
    <w:pPr>
      <w:keepNext/>
      <w:keepLines/>
      <w:spacing w:before="200" w:after="0"/>
      <w:outlineLvl w:val="3"/>
    </w:pPr>
    <w:rPr>
      <w:rFonts w:asciiTheme="majorHAnsi" w:eastAsiaTheme="majorEastAsia" w:hAnsiTheme="majorHAnsi" w:cstheme="majorBidi"/>
      <w:b/>
      <w:bCs/>
      <w:i/>
      <w:iCs/>
      <w:color w:val="auto"/>
    </w:rPr>
  </w:style>
  <w:style w:type="paragraph" w:styleId="Heading6">
    <w:name w:val="heading 6"/>
    <w:basedOn w:val="Normal"/>
    <w:next w:val="BodyText"/>
    <w:link w:val="Heading6Char"/>
    <w:uiPriority w:val="1"/>
    <w:qFormat/>
    <w:rsid w:val="008F3372"/>
    <w:pPr>
      <w:keepNext/>
      <w:pageBreakBefore/>
      <w:numPr>
        <w:ilvl w:val="5"/>
        <w:numId w:val="32"/>
      </w:numPr>
      <w:spacing w:before="300" w:line="280" w:lineRule="atLeast"/>
      <w:jc w:val="left"/>
      <w:outlineLvl w:val="5"/>
    </w:pPr>
    <w:rPr>
      <w:rFonts w:asciiTheme="majorHAnsi" w:eastAsiaTheme="majorEastAsia" w:hAnsiTheme="majorHAnsi" w:cstheme="majorBidi"/>
      <w:b/>
      <w:iCs/>
      <w:color w:val="22789A"/>
      <w:sz w:val="32"/>
    </w:rPr>
  </w:style>
  <w:style w:type="paragraph" w:styleId="Heading7">
    <w:name w:val="heading 7"/>
    <w:basedOn w:val="Normal"/>
    <w:next w:val="BodyText"/>
    <w:link w:val="Heading7Char"/>
    <w:uiPriority w:val="1"/>
    <w:qFormat/>
    <w:rsid w:val="008F3372"/>
    <w:pPr>
      <w:keepNext/>
      <w:keepLines/>
      <w:numPr>
        <w:ilvl w:val="6"/>
        <w:numId w:val="32"/>
      </w:numPr>
      <w:spacing w:before="300" w:line="280" w:lineRule="atLeast"/>
      <w:jc w:val="left"/>
      <w:outlineLvl w:val="6"/>
    </w:pPr>
    <w:rPr>
      <w:rFonts w:asciiTheme="majorHAnsi" w:eastAsiaTheme="majorEastAsia" w:hAnsiTheme="majorHAnsi" w:cstheme="majorBidi"/>
      <w:b/>
      <w:iCs/>
      <w:color w:val="6CCCDE"/>
      <w:sz w:val="22"/>
    </w:rPr>
  </w:style>
  <w:style w:type="paragraph" w:styleId="Heading8">
    <w:name w:val="heading 8"/>
    <w:basedOn w:val="Normal"/>
    <w:next w:val="BodyText"/>
    <w:link w:val="Heading8Char"/>
    <w:uiPriority w:val="1"/>
    <w:qFormat/>
    <w:rsid w:val="008F3372"/>
    <w:pPr>
      <w:keepNext/>
      <w:keepLines/>
      <w:numPr>
        <w:ilvl w:val="7"/>
        <w:numId w:val="32"/>
      </w:numPr>
      <w:spacing w:before="300"/>
      <w:jc w:val="left"/>
      <w:outlineLvl w:val="7"/>
    </w:pPr>
    <w:rPr>
      <w:rFonts w:asciiTheme="majorHAnsi" w:eastAsiaTheme="majorEastAsia" w:hAnsiTheme="majorHAnsi" w:cstheme="majorBidi"/>
      <w:color w:val="22789A"/>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DBPTable">
    <w:name w:val="DBP Table"/>
    <w:basedOn w:val="TableContemporary"/>
    <w:uiPriority w:val="99"/>
    <w:rsid w:val="008F3372"/>
    <w:tblPr/>
    <w:tblStylePr w:type="firstRow">
      <w:rPr>
        <w:rFonts w:ascii="Arial" w:hAnsi="Arial"/>
        <w:b/>
        <w:bCs/>
        <w:color w:val="auto"/>
        <w:sz w:val="20"/>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ntemporary">
    <w:name w:val="Table Contemporary"/>
    <w:basedOn w:val="TableNormal"/>
    <w:rsid w:val="008F3372"/>
    <w:rPr>
      <w:rFonts w:eastAsia="Times New Roman"/>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Bullet2">
    <w:name w:val="Bullet 2"/>
    <w:basedOn w:val="Normal"/>
    <w:semiHidden/>
    <w:rsid w:val="008F3372"/>
    <w:pPr>
      <w:numPr>
        <w:numId w:val="31"/>
      </w:numPr>
      <w:spacing w:before="100" w:line="312" w:lineRule="auto"/>
    </w:pPr>
    <w:rPr>
      <w:rFonts w:eastAsia="Times New Roman"/>
      <w:lang w:eastAsia="en-AU"/>
    </w:rPr>
  </w:style>
  <w:style w:type="character" w:customStyle="1" w:styleId="Heading1Char">
    <w:name w:val="Heading 1 Char"/>
    <w:basedOn w:val="DefaultParagraphFont"/>
    <w:link w:val="Heading1"/>
    <w:rsid w:val="008F3372"/>
    <w:rPr>
      <w:rFonts w:asciiTheme="majorHAnsi" w:eastAsia="Times New Roman" w:hAnsiTheme="majorHAnsi" w:cs="Arial"/>
      <w:b/>
      <w:bCs/>
      <w:color w:val="22789A"/>
      <w:kern w:val="32"/>
      <w:sz w:val="32"/>
      <w:szCs w:val="32"/>
    </w:rPr>
  </w:style>
  <w:style w:type="character" w:customStyle="1" w:styleId="Heading2Char">
    <w:name w:val="Heading 2 Char"/>
    <w:basedOn w:val="DefaultParagraphFont"/>
    <w:link w:val="Heading2"/>
    <w:rsid w:val="008F3372"/>
    <w:rPr>
      <w:rFonts w:asciiTheme="majorHAnsi" w:eastAsia="Times New Roman" w:hAnsiTheme="majorHAnsi" w:cs="Arial"/>
      <w:b/>
      <w:bCs/>
      <w:iCs/>
      <w:color w:val="6CCCDE"/>
      <w:szCs w:val="28"/>
    </w:rPr>
  </w:style>
  <w:style w:type="character" w:customStyle="1" w:styleId="Heading3Char">
    <w:name w:val="Heading 3 Char"/>
    <w:aliases w:val="Heading level 2 Char"/>
    <w:basedOn w:val="DefaultParagraphFont"/>
    <w:link w:val="Heading3"/>
    <w:rsid w:val="008F3372"/>
    <w:rPr>
      <w:rFonts w:asciiTheme="majorHAnsi" w:eastAsia="Times New Roman" w:hAnsiTheme="majorHAnsi" w:cs="Arial"/>
      <w:bCs/>
      <w:color w:val="22789A"/>
    </w:rPr>
  </w:style>
  <w:style w:type="paragraph" w:styleId="TOC1">
    <w:name w:val="toc 1"/>
    <w:basedOn w:val="Normal"/>
    <w:next w:val="Normal"/>
    <w:autoRedefine/>
    <w:uiPriority w:val="39"/>
    <w:rsid w:val="008F3372"/>
    <w:pPr>
      <w:tabs>
        <w:tab w:val="right" w:pos="8931"/>
      </w:tabs>
      <w:spacing w:before="240" w:after="120"/>
      <w:ind w:left="1276" w:right="804" w:hanging="567"/>
    </w:pPr>
    <w:rPr>
      <w:rFonts w:eastAsia="Times New Roman"/>
      <w:b/>
      <w:noProof/>
      <w:szCs w:val="24"/>
    </w:rPr>
  </w:style>
  <w:style w:type="paragraph" w:styleId="FootnoteText">
    <w:name w:val="footnote text"/>
    <w:aliases w:val="f t,ft,f t1,ft1,f t2,ft2"/>
    <w:basedOn w:val="Normal"/>
    <w:link w:val="FootnoteTextChar"/>
    <w:uiPriority w:val="99"/>
    <w:rsid w:val="008F3372"/>
    <w:pPr>
      <w:ind w:left="2268" w:hanging="108"/>
    </w:pPr>
    <w:rPr>
      <w:rFonts w:eastAsia="Times New Roman"/>
      <w:sz w:val="16"/>
    </w:rPr>
  </w:style>
  <w:style w:type="character" w:customStyle="1" w:styleId="FootnoteTextChar">
    <w:name w:val="Footnote Text Char"/>
    <w:aliases w:val="f t Char,ft Char,f t1 Char,ft1 Char,f t2 Char,ft2 Char"/>
    <w:basedOn w:val="DefaultParagraphFont"/>
    <w:link w:val="FootnoteText"/>
    <w:uiPriority w:val="99"/>
    <w:rsid w:val="008F3372"/>
    <w:rPr>
      <w:rFonts w:ascii="Arial" w:eastAsia="Times New Roman" w:hAnsi="Arial"/>
      <w:color w:val="595A5B"/>
      <w:sz w:val="16"/>
    </w:rPr>
  </w:style>
  <w:style w:type="paragraph" w:styleId="Footer">
    <w:name w:val="footer"/>
    <w:basedOn w:val="Normal"/>
    <w:link w:val="FooterChar"/>
    <w:uiPriority w:val="9"/>
    <w:rsid w:val="008F3372"/>
    <w:pPr>
      <w:tabs>
        <w:tab w:val="right" w:pos="9680"/>
      </w:tabs>
    </w:pPr>
    <w:rPr>
      <w:rFonts w:eastAsia="Times New Roman"/>
      <w:sz w:val="16"/>
      <w:szCs w:val="16"/>
    </w:rPr>
  </w:style>
  <w:style w:type="character" w:customStyle="1" w:styleId="FooterChar">
    <w:name w:val="Footer Char"/>
    <w:basedOn w:val="DefaultParagraphFont"/>
    <w:link w:val="Footer"/>
    <w:uiPriority w:val="9"/>
    <w:rsid w:val="008F3372"/>
    <w:rPr>
      <w:rFonts w:ascii="Arial" w:eastAsia="Times New Roman" w:hAnsi="Arial"/>
      <w:color w:val="595A5B"/>
      <w:sz w:val="16"/>
      <w:szCs w:val="16"/>
    </w:rPr>
  </w:style>
  <w:style w:type="paragraph" w:styleId="TableofFigures">
    <w:name w:val="table of figures"/>
    <w:basedOn w:val="Normal"/>
    <w:next w:val="Normal"/>
    <w:uiPriority w:val="99"/>
    <w:rsid w:val="008F3372"/>
    <w:pPr>
      <w:tabs>
        <w:tab w:val="right" w:pos="8930"/>
      </w:tabs>
      <w:ind w:left="1134" w:right="804" w:hanging="440"/>
      <w:jc w:val="left"/>
    </w:pPr>
    <w:rPr>
      <w:rFonts w:asciiTheme="minorHAnsi" w:eastAsia="Times New Roman" w:hAnsiTheme="minorHAnsi"/>
      <w:b/>
      <w:bCs/>
      <w:noProof/>
      <w:lang w:val="en-US"/>
    </w:rPr>
  </w:style>
  <w:style w:type="character" w:styleId="FootnoteReference">
    <w:name w:val="footnote reference"/>
    <w:basedOn w:val="DefaultParagraphFont"/>
    <w:uiPriority w:val="99"/>
    <w:rsid w:val="008F3372"/>
    <w:rPr>
      <w:vertAlign w:val="superscript"/>
    </w:rPr>
  </w:style>
  <w:style w:type="character" w:styleId="PageNumber">
    <w:name w:val="page number"/>
    <w:rsid w:val="008F3372"/>
    <w:rPr>
      <w:rFonts w:ascii="Arial" w:hAnsi="Arial"/>
      <w:sz w:val="18"/>
    </w:rPr>
  </w:style>
  <w:style w:type="paragraph" w:styleId="BodyText">
    <w:name w:val="Body Text"/>
    <w:link w:val="BodyTextChar"/>
    <w:qFormat/>
    <w:rsid w:val="008F3372"/>
    <w:pPr>
      <w:spacing w:after="180" w:line="270" w:lineRule="exact"/>
      <w:ind w:left="2160"/>
      <w:jc w:val="both"/>
    </w:pPr>
    <w:rPr>
      <w:color w:val="595A5B"/>
      <w:sz w:val="20"/>
    </w:rPr>
  </w:style>
  <w:style w:type="character" w:customStyle="1" w:styleId="BodyTextChar">
    <w:name w:val="Body Text Char"/>
    <w:basedOn w:val="DefaultParagraphFont"/>
    <w:link w:val="BodyText"/>
    <w:rsid w:val="008F3372"/>
    <w:rPr>
      <w:color w:val="595A5B"/>
      <w:sz w:val="20"/>
    </w:rPr>
  </w:style>
  <w:style w:type="paragraph" w:styleId="Subtitle">
    <w:name w:val="Subtitle"/>
    <w:basedOn w:val="Normal"/>
    <w:next w:val="Normal"/>
    <w:link w:val="SubtitleChar"/>
    <w:rsid w:val="008F3372"/>
    <w:pPr>
      <w:numPr>
        <w:ilvl w:val="1"/>
      </w:numPr>
      <w:ind w:left="2160"/>
    </w:pPr>
    <w:rPr>
      <w:rFonts w:asciiTheme="majorHAnsi" w:eastAsiaTheme="majorEastAsia" w:hAnsiTheme="majorHAnsi" w:cstheme="majorBidi"/>
      <w:i/>
      <w:iCs/>
      <w:color w:val="22789A" w:themeColor="accent1"/>
      <w:spacing w:val="15"/>
      <w:sz w:val="24"/>
      <w:szCs w:val="24"/>
    </w:rPr>
  </w:style>
  <w:style w:type="character" w:customStyle="1" w:styleId="SubtitleChar">
    <w:name w:val="Subtitle Char"/>
    <w:basedOn w:val="DefaultParagraphFont"/>
    <w:link w:val="Subtitle"/>
    <w:rsid w:val="008F3372"/>
    <w:rPr>
      <w:rFonts w:asciiTheme="majorHAnsi" w:eastAsiaTheme="majorEastAsia" w:hAnsiTheme="majorHAnsi" w:cstheme="majorBidi"/>
      <w:i/>
      <w:iCs/>
      <w:color w:val="22789A" w:themeColor="accent1"/>
      <w:spacing w:val="15"/>
      <w:sz w:val="24"/>
      <w:szCs w:val="24"/>
    </w:rPr>
  </w:style>
  <w:style w:type="character" w:styleId="Hyperlink">
    <w:name w:val="Hyperlink"/>
    <w:uiPriority w:val="99"/>
    <w:rsid w:val="008F3372"/>
    <w:rPr>
      <w:color w:val="22789A"/>
      <w:u w:val="single"/>
    </w:rPr>
  </w:style>
  <w:style w:type="table" w:styleId="Table3Deffects1">
    <w:name w:val="Table 3D effects 1"/>
    <w:basedOn w:val="TableNormal"/>
    <w:rsid w:val="008F3372"/>
    <w:rPr>
      <w:rFonts w:eastAsia="Times New Roman"/>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styleId="BalloonText">
    <w:name w:val="Balloon Text"/>
    <w:basedOn w:val="Normal"/>
    <w:link w:val="BalloonTextChar"/>
    <w:rsid w:val="008F3372"/>
    <w:rPr>
      <w:rFonts w:ascii="Tahoma" w:eastAsia="Times New Roman" w:hAnsi="Tahoma" w:cs="Tahoma"/>
      <w:sz w:val="16"/>
      <w:szCs w:val="16"/>
    </w:rPr>
  </w:style>
  <w:style w:type="character" w:customStyle="1" w:styleId="BalloonTextChar">
    <w:name w:val="Balloon Text Char"/>
    <w:basedOn w:val="DefaultParagraphFont"/>
    <w:link w:val="BalloonText"/>
    <w:rsid w:val="008F3372"/>
    <w:rPr>
      <w:rFonts w:ascii="Tahoma" w:eastAsia="Times New Roman" w:hAnsi="Tahoma" w:cs="Tahoma"/>
      <w:color w:val="595A5B"/>
      <w:sz w:val="16"/>
      <w:szCs w:val="16"/>
    </w:rPr>
  </w:style>
  <w:style w:type="table" w:styleId="TableGrid">
    <w:name w:val="Table Grid"/>
    <w:basedOn w:val="TableNormal"/>
    <w:uiPriority w:val="59"/>
    <w:rsid w:val="008F3372"/>
    <w:rPr>
      <w:rFonts w:eastAsia="Times New Roman"/>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F3372"/>
    <w:rPr>
      <w:color w:val="808080"/>
    </w:rPr>
  </w:style>
  <w:style w:type="table" w:styleId="MediumGrid3-Accent1">
    <w:name w:val="Medium Grid 3 Accent 1"/>
    <w:basedOn w:val="TableNormal"/>
    <w:uiPriority w:val="69"/>
    <w:rsid w:val="008F3372"/>
    <w:rPr>
      <w:rFonts w:eastAsia="Times New Roman"/>
      <w:lang w:eastAsia="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2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2789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2789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2789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C4E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C4E2" w:themeFill="accent1" w:themeFillTint="7F"/>
      </w:tcPr>
    </w:tblStylePr>
  </w:style>
  <w:style w:type="table" w:styleId="ColorfulGrid-Accent1">
    <w:name w:val="Colorful Grid Accent 1"/>
    <w:basedOn w:val="TableNormal"/>
    <w:uiPriority w:val="73"/>
    <w:rsid w:val="008F3372"/>
    <w:rPr>
      <w:rFonts w:eastAsia="Times New Roman"/>
      <w:color w:val="595A5B" w:themeColor="text1"/>
      <w:lang w:eastAsia="en-AU"/>
    </w:rPr>
    <w:tblPr>
      <w:tblStyleRowBandSize w:val="1"/>
      <w:tblStyleColBandSize w:val="1"/>
      <w:tblBorders>
        <w:insideH w:val="single" w:sz="4" w:space="0" w:color="FFFFFF" w:themeColor="background1"/>
      </w:tblBorders>
    </w:tblPr>
    <w:tcPr>
      <w:shd w:val="clear" w:color="auto" w:fill="CAE7F3" w:themeFill="accent1" w:themeFillTint="33"/>
    </w:tcPr>
    <w:tblStylePr w:type="firstRow">
      <w:rPr>
        <w:b/>
        <w:bCs/>
      </w:rPr>
      <w:tblPr/>
      <w:tcPr>
        <w:shd w:val="clear" w:color="auto" w:fill="95D0E7" w:themeFill="accent1" w:themeFillTint="66"/>
      </w:tcPr>
    </w:tblStylePr>
    <w:tblStylePr w:type="lastRow">
      <w:rPr>
        <w:b/>
        <w:bCs/>
        <w:color w:val="595A5B" w:themeColor="text1"/>
      </w:rPr>
      <w:tblPr/>
      <w:tcPr>
        <w:shd w:val="clear" w:color="auto" w:fill="95D0E7" w:themeFill="accent1" w:themeFillTint="66"/>
      </w:tcPr>
    </w:tblStylePr>
    <w:tblStylePr w:type="firstCol">
      <w:rPr>
        <w:color w:val="FFFFFF" w:themeColor="background1"/>
      </w:rPr>
      <w:tblPr/>
      <w:tcPr>
        <w:shd w:val="clear" w:color="auto" w:fill="195973" w:themeFill="accent1" w:themeFillShade="BF"/>
      </w:tcPr>
    </w:tblStylePr>
    <w:tblStylePr w:type="lastCol">
      <w:rPr>
        <w:color w:val="FFFFFF" w:themeColor="background1"/>
      </w:rPr>
      <w:tblPr/>
      <w:tcPr>
        <w:shd w:val="clear" w:color="auto" w:fill="195973" w:themeFill="accent1" w:themeFillShade="BF"/>
      </w:tcPr>
    </w:tblStylePr>
    <w:tblStylePr w:type="band1Vert">
      <w:tblPr/>
      <w:tcPr>
        <w:shd w:val="clear" w:color="auto" w:fill="7BC4E2" w:themeFill="accent1" w:themeFillTint="7F"/>
      </w:tcPr>
    </w:tblStylePr>
    <w:tblStylePr w:type="band1Horz">
      <w:tblPr/>
      <w:tcPr>
        <w:shd w:val="clear" w:color="auto" w:fill="7BC4E2" w:themeFill="accent1" w:themeFillTint="7F"/>
      </w:tcPr>
    </w:tblStylePr>
  </w:style>
  <w:style w:type="character" w:styleId="IntenseEmphasis">
    <w:name w:val="Intense Emphasis"/>
    <w:basedOn w:val="DefaultParagraphFont"/>
    <w:uiPriority w:val="21"/>
    <w:rsid w:val="008F3372"/>
    <w:rPr>
      <w:b/>
      <w:bCs/>
      <w:i/>
      <w:iCs/>
      <w:color w:val="22789A" w:themeColor="accent1"/>
    </w:rPr>
  </w:style>
  <w:style w:type="paragraph" w:styleId="Bibliography">
    <w:name w:val="Bibliography"/>
    <w:basedOn w:val="Normal"/>
    <w:next w:val="Normal"/>
    <w:uiPriority w:val="37"/>
    <w:unhideWhenUsed/>
    <w:rsid w:val="008F3372"/>
    <w:rPr>
      <w:rFonts w:eastAsia="Times New Roman"/>
    </w:rPr>
  </w:style>
  <w:style w:type="paragraph" w:styleId="TOCHeading">
    <w:name w:val="TOC Heading"/>
    <w:basedOn w:val="Heading1"/>
    <w:next w:val="Normal"/>
    <w:uiPriority w:val="39"/>
    <w:semiHidden/>
    <w:unhideWhenUsed/>
    <w:qFormat/>
    <w:rsid w:val="008F3372"/>
    <w:pPr>
      <w:keepLines/>
      <w:numPr>
        <w:numId w:val="0"/>
      </w:numPr>
      <w:spacing w:before="480" w:after="0" w:line="276" w:lineRule="auto"/>
      <w:outlineLvl w:val="9"/>
    </w:pPr>
    <w:rPr>
      <w:rFonts w:eastAsiaTheme="majorEastAsia" w:cstheme="majorBidi"/>
      <w:color w:val="195973" w:themeColor="accent1" w:themeShade="BF"/>
      <w:kern w:val="0"/>
      <w:sz w:val="28"/>
      <w:szCs w:val="28"/>
      <w:lang w:eastAsia="ja-JP"/>
    </w:rPr>
  </w:style>
  <w:style w:type="table" w:styleId="Table3Deffects2">
    <w:name w:val="Table 3D effects 2"/>
    <w:basedOn w:val="TableNormal"/>
    <w:rsid w:val="008F3372"/>
    <w:rPr>
      <w:rFonts w:eastAsia="Times New Roman"/>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OCEHeadings">
    <w:name w:val="OCE Headings"/>
    <w:uiPriority w:val="99"/>
    <w:rsid w:val="008F3372"/>
    <w:pPr>
      <w:numPr>
        <w:numId w:val="3"/>
      </w:numPr>
    </w:pPr>
  </w:style>
  <w:style w:type="character" w:customStyle="1" w:styleId="Heading4Char">
    <w:name w:val="Heading 4 Char"/>
    <w:basedOn w:val="DefaultParagraphFont"/>
    <w:link w:val="Heading4"/>
    <w:uiPriority w:val="9"/>
    <w:rsid w:val="008F3372"/>
    <w:rPr>
      <w:rFonts w:asciiTheme="majorHAnsi" w:eastAsiaTheme="majorEastAsia" w:hAnsiTheme="majorHAnsi" w:cstheme="majorBidi"/>
      <w:b/>
      <w:bCs/>
      <w:i/>
      <w:iCs/>
      <w:sz w:val="20"/>
    </w:rPr>
  </w:style>
  <w:style w:type="character" w:customStyle="1" w:styleId="Heading6Char">
    <w:name w:val="Heading 6 Char"/>
    <w:basedOn w:val="DefaultParagraphFont"/>
    <w:link w:val="Heading6"/>
    <w:uiPriority w:val="1"/>
    <w:rsid w:val="008F3372"/>
    <w:rPr>
      <w:rFonts w:asciiTheme="majorHAnsi" w:eastAsiaTheme="majorEastAsia" w:hAnsiTheme="majorHAnsi" w:cstheme="majorBidi"/>
      <w:b/>
      <w:iCs/>
      <w:color w:val="22789A"/>
      <w:sz w:val="32"/>
    </w:rPr>
  </w:style>
  <w:style w:type="paragraph" w:styleId="ListParagraph">
    <w:name w:val="List Paragraph"/>
    <w:basedOn w:val="ListBullet"/>
    <w:link w:val="ListParagraphChar"/>
    <w:uiPriority w:val="34"/>
    <w:rsid w:val="008F3372"/>
    <w:pPr>
      <w:numPr>
        <w:numId w:val="0"/>
      </w:numPr>
    </w:pPr>
    <w:rPr>
      <w:lang w:val="en"/>
    </w:rPr>
  </w:style>
  <w:style w:type="character" w:customStyle="1" w:styleId="ListParagraphChar">
    <w:name w:val="List Paragraph Char"/>
    <w:basedOn w:val="DefaultParagraphFont"/>
    <w:link w:val="ListParagraph"/>
    <w:uiPriority w:val="34"/>
    <w:rsid w:val="008F3372"/>
    <w:rPr>
      <w:color w:val="595A5B"/>
      <w:sz w:val="20"/>
      <w:lang w:val="en"/>
    </w:rPr>
  </w:style>
  <w:style w:type="numbering" w:customStyle="1" w:styleId="OCEBulletedList">
    <w:name w:val="OCE Bulleted List"/>
    <w:uiPriority w:val="99"/>
    <w:rsid w:val="008F3372"/>
    <w:pPr>
      <w:numPr>
        <w:numId w:val="4"/>
      </w:numPr>
    </w:pPr>
  </w:style>
  <w:style w:type="paragraph" w:styleId="ListBullet">
    <w:name w:val="List Bullet"/>
    <w:basedOn w:val="BodyText"/>
    <w:uiPriority w:val="4"/>
    <w:qFormat/>
    <w:rsid w:val="008F3372"/>
    <w:pPr>
      <w:numPr>
        <w:numId w:val="33"/>
      </w:numPr>
      <w:spacing w:after="120"/>
    </w:pPr>
  </w:style>
  <w:style w:type="paragraph" w:styleId="ListContinue2">
    <w:name w:val="List Continue 2"/>
    <w:basedOn w:val="Normal"/>
    <w:rsid w:val="008F3372"/>
    <w:pPr>
      <w:spacing w:after="120"/>
      <w:ind w:left="566"/>
      <w:contextualSpacing/>
    </w:pPr>
  </w:style>
  <w:style w:type="paragraph" w:styleId="ListBullet2">
    <w:name w:val="List Bullet 2"/>
    <w:basedOn w:val="ListBullet"/>
    <w:uiPriority w:val="4"/>
    <w:qFormat/>
    <w:rsid w:val="008F3372"/>
    <w:pPr>
      <w:numPr>
        <w:ilvl w:val="1"/>
      </w:numPr>
    </w:pPr>
  </w:style>
  <w:style w:type="paragraph" w:styleId="ListBullet4">
    <w:name w:val="List Bullet 4"/>
    <w:basedOn w:val="ListBullet3"/>
    <w:rsid w:val="008F3372"/>
    <w:pPr>
      <w:numPr>
        <w:ilvl w:val="3"/>
      </w:numPr>
    </w:pPr>
  </w:style>
  <w:style w:type="paragraph" w:styleId="ListBullet3">
    <w:name w:val="List Bullet 3"/>
    <w:basedOn w:val="ListBullet2"/>
    <w:uiPriority w:val="4"/>
    <w:qFormat/>
    <w:rsid w:val="008F3372"/>
    <w:pPr>
      <w:numPr>
        <w:ilvl w:val="2"/>
      </w:numPr>
    </w:pPr>
  </w:style>
  <w:style w:type="paragraph" w:styleId="ListNumber">
    <w:name w:val="List Number"/>
    <w:basedOn w:val="Normal"/>
    <w:uiPriority w:val="4"/>
    <w:qFormat/>
    <w:rsid w:val="008F3372"/>
    <w:pPr>
      <w:numPr>
        <w:numId w:val="34"/>
      </w:numPr>
      <w:spacing w:after="120"/>
    </w:pPr>
  </w:style>
  <w:style w:type="paragraph" w:styleId="ListNumber2">
    <w:name w:val="List Number 2"/>
    <w:basedOn w:val="Normal"/>
    <w:uiPriority w:val="4"/>
    <w:qFormat/>
    <w:rsid w:val="008F3372"/>
    <w:pPr>
      <w:numPr>
        <w:ilvl w:val="1"/>
        <w:numId w:val="34"/>
      </w:numPr>
      <w:spacing w:after="120"/>
    </w:pPr>
  </w:style>
  <w:style w:type="paragraph" w:styleId="ListNumber3">
    <w:name w:val="List Number 3"/>
    <w:basedOn w:val="Normal"/>
    <w:uiPriority w:val="4"/>
    <w:qFormat/>
    <w:rsid w:val="008F3372"/>
    <w:pPr>
      <w:numPr>
        <w:ilvl w:val="2"/>
        <w:numId w:val="34"/>
      </w:numPr>
      <w:spacing w:after="120"/>
    </w:pPr>
  </w:style>
  <w:style w:type="character" w:customStyle="1" w:styleId="Heading7Char">
    <w:name w:val="Heading 7 Char"/>
    <w:basedOn w:val="DefaultParagraphFont"/>
    <w:link w:val="Heading7"/>
    <w:uiPriority w:val="1"/>
    <w:rsid w:val="008F3372"/>
    <w:rPr>
      <w:rFonts w:asciiTheme="majorHAnsi" w:eastAsiaTheme="majorEastAsia" w:hAnsiTheme="majorHAnsi" w:cstheme="majorBidi"/>
      <w:b/>
      <w:iCs/>
      <w:color w:val="6CCCDE"/>
    </w:rPr>
  </w:style>
  <w:style w:type="paragraph" w:styleId="BodyTextFirstIndent">
    <w:name w:val="Body Text First Indent"/>
    <w:basedOn w:val="BodyText"/>
    <w:link w:val="BodyTextFirstIndentChar"/>
    <w:rsid w:val="008F3372"/>
    <w:pPr>
      <w:ind w:firstLine="360"/>
    </w:pPr>
    <w:rPr>
      <w:rFonts w:ascii="Arial" w:hAnsi="Arial"/>
    </w:rPr>
  </w:style>
  <w:style w:type="character" w:customStyle="1" w:styleId="BodyTextFirstIndentChar">
    <w:name w:val="Body Text First Indent Char"/>
    <w:basedOn w:val="BodyTextChar"/>
    <w:link w:val="BodyTextFirstIndent"/>
    <w:rsid w:val="008F3372"/>
    <w:rPr>
      <w:rFonts w:ascii="Arial" w:hAnsi="Arial"/>
      <w:color w:val="595A5B"/>
      <w:sz w:val="20"/>
    </w:rPr>
  </w:style>
  <w:style w:type="paragraph" w:styleId="BodyTextIndent">
    <w:name w:val="Body Text Indent"/>
    <w:basedOn w:val="Normal"/>
    <w:link w:val="BodyTextIndentChar"/>
    <w:semiHidden/>
    <w:unhideWhenUsed/>
    <w:rsid w:val="008F3372"/>
    <w:pPr>
      <w:spacing w:after="120"/>
      <w:ind w:left="283"/>
    </w:pPr>
  </w:style>
  <w:style w:type="character" w:customStyle="1" w:styleId="BodyTextIndentChar">
    <w:name w:val="Body Text Indent Char"/>
    <w:basedOn w:val="DefaultParagraphFont"/>
    <w:link w:val="BodyTextIndent"/>
    <w:semiHidden/>
    <w:rsid w:val="008F3372"/>
    <w:rPr>
      <w:rFonts w:ascii="Arial" w:hAnsi="Arial"/>
      <w:color w:val="595A5B"/>
      <w:sz w:val="20"/>
    </w:rPr>
  </w:style>
  <w:style w:type="paragraph" w:styleId="BodyTextFirstIndent2">
    <w:name w:val="Body Text First Indent 2"/>
    <w:basedOn w:val="BodyTextIndent"/>
    <w:link w:val="BodyTextFirstIndent2Char"/>
    <w:rsid w:val="008F3372"/>
    <w:pPr>
      <w:spacing w:after="180"/>
      <w:ind w:left="360" w:firstLine="360"/>
    </w:pPr>
  </w:style>
  <w:style w:type="character" w:customStyle="1" w:styleId="BodyTextFirstIndent2Char">
    <w:name w:val="Body Text First Indent 2 Char"/>
    <w:basedOn w:val="BodyTextIndentChar"/>
    <w:link w:val="BodyTextFirstIndent2"/>
    <w:rsid w:val="008F3372"/>
    <w:rPr>
      <w:rFonts w:ascii="Arial" w:hAnsi="Arial"/>
      <w:color w:val="595A5B"/>
      <w:sz w:val="20"/>
    </w:rPr>
  </w:style>
  <w:style w:type="character" w:customStyle="1" w:styleId="Heading8Char">
    <w:name w:val="Heading 8 Char"/>
    <w:basedOn w:val="DefaultParagraphFont"/>
    <w:link w:val="Heading8"/>
    <w:uiPriority w:val="1"/>
    <w:rsid w:val="008F3372"/>
    <w:rPr>
      <w:rFonts w:asciiTheme="majorHAnsi" w:eastAsiaTheme="majorEastAsia" w:hAnsiTheme="majorHAnsi" w:cstheme="majorBidi"/>
      <w:color w:val="22789A"/>
      <w:szCs w:val="20"/>
    </w:rPr>
  </w:style>
  <w:style w:type="paragraph" w:customStyle="1" w:styleId="Source">
    <w:name w:val="Source"/>
    <w:basedOn w:val="Normal"/>
    <w:next w:val="BodyText"/>
    <w:link w:val="SourceChar"/>
    <w:qFormat/>
    <w:rsid w:val="008F3372"/>
    <w:pPr>
      <w:keepLines/>
      <w:pBdr>
        <w:bottom w:val="single" w:sz="4" w:space="1" w:color="595A5B"/>
      </w:pBdr>
      <w:spacing w:before="60" w:after="360" w:line="270" w:lineRule="exact"/>
    </w:pPr>
    <w:rPr>
      <w:rFonts w:eastAsia="Times New Roman" w:cs="Arial"/>
      <w:color w:val="22789A"/>
      <w:sz w:val="16"/>
      <w:szCs w:val="20"/>
      <w:lang w:val="en"/>
    </w:rPr>
  </w:style>
  <w:style w:type="character" w:customStyle="1" w:styleId="SourceChar">
    <w:name w:val="Source Char"/>
    <w:basedOn w:val="DefaultParagraphFont"/>
    <w:link w:val="Source"/>
    <w:rsid w:val="008F3372"/>
    <w:rPr>
      <w:rFonts w:ascii="Arial" w:eastAsia="Times New Roman" w:hAnsi="Arial" w:cs="Arial"/>
      <w:color w:val="22789A"/>
      <w:sz w:val="16"/>
      <w:szCs w:val="20"/>
      <w:lang w:val="en"/>
    </w:rPr>
  </w:style>
  <w:style w:type="paragraph" w:customStyle="1" w:styleId="Tabletext">
    <w:name w:val="Table text"/>
    <w:basedOn w:val="Normal"/>
    <w:link w:val="TabletextChar"/>
    <w:qFormat/>
    <w:rsid w:val="008F3372"/>
    <w:pPr>
      <w:keepNext/>
      <w:keepLines/>
      <w:spacing w:before="60" w:after="60" w:line="240" w:lineRule="auto"/>
      <w:ind w:left="0"/>
      <w:jc w:val="left"/>
    </w:pPr>
    <w:rPr>
      <w:rFonts w:cs="Arial"/>
      <w:sz w:val="18"/>
      <w:szCs w:val="18"/>
    </w:rPr>
  </w:style>
  <w:style w:type="character" w:customStyle="1" w:styleId="TabletextChar">
    <w:name w:val="Table text Char"/>
    <w:basedOn w:val="DefaultParagraphFont"/>
    <w:link w:val="Tabletext"/>
    <w:rsid w:val="008F3372"/>
    <w:rPr>
      <w:rFonts w:ascii="Arial" w:hAnsi="Arial" w:cs="Arial"/>
      <w:color w:val="595A5B"/>
      <w:sz w:val="18"/>
      <w:szCs w:val="18"/>
    </w:rPr>
  </w:style>
  <w:style w:type="paragraph" w:customStyle="1" w:styleId="Tableheader">
    <w:name w:val="Table header"/>
    <w:basedOn w:val="Normal"/>
    <w:link w:val="TableheaderChar"/>
    <w:qFormat/>
    <w:rsid w:val="008F3372"/>
    <w:pPr>
      <w:keepNext/>
      <w:spacing w:before="120" w:after="120" w:line="240" w:lineRule="auto"/>
      <w:ind w:left="0"/>
      <w:jc w:val="left"/>
    </w:pPr>
    <w:rPr>
      <w:rFonts w:cs="Arial"/>
      <w:i/>
      <w:color w:val="FFFFFF" w:themeColor="background1"/>
      <w:sz w:val="18"/>
      <w:szCs w:val="18"/>
    </w:rPr>
  </w:style>
  <w:style w:type="character" w:customStyle="1" w:styleId="TableheaderChar">
    <w:name w:val="Table header Char"/>
    <w:basedOn w:val="DefaultParagraphFont"/>
    <w:link w:val="Tableheader"/>
    <w:rsid w:val="008F3372"/>
    <w:rPr>
      <w:rFonts w:ascii="Arial" w:hAnsi="Arial" w:cs="Arial"/>
      <w:i/>
      <w:color w:val="FFFFFF" w:themeColor="background1"/>
      <w:sz w:val="18"/>
      <w:szCs w:val="18"/>
    </w:rPr>
  </w:style>
  <w:style w:type="paragraph" w:styleId="Caption">
    <w:name w:val="caption"/>
    <w:basedOn w:val="Normal"/>
    <w:next w:val="Placeholder"/>
    <w:rsid w:val="008F3372"/>
    <w:pPr>
      <w:keepNext/>
      <w:keepLines/>
      <w:pBdr>
        <w:top w:val="single" w:sz="2" w:space="1" w:color="595A5B"/>
      </w:pBdr>
      <w:spacing w:before="360" w:after="240" w:line="240" w:lineRule="atLeast"/>
    </w:pPr>
    <w:rPr>
      <w:bCs/>
      <w:color w:val="22789A" w:themeColor="accent1"/>
      <w:sz w:val="18"/>
      <w:szCs w:val="18"/>
    </w:rPr>
  </w:style>
  <w:style w:type="paragraph" w:customStyle="1" w:styleId="Note">
    <w:name w:val="Note"/>
    <w:basedOn w:val="Source"/>
    <w:rsid w:val="008F3372"/>
    <w:pPr>
      <w:keepNext/>
      <w:spacing w:after="60"/>
    </w:pPr>
  </w:style>
  <w:style w:type="table" w:customStyle="1" w:styleId="OCETable">
    <w:name w:val="OCE Table"/>
    <w:basedOn w:val="TableNormal"/>
    <w:uiPriority w:val="99"/>
    <w:rsid w:val="008F3372"/>
    <w:pPr>
      <w:spacing w:after="0" w:line="240" w:lineRule="auto"/>
    </w:pPr>
    <w:rPr>
      <w:sz w:val="18"/>
    </w:rPr>
    <w:tblPr/>
    <w:tcPr>
      <w:shd w:val="clear" w:color="auto" w:fill="CAE7F3" w:themeFill="accent1" w:themeFillTint="33"/>
    </w:tcPr>
    <w:tblStylePr w:type="firstRow">
      <w:rPr>
        <w:rFonts w:asciiTheme="minorHAnsi" w:hAnsiTheme="minorHAnsi"/>
        <w:b w:val="0"/>
        <w:i w:val="0"/>
        <w:color w:val="FFFFFF" w:themeColor="text2"/>
        <w:sz w:val="18"/>
      </w:rPr>
      <w:tblPr/>
      <w:tcPr>
        <w:tcBorders>
          <w:top w:val="nil"/>
          <w:left w:val="nil"/>
          <w:bottom w:val="nil"/>
          <w:right w:val="nil"/>
          <w:insideH w:val="nil"/>
          <w:insideV w:val="nil"/>
          <w:tl2br w:val="nil"/>
          <w:tr2bl w:val="nil"/>
        </w:tcBorders>
        <w:shd w:val="clear" w:color="auto" w:fill="22789A" w:themeFill="accent1"/>
      </w:tcPr>
    </w:tblStylePr>
  </w:style>
  <w:style w:type="paragraph" w:customStyle="1" w:styleId="CaptionWide">
    <w:name w:val="Caption Wide"/>
    <w:basedOn w:val="Caption"/>
    <w:next w:val="PlaceholderWide"/>
    <w:rsid w:val="008F3372"/>
    <w:pPr>
      <w:ind w:left="0"/>
    </w:pPr>
  </w:style>
  <w:style w:type="paragraph" w:customStyle="1" w:styleId="NoteWide">
    <w:name w:val="Note Wide"/>
    <w:basedOn w:val="Note"/>
    <w:rsid w:val="008F3372"/>
    <w:pPr>
      <w:ind w:left="0"/>
    </w:pPr>
  </w:style>
  <w:style w:type="paragraph" w:customStyle="1" w:styleId="SourceWide">
    <w:name w:val="Source Wide"/>
    <w:basedOn w:val="Source"/>
    <w:next w:val="BodyText"/>
    <w:rsid w:val="008F3372"/>
    <w:pPr>
      <w:ind w:left="0"/>
    </w:pPr>
  </w:style>
  <w:style w:type="paragraph" w:customStyle="1" w:styleId="Placeholder">
    <w:name w:val="Placeholder"/>
    <w:basedOn w:val="Normal"/>
    <w:rsid w:val="008F3372"/>
    <w:pPr>
      <w:keepNext/>
      <w:keepLines/>
      <w:spacing w:after="0" w:line="240" w:lineRule="auto"/>
      <w:ind w:left="0"/>
      <w:jc w:val="center"/>
    </w:pPr>
    <w:rPr>
      <w:sz w:val="18"/>
    </w:rPr>
  </w:style>
  <w:style w:type="paragraph" w:customStyle="1" w:styleId="PlaceholderWide">
    <w:name w:val="Placeholder Wide"/>
    <w:basedOn w:val="Placeholder"/>
    <w:rsid w:val="008F3372"/>
  </w:style>
  <w:style w:type="paragraph" w:customStyle="1" w:styleId="Boxtext">
    <w:name w:val="Box text"/>
    <w:basedOn w:val="Placeholder"/>
    <w:rsid w:val="008F3372"/>
    <w:pPr>
      <w:spacing w:before="120" w:after="120" w:line="260" w:lineRule="atLeast"/>
      <w:jc w:val="left"/>
    </w:pPr>
    <w:rPr>
      <w:rFonts w:eastAsia="Times New Roman" w:cs="Arial"/>
      <w:szCs w:val="18"/>
      <w:lang w:val="en"/>
    </w:rPr>
  </w:style>
  <w:style w:type="numbering" w:customStyle="1" w:styleId="OCENumberedList">
    <w:name w:val="OCE Numbered List"/>
    <w:uiPriority w:val="99"/>
    <w:rsid w:val="008F3372"/>
    <w:pPr>
      <w:numPr>
        <w:numId w:val="5"/>
      </w:numPr>
    </w:pPr>
  </w:style>
  <w:style w:type="paragraph" w:customStyle="1" w:styleId="UnnumberedHeading">
    <w:name w:val="Unnumbered Heading"/>
    <w:next w:val="BodyText"/>
    <w:link w:val="UnnumberedHeadingChar"/>
    <w:rsid w:val="008F3372"/>
    <w:pPr>
      <w:keepNext/>
      <w:spacing w:before="300" w:after="180" w:line="280" w:lineRule="exact"/>
      <w:ind w:left="2194" w:right="57"/>
    </w:pPr>
    <w:rPr>
      <w:rFonts w:ascii="Arial" w:eastAsia="Times New Roman" w:hAnsi="Arial" w:cs="Times New Roman"/>
      <w:b/>
      <w:color w:val="22789A"/>
      <w:kern w:val="32"/>
      <w:sz w:val="32"/>
      <w:szCs w:val="20"/>
    </w:rPr>
  </w:style>
  <w:style w:type="character" w:customStyle="1" w:styleId="UnnumberedHeadingChar">
    <w:name w:val="Unnumbered Heading Char"/>
    <w:basedOn w:val="Heading1Char"/>
    <w:link w:val="UnnumberedHeading"/>
    <w:rsid w:val="008F3372"/>
    <w:rPr>
      <w:rFonts w:ascii="Arial" w:eastAsia="Times New Roman" w:hAnsi="Arial" w:cs="Times New Roman"/>
      <w:b/>
      <w:bCs w:val="0"/>
      <w:color w:val="22789A"/>
      <w:kern w:val="32"/>
      <w:sz w:val="32"/>
      <w:szCs w:val="20"/>
    </w:rPr>
  </w:style>
  <w:style w:type="paragraph" w:styleId="Title">
    <w:name w:val="Title"/>
    <w:basedOn w:val="ResearchPaper"/>
    <w:next w:val="Normal"/>
    <w:link w:val="TitleChar"/>
    <w:rsid w:val="008F3372"/>
    <w:pPr>
      <w:spacing w:before="600" w:after="600" w:line="240" w:lineRule="auto"/>
    </w:pPr>
    <w:rPr>
      <w:rFonts w:asciiTheme="majorHAnsi" w:hAnsiTheme="majorHAnsi"/>
      <w:b w:val="0"/>
      <w:color w:val="22789A"/>
      <w:sz w:val="72"/>
    </w:rPr>
  </w:style>
  <w:style w:type="character" w:customStyle="1" w:styleId="TitleChar">
    <w:name w:val="Title Char"/>
    <w:basedOn w:val="DefaultParagraphFont"/>
    <w:link w:val="Title"/>
    <w:rsid w:val="008F3372"/>
    <w:rPr>
      <w:rFonts w:asciiTheme="majorHAnsi" w:eastAsia="Times New Roman" w:hAnsiTheme="majorHAnsi" w:cs="Arial"/>
      <w:caps/>
      <w:color w:val="22789A"/>
      <w:sz w:val="72"/>
      <w:szCs w:val="20"/>
    </w:rPr>
  </w:style>
  <w:style w:type="paragraph" w:customStyle="1" w:styleId="ResearchPaper">
    <w:name w:val="Research Paper #"/>
    <w:basedOn w:val="CoverNormal"/>
    <w:next w:val="CoverNormal"/>
    <w:link w:val="ResearchPaperChar"/>
    <w:qFormat/>
    <w:rsid w:val="008F3372"/>
    <w:pPr>
      <w:spacing w:before="240" w:line="270" w:lineRule="exact"/>
    </w:pPr>
    <w:rPr>
      <w:rFonts w:eastAsia="Times New Roman" w:cs="Arial"/>
      <w:b/>
      <w:caps/>
      <w:sz w:val="21"/>
      <w:szCs w:val="20"/>
    </w:rPr>
  </w:style>
  <w:style w:type="character" w:customStyle="1" w:styleId="ResearchPaperChar">
    <w:name w:val="Research Paper # Char"/>
    <w:link w:val="ResearchPaper"/>
    <w:rsid w:val="008F3372"/>
    <w:rPr>
      <w:rFonts w:eastAsia="Times New Roman" w:cs="Arial"/>
      <w:b/>
      <w:caps/>
      <w:color w:val="595A5B"/>
      <w:sz w:val="21"/>
      <w:szCs w:val="20"/>
    </w:rPr>
  </w:style>
  <w:style w:type="paragraph" w:customStyle="1" w:styleId="Author">
    <w:name w:val="Author"/>
    <w:basedOn w:val="Normal"/>
    <w:link w:val="AuthorChar"/>
    <w:qFormat/>
    <w:rsid w:val="008F3372"/>
    <w:pPr>
      <w:spacing w:before="180" w:line="270" w:lineRule="exact"/>
      <w:ind w:left="0"/>
      <w:jc w:val="left"/>
    </w:pPr>
    <w:rPr>
      <w:rFonts w:eastAsia="Times New Roman" w:cs="Arial"/>
      <w:b/>
      <w:color w:val="22789A"/>
      <w:sz w:val="32"/>
      <w:szCs w:val="20"/>
    </w:rPr>
  </w:style>
  <w:style w:type="character" w:customStyle="1" w:styleId="AuthorChar">
    <w:name w:val="Author Char"/>
    <w:basedOn w:val="DefaultParagraphFont"/>
    <w:link w:val="Author"/>
    <w:rsid w:val="008F3372"/>
    <w:rPr>
      <w:rFonts w:ascii="Arial" w:eastAsia="Times New Roman" w:hAnsi="Arial" w:cs="Arial"/>
      <w:b/>
      <w:color w:val="22789A"/>
      <w:sz w:val="32"/>
      <w:szCs w:val="20"/>
    </w:rPr>
  </w:style>
  <w:style w:type="paragraph" w:customStyle="1" w:styleId="MonthYear">
    <w:name w:val="Month Year"/>
    <w:basedOn w:val="Normal"/>
    <w:link w:val="MonthYearChar"/>
    <w:qFormat/>
    <w:rsid w:val="008F3372"/>
    <w:pPr>
      <w:spacing w:before="720" w:line="270" w:lineRule="exact"/>
      <w:ind w:left="0"/>
      <w:jc w:val="left"/>
    </w:pPr>
    <w:rPr>
      <w:rFonts w:asciiTheme="minorHAnsi" w:eastAsia="Times New Roman" w:hAnsiTheme="minorHAnsi" w:cs="Arial"/>
      <w:b/>
      <w:color w:val="9ED9DF"/>
      <w:szCs w:val="20"/>
    </w:rPr>
  </w:style>
  <w:style w:type="character" w:customStyle="1" w:styleId="MonthYearChar">
    <w:name w:val="Month Year Char"/>
    <w:basedOn w:val="DefaultParagraphFont"/>
    <w:link w:val="MonthYear"/>
    <w:rsid w:val="008F3372"/>
    <w:rPr>
      <w:rFonts w:eastAsia="Times New Roman" w:cs="Arial"/>
      <w:b/>
      <w:color w:val="9ED9DF"/>
      <w:sz w:val="20"/>
      <w:szCs w:val="20"/>
    </w:rPr>
  </w:style>
  <w:style w:type="paragraph" w:customStyle="1" w:styleId="AbstractHeader">
    <w:name w:val="Abstract Header"/>
    <w:basedOn w:val="Normal"/>
    <w:link w:val="AbstractHeaderChar"/>
    <w:uiPriority w:val="9"/>
    <w:qFormat/>
    <w:rsid w:val="008F3372"/>
    <w:pPr>
      <w:spacing w:before="360" w:line="270" w:lineRule="exact"/>
      <w:ind w:left="0"/>
    </w:pPr>
    <w:rPr>
      <w:rFonts w:eastAsia="Times New Roman" w:cs="Arial"/>
      <w:color w:val="22789A"/>
      <w:sz w:val="32"/>
      <w:szCs w:val="20"/>
    </w:rPr>
  </w:style>
  <w:style w:type="character" w:customStyle="1" w:styleId="AbstractHeaderChar">
    <w:name w:val="Abstract Header Char"/>
    <w:basedOn w:val="DefaultParagraphFont"/>
    <w:link w:val="AbstractHeader"/>
    <w:uiPriority w:val="9"/>
    <w:rsid w:val="008F3372"/>
    <w:rPr>
      <w:rFonts w:ascii="Arial" w:eastAsia="Times New Roman" w:hAnsi="Arial" w:cs="Arial"/>
      <w:color w:val="22789A"/>
      <w:sz w:val="32"/>
      <w:szCs w:val="20"/>
    </w:rPr>
  </w:style>
  <w:style w:type="numbering" w:customStyle="1" w:styleId="EASDMultilevelList">
    <w:name w:val="EASD Multilevel List"/>
    <w:uiPriority w:val="99"/>
    <w:rsid w:val="008F3372"/>
    <w:pPr>
      <w:numPr>
        <w:numId w:val="6"/>
      </w:numPr>
    </w:pPr>
  </w:style>
  <w:style w:type="numbering" w:styleId="111111">
    <w:name w:val="Outline List 2"/>
    <w:basedOn w:val="NoList"/>
    <w:rsid w:val="008F3372"/>
    <w:pPr>
      <w:numPr>
        <w:numId w:val="1"/>
      </w:numPr>
    </w:pPr>
  </w:style>
  <w:style w:type="paragraph" w:customStyle="1" w:styleId="Abstractbodytext">
    <w:name w:val="Abstract body text"/>
    <w:basedOn w:val="CoverNormal"/>
    <w:link w:val="AbstractbodytextChar"/>
    <w:uiPriority w:val="9"/>
    <w:qFormat/>
    <w:rsid w:val="008F3372"/>
    <w:pPr>
      <w:spacing w:before="60" w:after="60" w:line="270" w:lineRule="exact"/>
      <w:jc w:val="both"/>
    </w:pPr>
    <w:rPr>
      <w:rFonts w:eastAsia="Times New Roman" w:cs="Arial"/>
      <w:szCs w:val="20"/>
      <w:lang w:val="en"/>
    </w:rPr>
  </w:style>
  <w:style w:type="character" w:customStyle="1" w:styleId="AbstractbodytextChar">
    <w:name w:val="Abstract body text Char"/>
    <w:basedOn w:val="DefaultParagraphFont"/>
    <w:link w:val="Abstractbodytext"/>
    <w:uiPriority w:val="9"/>
    <w:rsid w:val="008F3372"/>
    <w:rPr>
      <w:rFonts w:eastAsia="Times New Roman" w:cs="Arial"/>
      <w:color w:val="595A5B"/>
      <w:sz w:val="20"/>
      <w:szCs w:val="20"/>
      <w:lang w:val="en"/>
    </w:rPr>
  </w:style>
  <w:style w:type="paragraph" w:customStyle="1" w:styleId="CoverNormal">
    <w:name w:val="Cover Normal"/>
    <w:rsid w:val="008F3372"/>
    <w:pPr>
      <w:spacing w:line="240" w:lineRule="auto"/>
    </w:pPr>
    <w:rPr>
      <w:color w:val="595A5B"/>
      <w:sz w:val="20"/>
    </w:rPr>
  </w:style>
  <w:style w:type="paragraph" w:customStyle="1" w:styleId="TitleHeading">
    <w:name w:val="Title Heading"/>
    <w:basedOn w:val="Heading2"/>
    <w:link w:val="TitleHeadingChar"/>
    <w:qFormat/>
    <w:rsid w:val="008F3372"/>
    <w:pPr>
      <w:numPr>
        <w:ilvl w:val="0"/>
        <w:numId w:val="0"/>
      </w:numPr>
      <w:spacing w:before="600" w:after="600" w:line="240" w:lineRule="auto"/>
      <w:ind w:right="57"/>
    </w:pPr>
    <w:rPr>
      <w:rFonts w:ascii="Arial" w:hAnsi="Arial" w:cs="Times New Roman"/>
      <w:b w:val="0"/>
      <w:bCs w:val="0"/>
      <w:iCs w:val="0"/>
      <w:color w:val="22789A"/>
      <w:sz w:val="72"/>
      <w:szCs w:val="20"/>
    </w:rPr>
  </w:style>
  <w:style w:type="character" w:customStyle="1" w:styleId="TitleHeadingChar">
    <w:name w:val="Title Heading Char"/>
    <w:basedOn w:val="Heading2Char"/>
    <w:link w:val="TitleHeading"/>
    <w:rsid w:val="008F3372"/>
    <w:rPr>
      <w:rFonts w:ascii="Arial" w:eastAsia="Times New Roman" w:hAnsi="Arial" w:cs="Times New Roman"/>
      <w:b w:val="0"/>
      <w:bCs w:val="0"/>
      <w:iCs w:val="0"/>
      <w:color w:val="22789A"/>
      <w:sz w:val="72"/>
      <w:szCs w:val="20"/>
    </w:rPr>
  </w:style>
  <w:style w:type="paragraph" w:customStyle="1" w:styleId="Keypointsbullet">
    <w:name w:val="Key points bullet"/>
    <w:basedOn w:val="ListParagraph"/>
    <w:link w:val="KeypointsbulletChar"/>
    <w:qFormat/>
    <w:rsid w:val="008F3372"/>
    <w:pPr>
      <w:numPr>
        <w:numId w:val="36"/>
      </w:numPr>
      <w:spacing w:after="180"/>
      <w:ind w:right="155"/>
    </w:pPr>
    <w:rPr>
      <w:rFonts w:eastAsia="Times New Roman" w:cs="Arial"/>
      <w:b/>
      <w:szCs w:val="20"/>
    </w:rPr>
  </w:style>
  <w:style w:type="character" w:customStyle="1" w:styleId="KeypointsbulletChar">
    <w:name w:val="Key points bullet Char"/>
    <w:basedOn w:val="ListParagraphChar"/>
    <w:link w:val="Keypointsbullet"/>
    <w:rsid w:val="008F3372"/>
    <w:rPr>
      <w:rFonts w:eastAsia="Times New Roman" w:cs="Arial"/>
      <w:b/>
      <w:color w:val="595A5B"/>
      <w:sz w:val="20"/>
      <w:szCs w:val="20"/>
      <w:lang w:val="en"/>
    </w:rPr>
  </w:style>
  <w:style w:type="paragraph" w:styleId="Header">
    <w:name w:val="header"/>
    <w:aliases w:val="HeaderPort"/>
    <w:basedOn w:val="Normal"/>
    <w:link w:val="HeaderChar"/>
    <w:unhideWhenUsed/>
    <w:rsid w:val="008F3372"/>
    <w:pPr>
      <w:tabs>
        <w:tab w:val="center" w:pos="4513"/>
        <w:tab w:val="right" w:pos="9026"/>
      </w:tabs>
      <w:spacing w:after="0" w:line="240" w:lineRule="auto"/>
    </w:pPr>
  </w:style>
  <w:style w:type="character" w:customStyle="1" w:styleId="HeaderChar">
    <w:name w:val="Header Char"/>
    <w:aliases w:val="HeaderPort Char"/>
    <w:basedOn w:val="DefaultParagraphFont"/>
    <w:link w:val="Header"/>
    <w:rsid w:val="008F3372"/>
    <w:rPr>
      <w:rFonts w:ascii="Arial" w:hAnsi="Arial"/>
      <w:color w:val="595A5B"/>
      <w:sz w:val="20"/>
    </w:rPr>
  </w:style>
  <w:style w:type="paragraph" w:customStyle="1" w:styleId="CoverAbstract">
    <w:name w:val="Cover Abstract"/>
    <w:basedOn w:val="Normal"/>
    <w:uiPriority w:val="10"/>
    <w:rsid w:val="008F3372"/>
    <w:pPr>
      <w:spacing w:line="270" w:lineRule="exact"/>
    </w:pPr>
    <w:rPr>
      <w:lang w:val="en"/>
    </w:rPr>
  </w:style>
  <w:style w:type="paragraph" w:customStyle="1" w:styleId="ReportCoverContact">
    <w:name w:val="Report Cover Contact"/>
    <w:basedOn w:val="Normal"/>
    <w:rsid w:val="008F3372"/>
    <w:pPr>
      <w:spacing w:after="60" w:line="270" w:lineRule="exact"/>
      <w:ind w:left="0"/>
      <w:jc w:val="left"/>
    </w:pPr>
    <w:rPr>
      <w:rFonts w:eastAsia="Calibri" w:cs="Arial"/>
      <w:sz w:val="16"/>
      <w:szCs w:val="18"/>
      <w:lang w:val="en"/>
    </w:rPr>
  </w:style>
  <w:style w:type="paragraph" w:customStyle="1" w:styleId="ReportCoverInformation">
    <w:name w:val="Report Cover Information"/>
    <w:basedOn w:val="Normal"/>
    <w:rsid w:val="008F3372"/>
    <w:pPr>
      <w:keepNext/>
      <w:pBdr>
        <w:top w:val="single" w:sz="4" w:space="1" w:color="595A5B"/>
      </w:pBdr>
      <w:spacing w:before="600" w:after="120" w:line="240" w:lineRule="atLeast"/>
      <w:ind w:left="0" w:right="57"/>
      <w:outlineLvl w:val="7"/>
    </w:pPr>
    <w:rPr>
      <w:rFonts w:eastAsia="Times New Roman" w:cs="Times New Roman"/>
      <w:color w:val="22789A"/>
      <w:sz w:val="16"/>
      <w:szCs w:val="20"/>
      <w:lang w:val="en"/>
    </w:rPr>
  </w:style>
  <w:style w:type="paragraph" w:styleId="TOC2">
    <w:name w:val="toc 2"/>
    <w:basedOn w:val="Normal"/>
    <w:next w:val="Normal"/>
    <w:autoRedefine/>
    <w:uiPriority w:val="39"/>
    <w:rsid w:val="008F3372"/>
    <w:pPr>
      <w:tabs>
        <w:tab w:val="right" w:pos="8931"/>
      </w:tabs>
      <w:spacing w:after="100"/>
      <w:ind w:left="1843" w:right="804" w:hanging="567"/>
    </w:pPr>
    <w:rPr>
      <w:noProof/>
    </w:rPr>
  </w:style>
  <w:style w:type="paragraph" w:styleId="TOC3">
    <w:name w:val="toc 3"/>
    <w:basedOn w:val="Normal"/>
    <w:next w:val="Normal"/>
    <w:autoRedefine/>
    <w:uiPriority w:val="39"/>
    <w:rsid w:val="008F3372"/>
    <w:pPr>
      <w:tabs>
        <w:tab w:val="right" w:pos="8931"/>
      </w:tabs>
      <w:spacing w:after="100"/>
      <w:ind w:left="1843" w:right="804"/>
    </w:pPr>
    <w:rPr>
      <w:noProof/>
    </w:rPr>
  </w:style>
  <w:style w:type="paragraph" w:styleId="TOC6">
    <w:name w:val="toc 6"/>
    <w:basedOn w:val="Normal"/>
    <w:next w:val="Normal"/>
    <w:autoRedefine/>
    <w:uiPriority w:val="39"/>
    <w:rsid w:val="008F3372"/>
    <w:pPr>
      <w:tabs>
        <w:tab w:val="right" w:pos="8931"/>
      </w:tabs>
      <w:spacing w:after="100"/>
      <w:ind w:left="2127" w:right="804" w:hanging="1418"/>
    </w:pPr>
    <w:rPr>
      <w:b/>
    </w:rPr>
  </w:style>
  <w:style w:type="paragraph" w:customStyle="1" w:styleId="Contents">
    <w:name w:val="Contents"/>
    <w:basedOn w:val="CoverNormal"/>
    <w:uiPriority w:val="19"/>
    <w:rsid w:val="008F3372"/>
    <w:pPr>
      <w:pageBreakBefore/>
      <w:ind w:left="567"/>
    </w:pPr>
    <w:rPr>
      <w:rFonts w:asciiTheme="majorHAnsi" w:hAnsiTheme="majorHAnsi" w:cstheme="majorHAnsi"/>
      <w:b/>
      <w:color w:val="22789A"/>
      <w:sz w:val="52"/>
      <w:szCs w:val="52"/>
    </w:rPr>
  </w:style>
  <w:style w:type="paragraph" w:customStyle="1" w:styleId="CreativeCommonsLicence">
    <w:name w:val="Creative Commons Licence"/>
    <w:basedOn w:val="Normal"/>
    <w:next w:val="Normal"/>
    <w:uiPriority w:val="19"/>
    <w:rsid w:val="008F3372"/>
    <w:pPr>
      <w:keepNext/>
      <w:pBdr>
        <w:top w:val="single" w:sz="4" w:space="1" w:color="595A5B"/>
      </w:pBdr>
      <w:spacing w:before="360" w:after="120" w:line="240" w:lineRule="atLeast"/>
      <w:ind w:right="57"/>
      <w:outlineLvl w:val="7"/>
    </w:pPr>
    <w:rPr>
      <w:rFonts w:eastAsia="Times New Roman" w:cs="Times New Roman"/>
      <w:color w:val="22789A"/>
      <w:sz w:val="16"/>
      <w:szCs w:val="20"/>
      <w:lang w:val="en"/>
    </w:rPr>
  </w:style>
  <w:style w:type="paragraph" w:customStyle="1" w:styleId="Keypointsheader">
    <w:name w:val="Key points header"/>
    <w:basedOn w:val="Normal"/>
    <w:link w:val="KeypointsheaderChar"/>
    <w:qFormat/>
    <w:rsid w:val="008F3372"/>
    <w:pPr>
      <w:keepNext/>
      <w:pageBreakBefore/>
      <w:spacing w:before="300" w:line="280" w:lineRule="atLeast"/>
      <w:ind w:left="34" w:right="57"/>
      <w:jc w:val="left"/>
    </w:pPr>
    <w:rPr>
      <w:rFonts w:eastAsia="Times New Roman" w:cs="Times New Roman"/>
      <w:b/>
      <w:color w:val="22789A"/>
      <w:sz w:val="32"/>
      <w:szCs w:val="20"/>
    </w:rPr>
  </w:style>
  <w:style w:type="character" w:customStyle="1" w:styleId="KeypointsheaderChar">
    <w:name w:val="Key points header Char"/>
    <w:basedOn w:val="DefaultParagraphFont"/>
    <w:link w:val="Keypointsheader"/>
    <w:rsid w:val="008F3372"/>
    <w:rPr>
      <w:rFonts w:ascii="Arial" w:eastAsia="Times New Roman" w:hAnsi="Arial" w:cs="Times New Roman"/>
      <w:b/>
      <w:color w:val="22789A"/>
      <w:sz w:val="32"/>
      <w:szCs w:val="20"/>
    </w:rPr>
  </w:style>
  <w:style w:type="paragraph" w:customStyle="1" w:styleId="AbstractText">
    <w:name w:val="Abstract Text"/>
    <w:basedOn w:val="CoverNormal"/>
    <w:uiPriority w:val="9"/>
    <w:rsid w:val="008F3372"/>
    <w:pPr>
      <w:spacing w:before="60" w:after="60" w:line="260" w:lineRule="exact"/>
    </w:pPr>
  </w:style>
  <w:style w:type="paragraph" w:customStyle="1" w:styleId="JELCodeheader">
    <w:name w:val="JEL Code header"/>
    <w:link w:val="JELCodeheaderChar"/>
    <w:uiPriority w:val="5"/>
    <w:qFormat/>
    <w:rsid w:val="008F3372"/>
    <w:pPr>
      <w:spacing w:after="0" w:line="270" w:lineRule="exact"/>
      <w:jc w:val="both"/>
    </w:pPr>
    <w:rPr>
      <w:rFonts w:ascii="Arial" w:eastAsia="Times New Roman" w:hAnsi="Arial" w:cs="Arial"/>
      <w:b/>
      <w:color w:val="22789A"/>
      <w:sz w:val="20"/>
      <w:szCs w:val="20"/>
      <w:lang w:val="en"/>
    </w:rPr>
  </w:style>
  <w:style w:type="character" w:customStyle="1" w:styleId="JELCodeheaderChar">
    <w:name w:val="JEL Code header Char"/>
    <w:basedOn w:val="DefaultParagraphFont"/>
    <w:link w:val="JELCodeheader"/>
    <w:uiPriority w:val="5"/>
    <w:rsid w:val="008F3372"/>
    <w:rPr>
      <w:rFonts w:ascii="Arial" w:eastAsia="Times New Roman" w:hAnsi="Arial" w:cs="Arial"/>
      <w:b/>
      <w:color w:val="22789A"/>
      <w:sz w:val="20"/>
      <w:szCs w:val="20"/>
      <w:lang w:val="en"/>
    </w:rPr>
  </w:style>
  <w:style w:type="paragraph" w:customStyle="1" w:styleId="DisclaimerandAcknowledgement">
    <w:name w:val="Disclaimer and Acknowledgement"/>
    <w:basedOn w:val="Normal"/>
    <w:link w:val="DisclaimerandAcknowledgementChar"/>
    <w:uiPriority w:val="19"/>
    <w:qFormat/>
    <w:rsid w:val="008F3372"/>
    <w:pPr>
      <w:spacing w:line="270" w:lineRule="exact"/>
      <w:jc w:val="left"/>
    </w:pPr>
    <w:rPr>
      <w:rFonts w:eastAsia="Calibri" w:cs="Arial"/>
      <w:sz w:val="16"/>
      <w:szCs w:val="18"/>
      <w:lang w:val="en"/>
    </w:rPr>
  </w:style>
  <w:style w:type="character" w:customStyle="1" w:styleId="DisclaimerandAcknowledgementChar">
    <w:name w:val="Disclaimer and Acknowledgement Char"/>
    <w:link w:val="DisclaimerandAcknowledgement"/>
    <w:uiPriority w:val="19"/>
    <w:rsid w:val="008F3372"/>
    <w:rPr>
      <w:rFonts w:ascii="Arial" w:eastAsia="Calibri" w:hAnsi="Arial" w:cs="Arial"/>
      <w:color w:val="595A5B"/>
      <w:sz w:val="16"/>
      <w:szCs w:val="18"/>
      <w:lang w:val="en"/>
    </w:rPr>
  </w:style>
  <w:style w:type="paragraph" w:customStyle="1" w:styleId="HyperlinkStyle">
    <w:name w:val="Hyperlink Style"/>
    <w:basedOn w:val="Normal"/>
    <w:link w:val="HyperlinkStyleChar"/>
    <w:qFormat/>
    <w:rsid w:val="008F3372"/>
    <w:pPr>
      <w:spacing w:line="270" w:lineRule="exact"/>
    </w:pPr>
    <w:rPr>
      <w:rFonts w:eastAsia="Calibri" w:cs="Times New Roman"/>
      <w:color w:val="22789A"/>
      <w:szCs w:val="20"/>
      <w:u w:val="single"/>
    </w:rPr>
  </w:style>
  <w:style w:type="character" w:customStyle="1" w:styleId="HyperlinkStyleChar">
    <w:name w:val="Hyperlink Style Char"/>
    <w:link w:val="HyperlinkStyle"/>
    <w:rsid w:val="008F3372"/>
    <w:rPr>
      <w:rFonts w:ascii="Arial" w:eastAsia="Calibri" w:hAnsi="Arial" w:cs="Times New Roman"/>
      <w:color w:val="22789A"/>
      <w:sz w:val="20"/>
      <w:szCs w:val="20"/>
      <w:u w:val="single"/>
    </w:rPr>
  </w:style>
  <w:style w:type="paragraph" w:customStyle="1" w:styleId="DisclaimerHeading">
    <w:name w:val="Disclaimer Heading"/>
    <w:basedOn w:val="Heading8"/>
    <w:link w:val="DisclaimerHeadingChar"/>
    <w:uiPriority w:val="19"/>
    <w:qFormat/>
    <w:rsid w:val="008F3372"/>
    <w:pPr>
      <w:keepLines w:val="0"/>
      <w:numPr>
        <w:ilvl w:val="0"/>
        <w:numId w:val="0"/>
      </w:numPr>
      <w:pBdr>
        <w:top w:val="single" w:sz="4" w:space="1" w:color="595A5B"/>
      </w:pBdr>
      <w:spacing w:before="360" w:after="120" w:line="240" w:lineRule="atLeast"/>
      <w:ind w:left="2160" w:right="57"/>
    </w:pPr>
    <w:rPr>
      <w:rFonts w:ascii="Arial" w:eastAsia="Times New Roman" w:hAnsi="Arial" w:cs="Times New Roman"/>
      <w:sz w:val="16"/>
      <w:lang w:val="en"/>
    </w:rPr>
  </w:style>
  <w:style w:type="character" w:customStyle="1" w:styleId="DisclaimerHeadingChar">
    <w:name w:val="Disclaimer Heading Char"/>
    <w:basedOn w:val="DefaultParagraphFont"/>
    <w:link w:val="DisclaimerHeading"/>
    <w:uiPriority w:val="19"/>
    <w:rsid w:val="008F3372"/>
    <w:rPr>
      <w:rFonts w:ascii="Arial" w:eastAsia="Times New Roman" w:hAnsi="Arial" w:cs="Times New Roman"/>
      <w:color w:val="22789A"/>
      <w:sz w:val="16"/>
      <w:szCs w:val="20"/>
      <w:lang w:val="en"/>
    </w:rPr>
  </w:style>
  <w:style w:type="paragraph" w:styleId="Quote">
    <w:name w:val="Quote"/>
    <w:basedOn w:val="Normal"/>
    <w:next w:val="Normal"/>
    <w:link w:val="QuoteChar"/>
    <w:uiPriority w:val="29"/>
    <w:rsid w:val="008F3372"/>
    <w:pPr>
      <w:ind w:left="2552" w:right="521"/>
    </w:pPr>
    <w:rPr>
      <w:rFonts w:asciiTheme="minorHAnsi" w:hAnsiTheme="minorHAnsi"/>
      <w:iCs/>
      <w:color w:val="595A5B" w:themeColor="text1"/>
      <w:sz w:val="18"/>
    </w:rPr>
  </w:style>
  <w:style w:type="character" w:customStyle="1" w:styleId="QuoteChar">
    <w:name w:val="Quote Char"/>
    <w:basedOn w:val="DefaultParagraphFont"/>
    <w:link w:val="Quote"/>
    <w:uiPriority w:val="29"/>
    <w:rsid w:val="008F3372"/>
    <w:rPr>
      <w:iCs/>
      <w:color w:val="595A5B" w:themeColor="text1"/>
      <w:sz w:val="18"/>
    </w:rPr>
  </w:style>
  <w:style w:type="paragraph" w:customStyle="1" w:styleId="TableListBullet">
    <w:name w:val="Table List Bullet"/>
    <w:basedOn w:val="Tabletext"/>
    <w:rsid w:val="008F3372"/>
    <w:pPr>
      <w:numPr>
        <w:numId w:val="38"/>
      </w:numPr>
    </w:pPr>
    <w:rPr>
      <w:rFonts w:eastAsia="Times New Roman"/>
      <w:lang w:eastAsia="en-AU"/>
    </w:rPr>
  </w:style>
  <w:style w:type="numbering" w:customStyle="1" w:styleId="OCETableBullets">
    <w:name w:val="OCE Table Bullets"/>
    <w:uiPriority w:val="99"/>
    <w:rsid w:val="008F3372"/>
    <w:pPr>
      <w:numPr>
        <w:numId w:val="15"/>
      </w:numPr>
    </w:pPr>
  </w:style>
  <w:style w:type="character" w:styleId="CommentReference">
    <w:name w:val="annotation reference"/>
    <w:basedOn w:val="DefaultParagraphFont"/>
    <w:uiPriority w:val="99"/>
    <w:unhideWhenUsed/>
    <w:rsid w:val="00610F44"/>
    <w:rPr>
      <w:sz w:val="16"/>
      <w:szCs w:val="16"/>
    </w:rPr>
  </w:style>
  <w:style w:type="paragraph" w:styleId="CommentText">
    <w:name w:val="annotation text"/>
    <w:basedOn w:val="Normal"/>
    <w:link w:val="CommentTextChar"/>
    <w:uiPriority w:val="99"/>
    <w:unhideWhenUsed/>
    <w:rsid w:val="00610F44"/>
    <w:pPr>
      <w:spacing w:line="240" w:lineRule="auto"/>
    </w:pPr>
    <w:rPr>
      <w:szCs w:val="20"/>
    </w:rPr>
  </w:style>
  <w:style w:type="character" w:customStyle="1" w:styleId="CommentTextChar">
    <w:name w:val="Comment Text Char"/>
    <w:basedOn w:val="DefaultParagraphFont"/>
    <w:link w:val="CommentText"/>
    <w:uiPriority w:val="99"/>
    <w:rsid w:val="00610F44"/>
    <w:rPr>
      <w:rFonts w:ascii="Arial" w:hAnsi="Arial"/>
      <w:color w:val="595A5B"/>
      <w:sz w:val="20"/>
      <w:szCs w:val="20"/>
    </w:rPr>
  </w:style>
  <w:style w:type="paragraph" w:styleId="CommentSubject">
    <w:name w:val="annotation subject"/>
    <w:basedOn w:val="CommentText"/>
    <w:next w:val="CommentText"/>
    <w:link w:val="CommentSubjectChar"/>
    <w:unhideWhenUsed/>
    <w:rsid w:val="00610F44"/>
    <w:rPr>
      <w:b/>
      <w:bCs/>
    </w:rPr>
  </w:style>
  <w:style w:type="character" w:customStyle="1" w:styleId="CommentSubjectChar">
    <w:name w:val="Comment Subject Char"/>
    <w:basedOn w:val="CommentTextChar"/>
    <w:link w:val="CommentSubject"/>
    <w:rsid w:val="00610F44"/>
    <w:rPr>
      <w:rFonts w:ascii="Arial" w:hAnsi="Arial"/>
      <w:b/>
      <w:bCs/>
      <w:color w:val="595A5B"/>
      <w:sz w:val="20"/>
      <w:szCs w:val="20"/>
    </w:rPr>
  </w:style>
  <w:style w:type="paragraph" w:customStyle="1" w:styleId="Footnote">
    <w:name w:val="Footnote"/>
    <w:basedOn w:val="FootnoteText"/>
    <w:link w:val="FootnoteChar"/>
    <w:qFormat/>
    <w:rsid w:val="00610F44"/>
    <w:pPr>
      <w:spacing w:after="0" w:line="240" w:lineRule="auto"/>
      <w:ind w:hanging="141"/>
    </w:pPr>
    <w:rPr>
      <w:rFonts w:cs="Arial"/>
      <w:szCs w:val="20"/>
    </w:rPr>
  </w:style>
  <w:style w:type="character" w:customStyle="1" w:styleId="FootnoteChar">
    <w:name w:val="Footnote Char"/>
    <w:basedOn w:val="FootnoteTextChar"/>
    <w:link w:val="Footnote"/>
    <w:rsid w:val="00610F44"/>
    <w:rPr>
      <w:rFonts w:ascii="Arial" w:eastAsia="Times New Roman" w:hAnsi="Arial" w:cs="Arial"/>
      <w:color w:val="595A5B"/>
      <w:sz w:val="16"/>
      <w:szCs w:val="20"/>
    </w:rPr>
  </w:style>
  <w:style w:type="paragraph" w:customStyle="1" w:styleId="LongFigure">
    <w:name w:val="Long Figure"/>
    <w:basedOn w:val="Heading7"/>
    <w:link w:val="LongFigureChar"/>
    <w:qFormat/>
    <w:rsid w:val="00610F44"/>
    <w:pPr>
      <w:keepLines w:val="0"/>
      <w:numPr>
        <w:ilvl w:val="0"/>
        <w:numId w:val="0"/>
      </w:numPr>
      <w:pBdr>
        <w:top w:val="single" w:sz="2" w:space="1" w:color="595A5B"/>
      </w:pBdr>
      <w:spacing w:before="360" w:after="240" w:line="240" w:lineRule="atLeast"/>
      <w:ind w:right="57"/>
      <w:jc w:val="both"/>
    </w:pPr>
    <w:rPr>
      <w:rFonts w:ascii="Arial" w:eastAsia="Times New Roman" w:hAnsi="Arial" w:cs="Times New Roman"/>
      <w:b w:val="0"/>
      <w:iCs w:val="0"/>
      <w:color w:val="22789A"/>
      <w:sz w:val="16"/>
      <w:szCs w:val="20"/>
    </w:rPr>
  </w:style>
  <w:style w:type="character" w:customStyle="1" w:styleId="LongFigureChar">
    <w:name w:val="Long Figure Char"/>
    <w:basedOn w:val="DefaultParagraphFont"/>
    <w:link w:val="LongFigure"/>
    <w:rsid w:val="00610F44"/>
    <w:rPr>
      <w:rFonts w:ascii="Arial" w:eastAsia="Times New Roman" w:hAnsi="Arial" w:cs="Times New Roman"/>
      <w:color w:val="22789A"/>
      <w:sz w:val="16"/>
      <w:szCs w:val="20"/>
    </w:rPr>
  </w:style>
  <w:style w:type="paragraph" w:styleId="NormalWeb">
    <w:name w:val="Normal (Web)"/>
    <w:basedOn w:val="Normal"/>
    <w:uiPriority w:val="99"/>
    <w:unhideWhenUsed/>
    <w:rsid w:val="00610F44"/>
    <w:pPr>
      <w:spacing w:before="100" w:beforeAutospacing="1" w:after="100" w:afterAutospacing="1" w:line="240" w:lineRule="auto"/>
      <w:ind w:left="0"/>
      <w:jc w:val="left"/>
    </w:pPr>
    <w:rPr>
      <w:rFonts w:ascii="Times New Roman" w:eastAsiaTheme="minorEastAsia" w:hAnsi="Times New Roman" w:cs="Times New Roman"/>
      <w:color w:val="auto"/>
      <w:sz w:val="24"/>
      <w:szCs w:val="24"/>
      <w:lang w:eastAsia="en-AU"/>
    </w:rPr>
  </w:style>
  <w:style w:type="paragraph" w:customStyle="1" w:styleId="LongSource">
    <w:name w:val="Long Source"/>
    <w:basedOn w:val="Source"/>
    <w:link w:val="LongSourceChar"/>
    <w:qFormat/>
    <w:rsid w:val="00610F44"/>
    <w:pPr>
      <w:keepLines w:val="0"/>
      <w:spacing w:after="60"/>
      <w:ind w:left="0"/>
    </w:pPr>
  </w:style>
  <w:style w:type="character" w:customStyle="1" w:styleId="LongSourceChar">
    <w:name w:val="Long Source Char"/>
    <w:basedOn w:val="SourceChar"/>
    <w:link w:val="LongSource"/>
    <w:rsid w:val="00610F44"/>
    <w:rPr>
      <w:rFonts w:ascii="Arial" w:eastAsia="Times New Roman" w:hAnsi="Arial" w:cs="Arial"/>
      <w:color w:val="22789A"/>
      <w:sz w:val="16"/>
      <w:szCs w:val="20"/>
      <w:lang w:val="en"/>
    </w:rPr>
  </w:style>
  <w:style w:type="paragraph" w:customStyle="1" w:styleId="Referencesheading">
    <w:name w:val="References heading"/>
    <w:basedOn w:val="Heading1"/>
    <w:link w:val="ReferencesheadingChar"/>
    <w:rsid w:val="00610F44"/>
    <w:pPr>
      <w:pageBreakBefore/>
      <w:numPr>
        <w:numId w:val="0"/>
      </w:numPr>
      <w:ind w:left="2194" w:right="57"/>
      <w:jc w:val="both"/>
    </w:pPr>
    <w:rPr>
      <w:rFonts w:ascii="Arial" w:hAnsi="Arial" w:cs="Times New Roman"/>
      <w:bCs w:val="0"/>
      <w:szCs w:val="20"/>
    </w:rPr>
  </w:style>
  <w:style w:type="character" w:customStyle="1" w:styleId="ReferencesheadingChar">
    <w:name w:val="References heading Char"/>
    <w:basedOn w:val="Heading1Char"/>
    <w:link w:val="Referencesheading"/>
    <w:rsid w:val="00610F44"/>
    <w:rPr>
      <w:rFonts w:ascii="Arial" w:eastAsia="Times New Roman" w:hAnsi="Arial" w:cs="Times New Roman"/>
      <w:b/>
      <w:bCs w:val="0"/>
      <w:color w:val="22789A"/>
      <w:kern w:val="32"/>
      <w:sz w:val="32"/>
      <w:szCs w:val="20"/>
    </w:rPr>
  </w:style>
  <w:style w:type="paragraph" w:styleId="Revision">
    <w:name w:val="Revision"/>
    <w:hidden/>
    <w:uiPriority w:val="99"/>
    <w:semiHidden/>
    <w:rsid w:val="00610F44"/>
    <w:pPr>
      <w:spacing w:after="0" w:line="240" w:lineRule="auto"/>
    </w:pPr>
    <w:rPr>
      <w:rFonts w:ascii="Arial" w:hAnsi="Arial"/>
      <w:color w:val="595A5B"/>
      <w:sz w:val="20"/>
    </w:rPr>
  </w:style>
  <w:style w:type="character" w:styleId="FollowedHyperlink">
    <w:name w:val="FollowedHyperlink"/>
    <w:basedOn w:val="DefaultParagraphFont"/>
    <w:uiPriority w:val="99"/>
    <w:unhideWhenUsed/>
    <w:rsid w:val="00717F7C"/>
    <w:rPr>
      <w:color w:val="22789A" w:themeColor="accent1"/>
      <w:u w:val="single"/>
    </w:rPr>
  </w:style>
  <w:style w:type="paragraph" w:customStyle="1" w:styleId="font5">
    <w:name w:val="font5"/>
    <w:basedOn w:val="Normal"/>
    <w:rsid w:val="00610F44"/>
    <w:pPr>
      <w:spacing w:before="100" w:beforeAutospacing="1" w:after="100" w:afterAutospacing="1" w:line="240" w:lineRule="auto"/>
      <w:ind w:left="0"/>
      <w:jc w:val="left"/>
    </w:pPr>
    <w:rPr>
      <w:rFonts w:ascii="Tahoma" w:eastAsia="Times New Roman" w:hAnsi="Tahoma" w:cs="Tahoma"/>
      <w:color w:val="000000"/>
      <w:sz w:val="18"/>
      <w:szCs w:val="18"/>
      <w:lang w:eastAsia="en-AU"/>
    </w:rPr>
  </w:style>
  <w:style w:type="paragraph" w:customStyle="1" w:styleId="font6">
    <w:name w:val="font6"/>
    <w:basedOn w:val="Normal"/>
    <w:rsid w:val="00610F44"/>
    <w:pPr>
      <w:spacing w:before="100" w:beforeAutospacing="1" w:after="100" w:afterAutospacing="1" w:line="240" w:lineRule="auto"/>
      <w:ind w:left="0"/>
      <w:jc w:val="left"/>
    </w:pPr>
    <w:rPr>
      <w:rFonts w:ascii="Tahoma" w:eastAsia="Times New Roman" w:hAnsi="Tahoma" w:cs="Tahoma"/>
      <w:b/>
      <w:bCs/>
      <w:color w:val="000000"/>
      <w:sz w:val="18"/>
      <w:szCs w:val="18"/>
      <w:lang w:eastAsia="en-AU"/>
    </w:rPr>
  </w:style>
  <w:style w:type="paragraph" w:customStyle="1" w:styleId="xl165">
    <w:name w:val="xl165"/>
    <w:basedOn w:val="Normal"/>
    <w:rsid w:val="00610F44"/>
    <w:pPr>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eastAsia="en-AU"/>
    </w:rPr>
  </w:style>
  <w:style w:type="paragraph" w:customStyle="1" w:styleId="xl166">
    <w:name w:val="xl166"/>
    <w:basedOn w:val="Normal"/>
    <w:rsid w:val="00610F44"/>
    <w:pPr>
      <w:shd w:val="clear" w:color="000000" w:fill="C7F464"/>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eastAsia="en-AU"/>
    </w:rPr>
  </w:style>
  <w:style w:type="paragraph" w:customStyle="1" w:styleId="xl167">
    <w:name w:val="xl167"/>
    <w:basedOn w:val="Normal"/>
    <w:rsid w:val="00610F44"/>
    <w:pPr>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eastAsia="en-AU"/>
    </w:rPr>
  </w:style>
  <w:style w:type="paragraph" w:customStyle="1" w:styleId="xl168">
    <w:name w:val="xl168"/>
    <w:basedOn w:val="Normal"/>
    <w:rsid w:val="00610F44"/>
    <w:pPr>
      <w:spacing w:before="100" w:beforeAutospacing="1" w:after="100" w:afterAutospacing="1" w:line="240" w:lineRule="auto"/>
      <w:ind w:left="0"/>
      <w:jc w:val="left"/>
      <w:textAlignment w:val="top"/>
    </w:pPr>
    <w:rPr>
      <w:rFonts w:ascii="Times New Roman" w:eastAsia="Times New Roman" w:hAnsi="Times New Roman" w:cs="Times New Roman"/>
      <w:b/>
      <w:bCs/>
      <w:color w:val="auto"/>
      <w:sz w:val="24"/>
      <w:szCs w:val="24"/>
      <w:lang w:eastAsia="en-AU"/>
    </w:rPr>
  </w:style>
  <w:style w:type="paragraph" w:styleId="EndnoteText">
    <w:name w:val="endnote text"/>
    <w:basedOn w:val="Normal"/>
    <w:link w:val="EndnoteTextChar"/>
    <w:uiPriority w:val="19"/>
    <w:rsid w:val="00610F44"/>
    <w:pPr>
      <w:spacing w:after="0" w:line="240" w:lineRule="auto"/>
    </w:pPr>
    <w:rPr>
      <w:szCs w:val="20"/>
    </w:rPr>
  </w:style>
  <w:style w:type="character" w:customStyle="1" w:styleId="EndnoteTextChar">
    <w:name w:val="Endnote Text Char"/>
    <w:basedOn w:val="DefaultParagraphFont"/>
    <w:link w:val="EndnoteText"/>
    <w:uiPriority w:val="19"/>
    <w:rsid w:val="00610F44"/>
    <w:rPr>
      <w:rFonts w:ascii="Arial" w:hAnsi="Arial"/>
      <w:color w:val="595A5B"/>
      <w:sz w:val="20"/>
      <w:szCs w:val="20"/>
    </w:rPr>
  </w:style>
  <w:style w:type="character" w:styleId="EndnoteReference">
    <w:name w:val="endnote reference"/>
    <w:basedOn w:val="DefaultParagraphFont"/>
    <w:uiPriority w:val="19"/>
    <w:rsid w:val="00610F4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505712">
      <w:bodyDiv w:val="1"/>
      <w:marLeft w:val="0"/>
      <w:marRight w:val="0"/>
      <w:marTop w:val="0"/>
      <w:marBottom w:val="0"/>
      <w:divBdr>
        <w:top w:val="none" w:sz="0" w:space="0" w:color="auto"/>
        <w:left w:val="none" w:sz="0" w:space="0" w:color="auto"/>
        <w:bottom w:val="none" w:sz="0" w:space="0" w:color="auto"/>
        <w:right w:val="none" w:sz="0" w:space="0" w:color="auto"/>
      </w:divBdr>
    </w:div>
    <w:div w:id="811798125">
      <w:bodyDiv w:val="1"/>
      <w:marLeft w:val="0"/>
      <w:marRight w:val="0"/>
      <w:marTop w:val="0"/>
      <w:marBottom w:val="0"/>
      <w:divBdr>
        <w:top w:val="none" w:sz="0" w:space="0" w:color="auto"/>
        <w:left w:val="none" w:sz="0" w:space="0" w:color="auto"/>
        <w:bottom w:val="none" w:sz="0" w:space="0" w:color="auto"/>
        <w:right w:val="none" w:sz="0" w:space="0" w:color="auto"/>
      </w:divBdr>
    </w:div>
    <w:div w:id="192213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hiefeconomist@industry.gov.au" TargetMode="External"/><Relationship Id="rId18" Type="http://schemas.openxmlformats.org/officeDocument/2006/relationships/header" Target="header1.xml"/><Relationship Id="rId26" Type="http://schemas.openxmlformats.org/officeDocument/2006/relationships/image" Target="media/image3.png"/><Relationship Id="rId39" Type="http://schemas.openxmlformats.org/officeDocument/2006/relationships/hyperlink" Target="http://www.abs.gov.au/ausstats/abs@.nsf/mf/6306.0/" TargetMode="External"/><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hyperlink" Target="http://www.bls.gov/oes/current/oes_nat.htm" TargetMode="External"/><Relationship Id="rId47" Type="http://schemas.openxmlformats.org/officeDocument/2006/relationships/hyperlink" Target="http://search.proquest.com/docview/763326770/fulltextPDF/CD3F383483244F8DPQ/1?accountid=163701" TargetMode="External"/><Relationship Id="rId50" Type="http://schemas.openxmlformats.org/officeDocument/2006/relationships/hyperlink" Target="http://www2.wiwi.hu-berlin.de/institute/wt2/sommersemester05/brown_bag/task.pdf" TargetMode="External"/><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file://prod.protected.ind/user/User05/DEdmonds/My%20Documents/daniel.edmonds@industry.gov.au" TargetMode="External"/><Relationship Id="rId17" Type="http://schemas.openxmlformats.org/officeDocument/2006/relationships/hyperlink" Target="http://creativecommons.org/licenses/by/3.0/au/legalcode" TargetMode="External"/><Relationship Id="rId25" Type="http://schemas.openxmlformats.org/officeDocument/2006/relationships/footer" Target="footer5.xml"/><Relationship Id="rId33" Type="http://schemas.openxmlformats.org/officeDocument/2006/relationships/image" Target="media/image9.png"/><Relationship Id="rId38" Type="http://schemas.openxmlformats.org/officeDocument/2006/relationships/hyperlink" Target="http://www.abs.gov.au/AUSSTATS/abs@.nsf/allprimarymainfeatures/2FDAA8C0FE297AD8CA257E0C000F19CF?opendocument" TargetMode="External"/><Relationship Id="rId46" Type="http://schemas.openxmlformats.org/officeDocument/2006/relationships/hyperlink" Target="http://www.oxfordmartin.ox.ac.uk/downloads/academic/The_Future_of_Employment.pdf" TargetMode="External"/><Relationship Id="rId2" Type="http://schemas.openxmlformats.org/officeDocument/2006/relationships/customXml" Target="../customXml/item2.xml"/><Relationship Id="rId16" Type="http://schemas.openxmlformats.org/officeDocument/2006/relationships/hyperlink" Target="http://creativecommons.org/licenses/by/3.0/au/deed.en" TargetMode="External"/><Relationship Id="rId20" Type="http://schemas.openxmlformats.org/officeDocument/2006/relationships/footer" Target="footer1.xml"/><Relationship Id="rId29" Type="http://schemas.openxmlformats.org/officeDocument/2006/relationships/image" Target="media/image5.png"/><Relationship Id="rId41" Type="http://schemas.openxmlformats.org/officeDocument/2006/relationships/hyperlink" Target="http://www.bls.gov/soc/soccrosswalks.htm"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32" Type="http://schemas.openxmlformats.org/officeDocument/2006/relationships/image" Target="media/image8.png"/><Relationship Id="rId37" Type="http://schemas.openxmlformats.org/officeDocument/2006/relationships/hyperlink" Target="http://www.abs.gov.au/AUSSTATS/abs@.nsf/MF/5204.0" TargetMode="External"/><Relationship Id="rId40" Type="http://schemas.openxmlformats.org/officeDocument/2006/relationships/hyperlink" Target="http://www.nber.org/papers/w8337" TargetMode="External"/><Relationship Id="rId45" Type="http://schemas.openxmlformats.org/officeDocument/2006/relationships/hyperlink" Target="http://industry.gov.au/Office-of-the-Chief-Economist/Publications/Pages/Australian-Industry-Report.aspx" TargetMode="External"/><Relationship Id="rId53" Type="http://schemas.openxmlformats.org/officeDocument/2006/relationships/footer" Target="footer7.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3.xml"/><Relationship Id="rId28" Type="http://schemas.openxmlformats.org/officeDocument/2006/relationships/chart" Target="charts/chart1.xml"/><Relationship Id="rId36" Type="http://schemas.openxmlformats.org/officeDocument/2006/relationships/hyperlink" Target="http://www.abs.gov.au/AUSSTATS/abs@.nsf/DetailsPage/1220.02013,%20Version%201.2?OpenDocument" TargetMode="External"/><Relationship Id="rId49" Type="http://schemas.openxmlformats.org/officeDocument/2006/relationships/hyperlink" Target="https://www.onetonline.org/" TargetMode="Externa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7.png"/><Relationship Id="rId44" Type="http://schemas.openxmlformats.org/officeDocument/2006/relationships/hyperlink" Target="http://www2.deloitte.com/uk/en/pages/press-releases/articles/deloitte-one-third-of-jobs-in-the-uk-at-risk-from-automation.html" TargetMode="External"/><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industry.gov.au/OCE" TargetMode="External"/><Relationship Id="rId22" Type="http://schemas.openxmlformats.org/officeDocument/2006/relationships/header" Target="header3.xm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www.abs.gov.au/ausstats/abs@.nsf/0/C4BECE1704987586CA257089001A9181?opendocument" TargetMode="External"/><Relationship Id="rId43" Type="http://schemas.openxmlformats.org/officeDocument/2006/relationships/hyperlink" Target="http://www.rba.gov.au/publications/bulletin/2010/sep/1.html" TargetMode="External"/><Relationship Id="rId48" Type="http://schemas.openxmlformats.org/officeDocument/2006/relationships/hyperlink" Target="http://press.princeton.edu/titles/7704.html" TargetMode="External"/><Relationship Id="rId8" Type="http://schemas.openxmlformats.org/officeDocument/2006/relationships/webSettings" Target="webSettings.xml"/><Relationship Id="rId51" Type="http://schemas.openxmlformats.org/officeDocument/2006/relationships/hyperlink" Target="http://googleblog.blogspot.com.au/2010/10/what-were-driving-at.html" TargetMode="External"/><Relationship Id="rId3" Type="http://schemas.openxmlformats.org/officeDocument/2006/relationships/customXml" Target="../customXml/item3.xml"/></Relationships>
</file>

<file path=word/charts/_rels/chart1.xml.rels><?xml version="1.0" encoding="UTF-8" standalone="yes"?>
<Relationships xmlns="http://schemas.openxmlformats.org/package/2006/relationships"><Relationship Id="rId1" Type="http://schemas.openxmlformats.org/officeDocument/2006/relationships/oleObject" Target="file:///\\prod.protected.ind\group\OCE\IEB\EBC\Research\Dan--automation\Score%20paper\Calculations\ANZSCO%20score%20calculation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5288713910761158E-2"/>
          <c:y val="3.0187903787647168E-2"/>
          <c:w val="0.88334376472171749"/>
          <c:h val="0.67055639369076314"/>
        </c:manualLayout>
      </c:layout>
      <c:barChart>
        <c:barDir val="col"/>
        <c:grouping val="clustered"/>
        <c:varyColors val="0"/>
        <c:ser>
          <c:idx val="1"/>
          <c:order val="1"/>
          <c:tx>
            <c:strRef>
              <c:f>'Anzsco Anzsic 1d (2014)'!$AV$429</c:f>
              <c:strCache>
                <c:ptCount val="1"/>
                <c:pt idx="0">
                  <c:v>Australia</c:v>
                </c:pt>
              </c:strCache>
            </c:strRef>
          </c:tx>
          <c:spPr>
            <a:ln w="28575">
              <a:noFill/>
            </a:ln>
          </c:spPr>
          <c:invertIfNegative val="0"/>
          <c:val>
            <c:numRef>
              <c:f>'Anzsco Anzsic 1d (2014)'!$AV$430:$AV$439</c:f>
              <c:numCache>
                <c:formatCode>0.0</c:formatCode>
                <c:ptCount val="10"/>
                <c:pt idx="0">
                  <c:v>18.557015394036679</c:v>
                </c:pt>
                <c:pt idx="1">
                  <c:v>8.5072354665194521</c:v>
                </c:pt>
                <c:pt idx="2">
                  <c:v>5.6259200410235124</c:v>
                </c:pt>
                <c:pt idx="3">
                  <c:v>3.7193423301870809</c:v>
                </c:pt>
                <c:pt idx="4">
                  <c:v>4.9401399020044634</c:v>
                </c:pt>
                <c:pt idx="5">
                  <c:v>6.1981276303262032</c:v>
                </c:pt>
                <c:pt idx="6">
                  <c:v>8.5495358277385858</c:v>
                </c:pt>
                <c:pt idx="7">
                  <c:v>13.141243771558825</c:v>
                </c:pt>
                <c:pt idx="8">
                  <c:v>8.3614196251368433</c:v>
                </c:pt>
                <c:pt idx="9">
                  <c:v>22.400020011468317</c:v>
                </c:pt>
              </c:numCache>
            </c:numRef>
          </c:val>
        </c:ser>
        <c:dLbls>
          <c:showLegendKey val="0"/>
          <c:showVal val="0"/>
          <c:showCatName val="0"/>
          <c:showSerName val="0"/>
          <c:showPercent val="0"/>
          <c:showBubbleSize val="0"/>
        </c:dLbls>
        <c:gapWidth val="150"/>
        <c:axId val="274161368"/>
        <c:axId val="274159016"/>
      </c:barChart>
      <c:lineChart>
        <c:grouping val="standard"/>
        <c:varyColors val="0"/>
        <c:ser>
          <c:idx val="0"/>
          <c:order val="0"/>
          <c:tx>
            <c:strRef>
              <c:f>'Anzsco Anzsic 1d (2014)'!$AW$429</c:f>
              <c:strCache>
                <c:ptCount val="1"/>
                <c:pt idx="0">
                  <c:v>US</c:v>
                </c:pt>
              </c:strCache>
            </c:strRef>
          </c:tx>
          <c:spPr>
            <a:ln w="28575">
              <a:noFill/>
            </a:ln>
          </c:spPr>
          <c:marker>
            <c:symbol val="dash"/>
            <c:size val="11"/>
            <c:spPr>
              <a:noFill/>
              <a:ln w="28575">
                <a:solidFill>
                  <a:schemeClr val="tx1"/>
                </a:solidFill>
              </a:ln>
            </c:spPr>
          </c:marker>
          <c:val>
            <c:numRef>
              <c:f>'Anzsco Anzsic 1d (2014)'!$AW$430:$AW$439</c:f>
              <c:numCache>
                <c:formatCode>0.0</c:formatCode>
                <c:ptCount val="10"/>
                <c:pt idx="0">
                  <c:v>21.624117596659044</c:v>
                </c:pt>
                <c:pt idx="1">
                  <c:v>11.632021780467481</c:v>
                </c:pt>
                <c:pt idx="2">
                  <c:v>4.4912451078589761</c:v>
                </c:pt>
                <c:pt idx="3">
                  <c:v>2.4158904674376185</c:v>
                </c:pt>
                <c:pt idx="4">
                  <c:v>1.0740420644872994</c:v>
                </c:pt>
                <c:pt idx="5">
                  <c:v>3.6761215936948775</c:v>
                </c:pt>
                <c:pt idx="6">
                  <c:v>11.638109690904162</c:v>
                </c:pt>
                <c:pt idx="7">
                  <c:v>5.8424975088663258</c:v>
                </c:pt>
                <c:pt idx="8">
                  <c:v>11.212690998370741</c:v>
                </c:pt>
                <c:pt idx="9">
                  <c:v>26.393263191253475</c:v>
                </c:pt>
              </c:numCache>
            </c:numRef>
          </c:val>
          <c:smooth val="0"/>
        </c:ser>
        <c:dLbls>
          <c:showLegendKey val="0"/>
          <c:showVal val="0"/>
          <c:showCatName val="0"/>
          <c:showSerName val="0"/>
          <c:showPercent val="0"/>
          <c:showBubbleSize val="0"/>
        </c:dLbls>
        <c:marker val="1"/>
        <c:smooth val="0"/>
        <c:axId val="274161368"/>
        <c:axId val="274159016"/>
      </c:lineChart>
      <c:catAx>
        <c:axId val="274161368"/>
        <c:scaling>
          <c:orientation val="minMax"/>
        </c:scaling>
        <c:delete val="0"/>
        <c:axPos val="b"/>
        <c:title>
          <c:tx>
            <c:rich>
              <a:bodyPr/>
              <a:lstStyle/>
              <a:p>
                <a:pPr>
                  <a:defRPr b="0" spc="20" baseline="0"/>
                </a:pPr>
                <a:r>
                  <a:rPr lang="en-US" b="0" spc="20" baseline="0"/>
                  <a:t>Automation score decile</a:t>
                </a:r>
              </a:p>
            </c:rich>
          </c:tx>
          <c:layout>
            <c:manualLayout>
              <c:xMode val="edge"/>
              <c:yMode val="edge"/>
              <c:x val="0.37706743387845748"/>
              <c:y val="0.8040190393132749"/>
            </c:manualLayout>
          </c:layout>
          <c:overlay val="0"/>
        </c:title>
        <c:majorTickMark val="out"/>
        <c:minorTickMark val="none"/>
        <c:tickLblPos val="nextTo"/>
        <c:spPr>
          <a:ln>
            <a:noFill/>
          </a:ln>
        </c:spPr>
        <c:crossAx val="274159016"/>
        <c:crosses val="autoZero"/>
        <c:auto val="1"/>
        <c:lblAlgn val="ctr"/>
        <c:lblOffset val="100"/>
        <c:noMultiLvlLbl val="0"/>
      </c:catAx>
      <c:valAx>
        <c:axId val="274159016"/>
        <c:scaling>
          <c:orientation val="minMax"/>
        </c:scaling>
        <c:delete val="0"/>
        <c:axPos val="l"/>
        <c:title>
          <c:tx>
            <c:rich>
              <a:bodyPr rot="-5400000" vert="horz"/>
              <a:lstStyle/>
              <a:p>
                <a:pPr>
                  <a:defRPr b="0" spc="20" baseline="0"/>
                </a:pPr>
                <a:r>
                  <a:rPr lang="en-AU" b="0" spc="20" baseline="0"/>
                  <a:t>Percentage of labour market</a:t>
                </a:r>
              </a:p>
            </c:rich>
          </c:tx>
          <c:layout>
            <c:manualLayout>
              <c:xMode val="edge"/>
              <c:yMode val="edge"/>
              <c:x val="5.8944074298405008E-3"/>
              <c:y val="0.1133848243508072"/>
            </c:manualLayout>
          </c:layout>
          <c:overlay val="0"/>
        </c:title>
        <c:numFmt formatCode="0" sourceLinked="0"/>
        <c:majorTickMark val="out"/>
        <c:minorTickMark val="none"/>
        <c:tickLblPos val="nextTo"/>
        <c:spPr>
          <a:ln>
            <a:noFill/>
          </a:ln>
        </c:spPr>
        <c:crossAx val="274161368"/>
        <c:crosses val="autoZero"/>
        <c:crossBetween val="between"/>
      </c:valAx>
    </c:plotArea>
    <c:legend>
      <c:legendPos val="t"/>
      <c:layout>
        <c:manualLayout>
          <c:xMode val="edge"/>
          <c:yMode val="edge"/>
          <c:x val="0.39383319873477352"/>
          <c:y val="0.90885789180871801"/>
          <c:w val="0.17387206406891445"/>
          <c:h val="6.7669306058798021E-2"/>
        </c:manualLayout>
      </c:layout>
      <c:overlay val="0"/>
      <c:txPr>
        <a:bodyPr/>
        <a:lstStyle/>
        <a:p>
          <a:pPr>
            <a:defRPr spc="20" baseline="0"/>
          </a:pPr>
          <a:endParaRPr lang="en-US"/>
        </a:p>
      </c:txPr>
    </c:legend>
    <c:plotVisOnly val="1"/>
    <c:dispBlanksAs val="gap"/>
    <c:showDLblsOverMax val="0"/>
  </c:chart>
  <c:spPr>
    <a:ln>
      <a:noFill/>
    </a:ln>
  </c:spPr>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CE 1">
      <a:dk1>
        <a:srgbClr val="595A5B"/>
      </a:dk1>
      <a:lt1>
        <a:srgbClr val="FFFFFF"/>
      </a:lt1>
      <a:dk2>
        <a:srgbClr val="FFFFFF"/>
      </a:dk2>
      <a:lt2>
        <a:srgbClr val="292067"/>
      </a:lt2>
      <a:accent1>
        <a:srgbClr val="22789A"/>
      </a:accent1>
      <a:accent2>
        <a:srgbClr val="9ED9DF"/>
      </a:accent2>
      <a:accent3>
        <a:srgbClr val="BCBFC1"/>
      </a:accent3>
      <a:accent4>
        <a:srgbClr val="595A5B"/>
      </a:accent4>
      <a:accent5>
        <a:srgbClr val="C979A7"/>
      </a:accent5>
      <a:accent6>
        <a:srgbClr val="0072B2"/>
      </a:accent6>
      <a:hlink>
        <a:srgbClr val="22789A"/>
      </a:hlink>
      <a:folHlink>
        <a:srgbClr val="56B4E9"/>
      </a:folHlink>
    </a:clrScheme>
    <a:fontScheme name="OC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Core Publishing Document" ma:contentTypeID="0x01010097F86F0C24D64525B252BB20BD9D45A700C69CDEFA52F2CB4D9860A76B602E27F3" ma:contentTypeVersion="78" ma:contentTypeDescription="Core Publishing Document, inherited from OOTB document." ma:contentTypeScope="" ma:versionID="691fa46638dd1796bfcc443d030dadba">
  <xsd:schema xmlns:xsd="http://www.w3.org/2001/XMLSchema" xmlns:xs="http://www.w3.org/2001/XMLSchema" xmlns:p="http://schemas.microsoft.com/office/2006/metadata/properties" xmlns:ns1="http://schemas.microsoft.com/sharepoint/v3" xmlns:ns2="d580843d-216d-45a8-9226-4ce87fce8ec1" xmlns:ns3="c0b4bd0a-f6ac-422c-a0b2-ddc3a705a698" targetNamespace="http://schemas.microsoft.com/office/2006/metadata/properties" ma:root="true" ma:fieldsID="731d6cfb07b9c27845297ef9cc7fdc92" ns1:_="" ns2:_="" ns3:_="">
    <xsd:import namespace="http://schemas.microsoft.com/sharepoint/v3"/>
    <xsd:import namespace="d580843d-216d-45a8-9226-4ce87fce8ec1"/>
    <xsd:import namespace="c0b4bd0a-f6ac-422c-a0b2-ddc3a705a698"/>
    <xsd:element name="properties">
      <xsd:complexType>
        <xsd:sequence>
          <xsd:element name="documentManagement">
            <xsd:complexType>
              <xsd:all>
                <xsd:element ref="ns2:CorePublishingComments" minOccurs="0"/>
                <xsd:element ref="ns1:PublishingStartDate" minOccurs="0"/>
                <xsd:element ref="ns1:PublishingExpirationDate" minOccurs="0"/>
                <xsd:element ref="ns2:CorePublishingDocumentContact" minOccurs="0"/>
                <xsd:element ref="ns3:SubjectLookupField" minOccurs="0"/>
                <xsd:element ref="ns3:KeywordsLookupField" minOccurs="0"/>
                <xsd:element ref="ns3:CorePublishingDocumentCategory" minOccurs="0"/>
                <xsd:element ref="ns2:IPSCategory" minOccurs="0"/>
                <xsd:element ref="ns2:CorePublishingFileReference" minOccurs="0"/>
                <xsd:element ref="ns2:IncludeInNotificationsAndUpdates" minOccurs="0"/>
                <xsd:element ref="ns2:IncludeInContentRollups" minOccurs="0"/>
                <xsd:element ref="ns2:IncludeInRSSFeeds" minOccurs="0"/>
                <xsd:element ref="ns2:CorePublishingDocumentChangeDescription" minOccurs="0"/>
                <xsd:element ref="ns3:DocumentRollup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9" nillable="true" ma:displayName="Start Date" ma:description="" ma:internalName="PublishingStartDate">
      <xsd:simpleType>
        <xsd:restriction base="dms:Unknown"/>
      </xsd:simpleType>
    </xsd:element>
    <xsd:element name="PublishingExpirationDate" ma:index="10" nillable="true" ma:displayName="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80843d-216d-45a8-9226-4ce87fce8ec1" elementFormDefault="qualified">
    <xsd:import namespace="http://schemas.microsoft.com/office/2006/documentManagement/types"/>
    <xsd:import namespace="http://schemas.microsoft.com/office/infopath/2007/PartnerControls"/>
    <xsd:element name="CorePublishingComments" ma:index="8" nillable="true" ma:displayName="Description" ma:description="Used for DC.Description metadata." ma:internalName="CorePublishingComments">
      <xsd:simpleType>
        <xsd:restriction base="dms:Note"/>
      </xsd:simpleType>
    </xsd:element>
    <xsd:element name="CorePublishingDocumentContact" ma:index="11" nillable="true" ma:displayName="Document Contact" ma:list="UserInfo" ma:internalName="CorePublishingDocumentContact"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PSCategory" ma:index="15" nillable="true" ma:displayName="IPS Category" ma:description="Used for FOI/IPS categorisation." ma:format="Dropdown" ma:internalName="IPSCategory">
      <xsd:simpleType>
        <xsd:restriction base="dms:Choice">
          <xsd:enumeration value="1. Who we are"/>
          <xsd:enumeration value="2. What we do"/>
          <xsd:enumeration value="3. Our reports"/>
          <xsd:enumeration value="4. Consultation"/>
          <xsd:enumeration value="5. Our strategic and business priorities"/>
          <xsd:enumeration value="6. Routinely requested information"/>
          <xsd:enumeration value="7. Our finances"/>
          <xsd:enumeration value="8. Our lists"/>
          <xsd:enumeration value="9. Our submissions"/>
          <xsd:enumeration value="10. Our policies"/>
        </xsd:restriction>
      </xsd:simpleType>
    </xsd:element>
    <xsd:element name="CorePublishingFileReference" ma:index="16" nillable="true" ma:displayName="File Reference" ma:description="Audit Requirement." ma:internalName="CorePublishingFileReference" ma:readOnly="false">
      <xsd:simpleType>
        <xsd:restriction base="dms:Text"/>
      </xsd:simpleType>
    </xsd:element>
    <xsd:element name="IncludeInNotificationsAndUpdates" ma:index="17" nillable="true" ma:displayName="Include in Email Updates" ma:default="1" ma:internalName="IncludeInNotificationsAndUpdates">
      <xsd:simpleType>
        <xsd:restriction base="dms:Boolean"/>
      </xsd:simpleType>
    </xsd:element>
    <xsd:element name="IncludeInContentRollups" ma:index="18" nillable="true" ma:displayName="Include In Content Rollups" ma:default="0" ma:description="Used at the site owners' discretion to include/exclude pages from 'rollup' web parts such as content queries." ma:internalName="IncludeInContentRollups">
      <xsd:simpleType>
        <xsd:restriction base="dms:Boolean"/>
      </xsd:simpleType>
    </xsd:element>
    <xsd:element name="IncludeInRSSFeeds" ma:index="19" nillable="true" ma:displayName="Include In RSS Feeds" ma:default="0" ma:description="Used at the site owners' discretion to include/exclude documents from RSS feeds." ma:internalName="IncludeInRSSFeeds">
      <xsd:simpleType>
        <xsd:restriction base="dms:Boolean"/>
      </xsd:simpleType>
    </xsd:element>
    <xsd:element name="CorePublishingDocumentChangeDescription" ma:index="20" nillable="true" ma:displayName="Document Change Description" ma:description="Description of the current version of the document - can be of assistance to reviewers/approvers (and can be included in the workflow emails)." ma:internalName="CorePublishingDocumentChange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0b4bd0a-f6ac-422c-a0b2-ddc3a705a698" elementFormDefault="qualified">
    <xsd:import namespace="http://schemas.microsoft.com/office/2006/documentManagement/types"/>
    <xsd:import namespace="http://schemas.microsoft.com/office/infopath/2007/PartnerControls"/>
    <xsd:element name="SubjectLookupField" ma:index="12" nillable="true" ma:displayName="Subject" ma:list="4a441248-04bf-4c62-8747-8bfb61e5e21c" ma:internalName="Subject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KeywordsLookupField" ma:index="13" nillable="true" ma:displayName="Keywords" ma:list="fbec0be5-db93-4c03-a796-ce5d02f374a3" ma:internalName="KeywordsLookupField"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element name="CorePublishingDocumentCategory" ma:index="14" nillable="true" ma:displayName="Document Category" ma:description="Document Type list is used for source data. Used for DC.Type.documentType metadata." ma:list="{233fae74-8b6e-4f87-8db3-5052d625541f}" ma:internalName="CorePublishingDocumentCategory" ma:showField="Title" ma:web="c0b4bd0a-f6ac-422c-a0b2-ddc3a705a698">
      <xsd:simpleType>
        <xsd:restriction base="dms:Lookup"/>
      </xsd:simpleType>
    </xsd:element>
    <xsd:element name="DocumentRollupCategory" ma:index="21" nillable="true" ma:displayName="Rollup Category" ma:description="Document Rollup Category list is used for source data, populated by the site owners. Used at the site owners' discretion to include/exclude certain categories of pages in rollups." ma:list="{6ca4ea36-3739-485e-8e04-ddf89b384e56}" ma:internalName="DocumentRollupCategory" ma:showField="Title" ma:web="c0b4bd0a-f6ac-422c-a0b2-ddc3a705a6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rePublishingDocumentCategory xmlns="c0b4bd0a-f6ac-422c-a0b2-ddc3a705a698" xsi:nil="true"/>
    <KeywordsLookupField xmlns="c0b4bd0a-f6ac-422c-a0b2-ddc3a705a698"/>
    <CorePublishingDocumentChangeDescription xmlns="d580843d-216d-45a8-9226-4ce87fce8ec1" xsi:nil="true"/>
    <IPSCategory xmlns="d580843d-216d-45a8-9226-4ce87fce8ec1" xsi:nil="true"/>
    <CorePublishingComments xmlns="d580843d-216d-45a8-9226-4ce87fce8ec1" xsi:nil="true"/>
    <CorePublishingFileReference xmlns="d580843d-216d-45a8-9226-4ce87fce8ec1" xsi:nil="true"/>
    <SubjectLookupField xmlns="c0b4bd0a-f6ac-422c-a0b2-ddc3a705a698"/>
    <PublishingExpirationDate xmlns="http://schemas.microsoft.com/sharepoint/v3" xsi:nil="true"/>
    <PublishingStartDate xmlns="http://schemas.microsoft.com/sharepoint/v3" xsi:nil="true"/>
    <CorePublishingDocumentContact xmlns="d580843d-216d-45a8-9226-4ce87fce8ec1">
      <UserInfo>
        <DisplayName/>
        <AccountId xsi:nil="true"/>
        <AccountType/>
      </UserInfo>
    </CorePublishingDocumentContact>
    <IncludeInNotificationsAndUpdates xmlns="d580843d-216d-45a8-9226-4ce87fce8ec1">true</IncludeInNotificationsAndUpdates>
    <IncludeInRSSFeeds xmlns="d580843d-216d-45a8-9226-4ce87fce8ec1">false</IncludeInRSSFeeds>
    <IncludeInContentRollups xmlns="d580843d-216d-45a8-9226-4ce87fce8ec1">false</IncludeInContentRollups>
    <DocumentRollupCategory xmlns="c0b4bd0a-f6ac-422c-a0b2-ddc3a705a698"/>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1D13D-E33B-41F1-BFDE-59C8E6DF8B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580843d-216d-45a8-9226-4ce87fce8ec1"/>
    <ds:schemaRef ds:uri="c0b4bd0a-f6ac-422c-a0b2-ddc3a705a6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A1C8CA-61E2-436A-9338-4FCCD99032AF}">
  <ds:schemaRefs>
    <ds:schemaRef ds:uri="http://schemas.microsoft.com/sharepoint/v3/contenttype/forms"/>
  </ds:schemaRefs>
</ds:datastoreItem>
</file>

<file path=customXml/itemProps3.xml><?xml version="1.0" encoding="utf-8"?>
<ds:datastoreItem xmlns:ds="http://schemas.openxmlformats.org/officeDocument/2006/customXml" ds:itemID="{2BE3497D-403C-4C4C-825C-5766D6B20E31}">
  <ds:schemaRefs>
    <ds:schemaRef ds:uri="d580843d-216d-45a8-9226-4ce87fce8ec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microsoft.com/sharepoint/v3"/>
    <ds:schemaRef ds:uri="c0b4bd0a-f6ac-422c-a0b2-ddc3a705a698"/>
    <ds:schemaRef ds:uri="http://www.w3.org/XML/1998/namespace"/>
  </ds:schemaRefs>
</ds:datastoreItem>
</file>

<file path=customXml/itemProps4.xml><?xml version="1.0" encoding="utf-8"?>
<ds:datastoreItem xmlns:ds="http://schemas.openxmlformats.org/officeDocument/2006/customXml" ds:itemID="{CFFF06A8-F832-49D4-98AF-616C7831C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10009</Words>
  <Characters>57052</Characters>
  <Application>Microsoft Office Word</Application>
  <DocSecurity>4</DocSecurity>
  <Lines>475</Lines>
  <Paragraphs>133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66928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2018-05-29T06:15:00Z</dcterms:created>
  <dcterms:modified xsi:type="dcterms:W3CDTF">2018-05-29T06:15:00Z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y fmtid="{D5CDD505-2E9C-101B-9397-08002B2CF9AE}" pid="6" name="ContentTypeId">
    <vt:lpwstr>0x01010097F86F0C24D64525B252BB20BD9D45A700C69CDEFA52F2CB4D9860A76B602E27F3</vt:lpwstr>
  </property>
</Properties>
</file>