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sz w:val="20"/>
          <w:szCs w:val="22"/>
          <w:lang w:val="en-AU"/>
        </w:rPr>
        <w:id w:val="750619573"/>
        <w:docPartObj>
          <w:docPartGallery w:val="Cover Pages"/>
          <w:docPartUnique/>
        </w:docPartObj>
      </w:sdtPr>
      <w:sdtEndPr/>
      <w:sdtContent>
        <w:bookmarkStart w:id="1" w:name="TOC" w:displacedByCustomXml="prev"/>
        <w:p w:rsidR="00A75AEB" w:rsidRDefault="00A75AEB" w:rsidP="00870CC5">
          <w:pPr>
            <w:pStyle w:val="DisclaimerandAcknowledgement"/>
          </w:pPr>
        </w:p>
        <w:tbl>
          <w:tblPr>
            <w:tblW w:w="0" w:type="auto"/>
            <w:tblLook w:val="04A0" w:firstRow="1" w:lastRow="0" w:firstColumn="1" w:lastColumn="0" w:noHBand="0" w:noVBand="1"/>
          </w:tblPr>
          <w:tblGrid>
            <w:gridCol w:w="9026"/>
          </w:tblGrid>
          <w:tr w:rsidR="00387515" w:rsidTr="00387515">
            <w:trPr>
              <w:cantSplit/>
              <w:trHeight w:val="1418"/>
            </w:trPr>
            <w:tc>
              <w:tcPr>
                <w:tcW w:w="9242" w:type="dxa"/>
              </w:tcPr>
              <w:p w:rsidR="00387515" w:rsidRDefault="00387515" w:rsidP="00387515">
                <w:pPr>
                  <w:pStyle w:val="CoverNormal"/>
                  <w:jc w:val="right"/>
                </w:pPr>
                <w:r>
                  <w:rPr>
                    <w:noProof/>
                    <w:lang w:eastAsia="en-AU"/>
                  </w:rPr>
                  <w:drawing>
                    <wp:anchor distT="0" distB="0" distL="114300" distR="114300" simplePos="0" relativeHeight="251660288" behindDoc="0" locked="0" layoutInCell="1" allowOverlap="1" wp14:anchorId="1F568A5A" wp14:editId="56065C10">
                      <wp:simplePos x="0" y="0"/>
                      <wp:positionH relativeFrom="column">
                        <wp:posOffset>2674620</wp:posOffset>
                      </wp:positionH>
                      <wp:positionV relativeFrom="paragraph">
                        <wp:posOffset>-22403</wp:posOffset>
                      </wp:positionV>
                      <wp:extent cx="2990660" cy="471521"/>
                      <wp:effectExtent l="0" t="0" r="635" b="5080"/>
                      <wp:wrapNone/>
                      <wp:docPr id="9" name="Picture 9" descr="O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Tuhin\AppData\Local\Microsoft\Windows\Temporary Internet Files\Content.Outlook\JSI3SQ9E\15-40804 OCE lockup 01 RGB Gre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7148" cy="4851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515" w:rsidRDefault="00387515" w:rsidP="00387515">
                <w:pPr>
                  <w:pStyle w:val="ResearchPaper"/>
                  <w:spacing w:line="240" w:lineRule="auto"/>
                  <w:jc w:val="right"/>
                </w:pPr>
              </w:p>
            </w:tc>
          </w:tr>
          <w:tr w:rsidR="00387515" w:rsidTr="00387515">
            <w:trPr>
              <w:cantSplit/>
              <w:trHeight w:hRule="exact" w:val="1417"/>
            </w:trPr>
            <w:tc>
              <w:tcPr>
                <w:tcW w:w="9242" w:type="dxa"/>
                <w:vAlign w:val="bottom"/>
              </w:tcPr>
              <w:p w:rsidR="00387515" w:rsidRDefault="00387515" w:rsidP="00387515">
                <w:pPr>
                  <w:pStyle w:val="ResearchPaper"/>
                </w:pPr>
                <w:r>
                  <w:t xml:space="preserve">Research </w:t>
                </w:r>
                <w:r w:rsidRPr="00CF1B82">
                  <w:t xml:space="preserve">Paper </w:t>
                </w:r>
                <w:r w:rsidR="00CF1B82" w:rsidRPr="00CF1B82">
                  <w:t>6/2016</w:t>
                </w:r>
              </w:p>
            </w:tc>
          </w:tr>
          <w:tr w:rsidR="00387515" w:rsidTr="00387515">
            <w:trPr>
              <w:cantSplit/>
            </w:trPr>
            <w:tc>
              <w:tcPr>
                <w:tcW w:w="9242" w:type="dxa"/>
              </w:tcPr>
              <w:sdt>
                <w:sdtPr>
                  <w:rPr>
                    <w:rStyle w:val="TitleHeadingChar"/>
                  </w:rPr>
                  <w:alias w:val="Research Paper Title"/>
                  <w:id w:val="-719363389"/>
                  <w:dataBinding w:prefixMappings="xmlns:ns0='http://purl.org/dc/elements/1.1/' xmlns:ns1='http://schemas.openxmlformats.org/package/2006/metadata/core-properties' " w:xpath="/ns1:coreProperties[1]/ns0:title[1]" w:storeItemID="{6C3C8BC8-F283-45AE-878A-BAB7291924A1}"/>
                  <w:text/>
                </w:sdtPr>
                <w:sdtEndPr>
                  <w:rPr>
                    <w:rStyle w:val="TitleHeadingChar"/>
                  </w:rPr>
                </w:sdtEndPr>
                <w:sdtContent>
                  <w:p w:rsidR="00387515" w:rsidRDefault="00387515" w:rsidP="00387515">
                    <w:pPr>
                      <w:pStyle w:val="TitleHeading"/>
                      <w:rPr>
                        <w:rStyle w:val="TitleHeadingChar"/>
                        <w:rFonts w:eastAsiaTheme="minorHAnsi"/>
                      </w:rPr>
                    </w:pPr>
                    <w:r>
                      <w:rPr>
                        <w:rStyle w:val="TitleHeadingChar"/>
                      </w:rPr>
                      <w:t>Business Dynamics of a Clean Energy Policy</w:t>
                    </w:r>
                  </w:p>
                </w:sdtContent>
              </w:sdt>
              <w:p w:rsidR="00387515" w:rsidRDefault="00387515" w:rsidP="00387515">
                <w:pPr>
                  <w:pStyle w:val="CoverNormal"/>
                </w:pPr>
              </w:p>
            </w:tc>
          </w:tr>
          <w:tr w:rsidR="00387515" w:rsidTr="00387515">
            <w:trPr>
              <w:cantSplit/>
            </w:trPr>
            <w:tc>
              <w:tcPr>
                <w:tcW w:w="9242" w:type="dxa"/>
                <w:vAlign w:val="center"/>
              </w:tcPr>
              <w:p w:rsidR="00387515" w:rsidRDefault="00387515" w:rsidP="00387515">
                <w:pPr>
                  <w:pStyle w:val="Author"/>
                </w:pPr>
                <w:r>
                  <w:t>Sasan Bakhtiari</w:t>
                </w:r>
              </w:p>
            </w:tc>
          </w:tr>
          <w:tr w:rsidR="00387515" w:rsidTr="00387515">
            <w:trPr>
              <w:cantSplit/>
            </w:trPr>
            <w:tc>
              <w:tcPr>
                <w:tcW w:w="9242" w:type="dxa"/>
                <w:vAlign w:val="center"/>
              </w:tcPr>
              <w:sdt>
                <w:sdtPr>
                  <w:rPr>
                    <w:rStyle w:val="MonthYearChar"/>
                    <w:rFonts w:eastAsiaTheme="majorEastAsia"/>
                  </w:rPr>
                  <w:alias w:val="Date (Month &amp; Year)"/>
                  <w:tag w:val="Date (Month &amp; Year)"/>
                  <w:id w:val="778384744"/>
                  <w:date w:fullDate="2017-02-02T00:00:00Z">
                    <w:dateFormat w:val="MMMM yyyy"/>
                    <w:lid w:val="en-AU"/>
                    <w:storeMappedDataAs w:val="dateTime"/>
                    <w:calendar w:val="gregorian"/>
                  </w:date>
                </w:sdtPr>
                <w:sdtEndPr>
                  <w:rPr>
                    <w:rStyle w:val="DefaultParagraphFont"/>
                    <w:rFonts w:eastAsia="Times New Roman"/>
                    <w:b/>
                  </w:rPr>
                </w:sdtEndPr>
                <w:sdtContent>
                  <w:p w:rsidR="00387515" w:rsidRDefault="00ED0F93" w:rsidP="00387515">
                    <w:pPr>
                      <w:pStyle w:val="MonthYear"/>
                    </w:pPr>
                    <w:r>
                      <w:rPr>
                        <w:rStyle w:val="MonthYearChar"/>
                        <w:rFonts w:eastAsiaTheme="majorEastAsia"/>
                      </w:rPr>
                      <w:t>February 2017</w:t>
                    </w:r>
                  </w:p>
                </w:sdtContent>
              </w:sdt>
            </w:tc>
          </w:tr>
          <w:tr w:rsidR="00387515" w:rsidTr="00387515">
            <w:trPr>
              <w:cantSplit/>
              <w:trHeight w:val="765"/>
            </w:trPr>
            <w:tc>
              <w:tcPr>
                <w:tcW w:w="9242" w:type="dxa"/>
              </w:tcPr>
              <w:p w:rsidR="00387515" w:rsidRDefault="00387515" w:rsidP="00387515">
                <w:pPr>
                  <w:pStyle w:val="AbstractHeader"/>
                </w:pPr>
                <w:r w:rsidRPr="002054C2">
                  <w:t>Abstract</w:t>
                </w:r>
              </w:p>
            </w:tc>
          </w:tr>
          <w:tr w:rsidR="00387515" w:rsidTr="00387515">
            <w:trPr>
              <w:cantSplit/>
              <w:trHeight w:val="1125"/>
            </w:trPr>
            <w:tc>
              <w:tcPr>
                <w:tcW w:w="9242" w:type="dxa"/>
              </w:tcPr>
              <w:p w:rsidR="00387515" w:rsidRPr="00094833" w:rsidRDefault="00387515" w:rsidP="00387515">
                <w:pPr>
                  <w:pStyle w:val="InsertionStyle"/>
                  <w:spacing w:after="120"/>
                  <w:rPr>
                    <w:rFonts w:cs="Arial"/>
                    <w:color w:val="929394" w:themeColor="text1" w:themeTint="A6"/>
                    <w:sz w:val="20"/>
                    <w:szCs w:val="20"/>
                  </w:rPr>
                </w:pPr>
                <w:r w:rsidRPr="00387515">
                  <w:rPr>
                    <w:rFonts w:cs="Arial"/>
                    <w:color w:val="595A5B" w:themeColor="text1"/>
                    <w:sz w:val="20"/>
                    <w:szCs w:val="20"/>
                  </w:rPr>
                  <w:t>In July 2012, the Australian government introduced the CleanTech Investment Programme to encourage firms to switch to cleaner technology while allowing them to maintain their competitiveness. In this study I investigate whether the performance of firms that received CleanTech grants was any better than their non-CleanTech counterparts. I find that firms with CleanTech grants managed to create more jobs and grow faster than a similar firm but with no CleanTech grants. However, the positive effect is mostly concentrated among larger firms and those firms that were performing poorly prior to receiving the grants.</w:t>
                </w:r>
              </w:p>
            </w:tc>
          </w:tr>
          <w:tr w:rsidR="00387515" w:rsidTr="00387515">
            <w:trPr>
              <w:cantSplit/>
              <w:trHeight w:val="1125"/>
            </w:trPr>
            <w:tc>
              <w:tcPr>
                <w:tcW w:w="9242" w:type="dxa"/>
              </w:tcPr>
              <w:p w:rsidR="00387515" w:rsidRPr="00116A9D" w:rsidRDefault="00387515" w:rsidP="00387515">
                <w:pPr>
                  <w:pStyle w:val="JELCodeheader"/>
                  <w:rPr>
                    <w:b w:val="0"/>
                  </w:rPr>
                </w:pPr>
                <w:r w:rsidRPr="00C63547">
                  <w:t>JEL Codes:</w:t>
                </w:r>
                <w:r w:rsidRPr="00116A9D">
                  <w:rPr>
                    <w:b w:val="0"/>
                  </w:rPr>
                  <w:t xml:space="preserve"> </w:t>
                </w:r>
                <w:r>
                  <w:rPr>
                    <w:b w:val="0"/>
                  </w:rPr>
                  <w:t>D22</w:t>
                </w:r>
                <w:r w:rsidRPr="00116A9D">
                  <w:rPr>
                    <w:b w:val="0"/>
                  </w:rPr>
                  <w:t xml:space="preserve">, </w:t>
                </w:r>
                <w:r>
                  <w:rPr>
                    <w:b w:val="0"/>
                  </w:rPr>
                  <w:t>H23, L6, Q54</w:t>
                </w:r>
              </w:p>
              <w:p w:rsidR="00387515" w:rsidRDefault="00387515" w:rsidP="00387515">
                <w:pPr>
                  <w:pStyle w:val="JELCodeheader"/>
                  <w:rPr>
                    <w:b w:val="0"/>
                  </w:rPr>
                </w:pPr>
                <w:r w:rsidRPr="00C63547">
                  <w:t>Keywords:</w:t>
                </w:r>
                <w:r w:rsidRPr="00116A9D">
                  <w:rPr>
                    <w:b w:val="0"/>
                  </w:rPr>
                  <w:t xml:space="preserve"> </w:t>
                </w:r>
                <w:r>
                  <w:rPr>
                    <w:b w:val="0"/>
                  </w:rPr>
                  <w:t>Clean Technology, Business Dynamics, Climate Change, Policy</w:t>
                </w:r>
              </w:p>
              <w:p w:rsidR="00387515" w:rsidRPr="002054C2" w:rsidRDefault="00387515" w:rsidP="00387515">
                <w:pPr>
                  <w:pStyle w:val="AbstractHeader"/>
                </w:pPr>
              </w:p>
            </w:tc>
          </w:tr>
        </w:tbl>
        <w:p w:rsidR="00387515" w:rsidRDefault="00387515" w:rsidP="00387515">
          <w:pPr>
            <w:pStyle w:val="CoverNormal"/>
          </w:pPr>
        </w:p>
        <w:p w:rsidR="00387515" w:rsidRDefault="00387515" w:rsidP="00387515">
          <w:pPr>
            <w:pStyle w:val="DisclaimerHeading"/>
          </w:pPr>
          <w:r>
            <w:br w:type="page"/>
          </w:r>
        </w:p>
        <w:p w:rsidR="00387515" w:rsidRPr="00F12E30" w:rsidRDefault="00387515" w:rsidP="00387515">
          <w:pPr>
            <w:pStyle w:val="DisclaimerHeading"/>
            <w:spacing w:before="600"/>
          </w:pPr>
          <w:r>
            <w:rPr>
              <w:noProof/>
              <w:lang w:val="en-AU" w:eastAsia="en-AU"/>
            </w:rPr>
            <w:lastRenderedPageBreak/>
            <w:drawing>
              <wp:anchor distT="0" distB="0" distL="114300" distR="114300" simplePos="0" relativeHeight="251662336" behindDoc="0" locked="0" layoutInCell="1" allowOverlap="1" wp14:anchorId="06AB7254" wp14:editId="7A4DBBA1">
                <wp:simplePos x="0" y="0"/>
                <wp:positionH relativeFrom="column">
                  <wp:posOffset>2721255</wp:posOffset>
                </wp:positionH>
                <wp:positionV relativeFrom="paragraph">
                  <wp:posOffset>-526796</wp:posOffset>
                </wp:positionV>
                <wp:extent cx="2990660" cy="471521"/>
                <wp:effectExtent l="0" t="0" r="635" b="5080"/>
                <wp:wrapNone/>
                <wp:docPr id="5" name="Picture 5" descr="O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Tuhin\AppData\Local\Microsoft\Windows\Temporary Internet Files\Content.Outlook\JSI3SQ9E\15-40804 OCE lockup 01 RGB Gre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660" cy="471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E30">
            <w:t xml:space="preserve">For further information on this research paper please </w:t>
          </w:r>
          <w:r w:rsidRPr="00B91524">
            <w:t xml:space="preserve">contact: </w:t>
          </w:r>
        </w:p>
        <w:p w:rsidR="00387515" w:rsidRPr="00EC76AE" w:rsidRDefault="00387515" w:rsidP="00387515">
          <w:pPr>
            <w:pStyle w:val="DisclaimerandAcknowledgement"/>
          </w:pPr>
          <w:r>
            <w:t>Name: Sasan Bakhtiari</w:t>
          </w:r>
        </w:p>
        <w:p w:rsidR="00387515" w:rsidRPr="00EC76AE" w:rsidRDefault="00387515" w:rsidP="00387515">
          <w:pPr>
            <w:pStyle w:val="DisclaimerandAcknowledgement"/>
          </w:pPr>
          <w:r>
            <w:t>Section: Industry Economics Branch</w:t>
          </w:r>
        </w:p>
        <w:p w:rsidR="00387515" w:rsidRPr="00B91524" w:rsidRDefault="00387515" w:rsidP="00387515">
          <w:pPr>
            <w:pStyle w:val="DisclaimerandAcknowledgement"/>
          </w:pPr>
          <w:r w:rsidRPr="00B91524">
            <w:t>Department of Industry</w:t>
          </w:r>
          <w:r>
            <w:t>, Innovation and Science</w:t>
          </w:r>
        </w:p>
        <w:p w:rsidR="00387515" w:rsidRPr="00EC76AE" w:rsidRDefault="00387515" w:rsidP="00387515">
          <w:pPr>
            <w:pStyle w:val="DisclaimerandAcknowledgement"/>
          </w:pPr>
          <w:r w:rsidRPr="00EC76AE">
            <w:t>GPO Box 9839</w:t>
          </w:r>
        </w:p>
        <w:p w:rsidR="00387515" w:rsidRPr="00EC76AE" w:rsidRDefault="00387515" w:rsidP="00387515">
          <w:pPr>
            <w:pStyle w:val="DisclaimerandAcknowledgement"/>
          </w:pPr>
          <w:r w:rsidRPr="00EC76AE">
            <w:t>Canberra ACT 2601</w:t>
          </w:r>
        </w:p>
        <w:p w:rsidR="00387515" w:rsidRPr="00EC76AE" w:rsidRDefault="00387515" w:rsidP="00387515">
          <w:pPr>
            <w:pStyle w:val="DisclaimerandAcknowledgement"/>
          </w:pPr>
          <w:r w:rsidRPr="00EC76AE">
            <w:t>Phone :</w:t>
          </w:r>
          <w:r>
            <w:t xml:space="preserve"> +61 2 9397 1639</w:t>
          </w:r>
        </w:p>
        <w:p w:rsidR="00387515" w:rsidRDefault="00387515" w:rsidP="00387515">
          <w:pPr>
            <w:pStyle w:val="DisclaimerandAcknowledgement"/>
            <w:rPr>
              <w:rStyle w:val="HyperlinkStyleChar"/>
            </w:rPr>
          </w:pPr>
          <w:r w:rsidRPr="00EC76AE">
            <w:t xml:space="preserve">Email: </w:t>
          </w:r>
          <w:hyperlink r:id="rId12" w:history="1">
            <w:r w:rsidRPr="00387515">
              <w:rPr>
                <w:rStyle w:val="Hyperlink"/>
              </w:rPr>
              <w:t>sasan.bakhtiari@industry.gov.au</w:t>
            </w:r>
          </w:hyperlink>
        </w:p>
        <w:p w:rsidR="00387515" w:rsidRPr="00EC76AE" w:rsidRDefault="00387515" w:rsidP="00387515">
          <w:pPr>
            <w:pStyle w:val="DisclaimerHeading"/>
          </w:pPr>
          <w:r w:rsidRPr="00EC76AE">
            <w:t>Disclaimer</w:t>
          </w:r>
        </w:p>
        <w:p w:rsidR="00387515" w:rsidRDefault="00387515" w:rsidP="00387515">
          <w:pPr>
            <w:pStyle w:val="DisclaimerandAcknowledgement"/>
          </w:pPr>
          <w:r>
            <w:t>The views expressed in this report are those of the author(s) and do not necessarily reflect those of the Australian Government or the Department of Industry, Innovation and Science.</w:t>
          </w:r>
        </w:p>
        <w:p w:rsidR="00387515" w:rsidRPr="00EC76AE" w:rsidRDefault="00387515" w:rsidP="00387515">
          <w:pPr>
            <w:pStyle w:val="DisclaimerandAcknowledgement"/>
          </w:pPr>
          <w:r w:rsidRPr="00EC76AE">
            <w:sym w:font="Symbol" w:char="F0D3"/>
          </w:r>
          <w:r w:rsidRPr="00EC76AE">
            <w:t xml:space="preserve"> Commonwealth of Australia </w:t>
          </w:r>
          <w:r>
            <w:t>2016.</w:t>
          </w:r>
          <w:r w:rsidRPr="00EC76AE">
            <w:t xml:space="preserve"> </w:t>
          </w:r>
        </w:p>
        <w:p w:rsidR="00387515" w:rsidRDefault="00387515" w:rsidP="00387515">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721C9139" wp14:editId="4CFC2554">
                <wp:simplePos x="0" y="0"/>
                <wp:positionH relativeFrom="column">
                  <wp:posOffset>1374140</wp:posOffset>
                </wp:positionH>
                <wp:positionV relativeFrom="paragraph">
                  <wp:posOffset>1024890</wp:posOffset>
                </wp:positionV>
                <wp:extent cx="1189355" cy="407035"/>
                <wp:effectExtent l="0" t="0" r="0" b="0"/>
                <wp:wrapSquare wrapText="bothSides"/>
                <wp:docPr id="7" name="Picture 7"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4" w:history="1">
            <w:r w:rsidRPr="0049772D">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5" w:tooltip="www.industry.gov.au/OCE" w:history="1">
            <w:r w:rsidRPr="0049772D">
              <w:rPr>
                <w:rStyle w:val="Hyperlink"/>
              </w:rPr>
              <w:t>www.industry.gov.au/OCE</w:t>
            </w:r>
          </w:hyperlink>
        </w:p>
        <w:p w:rsidR="00387515" w:rsidRDefault="00387515" w:rsidP="00387515">
          <w:pPr>
            <w:pStyle w:val="DisclaimerandAcknowledgement"/>
            <w:rPr>
              <w:rStyle w:val="HyperlinkStyleChar"/>
              <w:sz w:val="18"/>
            </w:rPr>
          </w:pPr>
        </w:p>
        <w:p w:rsidR="00387515" w:rsidRDefault="00387515" w:rsidP="00387515">
          <w:pPr>
            <w:rPr>
              <w:rStyle w:val="HyperlinkStyleChar"/>
              <w:rFonts w:cs="Arial"/>
              <w:b/>
              <w:color w:val="595A5B"/>
              <w:sz w:val="18"/>
            </w:rPr>
          </w:pPr>
        </w:p>
        <w:p w:rsidR="00387515" w:rsidRPr="004D7A11" w:rsidRDefault="00387515" w:rsidP="00387515">
          <w:pPr>
            <w:pStyle w:val="CreativeCommonsLicence"/>
            <w:rPr>
              <w:rFonts w:eastAsia="Calibri"/>
            </w:rPr>
          </w:pPr>
          <w:r w:rsidRPr="004D7A11">
            <w:t>Creative Commons Licence</w:t>
          </w:r>
        </w:p>
        <w:p w:rsidR="00387515" w:rsidRPr="00A1774F" w:rsidRDefault="00387515" w:rsidP="00387515">
          <w:pPr>
            <w:pStyle w:val="DisclaimerandAcknowledgement"/>
          </w:pPr>
          <w:r w:rsidRPr="00A1774F">
            <w:t>With the exception of the Coat of Arms, this publication is licensed under a Creative Commons Attribution 3.0 Australia Licence.</w:t>
          </w:r>
        </w:p>
        <w:p w:rsidR="00387515" w:rsidRPr="00A1774F" w:rsidRDefault="00387515" w:rsidP="00387515">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6" w:tooltip="http://creativecommons.org/licenses/by/3.0/au/deed.en" w:history="1">
            <w:r w:rsidRPr="00387515">
              <w:rPr>
                <w:rStyle w:val="Hyperlink"/>
              </w:rPr>
              <w:t>http://creativecommons.org/licenses/by/3.0/au/deed.en</w:t>
            </w:r>
          </w:hyperlink>
          <w:r w:rsidRPr="00A1774F">
            <w:t xml:space="preserve">. The full licence terms are available from </w:t>
          </w:r>
          <w:hyperlink r:id="rId17" w:tooltip="http://creativecommons.org/licenses/by/3.0/au/legalcode" w:history="1">
            <w:r w:rsidRPr="00387515">
              <w:rPr>
                <w:rStyle w:val="Hyperlink"/>
              </w:rPr>
              <w:t>http://creativecommons.org/licenses/by/3.0/au/legalcode</w:t>
            </w:r>
          </w:hyperlink>
          <w:r w:rsidRPr="00A1774F">
            <w:t>.</w:t>
          </w:r>
        </w:p>
        <w:p w:rsidR="00387515" w:rsidRPr="00A1774F" w:rsidRDefault="00387515" w:rsidP="00387515">
          <w:pPr>
            <w:pStyle w:val="DisclaimerandAcknowledgement"/>
          </w:pPr>
          <w:r w:rsidRPr="00A1774F">
            <w:t>The Commonwealth’s preference is that you attribute this publication (and any material sourc</w:t>
          </w:r>
          <w:r>
            <w:t xml:space="preserve">ed from it) using the following </w:t>
          </w:r>
          <w:r w:rsidRPr="00A1774F">
            <w:t>wording:</w:t>
          </w:r>
        </w:p>
        <w:p w:rsidR="00774252" w:rsidRDefault="00387515" w:rsidP="00387515">
          <w:pPr>
            <w:pStyle w:val="DisclaimerandAcknowledgement"/>
            <w:sectPr w:rsidR="00774252" w:rsidSect="00354EA2">
              <w:footerReference w:type="default" r:id="rId18"/>
              <w:footerReference w:type="first" r:id="rId19"/>
              <w:pgSz w:w="11906" w:h="16838" w:code="9"/>
              <w:pgMar w:top="1440" w:right="1440" w:bottom="1440" w:left="1440" w:header="709" w:footer="709" w:gutter="0"/>
              <w:cols w:space="708"/>
              <w:docGrid w:linePitch="360"/>
            </w:sectPr>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rsidR="00387515" w:rsidRDefault="00387515" w:rsidP="00387515">
          <w:pPr>
            <w:pStyle w:val="DisclaimerandAcknowledgement"/>
          </w:pPr>
        </w:p>
        <w:p w:rsidR="00774252" w:rsidRDefault="00774252" w:rsidP="00387515">
          <w:pPr>
            <w:pStyle w:val="DisclaimerandAcknowledgement"/>
          </w:pPr>
        </w:p>
        <w:p w:rsidR="00387515" w:rsidRDefault="00E27332" w:rsidP="00E0340D">
          <w:pPr>
            <w:pStyle w:val="DisclaimerandAcknowledgement"/>
            <w:ind w:left="0"/>
          </w:pPr>
        </w:p>
      </w:sdtContent>
    </w:sdt>
    <w:tbl>
      <w:tblPr>
        <w:tblW w:w="6804" w:type="dxa"/>
        <w:tblInd w:w="2268" w:type="dxa"/>
        <w:shd w:val="clear" w:color="auto" w:fill="DBE5F1"/>
        <w:tblLayout w:type="fixed"/>
        <w:tblLook w:val="04A0" w:firstRow="1" w:lastRow="0" w:firstColumn="1" w:lastColumn="0" w:noHBand="0" w:noVBand="1"/>
      </w:tblPr>
      <w:tblGrid>
        <w:gridCol w:w="6804"/>
      </w:tblGrid>
      <w:tr w:rsidR="00387515" w:rsidTr="00387515">
        <w:trPr>
          <w:trHeight w:val="5954"/>
        </w:trPr>
        <w:tc>
          <w:tcPr>
            <w:tcW w:w="6804" w:type="dxa"/>
            <w:shd w:val="clear" w:color="auto" w:fill="DBE5F1"/>
          </w:tcPr>
          <w:bookmarkEnd w:id="1"/>
          <w:p w:rsidR="00387515" w:rsidRPr="001835DD" w:rsidRDefault="00387515" w:rsidP="00387515">
            <w:pPr>
              <w:pStyle w:val="Keypointsheader"/>
              <w:ind w:left="96"/>
            </w:pPr>
            <w:r w:rsidRPr="00AC3DDE">
              <w:lastRenderedPageBreak/>
              <w:t>Key points</w:t>
            </w:r>
          </w:p>
          <w:p w:rsidR="00387515" w:rsidRDefault="00387515" w:rsidP="00387515">
            <w:pPr>
              <w:pStyle w:val="Keypointsbullet"/>
            </w:pPr>
            <w:r>
              <w:t>Firms that received CleanTech grants show a higher rate of employment and turnover growth during the projects compared to similar firms without the grants.</w:t>
            </w:r>
          </w:p>
          <w:p w:rsidR="00387515" w:rsidRDefault="00387515" w:rsidP="00387515">
            <w:pPr>
              <w:pStyle w:val="Keypointsbullet"/>
            </w:pPr>
            <w:r>
              <w:t xml:space="preserve">Exporting firms with CleanTech grants also show a higher rate of growth in exports value compared to similar firms with no grants. However, there is no evidence that CleanTech helped firms to commence exporting. </w:t>
            </w:r>
          </w:p>
          <w:p w:rsidR="00387515" w:rsidRDefault="00387515" w:rsidP="00387515">
            <w:pPr>
              <w:pStyle w:val="Keypointsbullet"/>
            </w:pPr>
            <w:r>
              <w:t>The positive effects on firm performance are mostly concentrated among those firms that were contracting in size before they received CleanTech grants.</w:t>
            </w:r>
          </w:p>
          <w:p w:rsidR="00387515" w:rsidRDefault="00387515" w:rsidP="00387515">
            <w:pPr>
              <w:pStyle w:val="Keypointsbullet"/>
            </w:pPr>
            <w:r>
              <w:t>The performance differential is more nuanced among large and medium-sized firms.</w:t>
            </w:r>
          </w:p>
          <w:p w:rsidR="00387515" w:rsidRDefault="00387515" w:rsidP="00387515">
            <w:pPr>
              <w:pStyle w:val="Keypointsbullet"/>
            </w:pPr>
            <w:r>
              <w:t>The analysis is firm-level. The facility that used CleanTech may have grown or contracted independent of the growth rate of the firm as a whole.</w:t>
            </w:r>
          </w:p>
        </w:tc>
      </w:tr>
    </w:tbl>
    <w:p w:rsidR="00387515" w:rsidRDefault="00387515" w:rsidP="00C405C1">
      <w:pPr>
        <w:pStyle w:val="AbstractHeader"/>
      </w:pPr>
    </w:p>
    <w:p w:rsidR="00387515" w:rsidRDefault="00387515">
      <w:pPr>
        <w:spacing w:after="200" w:line="276" w:lineRule="auto"/>
        <w:ind w:left="0"/>
        <w:jc w:val="left"/>
        <w:rPr>
          <w:rFonts w:eastAsia="Times New Roman" w:cs="Arial"/>
          <w:color w:val="22789A"/>
          <w:sz w:val="32"/>
          <w:szCs w:val="20"/>
        </w:rPr>
      </w:pPr>
      <w:r>
        <w:br w:type="page"/>
      </w:r>
    </w:p>
    <w:p w:rsidR="00C405C1" w:rsidRDefault="00C405C1" w:rsidP="00C405C1">
      <w:pPr>
        <w:pStyle w:val="AbstractHeader"/>
      </w:pPr>
    </w:p>
    <w:p w:rsidR="00614218" w:rsidRPr="0091064E" w:rsidRDefault="0088746F" w:rsidP="00614218">
      <w:pPr>
        <w:pStyle w:val="Heading1"/>
      </w:pPr>
      <w:r>
        <w:t>Introduction</w:t>
      </w:r>
    </w:p>
    <w:p w:rsidR="00225A54" w:rsidRDefault="007849BC" w:rsidP="00225A54">
      <w:pPr>
        <w:pStyle w:val="BodyText"/>
        <w:rPr>
          <w:rFonts w:cs="Arial"/>
          <w:szCs w:val="20"/>
        </w:rPr>
      </w:pPr>
      <w:r>
        <w:t>Currently, many</w:t>
      </w:r>
      <w:r w:rsidR="00225A54" w:rsidRPr="00225A54">
        <w:t xml:space="preserve"> governments around the world have emission reduction targets as part of a concerted effort to contain the rate of global warming. In tandem, t</w:t>
      </w:r>
      <w:r w:rsidR="00225A54" w:rsidRPr="00225A54">
        <w:rPr>
          <w:rFonts w:cs="Arial"/>
          <w:szCs w:val="20"/>
        </w:rPr>
        <w:t>here is an ongoing deb</w:t>
      </w:r>
      <w:r w:rsidR="00225A54">
        <w:rPr>
          <w:rFonts w:cs="Arial"/>
          <w:szCs w:val="20"/>
        </w:rPr>
        <w:t>ate on whether forcing firm</w:t>
      </w:r>
      <w:r w:rsidR="00225A54" w:rsidRPr="00225A54">
        <w:rPr>
          <w:rFonts w:cs="Arial"/>
          <w:szCs w:val="20"/>
        </w:rPr>
        <w:t>s to switch to cleaner technology will cost the economy in terms of production capacity and employment in the long run by imposing unnecessarily high costs and restrictions on the operation of firms.</w:t>
      </w:r>
      <w:r w:rsidR="00B51007">
        <w:rPr>
          <w:rFonts w:cs="Arial"/>
          <w:szCs w:val="20"/>
        </w:rPr>
        <w:t xml:space="preserve"> In the case of Australia, for instance, Chapple et al.(2013) predicted a seven to 10 per cent drop in the value of </w:t>
      </w:r>
      <w:r w:rsidR="00F84D60">
        <w:rPr>
          <w:rFonts w:cs="Arial"/>
          <w:szCs w:val="20"/>
        </w:rPr>
        <w:t xml:space="preserve">Australian </w:t>
      </w:r>
      <w:r w:rsidR="00B51007">
        <w:rPr>
          <w:rFonts w:cs="Arial"/>
          <w:szCs w:val="20"/>
        </w:rPr>
        <w:t>companies publicly listed in the ASX as a r</w:t>
      </w:r>
      <w:r w:rsidR="00C67156">
        <w:rPr>
          <w:rFonts w:cs="Arial"/>
          <w:szCs w:val="20"/>
        </w:rPr>
        <w:t>esult of taxing carbon emissions</w:t>
      </w:r>
      <w:r w:rsidR="00B51007">
        <w:rPr>
          <w:rFonts w:cs="Arial"/>
          <w:szCs w:val="20"/>
        </w:rPr>
        <w:t>.</w:t>
      </w:r>
      <w:r w:rsidR="00C67156">
        <w:rPr>
          <w:rStyle w:val="FootnoteReference"/>
          <w:rFonts w:cs="Arial"/>
          <w:szCs w:val="20"/>
        </w:rPr>
        <w:footnoteReference w:id="1"/>
      </w:r>
    </w:p>
    <w:p w:rsidR="00B51007" w:rsidRDefault="00445362" w:rsidP="00387515">
      <w:pPr>
        <w:pStyle w:val="BodyText"/>
      </w:pPr>
      <w:r w:rsidRPr="00445362">
        <w:t>In July 2012</w:t>
      </w:r>
      <w:r w:rsidR="005E4753" w:rsidRPr="00445362">
        <w:t>,</w:t>
      </w:r>
      <w:r w:rsidR="005E4753">
        <w:t xml:space="preserve"> the Australian Government initiated a </w:t>
      </w:r>
      <w:r w:rsidR="00870CC5">
        <w:t>Clean</w:t>
      </w:r>
      <w:r w:rsidR="00350DB0">
        <w:t xml:space="preserve"> </w:t>
      </w:r>
      <w:r w:rsidR="00870CC5">
        <w:t>Tech</w:t>
      </w:r>
      <w:r w:rsidR="00350DB0">
        <w:t>nology</w:t>
      </w:r>
      <w:r w:rsidR="00870CC5">
        <w:t xml:space="preserve"> Investment Programme</w:t>
      </w:r>
      <w:r w:rsidR="00350DB0">
        <w:t xml:space="preserve"> (CleanTech)</w:t>
      </w:r>
      <w:r w:rsidR="005E4753">
        <w:t xml:space="preserve"> </w:t>
      </w:r>
      <w:r w:rsidR="00870CC5">
        <w:t>to allow firms to switch to</w:t>
      </w:r>
      <w:r w:rsidR="00A217BB">
        <w:t xml:space="preserve"> cleaner and more ener</w:t>
      </w:r>
      <w:r w:rsidR="003D135D">
        <w:t>gy efficient technologies</w:t>
      </w:r>
      <w:r w:rsidR="002C7932">
        <w:t xml:space="preserve"> and cap</w:t>
      </w:r>
      <w:r w:rsidR="00A217BB">
        <w:t>ital equipment while maintaining their competitiveness.</w:t>
      </w:r>
      <w:r w:rsidR="005E4753">
        <w:t xml:space="preserve"> </w:t>
      </w:r>
      <w:r w:rsidR="0025065A">
        <w:t xml:space="preserve">As part of this programme, firms would receive up to half the cost of </w:t>
      </w:r>
      <w:r w:rsidR="005E4753">
        <w:t xml:space="preserve">their </w:t>
      </w:r>
      <w:r w:rsidR="008E76CC">
        <w:t>proposed projects</w:t>
      </w:r>
      <w:r w:rsidR="00D30489">
        <w:t xml:space="preserve"> as a grant</w:t>
      </w:r>
      <w:r w:rsidR="0025065A">
        <w:t>.</w:t>
      </w:r>
      <w:r w:rsidR="002C7932">
        <w:t xml:space="preserve"> The investment grants were only awarded to manu</w:t>
      </w:r>
      <w:r w:rsidR="007849BC">
        <w:t>facturing facilities and had to be spent on the particular facility</w:t>
      </w:r>
      <w:r w:rsidR="005E387F">
        <w:t xml:space="preserve"> indicated in</w:t>
      </w:r>
      <w:r w:rsidR="007849BC">
        <w:t xml:space="preserve"> the initial submission. Since 2015</w:t>
      </w:r>
      <w:r w:rsidR="002C7932">
        <w:t>, no new application</w:t>
      </w:r>
      <w:r w:rsidR="00557140">
        <w:t>s are</w:t>
      </w:r>
      <w:r w:rsidR="002C7932">
        <w:t xml:space="preserve"> being accepted for</w:t>
      </w:r>
      <w:r w:rsidR="0025065A">
        <w:t xml:space="preserve"> </w:t>
      </w:r>
      <w:r w:rsidR="002C7932">
        <w:t>the programme.</w:t>
      </w:r>
      <w:r w:rsidR="0013126C">
        <w:rPr>
          <w:rStyle w:val="FootnoteReference"/>
        </w:rPr>
        <w:footnoteReference w:id="2"/>
      </w:r>
    </w:p>
    <w:p w:rsidR="00FE6DDB" w:rsidRDefault="00FE6DDB" w:rsidP="008B1176">
      <w:pPr>
        <w:pStyle w:val="BodyText"/>
      </w:pPr>
      <w:r>
        <w:t>Bakhtiari</w:t>
      </w:r>
      <w:r w:rsidR="007E60DD">
        <w:t xml:space="preserve"> </w:t>
      </w:r>
      <w:r>
        <w:t xml:space="preserve">(2016) already studies the impact of the CleanTech </w:t>
      </w:r>
      <w:r w:rsidR="00AA2C44">
        <w:t xml:space="preserve">grants </w:t>
      </w:r>
      <w:r>
        <w:t xml:space="preserve">on the adoption of cleaner technology and </w:t>
      </w:r>
      <w:r w:rsidR="002C37DC">
        <w:t xml:space="preserve">on </w:t>
      </w:r>
      <w:r>
        <w:t>emission reduction</w:t>
      </w:r>
      <w:r w:rsidR="006B142F">
        <w:t xml:space="preserve"> among manufacturing facilities</w:t>
      </w:r>
      <w:r>
        <w:t xml:space="preserve">. The findings in that work are mixed and smaller facilities that received CleanTech grants are found to </w:t>
      </w:r>
      <w:r w:rsidR="00F9706A">
        <w:t xml:space="preserve">have </w:t>
      </w:r>
      <w:r>
        <w:t>reduce</w:t>
      </w:r>
      <w:r w:rsidR="00F9706A">
        <w:t>d</w:t>
      </w:r>
      <w:r>
        <w:t xml:space="preserve"> emissions beyond the average</w:t>
      </w:r>
      <w:r w:rsidR="0006354C">
        <w:t xml:space="preserve"> facility</w:t>
      </w:r>
      <w:r>
        <w:t xml:space="preserve"> </w:t>
      </w:r>
      <w:r w:rsidR="00397657">
        <w:t>through</w:t>
      </w:r>
      <w:r>
        <w:t xml:space="preserve"> </w:t>
      </w:r>
      <w:r w:rsidR="00C7744C">
        <w:t>switching to cleaner technology</w:t>
      </w:r>
      <w:r>
        <w:t>.</w:t>
      </w:r>
      <w:r w:rsidR="00B170C5">
        <w:t xml:space="preserve"> </w:t>
      </w:r>
    </w:p>
    <w:p w:rsidR="00225A54" w:rsidRDefault="0025065A" w:rsidP="008B1176">
      <w:pPr>
        <w:pStyle w:val="BodyText"/>
      </w:pPr>
      <w:r>
        <w:t xml:space="preserve">In this paper, I </w:t>
      </w:r>
      <w:r w:rsidR="00FE6DDB">
        <w:t xml:space="preserve">focus on aspects of business operation other than energy and emission to see whether receiving CleanTech grants had any broader implications in terms of business strategy and operations. More specifically, I intend to </w:t>
      </w:r>
      <w:r>
        <w:t>in</w:t>
      </w:r>
      <w:r w:rsidR="00FE6DDB">
        <w:t>vestigate whether receiving these</w:t>
      </w:r>
      <w:r>
        <w:t xml:space="preserve"> grants had any impact on the dynamics of </w:t>
      </w:r>
      <w:r w:rsidR="005E387F">
        <w:t>participating firms</w:t>
      </w:r>
      <w:r>
        <w:t xml:space="preserve"> in terms of growth in employment, turnover, exports, and capital investments and compare them to firms that were also subject to the carbon pricing scheme but did not benefit from </w:t>
      </w:r>
      <w:r w:rsidR="003A155C">
        <w:t xml:space="preserve">the </w:t>
      </w:r>
      <w:r>
        <w:t>CleanTech Investment programme.</w:t>
      </w:r>
      <w:r w:rsidR="00082DDB">
        <w:t xml:space="preserve"> The default hypothesis is that the availability of CleanTech grants should have made the transition </w:t>
      </w:r>
      <w:r w:rsidR="003A155C">
        <w:t xml:space="preserve">to cleaner technology </w:t>
      </w:r>
      <w:r w:rsidR="00082DDB">
        <w:t xml:space="preserve">smoother with the least amount of disruption to the overall operation of the firm. On the </w:t>
      </w:r>
      <w:r w:rsidR="00114B93">
        <w:t>other hand, the programme was meant to assist</w:t>
      </w:r>
      <w:r w:rsidR="00557140">
        <w:t xml:space="preserve"> firms that were</w:t>
      </w:r>
      <w:r w:rsidR="00082DDB">
        <w:t xml:space="preserve"> less competitive than the average and would be in trouble if le</w:t>
      </w:r>
      <w:r w:rsidR="003A155C">
        <w:t>ft unassisted</w:t>
      </w:r>
      <w:r w:rsidR="00082DDB">
        <w:t xml:space="preserve">. </w:t>
      </w:r>
      <w:r w:rsidR="00B41631">
        <w:t>In case this selection</w:t>
      </w:r>
      <w:r w:rsidR="00D949FB">
        <w:t xml:space="preserve"> is strong enough, there might be </w:t>
      </w:r>
      <w:r w:rsidR="009B3E63">
        <w:t>some underperformance</w:t>
      </w:r>
      <w:r w:rsidR="001028AC">
        <w:t xml:space="preserve"> </w:t>
      </w:r>
      <w:r w:rsidR="00082DDB">
        <w:t xml:space="preserve">inherent in the responses </w:t>
      </w:r>
      <w:r w:rsidR="0059135A">
        <w:t>of the firms that received the</w:t>
      </w:r>
      <w:r w:rsidR="00082DDB">
        <w:t xml:space="preserve"> grants. </w:t>
      </w:r>
    </w:p>
    <w:p w:rsidR="000A5473" w:rsidRDefault="000A5473" w:rsidP="00614218">
      <w:pPr>
        <w:pStyle w:val="Heading1"/>
      </w:pPr>
      <w:r>
        <w:t>Data</w:t>
      </w:r>
    </w:p>
    <w:p w:rsidR="004D6381" w:rsidRDefault="003A13F1" w:rsidP="000A5473">
      <w:pPr>
        <w:pStyle w:val="BodyText"/>
      </w:pPr>
      <w:r>
        <w:t>This research uses a matched dataset of CleanTech projects provided by the the Department of Industry, Innovation and Science linked to the firm per</w:t>
      </w:r>
      <w:r w:rsidR="006D6B1F">
        <w:t xml:space="preserve">formance information from </w:t>
      </w:r>
      <w:r w:rsidR="0013126C">
        <w:t>Business Longitudinal Analysis Data Environment (BLADE)</w:t>
      </w:r>
      <w:r>
        <w:t xml:space="preserve"> provided by the Australian </w:t>
      </w:r>
      <w:r w:rsidR="000D538A">
        <w:t>Bureau</w:t>
      </w:r>
      <w:r>
        <w:t xml:space="preserve"> of Statistics (ABS).</w:t>
      </w:r>
      <w:r w:rsidR="00C94DA6">
        <w:t xml:space="preserve"> In what follows, I will describe each source of data and its contribution to the matched dataset.</w:t>
      </w:r>
    </w:p>
    <w:p w:rsidR="00C94DA6" w:rsidRDefault="00C94DA6" w:rsidP="00C94DA6">
      <w:pPr>
        <w:pStyle w:val="Heading2"/>
      </w:pPr>
      <w:r>
        <w:t>CleanTech</w:t>
      </w:r>
    </w:p>
    <w:p w:rsidR="00C440BC" w:rsidRDefault="00E72A13" w:rsidP="000A5473">
      <w:pPr>
        <w:pStyle w:val="BodyText"/>
      </w:pPr>
      <w:r>
        <w:t>CleanTech</w:t>
      </w:r>
      <w:r w:rsidR="00077BD7">
        <w:t xml:space="preserve"> was introduced in 2012 by the Australian government as part of the Clean</w:t>
      </w:r>
      <w:r w:rsidR="00AC592C">
        <w:t xml:space="preserve"> </w:t>
      </w:r>
      <w:r w:rsidR="00077BD7">
        <w:t>Energy</w:t>
      </w:r>
      <w:r w:rsidR="00AC592C">
        <w:t xml:space="preserve"> Act</w:t>
      </w:r>
      <w:r w:rsidR="00202B5E">
        <w:t xml:space="preserve"> </w:t>
      </w:r>
      <w:r w:rsidR="00AC592C">
        <w:t>(</w:t>
      </w:r>
      <w:r w:rsidR="00202B5E">
        <w:t>2011</w:t>
      </w:r>
      <w:r w:rsidR="00AC592C">
        <w:t>)</w:t>
      </w:r>
      <w:r w:rsidR="00202B5E">
        <w:t xml:space="preserve"> to help Australian </w:t>
      </w:r>
      <w:r w:rsidR="00077BD7">
        <w:t xml:space="preserve">firms to maintain their competitiveness while switching to a cleaner and more energy efficient capital equipment or technology. This measure was deemed necessary with the introduction of </w:t>
      </w:r>
      <w:r w:rsidR="00557140">
        <w:t xml:space="preserve">the </w:t>
      </w:r>
      <w:r w:rsidR="00077BD7">
        <w:t>Carbon Pricing Scheme in the same year that w</w:t>
      </w:r>
      <w:r w:rsidR="00AC592C">
        <w:t>o</w:t>
      </w:r>
      <w:r w:rsidR="00077BD7">
        <w:t>uld burden firms</w:t>
      </w:r>
      <w:r w:rsidR="007849BC">
        <w:t xml:space="preserve"> financially,</w:t>
      </w:r>
      <w:r w:rsidR="00077BD7">
        <w:t xml:space="preserve"> </w:t>
      </w:r>
      <w:r w:rsidR="00AC592C">
        <w:t xml:space="preserve">especially </w:t>
      </w:r>
      <w:r w:rsidR="007849BC">
        <w:t xml:space="preserve">those </w:t>
      </w:r>
      <w:r w:rsidR="00AC592C">
        <w:t>with large emission outputs</w:t>
      </w:r>
      <w:r w:rsidR="00077BD7">
        <w:t xml:space="preserve">. </w:t>
      </w:r>
      <w:r w:rsidR="00202B5E">
        <w:t>The programme was targeted at manufacturing facilities wi</w:t>
      </w:r>
      <w:r w:rsidR="00AC592C">
        <w:t>th an emphasis on food industry</w:t>
      </w:r>
      <w:r w:rsidR="00202B5E">
        <w:t xml:space="preserve"> and foundries.</w:t>
      </w:r>
      <w:r w:rsidR="00EF4BE8">
        <w:rPr>
          <w:rStyle w:val="FootnoteReference"/>
        </w:rPr>
        <w:footnoteReference w:id="3"/>
      </w:r>
    </w:p>
    <w:p w:rsidR="00077BD7" w:rsidRDefault="00077BD7" w:rsidP="00C440BC">
      <w:pPr>
        <w:pStyle w:val="BodyText"/>
      </w:pPr>
      <w:r>
        <w:t xml:space="preserve">Firms were offered up to half the proposed cost of such projects. The programme </w:t>
      </w:r>
      <w:r w:rsidR="00CB235A">
        <w:t>last</w:t>
      </w:r>
      <w:r>
        <w:t xml:space="preserve"> acc</w:t>
      </w:r>
      <w:r w:rsidR="00CB235A">
        <w:t>epted</w:t>
      </w:r>
      <w:r>
        <w:t xml:space="preserve"> new applications in 2014.</w:t>
      </w:r>
      <w:r w:rsidR="00C440BC">
        <w:t xml:space="preserve"> </w:t>
      </w:r>
      <w:r>
        <w:t>Overall the programme offered about half a billion dollars to 547 projects</w:t>
      </w:r>
      <w:r w:rsidR="00202B5E">
        <w:t xml:space="preserve">. More than half the projects </w:t>
      </w:r>
      <w:r w:rsidR="00557140">
        <w:t>had</w:t>
      </w:r>
      <w:r w:rsidR="00CB235A">
        <w:t xml:space="preserve"> finished by 2013, and as of 2015, 156 projects are still progressing (Bakhtiari, 2016).</w:t>
      </w:r>
    </w:p>
    <w:p w:rsidR="00CB235A" w:rsidRDefault="00CB235A" w:rsidP="00C440BC">
      <w:pPr>
        <w:pStyle w:val="BodyText"/>
      </w:pPr>
      <w:r>
        <w:t xml:space="preserve">The Department of Industry, Innovation, and Science keeps an </w:t>
      </w:r>
      <w:r w:rsidR="000D538A">
        <w:t>administrative</w:t>
      </w:r>
      <w:r>
        <w:t xml:space="preserve"> database of CleanTech projects to monitor the use of funds and the progress of projects. </w:t>
      </w:r>
      <w:r w:rsidR="00AC592C">
        <w:t xml:space="preserve">This database forms the </w:t>
      </w:r>
      <w:r w:rsidR="00D62112">
        <w:t>basis of identifying firms with</w:t>
      </w:r>
      <w:r w:rsidR="00AC592C">
        <w:t xml:space="preserve"> CleanTech grants. The identification key used for the matching process is </w:t>
      </w:r>
      <w:r w:rsidR="000E3C84">
        <w:t xml:space="preserve">the </w:t>
      </w:r>
      <w:r w:rsidR="00AC592C">
        <w:t>Australian Business Number (</w:t>
      </w:r>
      <w:r w:rsidR="000E3C84">
        <w:t>ABN</w:t>
      </w:r>
      <w:r w:rsidR="00AC592C">
        <w:t>) of firms</w:t>
      </w:r>
      <w:r w:rsidR="000E3C84">
        <w:t>.</w:t>
      </w:r>
      <w:r w:rsidR="00AC592C">
        <w:t xml:space="preserve"> To be precise, the grants are awarded to facilities, but the ABN per</w:t>
      </w:r>
      <w:r w:rsidR="00096CBC">
        <w:t>tains to the firm in control of</w:t>
      </w:r>
      <w:r w:rsidR="00AC592C">
        <w:t xml:space="preserve"> the facility.</w:t>
      </w:r>
      <w:r w:rsidR="00041926">
        <w:t xml:space="preserve"> </w:t>
      </w:r>
    </w:p>
    <w:p w:rsidR="00556D86" w:rsidRDefault="00A6340B" w:rsidP="00556D86">
      <w:pPr>
        <w:pStyle w:val="Heading2"/>
      </w:pPr>
      <w:r>
        <w:t>BLADE</w:t>
      </w:r>
    </w:p>
    <w:p w:rsidR="00284D13" w:rsidRDefault="00E71F13" w:rsidP="000A5473">
      <w:pPr>
        <w:pStyle w:val="BodyText"/>
      </w:pPr>
      <w:r>
        <w:t xml:space="preserve">The </w:t>
      </w:r>
      <w:r w:rsidR="0013126C">
        <w:t>BLADE</w:t>
      </w:r>
      <w:r>
        <w:t xml:space="preserve"> is</w:t>
      </w:r>
      <w:r w:rsidR="00556D86">
        <w:t xml:space="preserve"> a collection of firm-level databases held by the ABS and provides </w:t>
      </w:r>
      <w:r w:rsidR="00284D13">
        <w:t xml:space="preserve">annual </w:t>
      </w:r>
      <w:r w:rsidR="00556D86">
        <w:t>financial and operation</w:t>
      </w:r>
      <w:r w:rsidR="00041926">
        <w:t>al</w:t>
      </w:r>
      <w:r w:rsidR="00556D86">
        <w:t xml:space="preserve"> information on firms</w:t>
      </w:r>
      <w:r>
        <w:t xml:space="preserve"> identified by their ABN and</w:t>
      </w:r>
      <w:r w:rsidR="00253271">
        <w:t xml:space="preserve"> enterprise group</w:t>
      </w:r>
      <w:r>
        <w:t>,</w:t>
      </w:r>
      <w:r w:rsidR="00253271">
        <w:t xml:space="preserve"> which is</w:t>
      </w:r>
      <w:r w:rsidR="00B455F9">
        <w:t xml:space="preserve"> the umbrella organisation</w:t>
      </w:r>
      <w:r w:rsidR="00253271">
        <w:t xml:space="preserve"> (in case the firm is held by another organisation)</w:t>
      </w:r>
      <w:r w:rsidR="00B455F9">
        <w:t>.</w:t>
      </w:r>
      <w:r w:rsidR="007E2AF2">
        <w:rPr>
          <w:rStyle w:val="FootnoteReference"/>
        </w:rPr>
        <w:footnoteReference w:id="4"/>
      </w:r>
      <w:r w:rsidR="00B455F9">
        <w:t xml:space="preserve"> Th</w:t>
      </w:r>
      <w:r w:rsidR="00253271">
        <w:t>e available data currently covers</w:t>
      </w:r>
      <w:r w:rsidR="00B455F9">
        <w:t xml:space="preserve"> years</w:t>
      </w:r>
      <w:r w:rsidR="00556D86">
        <w:t xml:space="preserve"> 2002 to 2013.</w:t>
      </w:r>
      <w:r w:rsidR="00284D13">
        <w:t xml:space="preserve"> I am particularly making use of </w:t>
      </w:r>
      <w:r w:rsidR="00253271">
        <w:t xml:space="preserve">the </w:t>
      </w:r>
      <w:r w:rsidR="00090A2C">
        <w:t xml:space="preserve">information on </w:t>
      </w:r>
      <w:r>
        <w:t>the Australian and New Zealand Standard Industry Classification (</w:t>
      </w:r>
      <w:r w:rsidR="00090A2C">
        <w:t>ANZSIC</w:t>
      </w:r>
      <w:r>
        <w:t>)</w:t>
      </w:r>
      <w:r w:rsidR="00090A2C">
        <w:t xml:space="preserve"> and</w:t>
      </w:r>
      <w:r w:rsidR="00284D13">
        <w:t xml:space="preserve"> </w:t>
      </w:r>
      <w:r w:rsidR="00090A2C">
        <w:t>percentage of foreign ownership</w:t>
      </w:r>
      <w:r w:rsidR="00253271">
        <w:t xml:space="preserve"> in addition to</w:t>
      </w:r>
      <w:r>
        <w:t xml:space="preserve"> Full-Time </w:t>
      </w:r>
      <w:r w:rsidR="00A72DA8">
        <w:t>e</w:t>
      </w:r>
      <w:r w:rsidR="00284D13">
        <w:t xml:space="preserve">quivalent </w:t>
      </w:r>
      <w:r>
        <w:t>E</w:t>
      </w:r>
      <w:r w:rsidR="00284D13">
        <w:t>mployees (FTE), turnover, exports, and capital expenditure</w:t>
      </w:r>
      <w:r w:rsidR="00253271">
        <w:t>s</w:t>
      </w:r>
      <w:r w:rsidR="00284D13">
        <w:t>. The</w:t>
      </w:r>
      <w:r w:rsidR="00253271">
        <w:t>se</w:t>
      </w:r>
      <w:r w:rsidR="00284D13">
        <w:t xml:space="preserve"> latter variables will serve as performance indicators</w:t>
      </w:r>
      <w:r w:rsidR="00B455F9">
        <w:t xml:space="preserve"> in the remainder</w:t>
      </w:r>
      <w:r w:rsidR="00284D13">
        <w:t>.</w:t>
      </w:r>
    </w:p>
    <w:p w:rsidR="003B2E29" w:rsidRDefault="00284D13" w:rsidP="003B2E29">
      <w:pPr>
        <w:pStyle w:val="BodyText"/>
      </w:pPr>
      <w:r>
        <w:t>The data are matched to the CleanTech database by ABN</w:t>
      </w:r>
      <w:r w:rsidR="00090A2C">
        <w:t>, which is the common identifier on both databases</w:t>
      </w:r>
      <w:r>
        <w:t xml:space="preserve">. </w:t>
      </w:r>
      <w:r w:rsidR="003B2E29">
        <w:t>The matching rate is high, and out of 482 firms (ABNs)</w:t>
      </w:r>
      <w:r w:rsidR="00A72DA8">
        <w:t xml:space="preserve"> that receive CleanTech, 475 are</w:t>
      </w:r>
      <w:r w:rsidR="003B2E29">
        <w:t xml:space="preserve"> matched to the </w:t>
      </w:r>
      <w:r w:rsidR="00F86D6E">
        <w:t>BLADE</w:t>
      </w:r>
      <w:r w:rsidR="003B2E29">
        <w:t>.</w:t>
      </w:r>
    </w:p>
    <w:p w:rsidR="00556D86" w:rsidRDefault="00FB146D" w:rsidP="000A5473">
      <w:pPr>
        <w:pStyle w:val="BodyText"/>
      </w:pPr>
      <w:r>
        <w:t>Gi</w:t>
      </w:r>
      <w:r w:rsidR="000D538A">
        <w:t>ven that CleanTech grants were o</w:t>
      </w:r>
      <w:r>
        <w:t xml:space="preserve">ffered to manufacturing facilities only, </w:t>
      </w:r>
      <w:r w:rsidR="00284D13">
        <w:t xml:space="preserve">I am </w:t>
      </w:r>
      <w:r>
        <w:t xml:space="preserve">restricting </w:t>
      </w:r>
      <w:r w:rsidR="00013270">
        <w:t xml:space="preserve">the </w:t>
      </w:r>
      <w:r w:rsidR="00A6340B">
        <w:t xml:space="preserve">BLADE </w:t>
      </w:r>
      <w:r>
        <w:t xml:space="preserve">to </w:t>
      </w:r>
      <w:r w:rsidR="00284D13">
        <w:t>manufacturing firms</w:t>
      </w:r>
      <w:r>
        <w:t xml:space="preserve">. </w:t>
      </w:r>
      <w:r w:rsidR="00F8537D">
        <w:t>The matched subset of observations represents the group of firms treated with CleanTech grants, whereas the large subset of unmatched observations is used as the control group. The presence of the two subsets of firms play a crucial role in identifying the impact of CleanTech projects above and beyond the normal course taken by the industry</w:t>
      </w:r>
      <w:r w:rsidR="00284D13">
        <w:t>.</w:t>
      </w:r>
    </w:p>
    <w:p w:rsidR="0086662E" w:rsidRPr="000A5473" w:rsidRDefault="00284D13" w:rsidP="000A5473">
      <w:pPr>
        <w:pStyle w:val="BodyText"/>
      </w:pPr>
      <w:r>
        <w:t>Finally, to factor out price changes and their effect</w:t>
      </w:r>
      <w:r w:rsidR="00090A2C">
        <w:t>s</w:t>
      </w:r>
      <w:r w:rsidR="007506D1">
        <w:t xml:space="preserve"> on the results</w:t>
      </w:r>
      <w:r>
        <w:t>, I convert monetary quantities</w:t>
      </w:r>
      <w:r w:rsidR="0086662E">
        <w:t xml:space="preserve"> to real values using ap</w:t>
      </w:r>
      <w:r w:rsidR="004D047C">
        <w:t>propriate deflators from</w:t>
      </w:r>
      <w:r w:rsidR="0086662E">
        <w:t xml:space="preserve"> ABS reports. Specifically, I am using </w:t>
      </w:r>
      <w:r w:rsidR="001D05B4">
        <w:t>manufacturing</w:t>
      </w:r>
      <w:r w:rsidR="008F5889">
        <w:t xml:space="preserve"> input price indexes</w:t>
      </w:r>
      <w:r w:rsidR="004D047C">
        <w:t xml:space="preserve"> (cat.n</w:t>
      </w:r>
      <w:r w:rsidR="001D05B4">
        <w:t>o.6427.0.13)</w:t>
      </w:r>
      <w:r w:rsidR="00310993">
        <w:t xml:space="preserve"> for Machinery and Equipment (ANZSIC 24)</w:t>
      </w:r>
      <w:r w:rsidR="001D05B4">
        <w:t xml:space="preserve"> to deflate capital i</w:t>
      </w:r>
      <w:r w:rsidR="00310993">
        <w:t>nvestments and</w:t>
      </w:r>
      <w:r w:rsidR="001D05B4">
        <w:t xml:space="preserve"> manufacturing output price indexes</w:t>
      </w:r>
      <w:r w:rsidR="004D047C">
        <w:t xml:space="preserve"> (cat.n</w:t>
      </w:r>
      <w:r w:rsidR="008F5889">
        <w:t>o.6427.0.12) to deflate turnover and exports.</w:t>
      </w:r>
      <w:r w:rsidR="00310993">
        <w:t xml:space="preserve"> </w:t>
      </w:r>
      <w:r w:rsidR="00090A2C">
        <w:t xml:space="preserve">The use of Machinery and Equipment price index for capital equipment follows from the fact that </w:t>
      </w:r>
      <w:r w:rsidR="00073A65">
        <w:t>a large proportion</w:t>
      </w:r>
      <w:r w:rsidR="00090A2C">
        <w:t xml:space="preserve"> of equipment provided to </w:t>
      </w:r>
      <w:r w:rsidR="004D047C">
        <w:t xml:space="preserve">the manufacturing industry as a </w:t>
      </w:r>
      <w:r w:rsidR="00090A2C">
        <w:t>whole comes from this particular sector.</w:t>
      </w:r>
    </w:p>
    <w:p w:rsidR="0088746F" w:rsidRDefault="00013270" w:rsidP="00614218">
      <w:pPr>
        <w:pStyle w:val="Heading1"/>
      </w:pPr>
      <w:r>
        <w:t>Descriptive</w:t>
      </w:r>
      <w:r w:rsidR="0088746F">
        <w:t xml:space="preserve"> Statistics</w:t>
      </w:r>
    </w:p>
    <w:p w:rsidR="007E06C4" w:rsidRDefault="007E06C4" w:rsidP="007E06C4">
      <w:pPr>
        <w:pStyle w:val="BodyText"/>
      </w:pPr>
      <w:r>
        <w:t>Before presenting the main set of results, it is judicious to first compare CleanTech and non-CleanTech firms</w:t>
      </w:r>
      <w:r w:rsidR="00435F70">
        <w:t xml:space="preserve"> </w:t>
      </w:r>
      <w:r w:rsidR="00013270">
        <w:t>using a few simple statistics</w:t>
      </w:r>
      <w:r>
        <w:t xml:space="preserve"> to see whether there is systematic differences between the two groups of firms (one serving as the control group, the other as treatment) and whether there is some selection at play.</w:t>
      </w:r>
    </w:p>
    <w:p w:rsidR="0087569B" w:rsidRDefault="00924E05" w:rsidP="007E06C4">
      <w:pPr>
        <w:pStyle w:val="BodyText"/>
        <w:sectPr w:rsidR="0087569B" w:rsidSect="00774252">
          <w:footerReference w:type="default" r:id="rId20"/>
          <w:type w:val="continuous"/>
          <w:pgSz w:w="11906" w:h="16838" w:code="9"/>
          <w:pgMar w:top="1440" w:right="1440" w:bottom="1440" w:left="1440" w:header="709" w:footer="709" w:gutter="0"/>
          <w:pgNumType w:start="1"/>
          <w:cols w:space="708"/>
          <w:docGrid w:linePitch="360"/>
        </w:sectPr>
      </w:pPr>
      <w:r>
        <w:fldChar w:fldCharType="begin"/>
      </w:r>
      <w:r>
        <w:instrText xml:space="preserve"> REF _Ref446064859 \h </w:instrText>
      </w:r>
      <w:r>
        <w:fldChar w:fldCharType="separate"/>
      </w:r>
      <w:r>
        <w:t xml:space="preserve">Table </w:t>
      </w:r>
      <w:r>
        <w:rPr>
          <w:noProof/>
        </w:rPr>
        <w:t>3</w:t>
      </w:r>
      <w:r>
        <w:t>.</w:t>
      </w:r>
      <w:r>
        <w:rPr>
          <w:noProof/>
        </w:rPr>
        <w:t>1</w:t>
      </w:r>
      <w:r>
        <w:fldChar w:fldCharType="end"/>
      </w:r>
      <w:r>
        <w:t xml:space="preserve"> </w:t>
      </w:r>
      <w:r w:rsidR="007E06C4">
        <w:t>and</w:t>
      </w:r>
      <w:r>
        <w:t xml:space="preserve"> </w:t>
      </w:r>
      <w:r>
        <w:fldChar w:fldCharType="begin"/>
      </w:r>
      <w:r>
        <w:instrText xml:space="preserve"> REF _Ref446064866 \h </w:instrText>
      </w:r>
      <w:r>
        <w:fldChar w:fldCharType="separate"/>
      </w:r>
      <w:r>
        <w:t xml:space="preserve">Table </w:t>
      </w:r>
      <w:r>
        <w:rPr>
          <w:noProof/>
        </w:rPr>
        <w:t>3</w:t>
      </w:r>
      <w:r>
        <w:t>.</w:t>
      </w:r>
      <w:r>
        <w:rPr>
          <w:noProof/>
        </w:rPr>
        <w:t>2</w:t>
      </w:r>
      <w:r>
        <w:fldChar w:fldCharType="end"/>
      </w:r>
      <w:r w:rsidR="007E06C4">
        <w:t xml:space="preserve"> show some descriptive statistics for the key </w:t>
      </w:r>
      <w:r w:rsidR="00107A60">
        <w:t xml:space="preserve">performance </w:t>
      </w:r>
      <w:r w:rsidR="007E06C4">
        <w:t>variables used in the analysis and separately for the two groups of non-CleanTech and CleanTech firms, respectively.</w:t>
      </w:r>
      <w:r w:rsidR="001C07DC">
        <w:t xml:space="preserve"> </w:t>
      </w:r>
      <w:r w:rsidR="00D62112">
        <w:t>FTE</w:t>
      </w:r>
      <w:r w:rsidR="001C07DC">
        <w:t>, turnover, value of exports, and capital investments are used as key</w:t>
      </w:r>
      <w:r w:rsidR="00B761B1">
        <w:t xml:space="preserve"> performance </w:t>
      </w:r>
      <w:r w:rsidR="00435F70">
        <w:t>indicators</w:t>
      </w:r>
      <w:r w:rsidR="001C07DC">
        <w:t xml:space="preserve">. </w:t>
      </w:r>
    </w:p>
    <w:p w:rsidR="007E06C4" w:rsidRPr="007E06C4" w:rsidRDefault="007E06C4" w:rsidP="007E06C4">
      <w:pPr>
        <w:pStyle w:val="BodyText"/>
      </w:pPr>
    </w:p>
    <w:p w:rsidR="00D878D5" w:rsidRDefault="00924E05" w:rsidP="00924E05">
      <w:pPr>
        <w:pStyle w:val="Caption"/>
      </w:pPr>
      <w:bookmarkStart w:id="2" w:name="_Ref446064859"/>
      <w:bookmarkStart w:id="3" w:name="_Ref445976639"/>
      <w:r>
        <w:t xml:space="preserve">Table </w:t>
      </w:r>
      <w:r w:rsidR="00E27332">
        <w:fldChar w:fldCharType="begin"/>
      </w:r>
      <w:r w:rsidR="00E27332">
        <w:instrText xml:space="preserve"> STYLEREF 1 \s </w:instrText>
      </w:r>
      <w:r w:rsidR="00E27332">
        <w:fldChar w:fldCharType="separate"/>
      </w:r>
      <w:r w:rsidR="00E62A7E">
        <w:rPr>
          <w:noProof/>
        </w:rPr>
        <w:t>3</w:t>
      </w:r>
      <w:r w:rsidR="00E27332">
        <w:rPr>
          <w:noProof/>
        </w:rPr>
        <w:fldChar w:fldCharType="end"/>
      </w:r>
      <w:r w:rsidR="00E62A7E">
        <w:t>.</w:t>
      </w:r>
      <w:r w:rsidR="00E27332">
        <w:fldChar w:fldCharType="begin"/>
      </w:r>
      <w:r w:rsidR="00E27332">
        <w:instrText xml:space="preserve"> SEQ Table \* ARABIC \s 1 </w:instrText>
      </w:r>
      <w:r w:rsidR="00E27332">
        <w:fldChar w:fldCharType="separate"/>
      </w:r>
      <w:r w:rsidR="00E62A7E">
        <w:rPr>
          <w:noProof/>
        </w:rPr>
        <w:t>1</w:t>
      </w:r>
      <w:r w:rsidR="00E27332">
        <w:rPr>
          <w:noProof/>
        </w:rPr>
        <w:fldChar w:fldCharType="end"/>
      </w:r>
      <w:bookmarkEnd w:id="2"/>
      <w:r w:rsidR="00D878D5" w:rsidRPr="000618FB">
        <w:t xml:space="preserve">: </w:t>
      </w:r>
      <w:r w:rsidR="00D878D5">
        <w:t>Descriptive stati</w:t>
      </w:r>
      <w:r w:rsidR="00DE0BC5">
        <w:t>stics for non-CleanT</w:t>
      </w:r>
      <w:r w:rsidR="00D878D5">
        <w:t>ech firms</w:t>
      </w:r>
      <w:r w:rsidR="00712C62">
        <w:t xml:space="preserve"> in 2011</w:t>
      </w:r>
      <w:bookmarkEnd w:id="3"/>
      <w:r w:rsidR="00974367">
        <w:t>. Monetary values are in 2015 dollars.</w:t>
      </w:r>
    </w:p>
    <w:tbl>
      <w:tblPr>
        <w:tblStyle w:val="OCETable"/>
        <w:tblW w:w="0" w:type="auto"/>
        <w:tblInd w:w="2160" w:type="dxa"/>
        <w:tblLayout w:type="fixed"/>
        <w:tblLook w:val="04A0" w:firstRow="1" w:lastRow="0" w:firstColumn="1" w:lastColumn="0" w:noHBand="0" w:noVBand="1"/>
        <w:tblCaption w:val="Table 3.1"/>
        <w:tblDescription w:val="Descriptive statistics for non-CleanTech firms in 2011. Monetary values are in 2015 dollars."/>
      </w:tblPr>
      <w:tblGrid>
        <w:gridCol w:w="959"/>
        <w:gridCol w:w="984"/>
        <w:gridCol w:w="985"/>
        <w:gridCol w:w="1008"/>
        <w:gridCol w:w="961"/>
        <w:gridCol w:w="984"/>
        <w:gridCol w:w="985"/>
      </w:tblGrid>
      <w:tr w:rsidR="00115A6B" w:rsidTr="007078D4">
        <w:trPr>
          <w:cnfStyle w:val="100000000000" w:firstRow="1" w:lastRow="0" w:firstColumn="0" w:lastColumn="0" w:oddVBand="0" w:evenVBand="0" w:oddHBand="0" w:evenHBand="0" w:firstRowFirstColumn="0" w:firstRowLastColumn="0" w:lastRowFirstColumn="0" w:lastRowLastColumn="0"/>
          <w:tblHeader/>
        </w:trPr>
        <w:tc>
          <w:tcPr>
            <w:tcW w:w="959" w:type="dxa"/>
          </w:tcPr>
          <w:p w:rsidR="0088746F" w:rsidRPr="00082B3B" w:rsidRDefault="0088746F" w:rsidP="0088746F">
            <w:pPr>
              <w:pStyle w:val="BodyText"/>
              <w:ind w:left="0"/>
              <w:rPr>
                <w:color w:val="FFFFFF" w:themeColor="background1"/>
              </w:rPr>
            </w:pPr>
            <w:r w:rsidRPr="00082B3B">
              <w:rPr>
                <w:color w:val="FFFFFF" w:themeColor="background1"/>
              </w:rPr>
              <w:t>Variable</w:t>
            </w:r>
          </w:p>
        </w:tc>
        <w:tc>
          <w:tcPr>
            <w:tcW w:w="984" w:type="dxa"/>
          </w:tcPr>
          <w:p w:rsidR="0088746F" w:rsidRPr="00082B3B" w:rsidRDefault="0088746F" w:rsidP="00E0340D">
            <w:pPr>
              <w:pStyle w:val="BodyText"/>
              <w:ind w:left="0"/>
              <w:jc w:val="right"/>
              <w:rPr>
                <w:i/>
                <w:color w:val="FFFFFF" w:themeColor="background1"/>
              </w:rPr>
            </w:pPr>
            <w:r w:rsidRPr="00082B3B">
              <w:rPr>
                <w:i/>
                <w:color w:val="FFFFFF" w:themeColor="background1"/>
              </w:rPr>
              <w:t>N</w:t>
            </w:r>
          </w:p>
        </w:tc>
        <w:tc>
          <w:tcPr>
            <w:tcW w:w="985" w:type="dxa"/>
          </w:tcPr>
          <w:p w:rsidR="0088746F" w:rsidRPr="00082B3B" w:rsidRDefault="0088746F" w:rsidP="00E0340D">
            <w:pPr>
              <w:pStyle w:val="BodyText"/>
              <w:ind w:left="0"/>
              <w:jc w:val="right"/>
              <w:rPr>
                <w:color w:val="FFFFFF" w:themeColor="background1"/>
              </w:rPr>
            </w:pPr>
            <w:r w:rsidRPr="00082B3B">
              <w:rPr>
                <w:color w:val="FFFFFF" w:themeColor="background1"/>
              </w:rPr>
              <w:t>Mean</w:t>
            </w:r>
          </w:p>
        </w:tc>
        <w:tc>
          <w:tcPr>
            <w:tcW w:w="1008" w:type="dxa"/>
          </w:tcPr>
          <w:p w:rsidR="0088746F" w:rsidRPr="00082B3B" w:rsidRDefault="0088746F" w:rsidP="00E0340D">
            <w:pPr>
              <w:pStyle w:val="BodyText"/>
              <w:ind w:left="0"/>
              <w:jc w:val="right"/>
              <w:rPr>
                <w:color w:val="FFFFFF" w:themeColor="background1"/>
              </w:rPr>
            </w:pPr>
            <w:r w:rsidRPr="00082B3B">
              <w:rPr>
                <w:color w:val="FFFFFF" w:themeColor="background1"/>
              </w:rPr>
              <w:t>Std.Dev.</w:t>
            </w:r>
          </w:p>
        </w:tc>
        <w:tc>
          <w:tcPr>
            <w:tcW w:w="961" w:type="dxa"/>
          </w:tcPr>
          <w:p w:rsidR="0088746F" w:rsidRPr="00082B3B" w:rsidRDefault="0088746F" w:rsidP="00E0340D">
            <w:pPr>
              <w:pStyle w:val="BodyText"/>
              <w:ind w:left="0"/>
              <w:jc w:val="right"/>
              <w:rPr>
                <w:color w:val="FFFFFF" w:themeColor="background1"/>
              </w:rPr>
            </w:pPr>
            <w:r w:rsidRPr="00082B3B">
              <w:rPr>
                <w:color w:val="FFFFFF" w:themeColor="background1"/>
              </w:rPr>
              <w:t>1</w:t>
            </w:r>
            <w:r w:rsidRPr="00082B3B">
              <w:rPr>
                <w:color w:val="FFFFFF" w:themeColor="background1"/>
                <w:vertAlign w:val="superscript"/>
              </w:rPr>
              <w:t>st</w:t>
            </w:r>
            <w:r w:rsidRPr="00082B3B">
              <w:rPr>
                <w:color w:val="FFFFFF" w:themeColor="background1"/>
              </w:rPr>
              <w:t xml:space="preserve"> Quartile</w:t>
            </w:r>
          </w:p>
        </w:tc>
        <w:tc>
          <w:tcPr>
            <w:tcW w:w="984" w:type="dxa"/>
          </w:tcPr>
          <w:p w:rsidR="0088746F" w:rsidRPr="00082B3B" w:rsidRDefault="0088746F" w:rsidP="00E0340D">
            <w:pPr>
              <w:pStyle w:val="BodyText"/>
              <w:ind w:left="0"/>
              <w:jc w:val="right"/>
              <w:rPr>
                <w:color w:val="FFFFFF" w:themeColor="background1"/>
              </w:rPr>
            </w:pPr>
            <w:r w:rsidRPr="00082B3B">
              <w:rPr>
                <w:color w:val="FFFFFF" w:themeColor="background1"/>
              </w:rPr>
              <w:t>Median</w:t>
            </w:r>
          </w:p>
        </w:tc>
        <w:tc>
          <w:tcPr>
            <w:tcW w:w="985" w:type="dxa"/>
          </w:tcPr>
          <w:p w:rsidR="0088746F" w:rsidRPr="00082B3B" w:rsidRDefault="0088746F" w:rsidP="00E0340D">
            <w:pPr>
              <w:pStyle w:val="BodyText"/>
              <w:ind w:left="0"/>
              <w:jc w:val="right"/>
              <w:rPr>
                <w:color w:val="FFFFFF" w:themeColor="background1"/>
              </w:rPr>
            </w:pPr>
            <w:r w:rsidRPr="00082B3B">
              <w:rPr>
                <w:color w:val="FFFFFF" w:themeColor="background1"/>
              </w:rPr>
              <w:t>3</w:t>
            </w:r>
            <w:r w:rsidRPr="00082B3B">
              <w:rPr>
                <w:color w:val="FFFFFF" w:themeColor="background1"/>
                <w:vertAlign w:val="superscript"/>
              </w:rPr>
              <w:t>rd</w:t>
            </w:r>
            <w:r w:rsidRPr="00082B3B">
              <w:rPr>
                <w:color w:val="FFFFFF" w:themeColor="background1"/>
              </w:rPr>
              <w:t xml:space="preserve"> Quartile</w:t>
            </w:r>
          </w:p>
        </w:tc>
      </w:tr>
      <w:tr w:rsidR="00115A6B" w:rsidTr="00E0340D">
        <w:tc>
          <w:tcPr>
            <w:tcW w:w="959" w:type="dxa"/>
          </w:tcPr>
          <w:p w:rsidR="0088746F" w:rsidRPr="0088746F" w:rsidRDefault="0088746F" w:rsidP="0088746F">
            <w:pPr>
              <w:pStyle w:val="BodyText"/>
              <w:ind w:left="0"/>
            </w:pPr>
            <w:r>
              <w:t>FTE</w:t>
            </w:r>
          </w:p>
        </w:tc>
        <w:tc>
          <w:tcPr>
            <w:tcW w:w="984" w:type="dxa"/>
          </w:tcPr>
          <w:p w:rsidR="0088746F" w:rsidRDefault="00115A6B" w:rsidP="00E0340D">
            <w:pPr>
              <w:pStyle w:val="BodyText"/>
              <w:ind w:left="0"/>
              <w:jc w:val="right"/>
            </w:pPr>
            <w:r>
              <w:t>75,196</w:t>
            </w:r>
          </w:p>
        </w:tc>
        <w:tc>
          <w:tcPr>
            <w:tcW w:w="985" w:type="dxa"/>
          </w:tcPr>
          <w:p w:rsidR="0088746F" w:rsidRDefault="00115A6B" w:rsidP="00E0340D">
            <w:pPr>
              <w:pStyle w:val="BodyText"/>
              <w:ind w:left="0"/>
              <w:jc w:val="right"/>
            </w:pPr>
            <w:r>
              <w:t>8.92</w:t>
            </w:r>
          </w:p>
        </w:tc>
        <w:tc>
          <w:tcPr>
            <w:tcW w:w="1008" w:type="dxa"/>
          </w:tcPr>
          <w:p w:rsidR="0088746F" w:rsidRDefault="00122D7E" w:rsidP="00E0340D">
            <w:pPr>
              <w:pStyle w:val="BodyText"/>
              <w:ind w:left="0"/>
              <w:jc w:val="right"/>
            </w:pPr>
            <w:r>
              <w:t>73.5</w:t>
            </w:r>
          </w:p>
        </w:tc>
        <w:tc>
          <w:tcPr>
            <w:tcW w:w="961" w:type="dxa"/>
          </w:tcPr>
          <w:p w:rsidR="0088746F" w:rsidRDefault="00115A6B" w:rsidP="00E0340D">
            <w:pPr>
              <w:pStyle w:val="BodyText"/>
              <w:ind w:left="0"/>
              <w:jc w:val="right"/>
            </w:pPr>
            <w:r>
              <w:t>0</w:t>
            </w:r>
          </w:p>
        </w:tc>
        <w:tc>
          <w:tcPr>
            <w:tcW w:w="984" w:type="dxa"/>
          </w:tcPr>
          <w:p w:rsidR="0088746F" w:rsidRDefault="00115A6B" w:rsidP="00E0340D">
            <w:pPr>
              <w:pStyle w:val="BodyText"/>
              <w:ind w:left="0"/>
              <w:jc w:val="right"/>
            </w:pPr>
            <w:r>
              <w:t>1.22</w:t>
            </w:r>
          </w:p>
        </w:tc>
        <w:tc>
          <w:tcPr>
            <w:tcW w:w="985" w:type="dxa"/>
          </w:tcPr>
          <w:p w:rsidR="0088746F" w:rsidRDefault="00115A6B" w:rsidP="00E0340D">
            <w:pPr>
              <w:pStyle w:val="BodyText"/>
              <w:ind w:left="0"/>
              <w:jc w:val="right"/>
            </w:pPr>
            <w:r>
              <w:t>5.22</w:t>
            </w:r>
          </w:p>
        </w:tc>
      </w:tr>
      <w:tr w:rsidR="00115A6B" w:rsidTr="00E0340D">
        <w:tc>
          <w:tcPr>
            <w:tcW w:w="959" w:type="dxa"/>
          </w:tcPr>
          <w:p w:rsidR="0088746F" w:rsidRDefault="0088746F" w:rsidP="0088746F">
            <w:pPr>
              <w:pStyle w:val="BodyText"/>
              <w:ind w:left="0"/>
            </w:pPr>
            <w:r>
              <w:t>Turnover</w:t>
            </w:r>
            <w:r w:rsidR="00115A6B">
              <w:t xml:space="preserve"> ($mil)</w:t>
            </w:r>
          </w:p>
        </w:tc>
        <w:tc>
          <w:tcPr>
            <w:tcW w:w="984" w:type="dxa"/>
          </w:tcPr>
          <w:p w:rsidR="0088746F" w:rsidRDefault="00115A6B" w:rsidP="00E0340D">
            <w:pPr>
              <w:pStyle w:val="BodyText"/>
              <w:ind w:left="0"/>
              <w:jc w:val="right"/>
            </w:pPr>
            <w:r>
              <w:t>90,253</w:t>
            </w:r>
          </w:p>
        </w:tc>
        <w:tc>
          <w:tcPr>
            <w:tcW w:w="985" w:type="dxa"/>
          </w:tcPr>
          <w:p w:rsidR="0088746F" w:rsidRDefault="00974367" w:rsidP="00E0340D">
            <w:pPr>
              <w:pStyle w:val="BodyText"/>
              <w:ind w:left="0"/>
              <w:jc w:val="right"/>
            </w:pPr>
            <w:r>
              <w:t>3.87</w:t>
            </w:r>
          </w:p>
        </w:tc>
        <w:tc>
          <w:tcPr>
            <w:tcW w:w="1008" w:type="dxa"/>
          </w:tcPr>
          <w:p w:rsidR="0088746F" w:rsidRDefault="00974367" w:rsidP="00E0340D">
            <w:pPr>
              <w:pStyle w:val="BodyText"/>
              <w:ind w:left="0"/>
              <w:jc w:val="right"/>
            </w:pPr>
            <w:r>
              <w:t>103.2</w:t>
            </w:r>
          </w:p>
        </w:tc>
        <w:tc>
          <w:tcPr>
            <w:tcW w:w="961" w:type="dxa"/>
          </w:tcPr>
          <w:p w:rsidR="0088746F" w:rsidRDefault="00122D7E" w:rsidP="00E0340D">
            <w:pPr>
              <w:pStyle w:val="BodyText"/>
              <w:ind w:left="0"/>
              <w:jc w:val="right"/>
            </w:pPr>
            <w:r>
              <w:t>0</w:t>
            </w:r>
          </w:p>
        </w:tc>
        <w:tc>
          <w:tcPr>
            <w:tcW w:w="984" w:type="dxa"/>
          </w:tcPr>
          <w:p w:rsidR="0088746F" w:rsidRDefault="00974367" w:rsidP="00E0340D">
            <w:pPr>
              <w:pStyle w:val="BodyText"/>
              <w:ind w:left="0"/>
              <w:jc w:val="right"/>
            </w:pPr>
            <w:r>
              <w:t>0.12</w:t>
            </w:r>
          </w:p>
        </w:tc>
        <w:tc>
          <w:tcPr>
            <w:tcW w:w="985" w:type="dxa"/>
          </w:tcPr>
          <w:p w:rsidR="0088746F" w:rsidRDefault="00974367" w:rsidP="00E0340D">
            <w:pPr>
              <w:pStyle w:val="BodyText"/>
              <w:ind w:left="0"/>
              <w:jc w:val="right"/>
            </w:pPr>
            <w:r>
              <w:t>0.69</w:t>
            </w:r>
          </w:p>
        </w:tc>
      </w:tr>
      <w:tr w:rsidR="00115A6B" w:rsidTr="00E0340D">
        <w:tc>
          <w:tcPr>
            <w:tcW w:w="959" w:type="dxa"/>
          </w:tcPr>
          <w:p w:rsidR="0088746F" w:rsidRDefault="0088746F" w:rsidP="0088746F">
            <w:pPr>
              <w:pStyle w:val="BodyText"/>
              <w:ind w:left="0"/>
            </w:pPr>
            <w:r>
              <w:t>Exports</w:t>
            </w:r>
            <w:r w:rsidR="00115A6B">
              <w:t xml:space="preserve"> ($mil)</w:t>
            </w:r>
          </w:p>
        </w:tc>
        <w:tc>
          <w:tcPr>
            <w:tcW w:w="984" w:type="dxa"/>
          </w:tcPr>
          <w:p w:rsidR="0088746F" w:rsidRDefault="00115A6B" w:rsidP="00E0340D">
            <w:pPr>
              <w:pStyle w:val="BodyText"/>
              <w:ind w:left="0"/>
              <w:jc w:val="right"/>
            </w:pPr>
            <w:r>
              <w:t>90,253</w:t>
            </w:r>
          </w:p>
        </w:tc>
        <w:tc>
          <w:tcPr>
            <w:tcW w:w="985" w:type="dxa"/>
          </w:tcPr>
          <w:p w:rsidR="0088746F" w:rsidRDefault="00974367" w:rsidP="00E0340D">
            <w:pPr>
              <w:pStyle w:val="BodyText"/>
              <w:ind w:left="0"/>
              <w:jc w:val="right"/>
            </w:pPr>
            <w:r>
              <w:t>0.72</w:t>
            </w:r>
          </w:p>
        </w:tc>
        <w:tc>
          <w:tcPr>
            <w:tcW w:w="1008" w:type="dxa"/>
          </w:tcPr>
          <w:p w:rsidR="0088746F" w:rsidRDefault="00974367" w:rsidP="00E0340D">
            <w:pPr>
              <w:pStyle w:val="BodyText"/>
              <w:ind w:left="0"/>
              <w:jc w:val="right"/>
            </w:pPr>
            <w:r>
              <w:t>68.0</w:t>
            </w:r>
          </w:p>
        </w:tc>
        <w:tc>
          <w:tcPr>
            <w:tcW w:w="961" w:type="dxa"/>
          </w:tcPr>
          <w:p w:rsidR="0088746F" w:rsidRDefault="00115A6B" w:rsidP="00E0340D">
            <w:pPr>
              <w:pStyle w:val="BodyText"/>
              <w:ind w:left="0"/>
              <w:jc w:val="right"/>
            </w:pPr>
            <w:r>
              <w:t>0</w:t>
            </w:r>
          </w:p>
        </w:tc>
        <w:tc>
          <w:tcPr>
            <w:tcW w:w="984" w:type="dxa"/>
          </w:tcPr>
          <w:p w:rsidR="0088746F" w:rsidRDefault="00122D7E" w:rsidP="00E0340D">
            <w:pPr>
              <w:pStyle w:val="BodyText"/>
              <w:ind w:left="0"/>
              <w:jc w:val="right"/>
            </w:pPr>
            <w:r>
              <w:t>0</w:t>
            </w:r>
          </w:p>
        </w:tc>
        <w:tc>
          <w:tcPr>
            <w:tcW w:w="985" w:type="dxa"/>
          </w:tcPr>
          <w:p w:rsidR="0088746F" w:rsidRDefault="00122D7E" w:rsidP="00E0340D">
            <w:pPr>
              <w:pStyle w:val="BodyText"/>
              <w:ind w:left="0"/>
              <w:jc w:val="right"/>
            </w:pPr>
            <w:r>
              <w:t>0</w:t>
            </w:r>
          </w:p>
        </w:tc>
      </w:tr>
      <w:tr w:rsidR="00115A6B" w:rsidTr="00E0340D">
        <w:tc>
          <w:tcPr>
            <w:tcW w:w="959" w:type="dxa"/>
          </w:tcPr>
          <w:p w:rsidR="0088746F" w:rsidRDefault="0088746F" w:rsidP="0088746F">
            <w:pPr>
              <w:pStyle w:val="BodyText"/>
              <w:ind w:left="0"/>
            </w:pPr>
            <w:r>
              <w:t>Cap.Inv.</w:t>
            </w:r>
            <w:r w:rsidR="00115A6B">
              <w:t xml:space="preserve"> ($mil)</w:t>
            </w:r>
          </w:p>
        </w:tc>
        <w:tc>
          <w:tcPr>
            <w:tcW w:w="984" w:type="dxa"/>
          </w:tcPr>
          <w:p w:rsidR="0088746F" w:rsidRDefault="00115A6B" w:rsidP="00E0340D">
            <w:pPr>
              <w:pStyle w:val="BodyText"/>
              <w:ind w:left="0"/>
              <w:jc w:val="right"/>
            </w:pPr>
            <w:r>
              <w:t>115,522</w:t>
            </w:r>
          </w:p>
        </w:tc>
        <w:tc>
          <w:tcPr>
            <w:tcW w:w="985" w:type="dxa"/>
          </w:tcPr>
          <w:p w:rsidR="0088746F" w:rsidRDefault="00974367" w:rsidP="00E0340D">
            <w:pPr>
              <w:pStyle w:val="BodyText"/>
              <w:ind w:left="0"/>
              <w:jc w:val="right"/>
            </w:pPr>
            <w:r>
              <w:t>0.12</w:t>
            </w:r>
          </w:p>
        </w:tc>
        <w:tc>
          <w:tcPr>
            <w:tcW w:w="1008" w:type="dxa"/>
          </w:tcPr>
          <w:p w:rsidR="0088746F" w:rsidRDefault="00974367" w:rsidP="00E0340D">
            <w:pPr>
              <w:pStyle w:val="BodyText"/>
              <w:ind w:left="0"/>
              <w:jc w:val="right"/>
            </w:pPr>
            <w:r>
              <w:t>6.61</w:t>
            </w:r>
          </w:p>
        </w:tc>
        <w:tc>
          <w:tcPr>
            <w:tcW w:w="961" w:type="dxa"/>
          </w:tcPr>
          <w:p w:rsidR="0088746F" w:rsidRDefault="00115A6B" w:rsidP="00E0340D">
            <w:pPr>
              <w:pStyle w:val="BodyText"/>
              <w:ind w:left="0"/>
              <w:jc w:val="right"/>
            </w:pPr>
            <w:r>
              <w:t>0</w:t>
            </w:r>
          </w:p>
        </w:tc>
        <w:tc>
          <w:tcPr>
            <w:tcW w:w="984" w:type="dxa"/>
          </w:tcPr>
          <w:p w:rsidR="0088746F" w:rsidRDefault="00122D7E" w:rsidP="00E0340D">
            <w:pPr>
              <w:pStyle w:val="BodyText"/>
              <w:ind w:left="0"/>
              <w:jc w:val="right"/>
            </w:pPr>
            <w:r>
              <w:t>0</w:t>
            </w:r>
          </w:p>
        </w:tc>
        <w:tc>
          <w:tcPr>
            <w:tcW w:w="985" w:type="dxa"/>
          </w:tcPr>
          <w:p w:rsidR="0088746F" w:rsidRDefault="00974367" w:rsidP="00E0340D">
            <w:pPr>
              <w:pStyle w:val="BodyText"/>
              <w:ind w:left="0"/>
              <w:jc w:val="right"/>
            </w:pPr>
            <w:r>
              <w:t>0.002</w:t>
            </w:r>
          </w:p>
        </w:tc>
      </w:tr>
      <w:tr w:rsidR="00115A6B" w:rsidTr="00E0340D">
        <w:tc>
          <w:tcPr>
            <w:tcW w:w="959" w:type="dxa"/>
          </w:tcPr>
          <w:p w:rsidR="0088746F" w:rsidRDefault="00E0340D" w:rsidP="0088746F">
            <w:pPr>
              <w:pStyle w:val="BodyText"/>
              <w:ind w:left="0"/>
            </w:pPr>
            <w:r>
              <w:t>Foreign Shareholding (per cent</w:t>
            </w:r>
            <w:r w:rsidR="0088746F">
              <w:t>)</w:t>
            </w:r>
          </w:p>
        </w:tc>
        <w:tc>
          <w:tcPr>
            <w:tcW w:w="984" w:type="dxa"/>
          </w:tcPr>
          <w:p w:rsidR="0088746F" w:rsidRDefault="00115A6B" w:rsidP="00E0340D">
            <w:pPr>
              <w:pStyle w:val="BodyText"/>
              <w:ind w:left="0"/>
              <w:jc w:val="right"/>
            </w:pPr>
            <w:r>
              <w:t>36,328</w:t>
            </w:r>
          </w:p>
        </w:tc>
        <w:tc>
          <w:tcPr>
            <w:tcW w:w="985" w:type="dxa"/>
          </w:tcPr>
          <w:p w:rsidR="0088746F" w:rsidRDefault="00115A6B" w:rsidP="00E0340D">
            <w:pPr>
              <w:pStyle w:val="BodyText"/>
              <w:ind w:left="0"/>
              <w:jc w:val="right"/>
            </w:pPr>
            <w:r>
              <w:t>1.46</w:t>
            </w:r>
          </w:p>
        </w:tc>
        <w:tc>
          <w:tcPr>
            <w:tcW w:w="1008" w:type="dxa"/>
          </w:tcPr>
          <w:p w:rsidR="0088746F" w:rsidRDefault="00122D7E" w:rsidP="00E0340D">
            <w:pPr>
              <w:pStyle w:val="BodyText"/>
              <w:ind w:left="0"/>
              <w:jc w:val="right"/>
            </w:pPr>
            <w:r>
              <w:t>11.7</w:t>
            </w:r>
          </w:p>
        </w:tc>
        <w:tc>
          <w:tcPr>
            <w:tcW w:w="961" w:type="dxa"/>
          </w:tcPr>
          <w:p w:rsidR="0088746F" w:rsidRDefault="00115A6B" w:rsidP="00E0340D">
            <w:pPr>
              <w:pStyle w:val="BodyText"/>
              <w:ind w:left="0"/>
              <w:jc w:val="right"/>
            </w:pPr>
            <w:r>
              <w:t>0</w:t>
            </w:r>
          </w:p>
        </w:tc>
        <w:tc>
          <w:tcPr>
            <w:tcW w:w="984" w:type="dxa"/>
          </w:tcPr>
          <w:p w:rsidR="0088746F" w:rsidRDefault="00122D7E" w:rsidP="00E0340D">
            <w:pPr>
              <w:pStyle w:val="BodyText"/>
              <w:ind w:left="0"/>
              <w:jc w:val="right"/>
            </w:pPr>
            <w:r>
              <w:t>0</w:t>
            </w:r>
          </w:p>
        </w:tc>
        <w:tc>
          <w:tcPr>
            <w:tcW w:w="985" w:type="dxa"/>
          </w:tcPr>
          <w:p w:rsidR="0088746F" w:rsidRDefault="00122D7E" w:rsidP="00E0340D">
            <w:pPr>
              <w:pStyle w:val="BodyText"/>
              <w:ind w:left="0"/>
              <w:jc w:val="right"/>
            </w:pPr>
            <w:r>
              <w:t>0</w:t>
            </w:r>
          </w:p>
        </w:tc>
      </w:tr>
    </w:tbl>
    <w:p w:rsidR="0088746F" w:rsidRPr="00A9193F" w:rsidRDefault="00A9193F" w:rsidP="00A9193F">
      <w:pPr>
        <w:pStyle w:val="Source"/>
      </w:pPr>
      <w:r w:rsidRPr="00A9193F">
        <w:t xml:space="preserve">Source: Author’s calculations based on the </w:t>
      </w:r>
      <w:r w:rsidR="00DB7F42">
        <w:t>BLADE</w:t>
      </w:r>
    </w:p>
    <w:p w:rsidR="00985CE4" w:rsidRDefault="00924E05" w:rsidP="00985CE4">
      <w:pPr>
        <w:pStyle w:val="Caption"/>
      </w:pPr>
      <w:bookmarkStart w:id="4" w:name="_Ref446064866"/>
      <w:r>
        <w:t xml:space="preserve">Table </w:t>
      </w:r>
      <w:r w:rsidR="00E27332">
        <w:fldChar w:fldCharType="begin"/>
      </w:r>
      <w:r w:rsidR="00E27332">
        <w:instrText xml:space="preserve"> STYLEREF 1 \s </w:instrText>
      </w:r>
      <w:r w:rsidR="00E27332">
        <w:fldChar w:fldCharType="separate"/>
      </w:r>
      <w:r w:rsidR="00E62A7E">
        <w:rPr>
          <w:noProof/>
        </w:rPr>
        <w:t>3</w:t>
      </w:r>
      <w:r w:rsidR="00E27332">
        <w:rPr>
          <w:noProof/>
        </w:rPr>
        <w:fldChar w:fldCharType="end"/>
      </w:r>
      <w:r w:rsidR="00E62A7E">
        <w:t>.</w:t>
      </w:r>
      <w:r w:rsidR="00E27332">
        <w:fldChar w:fldCharType="begin"/>
      </w:r>
      <w:r w:rsidR="00E27332">
        <w:instrText xml:space="preserve"> SEQ Table \* ARABIC \s 1 </w:instrText>
      </w:r>
      <w:r w:rsidR="00E27332">
        <w:fldChar w:fldCharType="separate"/>
      </w:r>
      <w:r w:rsidR="00E62A7E">
        <w:rPr>
          <w:noProof/>
        </w:rPr>
        <w:t>2</w:t>
      </w:r>
      <w:r w:rsidR="00E27332">
        <w:rPr>
          <w:noProof/>
        </w:rPr>
        <w:fldChar w:fldCharType="end"/>
      </w:r>
      <w:bookmarkEnd w:id="4"/>
      <w:r w:rsidR="00A03AEE" w:rsidRPr="000618FB">
        <w:t xml:space="preserve">: </w:t>
      </w:r>
      <w:r w:rsidR="00A03AEE">
        <w:t>D</w:t>
      </w:r>
      <w:r w:rsidR="00DE0BC5">
        <w:t>escriptive statistics for CleanT</w:t>
      </w:r>
      <w:r w:rsidR="00A03AEE">
        <w:t>ech firms in 2011</w:t>
      </w:r>
      <w:r w:rsidR="00985CE4">
        <w:t>. Monetary values are in 2015 dollars.</w:t>
      </w:r>
    </w:p>
    <w:tbl>
      <w:tblPr>
        <w:tblStyle w:val="OCETable"/>
        <w:tblW w:w="6912" w:type="dxa"/>
        <w:tblInd w:w="2160" w:type="dxa"/>
        <w:tblLayout w:type="fixed"/>
        <w:tblLook w:val="04A0" w:firstRow="1" w:lastRow="0" w:firstColumn="1" w:lastColumn="0" w:noHBand="0" w:noVBand="1"/>
        <w:tblCaption w:val="Table 3.2"/>
        <w:tblDescription w:val="Descriptive statistics for CleanTech firms in 2011. Monetary values are in 2015 dollars."/>
      </w:tblPr>
      <w:tblGrid>
        <w:gridCol w:w="1395"/>
        <w:gridCol w:w="919"/>
        <w:gridCol w:w="920"/>
        <w:gridCol w:w="919"/>
        <w:gridCol w:w="920"/>
        <w:gridCol w:w="919"/>
        <w:gridCol w:w="920"/>
      </w:tblGrid>
      <w:tr w:rsidR="00712C62" w:rsidTr="007078D4">
        <w:trPr>
          <w:cnfStyle w:val="100000000000" w:firstRow="1" w:lastRow="0" w:firstColumn="0" w:lastColumn="0" w:oddVBand="0" w:evenVBand="0" w:oddHBand="0" w:evenHBand="0" w:firstRowFirstColumn="0" w:firstRowLastColumn="0" w:lastRowFirstColumn="0" w:lastRowLastColumn="0"/>
          <w:tblHeader/>
        </w:trPr>
        <w:tc>
          <w:tcPr>
            <w:tcW w:w="1395" w:type="dxa"/>
          </w:tcPr>
          <w:p w:rsidR="00712C62" w:rsidRPr="00082B3B" w:rsidRDefault="00712C62" w:rsidP="00870CC5">
            <w:pPr>
              <w:pStyle w:val="BodyText"/>
              <w:ind w:left="0"/>
              <w:rPr>
                <w:color w:val="FFFFFF" w:themeColor="background1"/>
              </w:rPr>
            </w:pPr>
            <w:r w:rsidRPr="00082B3B">
              <w:rPr>
                <w:color w:val="FFFFFF" w:themeColor="background1"/>
              </w:rPr>
              <w:t>Variable</w:t>
            </w:r>
          </w:p>
        </w:tc>
        <w:tc>
          <w:tcPr>
            <w:tcW w:w="919" w:type="dxa"/>
          </w:tcPr>
          <w:p w:rsidR="00712C62" w:rsidRPr="00082B3B" w:rsidRDefault="00712C62" w:rsidP="00E0340D">
            <w:pPr>
              <w:pStyle w:val="BodyText"/>
              <w:ind w:left="0"/>
              <w:jc w:val="right"/>
              <w:rPr>
                <w:i/>
                <w:color w:val="FFFFFF" w:themeColor="background1"/>
              </w:rPr>
            </w:pPr>
            <w:r w:rsidRPr="00082B3B">
              <w:rPr>
                <w:i/>
                <w:color w:val="FFFFFF" w:themeColor="background1"/>
              </w:rPr>
              <w:t>N</w:t>
            </w:r>
          </w:p>
        </w:tc>
        <w:tc>
          <w:tcPr>
            <w:tcW w:w="920" w:type="dxa"/>
          </w:tcPr>
          <w:p w:rsidR="00712C62" w:rsidRPr="00082B3B" w:rsidRDefault="00712C62" w:rsidP="00E0340D">
            <w:pPr>
              <w:pStyle w:val="BodyText"/>
              <w:ind w:left="0"/>
              <w:jc w:val="right"/>
              <w:rPr>
                <w:color w:val="FFFFFF" w:themeColor="background1"/>
              </w:rPr>
            </w:pPr>
            <w:r w:rsidRPr="00082B3B">
              <w:rPr>
                <w:color w:val="FFFFFF" w:themeColor="background1"/>
              </w:rPr>
              <w:t>Mean</w:t>
            </w:r>
          </w:p>
        </w:tc>
        <w:tc>
          <w:tcPr>
            <w:tcW w:w="919" w:type="dxa"/>
          </w:tcPr>
          <w:p w:rsidR="00712C62" w:rsidRPr="00082B3B" w:rsidRDefault="00712C62" w:rsidP="00E0340D">
            <w:pPr>
              <w:pStyle w:val="BodyText"/>
              <w:ind w:left="0"/>
              <w:jc w:val="right"/>
              <w:rPr>
                <w:color w:val="FFFFFF" w:themeColor="background1"/>
              </w:rPr>
            </w:pPr>
            <w:r w:rsidRPr="00082B3B">
              <w:rPr>
                <w:color w:val="FFFFFF" w:themeColor="background1"/>
              </w:rPr>
              <w:t>Std.Dev.</w:t>
            </w:r>
          </w:p>
        </w:tc>
        <w:tc>
          <w:tcPr>
            <w:tcW w:w="920" w:type="dxa"/>
          </w:tcPr>
          <w:p w:rsidR="00712C62" w:rsidRPr="00082B3B" w:rsidRDefault="00712C62" w:rsidP="00E0340D">
            <w:pPr>
              <w:pStyle w:val="BodyText"/>
              <w:ind w:left="0"/>
              <w:jc w:val="right"/>
              <w:rPr>
                <w:color w:val="FFFFFF" w:themeColor="background1"/>
              </w:rPr>
            </w:pPr>
            <w:r w:rsidRPr="00082B3B">
              <w:rPr>
                <w:color w:val="FFFFFF" w:themeColor="background1"/>
              </w:rPr>
              <w:t>1</w:t>
            </w:r>
            <w:r w:rsidRPr="00082B3B">
              <w:rPr>
                <w:color w:val="FFFFFF" w:themeColor="background1"/>
                <w:vertAlign w:val="superscript"/>
              </w:rPr>
              <w:t>st</w:t>
            </w:r>
            <w:r w:rsidRPr="00082B3B">
              <w:rPr>
                <w:color w:val="FFFFFF" w:themeColor="background1"/>
              </w:rPr>
              <w:t xml:space="preserve"> Quartile</w:t>
            </w:r>
          </w:p>
        </w:tc>
        <w:tc>
          <w:tcPr>
            <w:tcW w:w="919" w:type="dxa"/>
          </w:tcPr>
          <w:p w:rsidR="00712C62" w:rsidRPr="00082B3B" w:rsidRDefault="00712C62" w:rsidP="00E0340D">
            <w:pPr>
              <w:pStyle w:val="BodyText"/>
              <w:ind w:left="0"/>
              <w:jc w:val="right"/>
              <w:rPr>
                <w:color w:val="FFFFFF" w:themeColor="background1"/>
              </w:rPr>
            </w:pPr>
            <w:r w:rsidRPr="00082B3B">
              <w:rPr>
                <w:color w:val="FFFFFF" w:themeColor="background1"/>
              </w:rPr>
              <w:t>Median</w:t>
            </w:r>
          </w:p>
        </w:tc>
        <w:tc>
          <w:tcPr>
            <w:tcW w:w="920" w:type="dxa"/>
          </w:tcPr>
          <w:p w:rsidR="00712C62" w:rsidRPr="00082B3B" w:rsidRDefault="00712C62" w:rsidP="00E0340D">
            <w:pPr>
              <w:pStyle w:val="BodyText"/>
              <w:ind w:left="0"/>
              <w:jc w:val="right"/>
              <w:rPr>
                <w:color w:val="FFFFFF" w:themeColor="background1"/>
              </w:rPr>
            </w:pPr>
            <w:r w:rsidRPr="00082B3B">
              <w:rPr>
                <w:color w:val="FFFFFF" w:themeColor="background1"/>
              </w:rPr>
              <w:t>3</w:t>
            </w:r>
            <w:r w:rsidRPr="00082B3B">
              <w:rPr>
                <w:color w:val="FFFFFF" w:themeColor="background1"/>
                <w:vertAlign w:val="superscript"/>
              </w:rPr>
              <w:t>rd</w:t>
            </w:r>
            <w:r w:rsidRPr="00082B3B">
              <w:rPr>
                <w:color w:val="FFFFFF" w:themeColor="background1"/>
              </w:rPr>
              <w:t xml:space="preserve"> Quartile</w:t>
            </w:r>
          </w:p>
        </w:tc>
      </w:tr>
      <w:tr w:rsidR="00712C62" w:rsidTr="00E0340D">
        <w:tc>
          <w:tcPr>
            <w:tcW w:w="1395" w:type="dxa"/>
          </w:tcPr>
          <w:p w:rsidR="00712C62" w:rsidRPr="0088746F" w:rsidRDefault="00712C62" w:rsidP="00870CC5">
            <w:pPr>
              <w:pStyle w:val="BodyText"/>
              <w:ind w:left="0"/>
            </w:pPr>
            <w:r>
              <w:t>FTE</w:t>
            </w:r>
          </w:p>
        </w:tc>
        <w:tc>
          <w:tcPr>
            <w:tcW w:w="919" w:type="dxa"/>
          </w:tcPr>
          <w:p w:rsidR="00712C62" w:rsidRDefault="00712C62" w:rsidP="00E0340D">
            <w:pPr>
              <w:pStyle w:val="BodyText"/>
              <w:ind w:left="0"/>
              <w:jc w:val="right"/>
            </w:pPr>
            <w:r>
              <w:t>446</w:t>
            </w:r>
          </w:p>
        </w:tc>
        <w:tc>
          <w:tcPr>
            <w:tcW w:w="920" w:type="dxa"/>
          </w:tcPr>
          <w:p w:rsidR="00712C62" w:rsidRDefault="00712C62" w:rsidP="00E0340D">
            <w:pPr>
              <w:pStyle w:val="BodyText"/>
              <w:ind w:left="0"/>
              <w:jc w:val="right"/>
            </w:pPr>
            <w:r>
              <w:t>611.3</w:t>
            </w:r>
          </w:p>
        </w:tc>
        <w:tc>
          <w:tcPr>
            <w:tcW w:w="919" w:type="dxa"/>
          </w:tcPr>
          <w:p w:rsidR="00712C62" w:rsidRDefault="00712C62" w:rsidP="00E0340D">
            <w:pPr>
              <w:pStyle w:val="BodyText"/>
              <w:ind w:left="0"/>
              <w:jc w:val="right"/>
            </w:pPr>
            <w:r>
              <w:t>1</w:t>
            </w:r>
            <w:r w:rsidR="00974367">
              <w:t>,</w:t>
            </w:r>
            <w:r>
              <w:t>573.2</w:t>
            </w:r>
          </w:p>
        </w:tc>
        <w:tc>
          <w:tcPr>
            <w:tcW w:w="920" w:type="dxa"/>
          </w:tcPr>
          <w:p w:rsidR="00712C62" w:rsidRDefault="00712C62" w:rsidP="00E0340D">
            <w:pPr>
              <w:pStyle w:val="BodyText"/>
              <w:ind w:left="0"/>
              <w:jc w:val="right"/>
            </w:pPr>
            <w:r>
              <w:t>17.2</w:t>
            </w:r>
          </w:p>
        </w:tc>
        <w:tc>
          <w:tcPr>
            <w:tcW w:w="919" w:type="dxa"/>
          </w:tcPr>
          <w:p w:rsidR="00712C62" w:rsidRDefault="00712C62" w:rsidP="00E0340D">
            <w:pPr>
              <w:pStyle w:val="BodyText"/>
              <w:ind w:left="0"/>
              <w:jc w:val="right"/>
            </w:pPr>
            <w:r>
              <w:t>51.1</w:t>
            </w:r>
          </w:p>
        </w:tc>
        <w:tc>
          <w:tcPr>
            <w:tcW w:w="920" w:type="dxa"/>
          </w:tcPr>
          <w:p w:rsidR="00712C62" w:rsidRDefault="00712C62" w:rsidP="00E0340D">
            <w:pPr>
              <w:pStyle w:val="BodyText"/>
              <w:ind w:left="0"/>
              <w:jc w:val="right"/>
            </w:pPr>
            <w:r>
              <w:t>316.3</w:t>
            </w:r>
          </w:p>
        </w:tc>
      </w:tr>
      <w:tr w:rsidR="00712C62" w:rsidTr="00E0340D">
        <w:tc>
          <w:tcPr>
            <w:tcW w:w="1395" w:type="dxa"/>
          </w:tcPr>
          <w:p w:rsidR="00712C62" w:rsidRDefault="00712C62" w:rsidP="00870CC5">
            <w:pPr>
              <w:pStyle w:val="BodyText"/>
              <w:ind w:left="0"/>
            </w:pPr>
            <w:r>
              <w:t>Turnover ($mil)</w:t>
            </w:r>
          </w:p>
        </w:tc>
        <w:tc>
          <w:tcPr>
            <w:tcW w:w="919" w:type="dxa"/>
          </w:tcPr>
          <w:p w:rsidR="00712C62" w:rsidRDefault="00712C62" w:rsidP="00E0340D">
            <w:pPr>
              <w:pStyle w:val="BodyText"/>
              <w:ind w:left="0"/>
              <w:jc w:val="right"/>
            </w:pPr>
            <w:r>
              <w:t>368</w:t>
            </w:r>
          </w:p>
        </w:tc>
        <w:tc>
          <w:tcPr>
            <w:tcW w:w="920" w:type="dxa"/>
          </w:tcPr>
          <w:p w:rsidR="00712C62" w:rsidRDefault="00974367" w:rsidP="00E0340D">
            <w:pPr>
              <w:pStyle w:val="BodyText"/>
              <w:ind w:left="0"/>
              <w:jc w:val="right"/>
            </w:pPr>
            <w:r>
              <w:t>379.6</w:t>
            </w:r>
          </w:p>
        </w:tc>
        <w:tc>
          <w:tcPr>
            <w:tcW w:w="919" w:type="dxa"/>
          </w:tcPr>
          <w:p w:rsidR="00712C62" w:rsidRDefault="00974367" w:rsidP="00E0340D">
            <w:pPr>
              <w:pStyle w:val="BodyText"/>
              <w:ind w:left="0"/>
              <w:jc w:val="right"/>
            </w:pPr>
            <w:r>
              <w:t>1,112.6</w:t>
            </w:r>
          </w:p>
        </w:tc>
        <w:tc>
          <w:tcPr>
            <w:tcW w:w="920" w:type="dxa"/>
          </w:tcPr>
          <w:p w:rsidR="00712C62" w:rsidRDefault="00974367" w:rsidP="00E0340D">
            <w:pPr>
              <w:pStyle w:val="BodyText"/>
              <w:ind w:left="0"/>
              <w:jc w:val="right"/>
            </w:pPr>
            <w:r>
              <w:t>6.57</w:t>
            </w:r>
          </w:p>
        </w:tc>
        <w:tc>
          <w:tcPr>
            <w:tcW w:w="919" w:type="dxa"/>
          </w:tcPr>
          <w:p w:rsidR="00712C62" w:rsidRDefault="00974367" w:rsidP="00E0340D">
            <w:pPr>
              <w:pStyle w:val="BodyText"/>
              <w:ind w:left="0"/>
              <w:jc w:val="right"/>
            </w:pPr>
            <w:r>
              <w:t>19.8</w:t>
            </w:r>
          </w:p>
        </w:tc>
        <w:tc>
          <w:tcPr>
            <w:tcW w:w="920" w:type="dxa"/>
          </w:tcPr>
          <w:p w:rsidR="00712C62" w:rsidRDefault="00974367" w:rsidP="00E0340D">
            <w:pPr>
              <w:pStyle w:val="BodyText"/>
              <w:ind w:left="0"/>
              <w:jc w:val="right"/>
            </w:pPr>
            <w:r>
              <w:t>172.5</w:t>
            </w:r>
          </w:p>
        </w:tc>
      </w:tr>
      <w:tr w:rsidR="00712C62" w:rsidTr="00E0340D">
        <w:tc>
          <w:tcPr>
            <w:tcW w:w="1395" w:type="dxa"/>
          </w:tcPr>
          <w:p w:rsidR="00712C62" w:rsidRDefault="00712C62" w:rsidP="00870CC5">
            <w:pPr>
              <w:pStyle w:val="BodyText"/>
              <w:ind w:left="0"/>
            </w:pPr>
            <w:r>
              <w:t>Exports ($mil)</w:t>
            </w:r>
          </w:p>
        </w:tc>
        <w:tc>
          <w:tcPr>
            <w:tcW w:w="919" w:type="dxa"/>
          </w:tcPr>
          <w:p w:rsidR="00712C62" w:rsidRDefault="00712C62" w:rsidP="00E0340D">
            <w:pPr>
              <w:pStyle w:val="BodyText"/>
              <w:ind w:left="0"/>
              <w:jc w:val="right"/>
            </w:pPr>
            <w:r>
              <w:t>368</w:t>
            </w:r>
          </w:p>
        </w:tc>
        <w:tc>
          <w:tcPr>
            <w:tcW w:w="920" w:type="dxa"/>
          </w:tcPr>
          <w:p w:rsidR="00712C62" w:rsidRDefault="00974367" w:rsidP="00E0340D">
            <w:pPr>
              <w:pStyle w:val="BodyText"/>
              <w:ind w:left="0"/>
              <w:jc w:val="right"/>
            </w:pPr>
            <w:r>
              <w:t>43.2</w:t>
            </w:r>
          </w:p>
        </w:tc>
        <w:tc>
          <w:tcPr>
            <w:tcW w:w="919" w:type="dxa"/>
          </w:tcPr>
          <w:p w:rsidR="00712C62" w:rsidRDefault="00974367" w:rsidP="00E0340D">
            <w:pPr>
              <w:pStyle w:val="BodyText"/>
              <w:ind w:left="0"/>
              <w:jc w:val="right"/>
            </w:pPr>
            <w:r>
              <w:t>191.6</w:t>
            </w:r>
          </w:p>
        </w:tc>
        <w:tc>
          <w:tcPr>
            <w:tcW w:w="920" w:type="dxa"/>
          </w:tcPr>
          <w:p w:rsidR="00712C62" w:rsidRDefault="00712C62" w:rsidP="00E0340D">
            <w:pPr>
              <w:pStyle w:val="BodyText"/>
              <w:ind w:left="0"/>
              <w:jc w:val="right"/>
            </w:pPr>
            <w:r>
              <w:t>0</w:t>
            </w:r>
          </w:p>
        </w:tc>
        <w:tc>
          <w:tcPr>
            <w:tcW w:w="919" w:type="dxa"/>
          </w:tcPr>
          <w:p w:rsidR="00712C62" w:rsidRDefault="00974367" w:rsidP="00E0340D">
            <w:pPr>
              <w:pStyle w:val="BodyText"/>
              <w:ind w:left="0"/>
              <w:jc w:val="right"/>
            </w:pPr>
            <w:r>
              <w:t>0.33</w:t>
            </w:r>
          </w:p>
        </w:tc>
        <w:tc>
          <w:tcPr>
            <w:tcW w:w="920" w:type="dxa"/>
          </w:tcPr>
          <w:p w:rsidR="00712C62" w:rsidRDefault="00974367" w:rsidP="00E0340D">
            <w:pPr>
              <w:pStyle w:val="BodyText"/>
              <w:ind w:left="0"/>
              <w:jc w:val="right"/>
            </w:pPr>
            <w:r>
              <w:t>9.56</w:t>
            </w:r>
          </w:p>
        </w:tc>
      </w:tr>
      <w:tr w:rsidR="00712C62" w:rsidTr="00E0340D">
        <w:tc>
          <w:tcPr>
            <w:tcW w:w="1395" w:type="dxa"/>
          </w:tcPr>
          <w:p w:rsidR="00712C62" w:rsidRDefault="00712C62" w:rsidP="00870CC5">
            <w:pPr>
              <w:pStyle w:val="BodyText"/>
              <w:ind w:left="0"/>
            </w:pPr>
            <w:r>
              <w:t>Cap.Inv. ($mil)</w:t>
            </w:r>
          </w:p>
        </w:tc>
        <w:tc>
          <w:tcPr>
            <w:tcW w:w="919" w:type="dxa"/>
          </w:tcPr>
          <w:p w:rsidR="00712C62" w:rsidRDefault="00712C62" w:rsidP="00E0340D">
            <w:pPr>
              <w:pStyle w:val="BodyText"/>
              <w:ind w:left="0"/>
              <w:jc w:val="right"/>
            </w:pPr>
            <w:r>
              <w:t>456</w:t>
            </w:r>
          </w:p>
        </w:tc>
        <w:tc>
          <w:tcPr>
            <w:tcW w:w="920" w:type="dxa"/>
          </w:tcPr>
          <w:p w:rsidR="00712C62" w:rsidRDefault="00974367" w:rsidP="00E0340D">
            <w:pPr>
              <w:pStyle w:val="BodyText"/>
              <w:ind w:left="0"/>
              <w:jc w:val="right"/>
            </w:pPr>
            <w:r>
              <w:t>14.8</w:t>
            </w:r>
          </w:p>
        </w:tc>
        <w:tc>
          <w:tcPr>
            <w:tcW w:w="919" w:type="dxa"/>
          </w:tcPr>
          <w:p w:rsidR="00712C62" w:rsidRDefault="00974367" w:rsidP="00E0340D">
            <w:pPr>
              <w:pStyle w:val="BodyText"/>
              <w:ind w:left="0"/>
              <w:jc w:val="right"/>
            </w:pPr>
            <w:r>
              <w:t>60.9</w:t>
            </w:r>
          </w:p>
        </w:tc>
        <w:tc>
          <w:tcPr>
            <w:tcW w:w="920" w:type="dxa"/>
          </w:tcPr>
          <w:p w:rsidR="00712C62" w:rsidRDefault="00974367" w:rsidP="00E0340D">
            <w:pPr>
              <w:pStyle w:val="BodyText"/>
              <w:ind w:left="0"/>
              <w:jc w:val="right"/>
            </w:pPr>
            <w:r>
              <w:t>0.07</w:t>
            </w:r>
          </w:p>
        </w:tc>
        <w:tc>
          <w:tcPr>
            <w:tcW w:w="919" w:type="dxa"/>
          </w:tcPr>
          <w:p w:rsidR="00712C62" w:rsidRDefault="00974367" w:rsidP="00E0340D">
            <w:pPr>
              <w:pStyle w:val="BodyText"/>
              <w:ind w:left="0"/>
              <w:jc w:val="right"/>
            </w:pPr>
            <w:r>
              <w:t>0.57</w:t>
            </w:r>
          </w:p>
        </w:tc>
        <w:tc>
          <w:tcPr>
            <w:tcW w:w="920" w:type="dxa"/>
          </w:tcPr>
          <w:p w:rsidR="00712C62" w:rsidRDefault="00974367" w:rsidP="00E0340D">
            <w:pPr>
              <w:pStyle w:val="BodyText"/>
              <w:ind w:left="0"/>
              <w:jc w:val="right"/>
            </w:pPr>
            <w:r>
              <w:t>4.01</w:t>
            </w:r>
          </w:p>
        </w:tc>
      </w:tr>
      <w:tr w:rsidR="00712C62" w:rsidTr="00E0340D">
        <w:tc>
          <w:tcPr>
            <w:tcW w:w="1395" w:type="dxa"/>
          </w:tcPr>
          <w:p w:rsidR="00712C62" w:rsidRDefault="00712C62" w:rsidP="00870CC5">
            <w:pPr>
              <w:pStyle w:val="BodyText"/>
              <w:ind w:left="0"/>
            </w:pPr>
            <w:r>
              <w:t xml:space="preserve">Foreign </w:t>
            </w:r>
            <w:r w:rsidR="00E0340D">
              <w:t>Shareholding (per cent</w:t>
            </w:r>
            <w:r>
              <w:t>)</w:t>
            </w:r>
          </w:p>
        </w:tc>
        <w:tc>
          <w:tcPr>
            <w:tcW w:w="919" w:type="dxa"/>
          </w:tcPr>
          <w:p w:rsidR="00712C62" w:rsidRDefault="00712C62" w:rsidP="00E0340D">
            <w:pPr>
              <w:pStyle w:val="BodyText"/>
              <w:ind w:left="0"/>
              <w:jc w:val="right"/>
            </w:pPr>
            <w:r>
              <w:t>349</w:t>
            </w:r>
          </w:p>
        </w:tc>
        <w:tc>
          <w:tcPr>
            <w:tcW w:w="920" w:type="dxa"/>
          </w:tcPr>
          <w:p w:rsidR="00712C62" w:rsidRDefault="00712C62" w:rsidP="00E0340D">
            <w:pPr>
              <w:pStyle w:val="BodyText"/>
              <w:ind w:left="0"/>
              <w:jc w:val="right"/>
            </w:pPr>
            <w:r>
              <w:t>2.58</w:t>
            </w:r>
          </w:p>
        </w:tc>
        <w:tc>
          <w:tcPr>
            <w:tcW w:w="919" w:type="dxa"/>
          </w:tcPr>
          <w:p w:rsidR="00712C62" w:rsidRDefault="00712C62" w:rsidP="00E0340D">
            <w:pPr>
              <w:pStyle w:val="BodyText"/>
              <w:ind w:left="0"/>
              <w:jc w:val="right"/>
            </w:pPr>
            <w:r>
              <w:t>15.4</w:t>
            </w:r>
          </w:p>
        </w:tc>
        <w:tc>
          <w:tcPr>
            <w:tcW w:w="920" w:type="dxa"/>
          </w:tcPr>
          <w:p w:rsidR="00712C62" w:rsidRDefault="00712C62" w:rsidP="00E0340D">
            <w:pPr>
              <w:pStyle w:val="BodyText"/>
              <w:ind w:left="0"/>
              <w:jc w:val="right"/>
            </w:pPr>
            <w:r>
              <w:t>0</w:t>
            </w:r>
          </w:p>
        </w:tc>
        <w:tc>
          <w:tcPr>
            <w:tcW w:w="919" w:type="dxa"/>
          </w:tcPr>
          <w:p w:rsidR="00712C62" w:rsidRDefault="00712C62" w:rsidP="00E0340D">
            <w:pPr>
              <w:pStyle w:val="BodyText"/>
              <w:ind w:left="0"/>
              <w:jc w:val="right"/>
            </w:pPr>
            <w:r>
              <w:t>0</w:t>
            </w:r>
          </w:p>
        </w:tc>
        <w:tc>
          <w:tcPr>
            <w:tcW w:w="920" w:type="dxa"/>
          </w:tcPr>
          <w:p w:rsidR="00712C62" w:rsidRDefault="00712C62" w:rsidP="00E0340D">
            <w:pPr>
              <w:pStyle w:val="BodyText"/>
              <w:ind w:left="0"/>
              <w:jc w:val="right"/>
            </w:pPr>
            <w:r>
              <w:t>0</w:t>
            </w:r>
          </w:p>
        </w:tc>
      </w:tr>
    </w:tbl>
    <w:p w:rsidR="00A9193F" w:rsidRPr="00A9193F" w:rsidRDefault="00A9193F" w:rsidP="00A9193F">
      <w:pPr>
        <w:pStyle w:val="Source"/>
      </w:pPr>
      <w:r w:rsidRPr="00A9193F">
        <w:t xml:space="preserve">Source: Author’s calculations based on the </w:t>
      </w:r>
      <w:r w:rsidR="00DB7F42">
        <w:t>BLADE</w:t>
      </w:r>
    </w:p>
    <w:p w:rsidR="0087569B" w:rsidRDefault="0087569B" w:rsidP="00477E85">
      <w:pPr>
        <w:pStyle w:val="BodyText"/>
        <w:sectPr w:rsidR="0087569B" w:rsidSect="00354EA2">
          <w:pgSz w:w="11906" w:h="16838" w:code="9"/>
          <w:pgMar w:top="1440" w:right="1440" w:bottom="1440" w:left="1440" w:header="709" w:footer="709" w:gutter="0"/>
          <w:cols w:space="708"/>
          <w:docGrid w:linePitch="360"/>
        </w:sectPr>
      </w:pPr>
    </w:p>
    <w:p w:rsidR="0087569B" w:rsidRDefault="0087569B" w:rsidP="00477E85">
      <w:pPr>
        <w:pStyle w:val="BodyText"/>
        <w:sectPr w:rsidR="0087569B" w:rsidSect="0087569B">
          <w:type w:val="continuous"/>
          <w:pgSz w:w="11906" w:h="16838" w:code="9"/>
          <w:pgMar w:top="1440" w:right="1440" w:bottom="1440" w:left="1440" w:header="709" w:footer="709" w:gutter="0"/>
          <w:cols w:space="708"/>
          <w:docGrid w:linePitch="360"/>
        </w:sectPr>
      </w:pPr>
    </w:p>
    <w:p w:rsidR="0087569B" w:rsidRDefault="0087569B" w:rsidP="00477E85">
      <w:pPr>
        <w:pStyle w:val="BodyText"/>
      </w:pPr>
    </w:p>
    <w:p w:rsidR="00477E85" w:rsidRDefault="00A9193F" w:rsidP="00477E85">
      <w:pPr>
        <w:pStyle w:val="BodyText"/>
      </w:pPr>
      <w:r>
        <w:t>On</w:t>
      </w:r>
      <w:r w:rsidR="002F79BE">
        <w:t>e</w:t>
      </w:r>
      <w:r>
        <w:t xml:space="preserve"> notable finding from</w:t>
      </w:r>
      <w:r w:rsidR="00477E85">
        <w:t xml:space="preserve"> the tables is that firms rec</w:t>
      </w:r>
      <w:r>
        <w:t xml:space="preserve">eiving CleanTech are very </w:t>
      </w:r>
      <w:r w:rsidR="00477E85">
        <w:t xml:space="preserve">likely to have </w:t>
      </w:r>
      <w:r>
        <w:t>zero percent</w:t>
      </w:r>
      <w:r w:rsidR="00477E85">
        <w:t xml:space="preserve"> foreign ownership. </w:t>
      </w:r>
      <w:r w:rsidR="00E13CCA">
        <w:t>The majority</w:t>
      </w:r>
      <w:r w:rsidR="00477E85">
        <w:t xml:space="preserve"> of t</w:t>
      </w:r>
      <w:r w:rsidR="002F79BE">
        <w:t>he grants went to fully Australian-owned</w:t>
      </w:r>
      <w:r w:rsidR="00477E85">
        <w:t xml:space="preserve"> firms. There are exceptions; for instance, Coca-Cola Amatil and GlaxoSmithKline are two foreign owned companies that used CleanTech grants.</w:t>
      </w:r>
      <w:r w:rsidR="003151B9">
        <w:rPr>
          <w:rStyle w:val="FootnoteReference"/>
        </w:rPr>
        <w:footnoteReference w:id="5"/>
      </w:r>
    </w:p>
    <w:p w:rsidR="007618C3" w:rsidRDefault="007618C3" w:rsidP="0088746F">
      <w:pPr>
        <w:pStyle w:val="BodyText"/>
      </w:pPr>
      <w:r>
        <w:t xml:space="preserve">The </w:t>
      </w:r>
      <w:r w:rsidR="00477E85">
        <w:t>other notable take form the</w:t>
      </w:r>
      <w:r>
        <w:t xml:space="preserve"> tables is that firms that receive</w:t>
      </w:r>
      <w:r w:rsidR="00082B3B">
        <w:t>d</w:t>
      </w:r>
      <w:r>
        <w:t xml:space="preserve"> CleanTech </w:t>
      </w:r>
      <w:r w:rsidR="00082B3B">
        <w:t xml:space="preserve">grants </w:t>
      </w:r>
      <w:r>
        <w:t xml:space="preserve">are </w:t>
      </w:r>
      <w:r w:rsidR="0053223D">
        <w:t>on average</w:t>
      </w:r>
      <w:r>
        <w:t xml:space="preserve"> larger</w:t>
      </w:r>
      <w:r w:rsidR="00AD7077">
        <w:t xml:space="preserve"> (as judged by FTE and turnover numbers)</w:t>
      </w:r>
      <w:r>
        <w:t xml:space="preserve"> than firms that did not have any CleanTech projects.</w:t>
      </w:r>
      <w:r w:rsidR="00AD7077">
        <w:t xml:space="preserve"> Their exports value and capital expenditures are also larger on average.</w:t>
      </w:r>
      <w:r>
        <w:t xml:space="preserve"> This difference in size is manifested not only in the mean values but also in all the quartiles. </w:t>
      </w:r>
      <w:r w:rsidR="007506D1">
        <w:t xml:space="preserve">However, CleanTech firms are also more dispersed in their sizes. </w:t>
      </w:r>
      <w:r w:rsidR="00854FE2">
        <w:t>It should be noted that CleanTech grants were offered to particular facilities within firms. It is quite possible that the facility that received the grant is small whereas the parent firm</w:t>
      </w:r>
      <w:r w:rsidR="0053223D">
        <w:t>’s large size</w:t>
      </w:r>
      <w:r w:rsidR="00854FE2">
        <w:t xml:space="preserve"> is</w:t>
      </w:r>
      <w:r w:rsidR="0053223D">
        <w:t xml:space="preserve"> driving the statistics in </w:t>
      </w:r>
      <w:r w:rsidR="00317E8A">
        <w:fldChar w:fldCharType="begin"/>
      </w:r>
      <w:r w:rsidR="00317E8A">
        <w:instrText xml:space="preserve"> REF _Ref446064866 \h </w:instrText>
      </w:r>
      <w:r w:rsidR="00317E8A">
        <w:fldChar w:fldCharType="separate"/>
      </w:r>
      <w:r w:rsidR="00317E8A">
        <w:t xml:space="preserve">Table </w:t>
      </w:r>
      <w:r w:rsidR="00317E8A">
        <w:rPr>
          <w:noProof/>
        </w:rPr>
        <w:t>3</w:t>
      </w:r>
      <w:r w:rsidR="00317E8A">
        <w:t>.</w:t>
      </w:r>
      <w:r w:rsidR="00317E8A">
        <w:rPr>
          <w:noProof/>
        </w:rPr>
        <w:t>2</w:t>
      </w:r>
      <w:r w:rsidR="00317E8A">
        <w:fldChar w:fldCharType="end"/>
      </w:r>
      <w:r w:rsidR="00854FE2">
        <w:t>.</w:t>
      </w:r>
    </w:p>
    <w:p w:rsidR="00774252" w:rsidRDefault="00B22773" w:rsidP="0088746F">
      <w:pPr>
        <w:pStyle w:val="BodyText"/>
        <w:sectPr w:rsidR="00774252" w:rsidSect="0087569B">
          <w:type w:val="continuous"/>
          <w:pgSz w:w="11906" w:h="16838" w:code="9"/>
          <w:pgMar w:top="1440" w:right="1440" w:bottom="1440" w:left="1440" w:header="709" w:footer="709" w:gutter="0"/>
          <w:cols w:space="708"/>
          <w:docGrid w:linePitch="360"/>
        </w:sectPr>
      </w:pPr>
      <w:r>
        <w:t>Regarding the point made about the size of CleanTech firms</w:t>
      </w:r>
      <w:r w:rsidR="00477E85">
        <w:t xml:space="preserve">, one might argue that the small number of CleanTech firms might be affecting the size statistics. To emphasise that the CleanTech programme mostly ended up with larger firms, I use a Gaussian kernel with a bandwidth of 0.15 for the log of employment and use it to estimate the total number of firms and then the total number of CleanTech firms at different employment </w:t>
      </w:r>
      <w:r w:rsidR="00344388">
        <w:t>(</w:t>
      </w:r>
      <w:r w:rsidR="00344388">
        <w:rPr>
          <w:i/>
        </w:rPr>
        <w:t>FTE</w:t>
      </w:r>
      <w:r w:rsidR="00344388">
        <w:t xml:space="preserve">) </w:t>
      </w:r>
      <w:r w:rsidR="00477E85">
        <w:t xml:space="preserve">sizes. </w:t>
      </w:r>
      <w:r w:rsidR="003C2429">
        <w:t xml:space="preserve">The </w:t>
      </w:r>
      <w:r w:rsidR="00477E85">
        <w:t>percentage of CleanTech firms from the total</w:t>
      </w:r>
      <w:r w:rsidR="003C2429">
        <w:t xml:space="preserve"> estimated in this way is illustrated in </w:t>
      </w:r>
      <w:r w:rsidR="003C2429">
        <w:fldChar w:fldCharType="begin"/>
      </w:r>
      <w:r w:rsidR="003C2429">
        <w:instrText xml:space="preserve"> REF _Ref451162184 \h </w:instrText>
      </w:r>
      <w:r w:rsidR="003C2429">
        <w:fldChar w:fldCharType="separate"/>
      </w:r>
      <w:r w:rsidR="003C2429">
        <w:t xml:space="preserve">Figure </w:t>
      </w:r>
      <w:r w:rsidR="003C2429">
        <w:rPr>
          <w:noProof/>
        </w:rPr>
        <w:t>3</w:t>
      </w:r>
      <w:r w:rsidR="003C2429">
        <w:t>.</w:t>
      </w:r>
      <w:r w:rsidR="003C2429">
        <w:rPr>
          <w:noProof/>
        </w:rPr>
        <w:t>1</w:t>
      </w:r>
      <w:r w:rsidR="003C2429">
        <w:fldChar w:fldCharType="end"/>
      </w:r>
      <w:r w:rsidR="00477E85">
        <w:t>.</w:t>
      </w:r>
      <w:r w:rsidR="00E720C9">
        <w:t xml:space="preserve"> It can be seen</w:t>
      </w:r>
      <w:r w:rsidR="008223A2">
        <w:t xml:space="preserve"> in the picture</w:t>
      </w:r>
      <w:r w:rsidR="00E720C9">
        <w:t xml:space="preserve"> that the </w:t>
      </w:r>
      <w:r w:rsidR="00EF6E6E">
        <w:t>proportion</w:t>
      </w:r>
      <w:r w:rsidR="00E720C9">
        <w:t xml:space="preserve"> o</w:t>
      </w:r>
      <w:r w:rsidR="00EF6E6E">
        <w:t>f CleanTech firms</w:t>
      </w:r>
      <w:r w:rsidR="00E720C9">
        <w:t xml:space="preserve"> is increasing with size and approaches 100 per cent among the largest firms.</w:t>
      </w:r>
      <w:r w:rsidR="00B70FFE">
        <w:t xml:space="preserve"> In other words, proportionally, the largest firms are the main recipients of the CleanTech grants</w:t>
      </w:r>
    </w:p>
    <w:p w:rsidR="0088746F" w:rsidRDefault="0088746F" w:rsidP="00774252">
      <w:pPr>
        <w:pStyle w:val="BodyText"/>
        <w:ind w:left="0"/>
      </w:pPr>
    </w:p>
    <w:p w:rsidR="00E720C9" w:rsidRDefault="00E720C9" w:rsidP="00E720C9">
      <w:pPr>
        <w:pStyle w:val="Caption"/>
      </w:pPr>
      <w:bookmarkStart w:id="5" w:name="_Ref451162184"/>
      <w:r>
        <w:t xml:space="preserve">Figure </w:t>
      </w:r>
      <w:r w:rsidR="00E27332">
        <w:fldChar w:fldCharType="begin"/>
      </w:r>
      <w:r w:rsidR="00E27332">
        <w:instrText xml:space="preserve"> STYLEREF 1 \s </w:instrText>
      </w:r>
      <w:r w:rsidR="00E27332">
        <w:fldChar w:fldCharType="separate"/>
      </w:r>
      <w:r>
        <w:rPr>
          <w:noProof/>
        </w:rPr>
        <w:t>3</w:t>
      </w:r>
      <w:r w:rsidR="00E27332">
        <w:rPr>
          <w:noProof/>
        </w:rPr>
        <w:fldChar w:fldCharType="end"/>
      </w:r>
      <w:r>
        <w:t>.</w:t>
      </w:r>
      <w:r w:rsidR="00E27332">
        <w:fldChar w:fldCharType="begin"/>
      </w:r>
      <w:r w:rsidR="00E27332">
        <w:instrText xml:space="preserve"> SEQ Figure \* ARABIC \s 1 </w:instrText>
      </w:r>
      <w:r w:rsidR="00E27332">
        <w:fldChar w:fldCharType="separate"/>
      </w:r>
      <w:r>
        <w:rPr>
          <w:noProof/>
        </w:rPr>
        <w:t>1</w:t>
      </w:r>
      <w:r w:rsidR="00E27332">
        <w:rPr>
          <w:noProof/>
        </w:rPr>
        <w:fldChar w:fldCharType="end"/>
      </w:r>
      <w:bookmarkEnd w:id="5"/>
      <w:r>
        <w:t xml:space="preserve"> The estimated percentage of CleanTech firms from the total.</w:t>
      </w:r>
    </w:p>
    <w:p w:rsidR="00477E85" w:rsidRDefault="00774252" w:rsidP="00E720C9">
      <w:pPr>
        <w:pStyle w:val="BodyText"/>
        <w:spacing w:line="480" w:lineRule="auto"/>
      </w:pPr>
      <w:r>
        <w:rPr>
          <w:noProof/>
          <w:lang w:eastAsia="en-AU"/>
        </w:rPr>
        <w:drawing>
          <wp:inline distT="0" distB="0" distL="0" distR="0">
            <wp:extent cx="4504571" cy="2877074"/>
            <wp:effectExtent l="0" t="0" r="0" b="0"/>
            <wp:docPr id="13" name="Picture 13" descr="The percentage of cleantech firms from total is increasing with size and reaches 100 per cent among the largest firms." title="Figure 3.1 The estimated percentage of CleanTech firms from the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3.1.png"/>
                    <pic:cNvPicPr/>
                  </pic:nvPicPr>
                  <pic:blipFill>
                    <a:blip r:embed="rId21">
                      <a:extLst>
                        <a:ext uri="{28A0092B-C50C-407E-A947-70E740481C1C}">
                          <a14:useLocalDpi xmlns:a14="http://schemas.microsoft.com/office/drawing/2010/main" val="0"/>
                        </a:ext>
                      </a:extLst>
                    </a:blip>
                    <a:stretch>
                      <a:fillRect/>
                    </a:stretch>
                  </pic:blipFill>
                  <pic:spPr>
                    <a:xfrm>
                      <a:off x="0" y="0"/>
                      <a:ext cx="4504571" cy="2877074"/>
                    </a:xfrm>
                    <a:prstGeom prst="rect">
                      <a:avLst/>
                    </a:prstGeom>
                  </pic:spPr>
                </pic:pic>
              </a:graphicData>
            </a:graphic>
          </wp:inline>
        </w:drawing>
      </w:r>
    </w:p>
    <w:p w:rsidR="00EF6E6E" w:rsidRDefault="00EF6E6E" w:rsidP="002935D1">
      <w:pPr>
        <w:pStyle w:val="Source"/>
        <w:spacing w:before="0" w:after="0" w:line="240" w:lineRule="auto"/>
      </w:pPr>
      <w:r>
        <w:t>Notes: Using a Gaussian kernel with the bandwidth of 0.15 for log employment.</w:t>
      </w:r>
    </w:p>
    <w:p w:rsidR="00EF6E6E" w:rsidRPr="00A9193F" w:rsidRDefault="00EF6E6E" w:rsidP="00EF6E6E">
      <w:pPr>
        <w:pStyle w:val="Source"/>
      </w:pPr>
      <w:r w:rsidRPr="00A9193F">
        <w:t xml:space="preserve">Source: Author’s calculations based on the </w:t>
      </w:r>
      <w:r w:rsidR="00DE4976">
        <w:t>BLADE</w:t>
      </w:r>
    </w:p>
    <w:p w:rsidR="0002710C" w:rsidRDefault="0002710C" w:rsidP="00614218">
      <w:pPr>
        <w:pStyle w:val="Heading1"/>
      </w:pPr>
      <w:r>
        <w:t>CleanTech versus Non-CleanTech</w:t>
      </w:r>
    </w:p>
    <w:p w:rsidR="00E537CD" w:rsidRPr="00C17CFD" w:rsidRDefault="00C17CFD" w:rsidP="00E537CD">
      <w:pPr>
        <w:pStyle w:val="BodyText"/>
      </w:pPr>
      <w:r>
        <w:t>The rate of growth in various performance variables are compared between CleanTech and non-CleanTech firms</w:t>
      </w:r>
      <w:r w:rsidR="00774640">
        <w:t xml:space="preserve"> and over time</w:t>
      </w:r>
      <w:r>
        <w:t xml:space="preserve">. </w:t>
      </w:r>
      <w:r w:rsidR="00C306B3">
        <w:t>I</w:t>
      </w:r>
      <w:r>
        <w:t>n the spirit of Davis et al. (1996)</w:t>
      </w:r>
      <w:r w:rsidR="00774640">
        <w:t xml:space="preserve">, </w:t>
      </w:r>
      <w:r w:rsidR="00C306B3">
        <w:t xml:space="preserve">the rate of growth is defined </w:t>
      </w:r>
      <w:r>
        <w:t>as:</w:t>
      </w:r>
    </w:p>
    <w:p w:rsidR="00225A54" w:rsidRDefault="00225A54" w:rsidP="002A700F">
      <w:pPr>
        <w:pStyle w:val="BodyText"/>
        <w:spacing w:before="360" w:after="240"/>
      </w:pPr>
      <m:oMathPara>
        <m:oMath>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num>
            <m:den>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e>
              </m:d>
            </m:den>
          </m:f>
        </m:oMath>
      </m:oMathPara>
    </w:p>
    <w:p w:rsidR="005E0A11" w:rsidRDefault="00C17CFD" w:rsidP="00E537CD">
      <w:pPr>
        <w:pStyle w:val="BodyText"/>
      </w:pPr>
      <w:r>
        <w:t xml:space="preserve">This particular definition guarantees that the rate of change is restricted within [-2,2] range, hence, </w:t>
      </w:r>
      <w:r w:rsidR="003C7B09">
        <w:t xml:space="preserve">no extreme value is generated and </w:t>
      </w:r>
      <w:r w:rsidR="007506D1">
        <w:t xml:space="preserve">is </w:t>
      </w:r>
      <w:r w:rsidR="003C7B09">
        <w:t xml:space="preserve">affecting </w:t>
      </w:r>
      <w:r w:rsidR="006405CE">
        <w:t xml:space="preserve">the </w:t>
      </w:r>
      <w:r w:rsidR="00774640">
        <w:t>results</w:t>
      </w:r>
      <w:r w:rsidR="006405CE">
        <w:t>.</w:t>
      </w:r>
      <w:r w:rsidR="00E31FF3">
        <w:t xml:space="preserve"> Entries and exits will be assigned 2 and -2, respectively.</w:t>
      </w:r>
    </w:p>
    <w:p w:rsidR="00DE1A63" w:rsidRDefault="003E1341" w:rsidP="00E537CD">
      <w:pPr>
        <w:pStyle w:val="BodyText"/>
      </w:pPr>
      <w:r>
        <w:t xml:space="preserve">Initially, I </w:t>
      </w:r>
      <w:r w:rsidR="00041936">
        <w:t xml:space="preserve">do a </w:t>
      </w:r>
      <w:r w:rsidR="00DE1A63">
        <w:t>simple</w:t>
      </w:r>
      <w:r w:rsidR="00041936">
        <w:t xml:space="preserve"> comparison of how CleanTech and non-CleanTech firms grow over time by estimating kernel densities </w:t>
      </w:r>
      <w:r w:rsidR="00774640">
        <w:t xml:space="preserve">of the growth rates </w:t>
      </w:r>
      <w:r w:rsidR="00041936">
        <w:t xml:space="preserve">and plotting them over two periods for each type of firms. </w:t>
      </w:r>
      <w:r w:rsidR="00DE1A63">
        <w:t>The evidence will be anecdotal as I am not accounting for difference</w:t>
      </w:r>
      <w:r w:rsidR="007506D1">
        <w:t>s</w:t>
      </w:r>
      <w:r w:rsidR="00DE1A63">
        <w:t xml:space="preserve"> in the </w:t>
      </w:r>
      <w:r w:rsidR="007506D1">
        <w:t xml:space="preserve">firm </w:t>
      </w:r>
      <w:r w:rsidR="00DE1A63">
        <w:t>characteristics</w:t>
      </w:r>
      <w:r w:rsidR="00A6125A">
        <w:t>,</w:t>
      </w:r>
      <w:r w:rsidR="00DE1A63">
        <w:t xml:space="preserve"> but </w:t>
      </w:r>
      <w:r w:rsidR="00A6125A">
        <w:t xml:space="preserve">it </w:t>
      </w:r>
      <w:r w:rsidR="00DE1A63">
        <w:t xml:space="preserve">will provide an overall picture of </w:t>
      </w:r>
      <w:r w:rsidR="000D538A">
        <w:t>dynamics</w:t>
      </w:r>
      <w:r w:rsidR="00DE1A63">
        <w:t xml:space="preserve"> prevailing </w:t>
      </w:r>
      <w:r w:rsidR="00A6125A">
        <w:t>within CleanTech firms versus that present</w:t>
      </w:r>
      <w:r w:rsidR="00DE1A63">
        <w:t xml:space="preserve"> across all other firms.</w:t>
      </w:r>
    </w:p>
    <w:p w:rsidR="004D1C5E" w:rsidRDefault="00DE1A63" w:rsidP="00E537CD">
      <w:pPr>
        <w:pStyle w:val="BodyText"/>
      </w:pPr>
      <w:r>
        <w:t>Specifically, I will compare the growth rates from 2009 to 2011 to those</w:t>
      </w:r>
      <w:r w:rsidR="00AF3727">
        <w:t xml:space="preserve"> of 2011 to 2013 (the latest</w:t>
      </w:r>
      <w:r>
        <w:t xml:space="preserve"> available</w:t>
      </w:r>
      <w:r w:rsidR="00AF3727">
        <w:t xml:space="preserve"> year in the </w:t>
      </w:r>
      <w:r w:rsidR="00F130F8">
        <w:t>BLADE</w:t>
      </w:r>
      <w:r>
        <w:t xml:space="preserve">). </w:t>
      </w:r>
      <w:r w:rsidR="00041936">
        <w:t>The first period</w:t>
      </w:r>
      <w:r>
        <w:t>, from 2009 to 2011, is indicative of pre-CleanTech and pre-carbon pricing behaviour of firms</w:t>
      </w:r>
      <w:r w:rsidR="00041936">
        <w:t xml:space="preserve">. </w:t>
      </w:r>
      <w:r w:rsidR="004D1C5E">
        <w:t>The Clean Energy Bill</w:t>
      </w:r>
      <w:r w:rsidR="00D802CE">
        <w:t xml:space="preserve"> of 2011</w:t>
      </w:r>
      <w:r w:rsidR="00BC5CCA">
        <w:t xml:space="preserve"> </w:t>
      </w:r>
      <w:r w:rsidR="00AF3727">
        <w:t>was enacted</w:t>
      </w:r>
      <w:r w:rsidR="004D1C5E">
        <w:t xml:space="preserve"> on </w:t>
      </w:r>
      <w:r w:rsidR="00AF3727">
        <w:t>18 No</w:t>
      </w:r>
      <w:r w:rsidR="0044521B">
        <w:t>v</w:t>
      </w:r>
      <w:r w:rsidR="00AF3727">
        <w:t>ember</w:t>
      </w:r>
      <w:r w:rsidR="004D1C5E">
        <w:t xml:space="preserve"> 2011</w:t>
      </w:r>
      <w:r w:rsidR="00BC5CCA">
        <w:t xml:space="preserve"> and came into force on </w:t>
      </w:r>
      <w:r w:rsidR="00AF3727">
        <w:t xml:space="preserve">1 </w:t>
      </w:r>
      <w:r w:rsidR="00BC5CCA">
        <w:t>July</w:t>
      </w:r>
      <w:r w:rsidR="004D1C5E">
        <w:t xml:space="preserve"> 2012, leaving ample time for firms </w:t>
      </w:r>
      <w:r w:rsidR="00BC5CCA">
        <w:t xml:space="preserve">to respond </w:t>
      </w:r>
      <w:r w:rsidR="00267F2D">
        <w:t xml:space="preserve">early </w:t>
      </w:r>
      <w:r w:rsidR="00BC5CCA">
        <w:t>and try to</w:t>
      </w:r>
      <w:r w:rsidR="004D1C5E">
        <w:t xml:space="preserve"> minimise their liabilities under the new emission law.</w:t>
      </w:r>
      <w:r w:rsidR="00BC5CCA">
        <w:t xml:space="preserve"> Therefore, </w:t>
      </w:r>
      <w:r w:rsidR="009F065A">
        <w:t xml:space="preserve">I consider </w:t>
      </w:r>
      <w:r w:rsidR="00AF3727">
        <w:t xml:space="preserve">the </w:t>
      </w:r>
      <w:r w:rsidR="00BC5CCA">
        <w:t xml:space="preserve">year 2011 </w:t>
      </w:r>
      <w:r w:rsidR="009F065A">
        <w:t>t</w:t>
      </w:r>
      <w:r w:rsidR="00BC5CCA">
        <w:t>he last yea</w:t>
      </w:r>
      <w:r w:rsidR="000846B7">
        <w:t>r before firms</w:t>
      </w:r>
      <w:r w:rsidR="00BC5CCA">
        <w:t xml:space="preserve"> </w:t>
      </w:r>
      <w:r w:rsidR="009F065A">
        <w:t>are affected by the</w:t>
      </w:r>
      <w:r w:rsidR="00E52290">
        <w:t xml:space="preserve"> legislation</w:t>
      </w:r>
      <w:r w:rsidR="00BC5CCA">
        <w:t>.</w:t>
      </w:r>
    </w:p>
    <w:p w:rsidR="003E1341" w:rsidRPr="00041936" w:rsidRDefault="007B6F87" w:rsidP="00E537CD">
      <w:pPr>
        <w:pStyle w:val="BodyText"/>
      </w:pPr>
      <w:r>
        <w:t>By the same token, t</w:t>
      </w:r>
      <w:r w:rsidR="00C27760">
        <w:t xml:space="preserve">he </w:t>
      </w:r>
      <w:r w:rsidR="00DE1A63">
        <w:t>period</w:t>
      </w:r>
      <w:r w:rsidR="00F96F13">
        <w:t xml:space="preserve"> from 2011 to 2013 signifies the </w:t>
      </w:r>
      <w:r w:rsidR="000D538A">
        <w:t>behaviours</w:t>
      </w:r>
      <w:r w:rsidR="00DE1A63">
        <w:t xml:space="preserve"> of firms </w:t>
      </w:r>
      <w:r w:rsidR="00C2135C">
        <w:t xml:space="preserve">affected by </w:t>
      </w:r>
      <w:r w:rsidR="00DE1A63">
        <w:t xml:space="preserve">the </w:t>
      </w:r>
      <w:r w:rsidR="00F96F13">
        <w:t>Car</w:t>
      </w:r>
      <w:r w:rsidR="00DE1A63">
        <w:t>bon Pricing Scheme</w:t>
      </w:r>
      <w:r w:rsidR="000F3150">
        <w:t>.</w:t>
      </w:r>
      <w:r w:rsidR="00E93F0C">
        <w:t xml:space="preserve"> T</w:t>
      </w:r>
      <w:r w:rsidR="000F3150">
        <w:t>he use of 2011 as the starting year is helpful in capturing the full impact</w:t>
      </w:r>
      <w:r w:rsidR="002C07C9">
        <w:t xml:space="preserve"> of the programme and the trading scheme</w:t>
      </w:r>
      <w:r w:rsidR="00DE1A63">
        <w:t>.</w:t>
      </w:r>
      <w:r w:rsidR="00F96F13">
        <w:t xml:space="preserve"> A comparison from the first to second period helps to und</w:t>
      </w:r>
      <w:r w:rsidR="00013270">
        <w:t>erline how business dynamics were</w:t>
      </w:r>
      <w:r w:rsidR="00F96F13">
        <w:t xml:space="preserve"> impacted by the introduction of the regulations</w:t>
      </w:r>
      <w:r w:rsidR="00D339BA">
        <w:t>. I will conduct this comparison by contrasting the change in the performance of non</w:t>
      </w:r>
      <w:r w:rsidR="000E3C83">
        <w:t>-CleanTech and</w:t>
      </w:r>
      <w:r w:rsidR="00C27760">
        <w:t xml:space="preserve"> </w:t>
      </w:r>
      <w:r w:rsidR="00F96F13">
        <w:t>CleanTech firms</w:t>
      </w:r>
      <w:r w:rsidR="0008180C">
        <w:t xml:space="preserve"> from the </w:t>
      </w:r>
      <w:r w:rsidR="00431C86">
        <w:t>first</w:t>
      </w:r>
      <w:r w:rsidR="0008180C">
        <w:t xml:space="preserve"> to the second period</w:t>
      </w:r>
      <w:r w:rsidR="00F96F13">
        <w:t>.</w:t>
      </w:r>
    </w:p>
    <w:p w:rsidR="00954CEE" w:rsidRDefault="00317E8A" w:rsidP="00954CEE">
      <w:pPr>
        <w:pStyle w:val="BodyText"/>
      </w:pPr>
      <w:r>
        <w:fldChar w:fldCharType="begin"/>
      </w:r>
      <w:r>
        <w:instrText xml:space="preserve"> REF _Ref446064975 \h </w:instrText>
      </w:r>
      <w:r>
        <w:fldChar w:fldCharType="separate"/>
      </w:r>
      <w:r>
        <w:t xml:space="preserve">Figure </w:t>
      </w:r>
      <w:r>
        <w:rPr>
          <w:noProof/>
        </w:rPr>
        <w:t>4</w:t>
      </w:r>
      <w:r>
        <w:t>.</w:t>
      </w:r>
      <w:r>
        <w:rPr>
          <w:noProof/>
        </w:rPr>
        <w:t>1</w:t>
      </w:r>
      <w:r>
        <w:fldChar w:fldCharType="end"/>
      </w:r>
      <w:r>
        <w:t xml:space="preserve"> </w:t>
      </w:r>
      <w:r w:rsidR="00954CEE">
        <w:t>shows the densi</w:t>
      </w:r>
      <w:r w:rsidR="00C27760">
        <w:t xml:space="preserve">ty estimates for CleanTech and non-CleanTech firms during </w:t>
      </w:r>
      <w:r w:rsidR="00CD3243">
        <w:t xml:space="preserve">the </w:t>
      </w:r>
      <w:r w:rsidR="00C27760">
        <w:t>200</w:t>
      </w:r>
      <w:r w:rsidR="00954CEE">
        <w:t>9 to 2011 period. The way the distributions are position</w:t>
      </w:r>
      <w:r w:rsidR="00C27760">
        <w:t>ed</w:t>
      </w:r>
      <w:r w:rsidR="00954CEE">
        <w:t xml:space="preserve"> relative to zero shows that a larger fraction of firms contracted</w:t>
      </w:r>
      <w:r w:rsidR="00C27760">
        <w:t xml:space="preserve"> in size</w:t>
      </w:r>
      <w:r w:rsidR="00954CEE">
        <w:t xml:space="preserve"> during this period regardless of the type. I</w:t>
      </w:r>
      <w:r w:rsidR="00CA5C62">
        <w:t>gnoring the entries and exits (at -2 and 2)</w:t>
      </w:r>
      <w:r w:rsidR="00954CEE">
        <w:t>, both CleanTech and non-CleanTech firms beh</w:t>
      </w:r>
      <w:r w:rsidR="00CD3243">
        <w:t>aved</w:t>
      </w:r>
      <w:r w:rsidR="007506D1">
        <w:t xml:space="preserve"> similarly before</w:t>
      </w:r>
      <w:r w:rsidR="00954CEE">
        <w:t xml:space="preserve"> </w:t>
      </w:r>
      <w:r w:rsidR="00CD3243">
        <w:t xml:space="preserve">the </w:t>
      </w:r>
      <w:r w:rsidR="00F57544">
        <w:t xml:space="preserve">carbon pricing and CleanTech </w:t>
      </w:r>
      <w:r w:rsidR="00954CEE">
        <w:t>programme</w:t>
      </w:r>
      <w:r w:rsidR="00F57544">
        <w:t>s were</w:t>
      </w:r>
      <w:r w:rsidR="00954CEE">
        <w:t xml:space="preserve"> introduced.</w:t>
      </w:r>
    </w:p>
    <w:p w:rsidR="005E0A11" w:rsidRDefault="00317E8A" w:rsidP="00317E8A">
      <w:pPr>
        <w:pStyle w:val="Caption"/>
      </w:pPr>
      <w:bookmarkStart w:id="6" w:name="_Ref446064975"/>
      <w:r>
        <w:t xml:space="preserve">Figure </w:t>
      </w:r>
      <w:r w:rsidR="00E27332">
        <w:fldChar w:fldCharType="begin"/>
      </w:r>
      <w:r w:rsidR="00E27332">
        <w:instrText xml:space="preserve"> STYLEREF 1 \s </w:instrText>
      </w:r>
      <w:r w:rsidR="00E27332">
        <w:fldChar w:fldCharType="separate"/>
      </w:r>
      <w:r w:rsidR="00E720C9">
        <w:rPr>
          <w:noProof/>
        </w:rPr>
        <w:t>4</w:t>
      </w:r>
      <w:r w:rsidR="00E27332">
        <w:rPr>
          <w:noProof/>
        </w:rPr>
        <w:fldChar w:fldCharType="end"/>
      </w:r>
      <w:r w:rsidR="00E720C9">
        <w:t>.</w:t>
      </w:r>
      <w:r w:rsidR="00E27332">
        <w:fldChar w:fldCharType="begin"/>
      </w:r>
      <w:r w:rsidR="00E27332">
        <w:instrText xml:space="preserve"> SEQ Figure \* ARABIC \s 1 </w:instrText>
      </w:r>
      <w:r w:rsidR="00E27332">
        <w:fldChar w:fldCharType="separate"/>
      </w:r>
      <w:r w:rsidR="00E720C9">
        <w:rPr>
          <w:noProof/>
        </w:rPr>
        <w:t>1</w:t>
      </w:r>
      <w:r w:rsidR="00E27332">
        <w:rPr>
          <w:noProof/>
        </w:rPr>
        <w:fldChar w:fldCharType="end"/>
      </w:r>
      <w:bookmarkEnd w:id="6"/>
      <w:r w:rsidR="005E0A11">
        <w:t xml:space="preserve">: </w:t>
      </w:r>
      <w:r w:rsidR="007506D1">
        <w:t xml:space="preserve">The distribution of FTE growth </w:t>
      </w:r>
      <w:r w:rsidR="0008180C">
        <w:t>(2009</w:t>
      </w:r>
      <w:r w:rsidR="0008180C">
        <w:rPr>
          <w:rFonts w:cs="Arial"/>
        </w:rPr>
        <w:t>−</w:t>
      </w:r>
      <w:r w:rsidR="00566D20">
        <w:t>2011</w:t>
      </w:r>
      <w:r w:rsidR="0008180C">
        <w:t xml:space="preserve">): </w:t>
      </w:r>
      <w:r w:rsidR="005E0A11">
        <w:t xml:space="preserve">CleanTech </w:t>
      </w:r>
      <w:r w:rsidR="0008180C">
        <w:t xml:space="preserve">versus non-CleanTech </w:t>
      </w:r>
      <w:r w:rsidR="005E0A11">
        <w:t>firms</w:t>
      </w:r>
    </w:p>
    <w:tbl>
      <w:tblPr>
        <w:tblStyle w:val="OCETable"/>
        <w:tblW w:w="0" w:type="auto"/>
        <w:tblInd w:w="2160" w:type="dxa"/>
        <w:tblLayout w:type="fixed"/>
        <w:tblLook w:val="04A0" w:firstRow="1" w:lastRow="0" w:firstColumn="1" w:lastColumn="0" w:noHBand="0" w:noVBand="1"/>
        <w:tblCaption w:val="Placeholder table"/>
      </w:tblPr>
      <w:tblGrid>
        <w:gridCol w:w="7020"/>
      </w:tblGrid>
      <w:tr w:rsidR="005E0A11" w:rsidTr="007078D4">
        <w:trPr>
          <w:cnfStyle w:val="100000000000" w:firstRow="1" w:lastRow="0" w:firstColumn="0" w:lastColumn="0" w:oddVBand="0" w:evenVBand="0" w:oddHBand="0" w:evenHBand="0" w:firstRowFirstColumn="0" w:firstRowLastColumn="0" w:lastRowFirstColumn="0" w:lastRowLastColumn="0"/>
          <w:tblHeader/>
        </w:trPr>
        <w:tc>
          <w:tcPr>
            <w:tcW w:w="7020" w:type="dxa"/>
            <w:shd w:val="clear" w:color="auto" w:fill="auto"/>
          </w:tcPr>
          <w:p w:rsidR="005E0A11" w:rsidRDefault="002E7FB6" w:rsidP="00870CC5">
            <w:pPr>
              <w:pStyle w:val="Placeholder"/>
            </w:pPr>
            <w:r>
              <w:rPr>
                <w:noProof/>
                <w:lang w:eastAsia="en-AU"/>
              </w:rPr>
              <w:drawing>
                <wp:inline distT="0" distB="0" distL="0" distR="0">
                  <wp:extent cx="4320540" cy="2757170"/>
                  <wp:effectExtent l="0" t="0" r="3810" b="5080"/>
                  <wp:docPr id="3" name="Picture 3" descr="Both distributions resemble a normal one. The centre of gravity for the cleantech and non-cleantech firms is almost at the same location and slightly negative." title="Figure 4.1: The distribution of FTE growth (2009−2011): CleanTech versus non-CleanTech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4.1.png"/>
                          <pic:cNvPicPr/>
                        </pic:nvPicPr>
                        <pic:blipFill>
                          <a:blip r:embed="rId22">
                            <a:extLst>
                              <a:ext uri="{28A0092B-C50C-407E-A947-70E740481C1C}">
                                <a14:useLocalDpi xmlns:a14="http://schemas.microsoft.com/office/drawing/2010/main" val="0"/>
                              </a:ext>
                            </a:extLst>
                          </a:blip>
                          <a:stretch>
                            <a:fillRect/>
                          </a:stretch>
                        </pic:blipFill>
                        <pic:spPr>
                          <a:xfrm>
                            <a:off x="0" y="0"/>
                            <a:ext cx="4320540" cy="2757170"/>
                          </a:xfrm>
                          <a:prstGeom prst="rect">
                            <a:avLst/>
                          </a:prstGeom>
                        </pic:spPr>
                      </pic:pic>
                    </a:graphicData>
                  </a:graphic>
                </wp:inline>
              </w:drawing>
            </w:r>
          </w:p>
        </w:tc>
      </w:tr>
    </w:tbl>
    <w:p w:rsidR="005E0A11" w:rsidRPr="00C62F3A" w:rsidRDefault="005E0A11" w:rsidP="00870CC5">
      <w:pPr>
        <w:pStyle w:val="Note"/>
      </w:pPr>
      <w:r w:rsidRPr="00C62F3A">
        <w:t>Note</w:t>
      </w:r>
      <w:r w:rsidR="00A6125A">
        <w:t xml:space="preserve">s: Using a Gaussian kernel with the </w:t>
      </w:r>
      <w:r w:rsidR="000D538A">
        <w:t>bandwidth</w:t>
      </w:r>
      <w:r w:rsidR="00A6125A">
        <w:t xml:space="preserve"> of 0.1.</w:t>
      </w:r>
    </w:p>
    <w:p w:rsidR="005E0A11" w:rsidRDefault="0008180C" w:rsidP="00870CC5">
      <w:pPr>
        <w:pStyle w:val="Source"/>
      </w:pPr>
      <w:r>
        <w:t xml:space="preserve">Source: </w:t>
      </w:r>
      <w:r w:rsidRPr="00A9193F">
        <w:t xml:space="preserve">Author’s calculations based on the </w:t>
      </w:r>
      <w:r w:rsidR="006E1987">
        <w:t>BLADE</w:t>
      </w:r>
    </w:p>
    <w:p w:rsidR="00954CEE" w:rsidRPr="00954CEE" w:rsidRDefault="00317E8A" w:rsidP="00954CEE">
      <w:pPr>
        <w:pStyle w:val="BodyText"/>
        <w:rPr>
          <w:lang w:val="en"/>
        </w:rPr>
      </w:pPr>
      <w:r>
        <w:rPr>
          <w:lang w:val="en"/>
        </w:rPr>
        <w:fldChar w:fldCharType="begin"/>
      </w:r>
      <w:r>
        <w:rPr>
          <w:lang w:val="en"/>
        </w:rPr>
        <w:instrText xml:space="preserve"> REF _Ref446057199 \h </w:instrText>
      </w:r>
      <w:r>
        <w:rPr>
          <w:lang w:val="en"/>
        </w:rPr>
      </w:r>
      <w:r>
        <w:rPr>
          <w:lang w:val="en"/>
        </w:rPr>
        <w:fldChar w:fldCharType="separate"/>
      </w:r>
      <w:r>
        <w:t>Figure</w:t>
      </w:r>
      <w:r w:rsidRPr="000618FB">
        <w:t xml:space="preserve"> </w:t>
      </w:r>
      <w:r>
        <w:rPr>
          <w:noProof/>
        </w:rPr>
        <w:t>4</w:t>
      </w:r>
      <w:r>
        <w:t>.</w:t>
      </w:r>
      <w:r>
        <w:rPr>
          <w:noProof/>
        </w:rPr>
        <w:t>2</w:t>
      </w:r>
      <w:r>
        <w:rPr>
          <w:lang w:val="en"/>
        </w:rPr>
        <w:fldChar w:fldCharType="end"/>
      </w:r>
      <w:r>
        <w:rPr>
          <w:lang w:val="en"/>
        </w:rPr>
        <w:t xml:space="preserve"> </w:t>
      </w:r>
      <w:r w:rsidR="00C27760">
        <w:rPr>
          <w:lang w:val="en"/>
        </w:rPr>
        <w:t>shows the densities</w:t>
      </w:r>
      <w:r w:rsidR="00954CEE">
        <w:rPr>
          <w:lang w:val="en"/>
        </w:rPr>
        <w:t xml:space="preserve"> for the period 2011 to 2013. Rate of employment growth has improved for both types of firms, but more so for the firms that received CleanTech grants. The latter group practically shows a positive rate of gr</w:t>
      </w:r>
      <w:r w:rsidR="00FF7E2D">
        <w:rPr>
          <w:lang w:val="en"/>
        </w:rPr>
        <w:t>owth, that is, they created</w:t>
      </w:r>
      <w:r w:rsidR="00954CEE">
        <w:rPr>
          <w:lang w:val="en"/>
        </w:rPr>
        <w:t xml:space="preserve"> jobs.</w:t>
      </w:r>
    </w:p>
    <w:p w:rsidR="00532C69" w:rsidRDefault="00532C69" w:rsidP="00870CC5">
      <w:pPr>
        <w:pStyle w:val="Caption"/>
      </w:pPr>
      <w:bookmarkStart w:id="7" w:name="_Ref446057199"/>
      <w:r>
        <w:t>Figure</w:t>
      </w:r>
      <w:r w:rsidRPr="000618FB">
        <w:t xml:space="preserve"> </w:t>
      </w:r>
      <w:r w:rsidR="00E27332">
        <w:fldChar w:fldCharType="begin"/>
      </w:r>
      <w:r w:rsidR="00E27332">
        <w:instrText xml:space="preserve"> STYL</w:instrText>
      </w:r>
      <w:r w:rsidR="00E27332">
        <w:instrText xml:space="preserve">EREF 1 \s </w:instrText>
      </w:r>
      <w:r w:rsidR="00E27332">
        <w:fldChar w:fldCharType="separate"/>
      </w:r>
      <w:r w:rsidR="00E720C9">
        <w:rPr>
          <w:noProof/>
        </w:rPr>
        <w:t>4</w:t>
      </w:r>
      <w:r w:rsidR="00E27332">
        <w:rPr>
          <w:noProof/>
        </w:rPr>
        <w:fldChar w:fldCharType="end"/>
      </w:r>
      <w:r w:rsidR="00E720C9">
        <w:t>.</w:t>
      </w:r>
      <w:r w:rsidR="00E27332">
        <w:fldChar w:fldCharType="begin"/>
      </w:r>
      <w:r w:rsidR="00E27332">
        <w:instrText xml:space="preserve"> SEQ Figure \* ARABIC \s 1 </w:instrText>
      </w:r>
      <w:r w:rsidR="00E27332">
        <w:fldChar w:fldCharType="separate"/>
      </w:r>
      <w:r w:rsidR="00E720C9">
        <w:rPr>
          <w:noProof/>
        </w:rPr>
        <w:t>2</w:t>
      </w:r>
      <w:r w:rsidR="00E27332">
        <w:rPr>
          <w:noProof/>
        </w:rPr>
        <w:fldChar w:fldCharType="end"/>
      </w:r>
      <w:bookmarkEnd w:id="7"/>
      <w:r>
        <w:t xml:space="preserve">: </w:t>
      </w:r>
      <w:r w:rsidR="007506D1">
        <w:t xml:space="preserve">The distribution of FTE growth </w:t>
      </w:r>
      <w:r w:rsidR="00566D20">
        <w:t>(2011</w:t>
      </w:r>
      <w:r w:rsidR="00566D20">
        <w:rPr>
          <w:rFonts w:cs="Arial"/>
        </w:rPr>
        <w:t>−</w:t>
      </w:r>
      <w:r w:rsidR="00566D20">
        <w:t xml:space="preserve">2013): </w:t>
      </w:r>
      <w:r>
        <w:t xml:space="preserve">CleanTech </w:t>
      </w:r>
      <w:r w:rsidR="00566D20">
        <w:t xml:space="preserve">versus non-CleanTech </w:t>
      </w:r>
      <w:r>
        <w:t>firms</w:t>
      </w:r>
    </w:p>
    <w:tbl>
      <w:tblPr>
        <w:tblStyle w:val="OCETable"/>
        <w:tblW w:w="0" w:type="auto"/>
        <w:tblInd w:w="2160" w:type="dxa"/>
        <w:tblLayout w:type="fixed"/>
        <w:tblLook w:val="04A0" w:firstRow="1" w:lastRow="0" w:firstColumn="1" w:lastColumn="0" w:noHBand="0" w:noVBand="1"/>
        <w:tblCaption w:val="Placeholder table"/>
      </w:tblPr>
      <w:tblGrid>
        <w:gridCol w:w="7020"/>
      </w:tblGrid>
      <w:tr w:rsidR="00532C69" w:rsidTr="007078D4">
        <w:trPr>
          <w:cnfStyle w:val="100000000000" w:firstRow="1" w:lastRow="0" w:firstColumn="0" w:lastColumn="0" w:oddVBand="0" w:evenVBand="0" w:oddHBand="0" w:evenHBand="0" w:firstRowFirstColumn="0" w:firstRowLastColumn="0" w:lastRowFirstColumn="0" w:lastRowLastColumn="0"/>
          <w:tblHeader/>
        </w:trPr>
        <w:tc>
          <w:tcPr>
            <w:tcW w:w="7020" w:type="dxa"/>
            <w:shd w:val="clear" w:color="auto" w:fill="auto"/>
          </w:tcPr>
          <w:p w:rsidR="00532C69" w:rsidRDefault="00774252" w:rsidP="00870CC5">
            <w:pPr>
              <w:pStyle w:val="Placeholder"/>
            </w:pPr>
            <w:r>
              <w:rPr>
                <w:noProof/>
                <w:lang w:eastAsia="en-AU"/>
              </w:rPr>
              <w:drawing>
                <wp:inline distT="0" distB="0" distL="0" distR="0">
                  <wp:extent cx="4315611" cy="2736878"/>
                  <wp:effectExtent l="0" t="0" r="8890" b="6350"/>
                  <wp:docPr id="6" name="Picture 6" descr="Both distributions resemble a normal one. The centre of gravity for the cleantech is slightly to the right of that for non-cleantech firms and positive. The centre of gravity for non-cleantech firms is almost zero." title="Figure 4.2: The distribution of FTE growth (2011−2013): CleanTech versus non-CleanTech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4.2.png"/>
                          <pic:cNvPicPr/>
                        </pic:nvPicPr>
                        <pic:blipFill>
                          <a:blip r:embed="rId23">
                            <a:extLst>
                              <a:ext uri="{28A0092B-C50C-407E-A947-70E740481C1C}">
                                <a14:useLocalDpi xmlns:a14="http://schemas.microsoft.com/office/drawing/2010/main" val="0"/>
                              </a:ext>
                            </a:extLst>
                          </a:blip>
                          <a:stretch>
                            <a:fillRect/>
                          </a:stretch>
                        </pic:blipFill>
                        <pic:spPr>
                          <a:xfrm>
                            <a:off x="0" y="0"/>
                            <a:ext cx="4315611" cy="2736878"/>
                          </a:xfrm>
                          <a:prstGeom prst="rect">
                            <a:avLst/>
                          </a:prstGeom>
                        </pic:spPr>
                      </pic:pic>
                    </a:graphicData>
                  </a:graphic>
                </wp:inline>
              </w:drawing>
            </w:r>
          </w:p>
        </w:tc>
      </w:tr>
    </w:tbl>
    <w:p w:rsidR="00532C69" w:rsidRPr="00C62F3A" w:rsidRDefault="00532C69" w:rsidP="00870CC5">
      <w:pPr>
        <w:pStyle w:val="Note"/>
      </w:pPr>
      <w:r w:rsidRPr="00C62F3A">
        <w:t>Note</w:t>
      </w:r>
      <w:r w:rsidR="00A6125A">
        <w:t xml:space="preserve">s: Using a Gaussian kernel with the </w:t>
      </w:r>
      <w:r w:rsidR="000D538A">
        <w:t>bandwidth</w:t>
      </w:r>
      <w:r w:rsidR="00A6125A">
        <w:t xml:space="preserve"> of 0.1.</w:t>
      </w:r>
    </w:p>
    <w:p w:rsidR="00532C69" w:rsidRDefault="008440D9" w:rsidP="00870CC5">
      <w:pPr>
        <w:pStyle w:val="Source"/>
      </w:pPr>
      <w:r>
        <w:t xml:space="preserve">Source: </w:t>
      </w:r>
      <w:r w:rsidRPr="00A9193F">
        <w:t xml:space="preserve">Author’s calculations based on the </w:t>
      </w:r>
      <w:r w:rsidR="006E1987">
        <w:t>BLADE</w:t>
      </w:r>
    </w:p>
    <w:p w:rsidR="00CA5C62" w:rsidRDefault="007506D1" w:rsidP="00E537CD">
      <w:pPr>
        <w:pStyle w:val="BodyText"/>
      </w:pPr>
      <w:r>
        <w:t>I do the same exercise</w:t>
      </w:r>
      <w:r w:rsidR="00CA5C62">
        <w:t xml:space="preserve"> u</w:t>
      </w:r>
      <w:r w:rsidR="00F05895">
        <w:t xml:space="preserve">sing </w:t>
      </w:r>
      <w:r w:rsidR="00CA0854">
        <w:t xml:space="preserve">the </w:t>
      </w:r>
      <w:r w:rsidR="00F05895">
        <w:t xml:space="preserve">rate of change in turnover, where the distributions are illustrated </w:t>
      </w:r>
      <w:r w:rsidR="00317E8A">
        <w:t>i</w:t>
      </w:r>
      <w:r w:rsidR="009F1C72">
        <w:t xml:space="preserve">n </w:t>
      </w:r>
      <w:r w:rsidR="00317E8A">
        <w:fldChar w:fldCharType="begin"/>
      </w:r>
      <w:r w:rsidR="00317E8A">
        <w:instrText xml:space="preserve"> REF _Ref446057349 \h </w:instrText>
      </w:r>
      <w:r w:rsidR="00317E8A">
        <w:fldChar w:fldCharType="separate"/>
      </w:r>
      <w:r w:rsidR="00317E8A">
        <w:t>Figure</w:t>
      </w:r>
      <w:r w:rsidR="00317E8A" w:rsidRPr="000618FB">
        <w:t xml:space="preserve"> </w:t>
      </w:r>
      <w:r w:rsidR="00317E8A">
        <w:rPr>
          <w:noProof/>
        </w:rPr>
        <w:t>4</w:t>
      </w:r>
      <w:r w:rsidR="00317E8A">
        <w:t>.</w:t>
      </w:r>
      <w:r w:rsidR="00317E8A">
        <w:rPr>
          <w:noProof/>
        </w:rPr>
        <w:t>3</w:t>
      </w:r>
      <w:r w:rsidR="00317E8A">
        <w:fldChar w:fldCharType="end"/>
      </w:r>
      <w:r w:rsidR="00317E8A">
        <w:t xml:space="preserve"> </w:t>
      </w:r>
      <w:r w:rsidR="009F1C72">
        <w:t>and</w:t>
      </w:r>
      <w:r w:rsidR="00317E8A">
        <w:t xml:space="preserve"> </w:t>
      </w:r>
      <w:r w:rsidR="00317E8A">
        <w:fldChar w:fldCharType="begin"/>
      </w:r>
      <w:r w:rsidR="00317E8A">
        <w:instrText xml:space="preserve"> REF _Ref446057354 \h </w:instrText>
      </w:r>
      <w:r w:rsidR="00317E8A">
        <w:fldChar w:fldCharType="separate"/>
      </w:r>
      <w:r w:rsidR="00317E8A">
        <w:t>Figure</w:t>
      </w:r>
      <w:r w:rsidR="00317E8A" w:rsidRPr="000618FB">
        <w:t xml:space="preserve"> </w:t>
      </w:r>
      <w:r w:rsidR="00317E8A">
        <w:rPr>
          <w:noProof/>
        </w:rPr>
        <w:t>4</w:t>
      </w:r>
      <w:r w:rsidR="00317E8A">
        <w:t>.</w:t>
      </w:r>
      <w:r w:rsidR="00317E8A">
        <w:rPr>
          <w:noProof/>
        </w:rPr>
        <w:t>4</w:t>
      </w:r>
      <w:r w:rsidR="00317E8A">
        <w:fldChar w:fldCharType="end"/>
      </w:r>
      <w:r w:rsidR="00CA5C62">
        <w:t xml:space="preserve">. </w:t>
      </w:r>
      <w:r w:rsidR="00317E8A">
        <w:fldChar w:fldCharType="begin"/>
      </w:r>
      <w:r w:rsidR="00317E8A">
        <w:instrText xml:space="preserve"> REF _Ref446057349 \h </w:instrText>
      </w:r>
      <w:r w:rsidR="00317E8A">
        <w:fldChar w:fldCharType="separate"/>
      </w:r>
      <w:r w:rsidR="00317E8A">
        <w:t>Figure</w:t>
      </w:r>
      <w:r w:rsidR="00317E8A" w:rsidRPr="000618FB">
        <w:t xml:space="preserve"> </w:t>
      </w:r>
      <w:r w:rsidR="00317E8A">
        <w:rPr>
          <w:noProof/>
        </w:rPr>
        <w:t>4</w:t>
      </w:r>
      <w:r w:rsidR="00317E8A">
        <w:t>.</w:t>
      </w:r>
      <w:r w:rsidR="00317E8A">
        <w:rPr>
          <w:noProof/>
        </w:rPr>
        <w:t>3</w:t>
      </w:r>
      <w:r w:rsidR="00317E8A">
        <w:fldChar w:fldCharType="end"/>
      </w:r>
      <w:r w:rsidR="00317E8A">
        <w:t xml:space="preserve"> </w:t>
      </w:r>
      <w:r w:rsidR="00CA0854">
        <w:t xml:space="preserve">focuses on </w:t>
      </w:r>
      <w:r w:rsidR="00CA5C62">
        <w:t xml:space="preserve">change in turnover during </w:t>
      </w:r>
      <w:r w:rsidR="00557140">
        <w:t xml:space="preserve">the </w:t>
      </w:r>
      <w:r w:rsidR="00CA5C62">
        <w:t>2009 to 2011 period. Again, ignoring entries and exits, one observes a rather similar distribution for both types of firms</w:t>
      </w:r>
      <w:r w:rsidR="00C27760">
        <w:t xml:space="preserve"> during this time</w:t>
      </w:r>
      <w:r w:rsidR="00CA0854">
        <w:t xml:space="preserve"> period</w:t>
      </w:r>
      <w:r w:rsidR="00F05895">
        <w:t>;</w:t>
      </w:r>
      <w:r w:rsidR="00CA5C62">
        <w:t xml:space="preserve"> a distribution that is basically centred around zero.</w:t>
      </w:r>
    </w:p>
    <w:p w:rsidR="00CA5C62" w:rsidRDefault="00F05895" w:rsidP="00E537CD">
      <w:pPr>
        <w:pStyle w:val="BodyText"/>
      </w:pPr>
      <w:r>
        <w:t>Turning</w:t>
      </w:r>
      <w:r w:rsidR="00CA5C62">
        <w:t xml:space="preserve"> to </w:t>
      </w:r>
      <w:r w:rsidR="00317E8A">
        <w:fldChar w:fldCharType="begin"/>
      </w:r>
      <w:r w:rsidR="00317E8A">
        <w:instrText xml:space="preserve"> REF _Ref446057354 \h </w:instrText>
      </w:r>
      <w:r w:rsidR="00317E8A">
        <w:fldChar w:fldCharType="separate"/>
      </w:r>
      <w:r w:rsidR="00317E8A">
        <w:t>Figure</w:t>
      </w:r>
      <w:r w:rsidR="00317E8A" w:rsidRPr="000618FB">
        <w:t xml:space="preserve"> </w:t>
      </w:r>
      <w:r w:rsidR="00317E8A">
        <w:rPr>
          <w:noProof/>
        </w:rPr>
        <w:t>4</w:t>
      </w:r>
      <w:r w:rsidR="00317E8A">
        <w:t>.</w:t>
      </w:r>
      <w:r w:rsidR="00317E8A">
        <w:rPr>
          <w:noProof/>
        </w:rPr>
        <w:t>4</w:t>
      </w:r>
      <w:r w:rsidR="00317E8A">
        <w:fldChar w:fldCharType="end"/>
      </w:r>
      <w:r>
        <w:t>,</w:t>
      </w:r>
      <w:r w:rsidR="00317E8A">
        <w:t xml:space="preserve"> </w:t>
      </w:r>
      <w:r w:rsidR="00CA5C62">
        <w:t xml:space="preserve">which illustrates the distributions for the period 2011 to 2013, it becomes evident that </w:t>
      </w:r>
      <w:r>
        <w:t xml:space="preserve">the distribution of </w:t>
      </w:r>
      <w:r w:rsidR="00CA5C62">
        <w:t>turnover growth</w:t>
      </w:r>
      <w:r>
        <w:t xml:space="preserve"> shifted to </w:t>
      </w:r>
      <w:r w:rsidR="00557140">
        <w:t xml:space="preserve">the </w:t>
      </w:r>
      <w:r>
        <w:t>left and</w:t>
      </w:r>
      <w:r w:rsidR="00CA5C62">
        <w:t xml:space="preserve"> </w:t>
      </w:r>
      <w:r>
        <w:t>the average became</w:t>
      </w:r>
      <w:r w:rsidR="00CA5C62">
        <w:t xml:space="preserve"> negative for both </w:t>
      </w:r>
      <w:r w:rsidR="00E03EA3">
        <w:t>types</w:t>
      </w:r>
      <w:r w:rsidR="00CA5C62">
        <w:t xml:space="preserve"> of firms. However, non-CleanTech firms are on average experiencing a larger drop in their turnovers than is the case with CleanTech firms.</w:t>
      </w:r>
    </w:p>
    <w:p w:rsidR="002253F3" w:rsidRDefault="002253F3" w:rsidP="00870CC5">
      <w:pPr>
        <w:pStyle w:val="Caption"/>
      </w:pPr>
      <w:bookmarkStart w:id="8" w:name="_Ref446057349"/>
      <w:r>
        <w:t>Figure</w:t>
      </w:r>
      <w:r w:rsidRPr="000618FB">
        <w:t xml:space="preserve"> </w:t>
      </w:r>
      <w:r w:rsidR="00E27332">
        <w:fldChar w:fldCharType="begin"/>
      </w:r>
      <w:r w:rsidR="00E27332">
        <w:instrText xml:space="preserve"> STYLEREF 1 \s </w:instrText>
      </w:r>
      <w:r w:rsidR="00E27332">
        <w:fldChar w:fldCharType="separate"/>
      </w:r>
      <w:r w:rsidR="00E720C9">
        <w:rPr>
          <w:noProof/>
        </w:rPr>
        <w:t>4</w:t>
      </w:r>
      <w:r w:rsidR="00E27332">
        <w:rPr>
          <w:noProof/>
        </w:rPr>
        <w:fldChar w:fldCharType="end"/>
      </w:r>
      <w:r w:rsidR="00E720C9">
        <w:t>.</w:t>
      </w:r>
      <w:r w:rsidR="00E27332">
        <w:fldChar w:fldCharType="begin"/>
      </w:r>
      <w:r w:rsidR="00E27332">
        <w:instrText xml:space="preserve"> SEQ Figure \* ARABIC \s 1 </w:instrText>
      </w:r>
      <w:r w:rsidR="00E27332">
        <w:fldChar w:fldCharType="separate"/>
      </w:r>
      <w:r w:rsidR="00E720C9">
        <w:rPr>
          <w:noProof/>
        </w:rPr>
        <w:t>3</w:t>
      </w:r>
      <w:r w:rsidR="00E27332">
        <w:rPr>
          <w:noProof/>
        </w:rPr>
        <w:fldChar w:fldCharType="end"/>
      </w:r>
      <w:bookmarkEnd w:id="8"/>
      <w:r>
        <w:t xml:space="preserve">: </w:t>
      </w:r>
      <w:r w:rsidR="00785260">
        <w:t>The distribution of turnover growth</w:t>
      </w:r>
      <w:r w:rsidR="00CC170B">
        <w:t xml:space="preserve"> (2009</w:t>
      </w:r>
      <w:r w:rsidR="00CC170B">
        <w:rPr>
          <w:rFonts w:cs="Arial"/>
        </w:rPr>
        <w:t>−</w:t>
      </w:r>
      <w:r w:rsidR="00CC170B">
        <w:t xml:space="preserve">2011): </w:t>
      </w:r>
      <w:r>
        <w:t>CleanTech</w:t>
      </w:r>
      <w:r w:rsidR="00CC170B">
        <w:t xml:space="preserve"> versus non-CleanTech</w:t>
      </w:r>
      <w:r>
        <w:t xml:space="preserve"> firms</w:t>
      </w:r>
    </w:p>
    <w:tbl>
      <w:tblPr>
        <w:tblStyle w:val="OCETable"/>
        <w:tblW w:w="0" w:type="auto"/>
        <w:tblInd w:w="2160" w:type="dxa"/>
        <w:tblLayout w:type="fixed"/>
        <w:tblLook w:val="04A0" w:firstRow="1" w:lastRow="0" w:firstColumn="1" w:lastColumn="0" w:noHBand="0" w:noVBand="1"/>
        <w:tblCaption w:val="Placeholder table"/>
      </w:tblPr>
      <w:tblGrid>
        <w:gridCol w:w="7020"/>
      </w:tblGrid>
      <w:tr w:rsidR="002253F3" w:rsidTr="007078D4">
        <w:trPr>
          <w:cnfStyle w:val="100000000000" w:firstRow="1" w:lastRow="0" w:firstColumn="0" w:lastColumn="0" w:oddVBand="0" w:evenVBand="0" w:oddHBand="0" w:evenHBand="0" w:firstRowFirstColumn="0" w:firstRowLastColumn="0" w:lastRowFirstColumn="0" w:lastRowLastColumn="0"/>
          <w:tblHeader/>
        </w:trPr>
        <w:tc>
          <w:tcPr>
            <w:tcW w:w="7020" w:type="dxa"/>
            <w:shd w:val="clear" w:color="auto" w:fill="auto"/>
          </w:tcPr>
          <w:p w:rsidR="002253F3" w:rsidRDefault="00774252" w:rsidP="00870CC5">
            <w:pPr>
              <w:pStyle w:val="Placeholder"/>
            </w:pPr>
            <w:r>
              <w:rPr>
                <w:noProof/>
                <w:lang w:eastAsia="en-AU"/>
              </w:rPr>
              <w:drawing>
                <wp:inline distT="0" distB="0" distL="0" distR="0">
                  <wp:extent cx="4297325" cy="2736878"/>
                  <wp:effectExtent l="0" t="0" r="8255" b="6350"/>
                  <wp:docPr id="8" name="Picture 8" descr="Both distributions resemble a normal one. The centre of gravity for the cleantech and non-cleantech firms is almost at the same location and almost zero." title="Figure 4.3: The distribution of turnover growth (2009−2011): CleanTech versus non-CleanTech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4.3.png"/>
                          <pic:cNvPicPr/>
                        </pic:nvPicPr>
                        <pic:blipFill>
                          <a:blip r:embed="rId24">
                            <a:extLst>
                              <a:ext uri="{28A0092B-C50C-407E-A947-70E740481C1C}">
                                <a14:useLocalDpi xmlns:a14="http://schemas.microsoft.com/office/drawing/2010/main" val="0"/>
                              </a:ext>
                            </a:extLst>
                          </a:blip>
                          <a:stretch>
                            <a:fillRect/>
                          </a:stretch>
                        </pic:blipFill>
                        <pic:spPr>
                          <a:xfrm>
                            <a:off x="0" y="0"/>
                            <a:ext cx="4297325" cy="2736878"/>
                          </a:xfrm>
                          <a:prstGeom prst="rect">
                            <a:avLst/>
                          </a:prstGeom>
                        </pic:spPr>
                      </pic:pic>
                    </a:graphicData>
                  </a:graphic>
                </wp:inline>
              </w:drawing>
            </w:r>
          </w:p>
        </w:tc>
      </w:tr>
    </w:tbl>
    <w:p w:rsidR="002253F3" w:rsidRPr="00C62F3A" w:rsidRDefault="002253F3" w:rsidP="00870CC5">
      <w:pPr>
        <w:pStyle w:val="Note"/>
      </w:pPr>
      <w:r w:rsidRPr="00C62F3A">
        <w:t>Note</w:t>
      </w:r>
      <w:r w:rsidR="00A6125A">
        <w:t xml:space="preserve">s: Using a Gaussian kernel with the </w:t>
      </w:r>
      <w:r w:rsidR="000D538A">
        <w:t>bandwidth</w:t>
      </w:r>
      <w:r w:rsidR="00A6125A">
        <w:t xml:space="preserve"> of 0.1.</w:t>
      </w:r>
    </w:p>
    <w:p w:rsidR="002253F3" w:rsidRDefault="001D50B2" w:rsidP="00870CC5">
      <w:pPr>
        <w:pStyle w:val="Source"/>
      </w:pPr>
      <w:r>
        <w:t xml:space="preserve">Source: </w:t>
      </w:r>
      <w:r w:rsidRPr="00A9193F">
        <w:t xml:space="preserve">Author’s calculations based on the </w:t>
      </w:r>
      <w:r w:rsidR="006E1987">
        <w:t>BLADE</w:t>
      </w:r>
    </w:p>
    <w:p w:rsidR="001F39C2" w:rsidRDefault="001F39C2" w:rsidP="00870CC5">
      <w:pPr>
        <w:pStyle w:val="Caption"/>
      </w:pPr>
      <w:bookmarkStart w:id="9" w:name="_Ref446057354"/>
      <w:r>
        <w:t>Figure</w:t>
      </w:r>
      <w:r w:rsidRPr="000618FB">
        <w:t xml:space="preserve"> </w:t>
      </w:r>
      <w:r w:rsidR="00E27332">
        <w:fldChar w:fldCharType="begin"/>
      </w:r>
      <w:r w:rsidR="00E27332">
        <w:instrText xml:space="preserve"> STYLEREF 1 \s </w:instrText>
      </w:r>
      <w:r w:rsidR="00E27332">
        <w:fldChar w:fldCharType="separate"/>
      </w:r>
      <w:r w:rsidR="00E720C9">
        <w:rPr>
          <w:noProof/>
        </w:rPr>
        <w:t>4</w:t>
      </w:r>
      <w:r w:rsidR="00E27332">
        <w:rPr>
          <w:noProof/>
        </w:rPr>
        <w:fldChar w:fldCharType="end"/>
      </w:r>
      <w:r w:rsidR="00E720C9">
        <w:t>.</w:t>
      </w:r>
      <w:r w:rsidR="00E27332">
        <w:fldChar w:fldCharType="begin"/>
      </w:r>
      <w:r w:rsidR="00E27332">
        <w:instrText xml:space="preserve"> SEQ Figure \* ARABIC \s 1 </w:instrText>
      </w:r>
      <w:r w:rsidR="00E27332">
        <w:fldChar w:fldCharType="separate"/>
      </w:r>
      <w:r w:rsidR="00E720C9">
        <w:rPr>
          <w:noProof/>
        </w:rPr>
        <w:t>4</w:t>
      </w:r>
      <w:r w:rsidR="00E27332">
        <w:rPr>
          <w:noProof/>
        </w:rPr>
        <w:fldChar w:fldCharType="end"/>
      </w:r>
      <w:bookmarkEnd w:id="9"/>
      <w:r>
        <w:t xml:space="preserve">: </w:t>
      </w:r>
      <w:r w:rsidR="00785260">
        <w:t>The distribution of turnover growth</w:t>
      </w:r>
      <w:r w:rsidR="001D50B2">
        <w:t xml:space="preserve"> (2011</w:t>
      </w:r>
      <w:r w:rsidR="001D50B2">
        <w:rPr>
          <w:rFonts w:cs="Arial"/>
        </w:rPr>
        <w:t>−</w:t>
      </w:r>
      <w:r w:rsidR="001D50B2">
        <w:t xml:space="preserve">2013): </w:t>
      </w:r>
      <w:r>
        <w:t>CleanTech</w:t>
      </w:r>
      <w:r w:rsidR="001D50B2">
        <w:t xml:space="preserve"> versus non-CleanTech</w:t>
      </w:r>
      <w:r>
        <w:t xml:space="preserve"> firms</w:t>
      </w:r>
    </w:p>
    <w:tbl>
      <w:tblPr>
        <w:tblStyle w:val="OCETable"/>
        <w:tblW w:w="0" w:type="auto"/>
        <w:tblInd w:w="2160" w:type="dxa"/>
        <w:tblLayout w:type="fixed"/>
        <w:tblLook w:val="04A0" w:firstRow="1" w:lastRow="0" w:firstColumn="1" w:lastColumn="0" w:noHBand="0" w:noVBand="1"/>
        <w:tblCaption w:val="Placeholder table"/>
      </w:tblPr>
      <w:tblGrid>
        <w:gridCol w:w="7020"/>
      </w:tblGrid>
      <w:tr w:rsidR="001F39C2" w:rsidTr="007078D4">
        <w:trPr>
          <w:cnfStyle w:val="100000000000" w:firstRow="1" w:lastRow="0" w:firstColumn="0" w:lastColumn="0" w:oddVBand="0" w:evenVBand="0" w:oddHBand="0" w:evenHBand="0" w:firstRowFirstColumn="0" w:firstRowLastColumn="0" w:lastRowFirstColumn="0" w:lastRowLastColumn="0"/>
          <w:tblHeader/>
        </w:trPr>
        <w:tc>
          <w:tcPr>
            <w:tcW w:w="7020" w:type="dxa"/>
            <w:shd w:val="clear" w:color="auto" w:fill="auto"/>
          </w:tcPr>
          <w:p w:rsidR="001F39C2" w:rsidRDefault="00774252" w:rsidP="00870CC5">
            <w:pPr>
              <w:pStyle w:val="Placeholder"/>
            </w:pPr>
            <w:r>
              <w:rPr>
                <w:noProof/>
                <w:lang w:eastAsia="en-AU"/>
              </w:rPr>
              <w:drawing>
                <wp:inline distT="0" distB="0" distL="0" distR="0">
                  <wp:extent cx="4320540" cy="2726055"/>
                  <wp:effectExtent l="0" t="0" r="3810" b="0"/>
                  <wp:docPr id="11" name="Picture 11" descr="Both distributions resemble a normal one. The centre of gravity for both distributions is negative, but it is less negative for the cleantech firms." title="Figure 4.4: The distribution of turnover growth (2011−2013): CleanTech versus non-CleanTech fi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4.4.png"/>
                          <pic:cNvPicPr/>
                        </pic:nvPicPr>
                        <pic:blipFill>
                          <a:blip r:embed="rId25">
                            <a:extLst>
                              <a:ext uri="{28A0092B-C50C-407E-A947-70E740481C1C}">
                                <a14:useLocalDpi xmlns:a14="http://schemas.microsoft.com/office/drawing/2010/main" val="0"/>
                              </a:ext>
                            </a:extLst>
                          </a:blip>
                          <a:stretch>
                            <a:fillRect/>
                          </a:stretch>
                        </pic:blipFill>
                        <pic:spPr>
                          <a:xfrm>
                            <a:off x="0" y="0"/>
                            <a:ext cx="4320540" cy="2726055"/>
                          </a:xfrm>
                          <a:prstGeom prst="rect">
                            <a:avLst/>
                          </a:prstGeom>
                        </pic:spPr>
                      </pic:pic>
                    </a:graphicData>
                  </a:graphic>
                </wp:inline>
              </w:drawing>
            </w:r>
          </w:p>
        </w:tc>
      </w:tr>
    </w:tbl>
    <w:p w:rsidR="001F39C2" w:rsidRPr="00C62F3A" w:rsidRDefault="001F39C2" w:rsidP="00870CC5">
      <w:pPr>
        <w:pStyle w:val="Note"/>
      </w:pPr>
      <w:r w:rsidRPr="00C62F3A">
        <w:t>Note</w:t>
      </w:r>
      <w:r w:rsidR="00A6125A">
        <w:t xml:space="preserve">s: Using a Gaussian kernel with the </w:t>
      </w:r>
      <w:r w:rsidR="000D538A">
        <w:t>bandwidth</w:t>
      </w:r>
      <w:r w:rsidR="00A6125A">
        <w:t xml:space="preserve"> of 0.1.</w:t>
      </w:r>
    </w:p>
    <w:p w:rsidR="001F39C2" w:rsidRDefault="001F39C2" w:rsidP="00870CC5">
      <w:pPr>
        <w:pStyle w:val="Source"/>
      </w:pPr>
      <w:r>
        <w:t>Source</w:t>
      </w:r>
      <w:r w:rsidR="001D50B2">
        <w:t xml:space="preserve">: </w:t>
      </w:r>
      <w:r w:rsidR="001D50B2" w:rsidRPr="00A9193F">
        <w:t xml:space="preserve">Author’s calculations based on the </w:t>
      </w:r>
      <w:r w:rsidR="006E1987">
        <w:t>BLADE</w:t>
      </w:r>
    </w:p>
    <w:p w:rsidR="001F39C2" w:rsidRDefault="009F1C72" w:rsidP="00E537CD">
      <w:pPr>
        <w:pStyle w:val="BodyText"/>
      </w:pPr>
      <w:r>
        <w:t>Given the lumpine</w:t>
      </w:r>
      <w:r w:rsidR="00CA5C62">
        <w:t>ss of exports and capital invest</w:t>
      </w:r>
      <w:r w:rsidR="00F05895">
        <w:t>ments (</w:t>
      </w:r>
      <w:r w:rsidR="00BA7C76">
        <w:t>there are lots of zero values</w:t>
      </w:r>
      <w:r>
        <w:t>), I am not showing the density estimates for those variables and will discuss them in the next section where I conduct a matching exercise.</w:t>
      </w:r>
    </w:p>
    <w:p w:rsidR="009F1C72" w:rsidRDefault="009F1C72" w:rsidP="00E537CD">
      <w:pPr>
        <w:pStyle w:val="BodyText"/>
      </w:pPr>
      <w:r>
        <w:t>The overall picture suggests that firms with Cl</w:t>
      </w:r>
      <w:r w:rsidR="00CA5C62">
        <w:t>eanTech grants were very similar to other firms before the introduction of Carbon Pricing Scheme and the associated CleanTech Investment prog</w:t>
      </w:r>
      <w:r w:rsidR="00C27760">
        <w:t>ramme. The awarding of CleanTech</w:t>
      </w:r>
      <w:r w:rsidR="00CA5C62">
        <w:t xml:space="preserve"> seems to have had a positive effect on the growth rate of firms </w:t>
      </w:r>
      <w:r w:rsidR="00557140">
        <w:rPr>
          <w:rFonts w:cstheme="minorHAnsi"/>
        </w:rPr>
        <w:t>—</w:t>
      </w:r>
      <w:r w:rsidR="00CA5C62">
        <w:t xml:space="preserve"> in terms of sales and employment </w:t>
      </w:r>
      <w:r w:rsidR="00557140">
        <w:rPr>
          <w:rFonts w:cstheme="minorHAnsi"/>
        </w:rPr>
        <w:t>—</w:t>
      </w:r>
      <w:r w:rsidR="00CA5C62">
        <w:t xml:space="preserve"> compared to their non-CleanTech counterparts.</w:t>
      </w:r>
    </w:p>
    <w:p w:rsidR="00614218" w:rsidRDefault="00096CBC" w:rsidP="00614218">
      <w:pPr>
        <w:pStyle w:val="Heading1"/>
      </w:pPr>
      <w:r>
        <w:t>Matching Exercise</w:t>
      </w:r>
    </w:p>
    <w:p w:rsidR="005E3919" w:rsidRDefault="00CA5C62" w:rsidP="00614218">
      <w:pPr>
        <w:pStyle w:val="BodyText"/>
      </w:pPr>
      <w:r>
        <w:t xml:space="preserve">In this section, I add more rigor to the </w:t>
      </w:r>
      <w:r w:rsidR="00E03EA3">
        <w:t>analysis</w:t>
      </w:r>
      <w:r>
        <w:t xml:space="preserve"> by carrying out a matching exercise in which </w:t>
      </w:r>
      <w:r w:rsidR="00BB21DC">
        <w:t>for</w:t>
      </w:r>
      <w:r>
        <w:t xml:space="preserve"> every CleanTech firm </w:t>
      </w:r>
      <w:r w:rsidR="00BB21DC">
        <w:t xml:space="preserve">I search for  </w:t>
      </w:r>
      <w:r>
        <w:t>a similar non-CleanTech</w:t>
      </w:r>
      <w:r w:rsidR="00F05895">
        <w:t xml:space="preserve"> manufacturing</w:t>
      </w:r>
      <w:r>
        <w:t xml:space="preserve"> firm as </w:t>
      </w:r>
      <w:r w:rsidR="003D0D58">
        <w:t>the potential counterfactual</w:t>
      </w:r>
      <w:r w:rsidR="00F05895">
        <w:t>. I then</w:t>
      </w:r>
      <w:r>
        <w:t xml:space="preserve"> </w:t>
      </w:r>
      <w:r w:rsidR="00F05895">
        <w:t xml:space="preserve">conduct a </w:t>
      </w:r>
      <w:r w:rsidR="006A0FA8">
        <w:t>comparison analysis.</w:t>
      </w:r>
    </w:p>
    <w:p w:rsidR="00614218" w:rsidRDefault="00C2622B" w:rsidP="00614218">
      <w:pPr>
        <w:pStyle w:val="BodyText"/>
      </w:pPr>
      <w:r>
        <w:t>Matching is done based on</w:t>
      </w:r>
      <w:r w:rsidR="00F05895">
        <w:t xml:space="preserve"> an array of </w:t>
      </w:r>
      <w:r w:rsidR="000D538A">
        <w:t>idiosyncratic</w:t>
      </w:r>
      <w:r w:rsidR="00F05895">
        <w:t xml:space="preserve"> firm characteristics. The characteristics I use for matching are</w:t>
      </w:r>
      <w:r w:rsidR="003D0D58">
        <w:t xml:space="preserve"> FTE</w:t>
      </w:r>
      <w:r>
        <w:t xml:space="preserve">, </w:t>
      </w:r>
      <w:r w:rsidR="00CA5C62">
        <w:t xml:space="preserve">value of </w:t>
      </w:r>
      <w:r>
        <w:t>exports</w:t>
      </w:r>
      <w:r w:rsidR="003D0D58">
        <w:t>, change in FTE</w:t>
      </w:r>
      <w:r>
        <w:t xml:space="preserve"> from </w:t>
      </w:r>
      <w:r w:rsidR="00CA5C62">
        <w:t>2009 to 2011</w:t>
      </w:r>
      <w:r>
        <w:t>, percentage of foreign ownership and ANZSIC</w:t>
      </w:r>
      <w:r w:rsidR="00614218">
        <w:t>.</w:t>
      </w:r>
      <w:r>
        <w:t xml:space="preserve"> </w:t>
      </w:r>
      <w:r w:rsidR="00F97181">
        <w:t>All characteristics e</w:t>
      </w:r>
      <w:r w:rsidR="00F84DB8">
        <w:t>xcept for the prior growth rate</w:t>
      </w:r>
      <w:r w:rsidR="00F97181">
        <w:t xml:space="preserve"> are </w:t>
      </w:r>
      <w:r w:rsidR="00DA3DA6">
        <w:t>those</w:t>
      </w:r>
      <w:r w:rsidR="00F97181">
        <w:t xml:space="preserve"> from the year 2011. </w:t>
      </w:r>
      <w:r>
        <w:t xml:space="preserve">For </w:t>
      </w:r>
      <w:r w:rsidR="00CA5C62">
        <w:t>better results, I match each CleanTech firm to</w:t>
      </w:r>
      <w:r>
        <w:t xml:space="preserve"> three nearest neighbours </w:t>
      </w:r>
      <w:r w:rsidR="00CA5C62">
        <w:t xml:space="preserve">that </w:t>
      </w:r>
      <w:r>
        <w:t xml:space="preserve">are found </w:t>
      </w:r>
      <w:r w:rsidR="00CD28EA">
        <w:t xml:space="preserve">from the pool of non-CleanTech manufacturing firms and </w:t>
      </w:r>
      <w:r w:rsidR="00CA5C62">
        <w:t>use the average</w:t>
      </w:r>
      <w:r w:rsidR="00CD28EA">
        <w:t xml:space="preserve"> as the counter-factual</w:t>
      </w:r>
      <w:r>
        <w:t>.</w:t>
      </w:r>
      <w:r w:rsidR="00D2002C">
        <w:t xml:space="preserve"> </w:t>
      </w:r>
      <w:r w:rsidR="00CA5C62">
        <w:t xml:space="preserve">Given that the number of firms with CleanTech grants is about 500 and the number of manufacturing firms with no CleanTech </w:t>
      </w:r>
      <w:r w:rsidR="00C27760">
        <w:t>grants is vast (about</w:t>
      </w:r>
      <w:r w:rsidR="0024038A">
        <w:t xml:space="preserve"> 100,000), there is no shortage of matches to be found.</w:t>
      </w:r>
    </w:p>
    <w:p w:rsidR="00D2002C" w:rsidRDefault="00D2002C" w:rsidP="00614218">
      <w:pPr>
        <w:pStyle w:val="BodyText"/>
      </w:pPr>
      <w:r>
        <w:t>Various business per</w:t>
      </w:r>
      <w:r w:rsidR="003C1263">
        <w:t>formance indicators are used and their rate</w:t>
      </w:r>
      <w:r w:rsidR="00F05895">
        <w:t>s of change are compared to those of the</w:t>
      </w:r>
      <w:r w:rsidR="003C1263">
        <w:t xml:space="preserve"> counterfactual</w:t>
      </w:r>
      <w:r w:rsidR="00F05895">
        <w:t xml:space="preserve"> set</w:t>
      </w:r>
      <w:r w:rsidR="003C1263">
        <w:t>.</w:t>
      </w:r>
      <w:r w:rsidR="00546578">
        <w:t xml:space="preserve"> I use Average Treatment Effect (ATE) to do the comparison. This quantity is the average difference between the response of the treated firms (firms with CleanTech) and the control group (matched firms without CleanTech).</w:t>
      </w:r>
      <w:r w:rsidR="003C1263">
        <w:t xml:space="preserve"> T</w:t>
      </w:r>
      <w:r>
        <w:t>he</w:t>
      </w:r>
      <w:r w:rsidR="00546578">
        <w:t>se ATEs</w:t>
      </w:r>
      <w:r w:rsidR="004A0F69">
        <w:t xml:space="preserve"> along with their standard errors</w:t>
      </w:r>
      <w:r w:rsidR="003C1263">
        <w:t xml:space="preserve"> are reported in</w:t>
      </w:r>
      <w:r w:rsidR="00012FB1">
        <w:t xml:space="preserve"> </w:t>
      </w:r>
      <w:r w:rsidR="00583BEA">
        <w:fldChar w:fldCharType="begin"/>
      </w:r>
      <w:r w:rsidR="00583BEA">
        <w:instrText xml:space="preserve"> REF _Ref446062111 \h </w:instrText>
      </w:r>
      <w:r w:rsidR="00583BEA">
        <w:fldChar w:fldCharType="separate"/>
      </w:r>
      <w:r w:rsidR="00583BEA">
        <w:t xml:space="preserve">Table </w:t>
      </w:r>
      <w:r w:rsidR="00583BEA">
        <w:rPr>
          <w:noProof/>
        </w:rPr>
        <w:t>5</w:t>
      </w:r>
      <w:r w:rsidR="00583BEA">
        <w:t>.</w:t>
      </w:r>
      <w:r w:rsidR="00583BEA">
        <w:rPr>
          <w:noProof/>
        </w:rPr>
        <w:t>1</w:t>
      </w:r>
      <w:r w:rsidR="00583BEA">
        <w:fldChar w:fldCharType="end"/>
      </w:r>
      <w:r w:rsidR="00583BEA">
        <w:t xml:space="preserve"> </w:t>
      </w:r>
      <w:r w:rsidR="00ED0DB1">
        <w:t xml:space="preserve">to </w:t>
      </w:r>
      <w:r w:rsidR="00ED0DB1">
        <w:fldChar w:fldCharType="begin"/>
      </w:r>
      <w:r w:rsidR="00ED0DB1">
        <w:instrText xml:space="preserve"> REF _Ref446062117 \h </w:instrText>
      </w:r>
      <w:r w:rsidR="00ED0DB1">
        <w:fldChar w:fldCharType="separate"/>
      </w:r>
      <w:r w:rsidR="00ED0DB1">
        <w:t xml:space="preserve">Table </w:t>
      </w:r>
      <w:r w:rsidR="00ED0DB1">
        <w:rPr>
          <w:noProof/>
        </w:rPr>
        <w:t>5</w:t>
      </w:r>
      <w:r w:rsidR="00ED0DB1">
        <w:t>.</w:t>
      </w:r>
      <w:r w:rsidR="00ED0DB1">
        <w:rPr>
          <w:noProof/>
        </w:rPr>
        <w:t>3</w:t>
      </w:r>
      <w:r w:rsidR="00ED0DB1">
        <w:fldChar w:fldCharType="end"/>
      </w:r>
      <w:r>
        <w:t xml:space="preserve">. For a more detailed picture, firms are also split by different </w:t>
      </w:r>
      <w:r w:rsidR="00E03EA3">
        <w:t>characteristics</w:t>
      </w:r>
      <w:r>
        <w:t xml:space="preserve"> to see whether the findings </w:t>
      </w:r>
      <w:r w:rsidR="006A6F3E">
        <w:t xml:space="preserve">are </w:t>
      </w:r>
      <w:r w:rsidR="00477A78">
        <w:t>restricted to cert</w:t>
      </w:r>
      <w:r w:rsidR="000D7237">
        <w:t>ain type</w:t>
      </w:r>
      <w:r w:rsidR="00477A78">
        <w:t>s of firms</w:t>
      </w:r>
      <w:r>
        <w:t>.</w:t>
      </w:r>
    </w:p>
    <w:p w:rsidR="00012FB1" w:rsidRPr="00D2002C" w:rsidRDefault="00012FB1" w:rsidP="00614218">
      <w:pPr>
        <w:pStyle w:val="BodyText"/>
      </w:pPr>
      <w:r>
        <w:t>In</w:t>
      </w:r>
      <w:r w:rsidR="00583BEA">
        <w:t xml:space="preserve"> </w:t>
      </w:r>
      <w:r w:rsidR="00583BEA">
        <w:fldChar w:fldCharType="begin"/>
      </w:r>
      <w:r w:rsidR="00583BEA">
        <w:instrText xml:space="preserve"> REF _Ref446062111 \h </w:instrText>
      </w:r>
      <w:r w:rsidR="00583BEA">
        <w:fldChar w:fldCharType="separate"/>
      </w:r>
      <w:r w:rsidR="00583BEA">
        <w:t xml:space="preserve">Table </w:t>
      </w:r>
      <w:r w:rsidR="00583BEA">
        <w:rPr>
          <w:noProof/>
        </w:rPr>
        <w:t>5</w:t>
      </w:r>
      <w:r w:rsidR="00583BEA">
        <w:t>.</w:t>
      </w:r>
      <w:r w:rsidR="00583BEA">
        <w:rPr>
          <w:noProof/>
        </w:rPr>
        <w:t>1</w:t>
      </w:r>
      <w:r w:rsidR="00583BEA">
        <w:fldChar w:fldCharType="end"/>
      </w:r>
      <w:r>
        <w:t xml:space="preserve">, I am looking at the average treatment effect of CleanTech on the rates of growth in FTE and turnover. As the numbers </w:t>
      </w:r>
      <w:r w:rsidR="00F05895">
        <w:t>s</w:t>
      </w:r>
      <w:r>
        <w:t>how, CleanTech had a significant</w:t>
      </w:r>
      <w:r w:rsidR="00F05895">
        <w:t>ly p</w:t>
      </w:r>
      <w:r w:rsidR="00A7542E">
        <w:t>ositive impact on both</w:t>
      </w:r>
      <w:r>
        <w:t xml:space="preserve">. </w:t>
      </w:r>
    </w:p>
    <w:p w:rsidR="00FA2D48" w:rsidRDefault="00012FB1" w:rsidP="00012FB1">
      <w:pPr>
        <w:pStyle w:val="Caption"/>
      </w:pPr>
      <w:bookmarkStart w:id="10" w:name="_Ref446062111"/>
      <w:r>
        <w:t xml:space="preserve">Table </w:t>
      </w:r>
      <w:r w:rsidR="00E27332">
        <w:fldChar w:fldCharType="begin"/>
      </w:r>
      <w:r w:rsidR="00E27332">
        <w:instrText xml:space="preserve"> STYLEREF 1 \s </w:instrText>
      </w:r>
      <w:r w:rsidR="00E27332">
        <w:fldChar w:fldCharType="separate"/>
      </w:r>
      <w:r w:rsidR="00E62A7E">
        <w:rPr>
          <w:noProof/>
        </w:rPr>
        <w:t>5</w:t>
      </w:r>
      <w:r w:rsidR="00E27332">
        <w:rPr>
          <w:noProof/>
        </w:rPr>
        <w:fldChar w:fldCharType="end"/>
      </w:r>
      <w:r w:rsidR="00E62A7E">
        <w:t>.</w:t>
      </w:r>
      <w:r w:rsidR="00E27332">
        <w:fldChar w:fldCharType="begin"/>
      </w:r>
      <w:r w:rsidR="00E27332">
        <w:instrText xml:space="preserve"> SEQ Table \* ARABIC \s 1 </w:instrText>
      </w:r>
      <w:r w:rsidR="00E27332">
        <w:fldChar w:fldCharType="separate"/>
      </w:r>
      <w:r w:rsidR="00E62A7E">
        <w:rPr>
          <w:noProof/>
        </w:rPr>
        <w:t>1</w:t>
      </w:r>
      <w:r w:rsidR="00E27332">
        <w:rPr>
          <w:noProof/>
        </w:rPr>
        <w:fldChar w:fldCharType="end"/>
      </w:r>
      <w:bookmarkEnd w:id="10"/>
      <w:r w:rsidR="00FA2D48">
        <w:t xml:space="preserve"> </w:t>
      </w:r>
      <w:r w:rsidR="00C27760">
        <w:t>Average treatment effect</w:t>
      </w:r>
      <w:r w:rsidR="00FA2D48">
        <w:t xml:space="preserve"> for employment and turnover rates of change.</w:t>
      </w:r>
      <w:r w:rsidR="00F97181">
        <w:t xml:space="preserve"> </w:t>
      </w:r>
      <w:r w:rsidR="004A0F69">
        <w:t xml:space="preserve">Numbers in </w:t>
      </w:r>
      <w:r w:rsidR="007078D4">
        <w:t>parentheses are standard errors</w:t>
      </w:r>
    </w:p>
    <w:tbl>
      <w:tblPr>
        <w:tblStyle w:val="OCETable"/>
        <w:tblW w:w="7020" w:type="dxa"/>
        <w:tblInd w:w="2160" w:type="dxa"/>
        <w:tblLayout w:type="fixed"/>
        <w:tblLook w:val="04A0" w:firstRow="1" w:lastRow="0" w:firstColumn="1" w:lastColumn="0" w:noHBand="0" w:noVBand="1"/>
        <w:tblCaption w:val="Table 5.1"/>
        <w:tblDescription w:val="Average treatment effect for employment and turnover rates of change. Numbers in parentheses are standard errors"/>
      </w:tblPr>
      <w:tblGrid>
        <w:gridCol w:w="2626"/>
        <w:gridCol w:w="1134"/>
        <w:gridCol w:w="1134"/>
        <w:gridCol w:w="1134"/>
        <w:gridCol w:w="992"/>
      </w:tblGrid>
      <w:tr w:rsidR="007E23E7" w:rsidRPr="00F160A4" w:rsidTr="00571C58">
        <w:trPr>
          <w:cnfStyle w:val="100000000000" w:firstRow="1" w:lastRow="0" w:firstColumn="0" w:lastColumn="0" w:oddVBand="0" w:evenVBand="0" w:oddHBand="0" w:evenHBand="0" w:firstRowFirstColumn="0" w:firstRowLastColumn="0" w:lastRowFirstColumn="0" w:lastRowLastColumn="0"/>
          <w:tblHeader/>
        </w:trPr>
        <w:tc>
          <w:tcPr>
            <w:tcW w:w="2626" w:type="dxa"/>
            <w:tcBorders>
              <w:bottom w:val="none" w:sz="0" w:space="0" w:color="auto"/>
            </w:tcBorders>
          </w:tcPr>
          <w:p w:rsidR="007E23E7" w:rsidRPr="00557140" w:rsidRDefault="007E23E7" w:rsidP="00870CC5">
            <w:pPr>
              <w:pStyle w:val="BodyText"/>
              <w:ind w:left="0"/>
              <w:rPr>
                <w:color w:val="FFFFFF" w:themeColor="background1"/>
              </w:rPr>
            </w:pPr>
            <w:r w:rsidRPr="00557140">
              <w:rPr>
                <w:color w:val="FFFFFF" w:themeColor="background1"/>
              </w:rPr>
              <w:t>Firm Group</w:t>
            </w:r>
          </w:p>
        </w:tc>
        <w:tc>
          <w:tcPr>
            <w:tcW w:w="1134" w:type="dxa"/>
            <w:tcBorders>
              <w:bottom w:val="none" w:sz="0" w:space="0" w:color="auto"/>
            </w:tcBorders>
          </w:tcPr>
          <w:p w:rsidR="007E23E7" w:rsidRPr="00557140" w:rsidRDefault="007E23E7" w:rsidP="00870CC5">
            <w:pPr>
              <w:pStyle w:val="BodyText"/>
              <w:ind w:left="0"/>
              <w:rPr>
                <w:rFonts w:ascii="Arial" w:hAnsi="Arial" w:cs="Arial"/>
                <w:color w:val="FFFFFF" w:themeColor="background1"/>
              </w:rPr>
            </w:pPr>
            <w:r w:rsidRPr="00557140">
              <w:rPr>
                <w:rFonts w:ascii="Symbol" w:hAnsi="Symbol"/>
                <w:color w:val="FFFFFF" w:themeColor="background1"/>
                <w:sz w:val="24"/>
                <w:szCs w:val="24"/>
              </w:rPr>
              <w:t></w:t>
            </w:r>
            <w:r w:rsidRPr="00557140">
              <w:rPr>
                <w:rFonts w:ascii="Arial" w:hAnsi="Arial" w:cs="Arial"/>
                <w:color w:val="FFFFFF" w:themeColor="background1"/>
              </w:rPr>
              <w:t>FTE</w:t>
            </w:r>
          </w:p>
        </w:tc>
        <w:tc>
          <w:tcPr>
            <w:tcW w:w="1134" w:type="dxa"/>
            <w:tcBorders>
              <w:bottom w:val="none" w:sz="0" w:space="0" w:color="auto"/>
            </w:tcBorders>
          </w:tcPr>
          <w:p w:rsidR="007E23E7" w:rsidRPr="00557140" w:rsidRDefault="007E23E7" w:rsidP="00870CC5">
            <w:pPr>
              <w:pStyle w:val="BodyText"/>
              <w:ind w:left="0"/>
              <w:rPr>
                <w:color w:val="FFFFFF" w:themeColor="background1"/>
              </w:rPr>
            </w:pPr>
            <w:r w:rsidRPr="00557140">
              <w:rPr>
                <w:rFonts w:ascii="Symbol" w:hAnsi="Symbol"/>
                <w:color w:val="FFFFFF" w:themeColor="background1"/>
                <w:sz w:val="24"/>
                <w:szCs w:val="24"/>
              </w:rPr>
              <w:t></w:t>
            </w:r>
            <w:r w:rsidRPr="00557140">
              <w:rPr>
                <w:color w:val="FFFFFF" w:themeColor="background1"/>
              </w:rPr>
              <w:t>Turnover</w:t>
            </w:r>
          </w:p>
        </w:tc>
        <w:tc>
          <w:tcPr>
            <w:tcW w:w="1134" w:type="dxa"/>
            <w:tcBorders>
              <w:bottom w:val="none" w:sz="0" w:space="0" w:color="auto"/>
            </w:tcBorders>
          </w:tcPr>
          <w:p w:rsidR="007E23E7" w:rsidRPr="00557140" w:rsidRDefault="007E23E7" w:rsidP="00012FB1">
            <w:pPr>
              <w:pStyle w:val="BodyText"/>
              <w:ind w:left="0"/>
              <w:rPr>
                <w:color w:val="FFFFFF" w:themeColor="background1"/>
              </w:rPr>
            </w:pPr>
            <w:r w:rsidRPr="00557140">
              <w:rPr>
                <w:color w:val="FFFFFF" w:themeColor="background1"/>
              </w:rPr>
              <w:t>#Control</w:t>
            </w:r>
            <w:r w:rsidR="00012FB1" w:rsidRPr="00557140">
              <w:rPr>
                <w:color w:val="FFFFFF" w:themeColor="background1"/>
              </w:rPr>
              <w:t>s</w:t>
            </w:r>
            <w:r w:rsidRPr="00557140">
              <w:rPr>
                <w:color w:val="FFFFFF" w:themeColor="background1"/>
              </w:rPr>
              <w:t xml:space="preserve"> </w:t>
            </w:r>
          </w:p>
        </w:tc>
        <w:tc>
          <w:tcPr>
            <w:tcW w:w="992" w:type="dxa"/>
            <w:tcBorders>
              <w:bottom w:val="none" w:sz="0" w:space="0" w:color="auto"/>
            </w:tcBorders>
          </w:tcPr>
          <w:p w:rsidR="007E23E7" w:rsidRPr="00557140" w:rsidRDefault="00012FB1" w:rsidP="00870CC5">
            <w:pPr>
              <w:pStyle w:val="BodyText"/>
              <w:ind w:left="0"/>
              <w:rPr>
                <w:color w:val="FFFFFF" w:themeColor="background1"/>
              </w:rPr>
            </w:pPr>
            <w:r w:rsidRPr="00557140">
              <w:rPr>
                <w:color w:val="FFFFFF" w:themeColor="background1"/>
              </w:rPr>
              <w:t>#Treated</w:t>
            </w:r>
          </w:p>
        </w:tc>
      </w:tr>
      <w:tr w:rsidR="007E23E7" w:rsidRPr="00F160A4" w:rsidTr="00571C58">
        <w:trPr>
          <w:trHeight w:hRule="exact" w:val="284"/>
        </w:trPr>
        <w:tc>
          <w:tcPr>
            <w:tcW w:w="2626" w:type="dxa"/>
          </w:tcPr>
          <w:p w:rsidR="007E23E7" w:rsidRPr="00F160A4" w:rsidRDefault="007E23E7" w:rsidP="00870CC5">
            <w:pPr>
              <w:pStyle w:val="BodyText"/>
              <w:ind w:left="0"/>
            </w:pPr>
            <w:r w:rsidRPr="00F160A4">
              <w:t xml:space="preserve">  </w:t>
            </w:r>
            <w:r>
              <w:t>All</w:t>
            </w:r>
            <w:r w:rsidR="00A2689C">
              <w:t xml:space="preserve"> firms</w:t>
            </w:r>
          </w:p>
        </w:tc>
        <w:tc>
          <w:tcPr>
            <w:tcW w:w="1134" w:type="dxa"/>
          </w:tcPr>
          <w:p w:rsidR="007E23E7" w:rsidRPr="00F160A4" w:rsidRDefault="007E23E7" w:rsidP="007E23E7">
            <w:pPr>
              <w:pStyle w:val="BodyText"/>
              <w:ind w:left="0"/>
            </w:pPr>
            <w:r w:rsidRPr="00F160A4">
              <w:t xml:space="preserve"> </w:t>
            </w:r>
            <w:r>
              <w:t>0</w:t>
            </w:r>
            <w:r w:rsidRPr="00F160A4">
              <w:t xml:space="preserve">.256*** </w:t>
            </w:r>
          </w:p>
        </w:tc>
        <w:tc>
          <w:tcPr>
            <w:tcW w:w="1134" w:type="dxa"/>
          </w:tcPr>
          <w:p w:rsidR="007E23E7" w:rsidRPr="00F160A4" w:rsidRDefault="007E23E7" w:rsidP="00870CC5">
            <w:pPr>
              <w:pStyle w:val="BodyText"/>
              <w:ind w:left="0"/>
            </w:pPr>
            <w:r w:rsidRPr="00F160A4">
              <w:t xml:space="preserve"> 0.262*** </w:t>
            </w:r>
          </w:p>
        </w:tc>
        <w:tc>
          <w:tcPr>
            <w:tcW w:w="1134" w:type="dxa"/>
          </w:tcPr>
          <w:p w:rsidR="007E23E7" w:rsidRPr="00F160A4" w:rsidRDefault="007E23E7" w:rsidP="00870CC5">
            <w:pPr>
              <w:pStyle w:val="BodyText"/>
              <w:ind w:left="0"/>
            </w:pPr>
            <w:r w:rsidRPr="00F160A4">
              <w:t xml:space="preserve"> 85</w:t>
            </w:r>
            <w:r w:rsidR="00A2689C">
              <w:t>,</w:t>
            </w:r>
            <w:r w:rsidRPr="00F160A4">
              <w:t xml:space="preserve">734 </w:t>
            </w:r>
          </w:p>
        </w:tc>
        <w:tc>
          <w:tcPr>
            <w:tcW w:w="992" w:type="dxa"/>
          </w:tcPr>
          <w:p w:rsidR="007E23E7" w:rsidRPr="00F160A4" w:rsidRDefault="007E23E7" w:rsidP="00870CC5">
            <w:pPr>
              <w:pStyle w:val="BodyText"/>
              <w:ind w:left="0"/>
            </w:pPr>
            <w:r>
              <w:t xml:space="preserve"> 457  </w:t>
            </w:r>
          </w:p>
        </w:tc>
      </w:tr>
      <w:tr w:rsidR="007E23E7" w:rsidRPr="00F160A4" w:rsidTr="00571C58">
        <w:tc>
          <w:tcPr>
            <w:tcW w:w="2626" w:type="dxa"/>
          </w:tcPr>
          <w:p w:rsidR="007E23E7" w:rsidRPr="00F160A4" w:rsidRDefault="007E23E7" w:rsidP="00870CC5">
            <w:pPr>
              <w:pStyle w:val="BodyText"/>
              <w:ind w:left="0"/>
            </w:pPr>
            <w:r w:rsidRPr="00F160A4">
              <w:t xml:space="preserve">  </w:t>
            </w:r>
          </w:p>
        </w:tc>
        <w:tc>
          <w:tcPr>
            <w:tcW w:w="1134" w:type="dxa"/>
          </w:tcPr>
          <w:p w:rsidR="007E23E7" w:rsidRPr="00F160A4" w:rsidRDefault="007E23E7" w:rsidP="00870CC5">
            <w:pPr>
              <w:pStyle w:val="BodyText"/>
              <w:ind w:left="0"/>
            </w:pPr>
            <w:r w:rsidRPr="00F160A4">
              <w:t xml:space="preserve"> (0.033) </w:t>
            </w:r>
          </w:p>
        </w:tc>
        <w:tc>
          <w:tcPr>
            <w:tcW w:w="1134" w:type="dxa"/>
          </w:tcPr>
          <w:p w:rsidR="007E23E7" w:rsidRPr="00F160A4" w:rsidRDefault="007E23E7" w:rsidP="00870CC5">
            <w:pPr>
              <w:pStyle w:val="BodyText"/>
              <w:ind w:left="0"/>
            </w:pPr>
            <w:r w:rsidRPr="00F160A4">
              <w:t xml:space="preserve"> (0.065) </w:t>
            </w:r>
          </w:p>
        </w:tc>
        <w:tc>
          <w:tcPr>
            <w:tcW w:w="1134" w:type="dxa"/>
          </w:tcPr>
          <w:p w:rsidR="007E23E7" w:rsidRPr="00F160A4" w:rsidRDefault="007E23E7" w:rsidP="00870CC5">
            <w:pPr>
              <w:pStyle w:val="BodyText"/>
              <w:ind w:left="0"/>
            </w:pPr>
          </w:p>
        </w:tc>
        <w:tc>
          <w:tcPr>
            <w:tcW w:w="992" w:type="dxa"/>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Pr>
          <w:p w:rsidR="007E23E7" w:rsidRPr="00F160A4" w:rsidRDefault="007E23E7" w:rsidP="00870CC5">
            <w:pPr>
              <w:pStyle w:val="BodyText"/>
              <w:ind w:left="0"/>
            </w:pPr>
            <w:r w:rsidRPr="00F160A4">
              <w:t xml:space="preserve"> </w:t>
            </w:r>
            <w:r w:rsidRPr="00F160A4">
              <w:rPr>
                <w:rFonts w:ascii="Symbol" w:hAnsi="Symbol"/>
                <w:sz w:val="24"/>
                <w:szCs w:val="24"/>
              </w:rPr>
              <w:t></w:t>
            </w:r>
            <w:r>
              <w:rPr>
                <w:rFonts w:ascii="Arial" w:hAnsi="Arial" w:cs="Arial"/>
              </w:rPr>
              <w:t>FTE</w:t>
            </w:r>
            <w:r w:rsidR="00965522">
              <w:rPr>
                <w:rFonts w:ascii="Arial" w:hAnsi="Arial" w:cs="Arial"/>
                <w:vertAlign w:val="subscript"/>
              </w:rPr>
              <w:t>2009-</w:t>
            </w:r>
            <w:r w:rsidR="00774252">
              <w:rPr>
                <w:rFonts w:ascii="Arial" w:hAnsi="Arial" w:cs="Arial"/>
                <w:vertAlign w:val="subscript"/>
              </w:rPr>
              <w:t>–</w:t>
            </w:r>
            <w:r w:rsidR="00965522">
              <w:rPr>
                <w:rFonts w:ascii="Arial" w:hAnsi="Arial" w:cs="Arial"/>
                <w:vertAlign w:val="subscript"/>
              </w:rPr>
              <w:t>2011</w:t>
            </w:r>
            <w:r>
              <w:rPr>
                <w:rFonts w:ascii="Arial" w:hAnsi="Arial" w:cs="Arial"/>
              </w:rPr>
              <w:t>&gt;0</w:t>
            </w:r>
          </w:p>
        </w:tc>
        <w:tc>
          <w:tcPr>
            <w:tcW w:w="1134" w:type="dxa"/>
          </w:tcPr>
          <w:p w:rsidR="007E23E7" w:rsidRPr="00F160A4" w:rsidRDefault="00774252" w:rsidP="00870CC5">
            <w:pPr>
              <w:pStyle w:val="BodyText"/>
              <w:ind w:left="0"/>
            </w:pPr>
            <w:r>
              <w:t xml:space="preserve"> </w:t>
            </w:r>
            <w:r>
              <w:rPr>
                <w:rFonts w:cstheme="minorHAnsi"/>
              </w:rPr>
              <w:t>–</w:t>
            </w:r>
            <w:r w:rsidR="007E23E7" w:rsidRPr="00F160A4">
              <w:t xml:space="preserve">0.108*** </w:t>
            </w:r>
          </w:p>
        </w:tc>
        <w:tc>
          <w:tcPr>
            <w:tcW w:w="1134" w:type="dxa"/>
          </w:tcPr>
          <w:p w:rsidR="007E23E7" w:rsidRPr="00F160A4" w:rsidRDefault="007E23E7" w:rsidP="00870CC5">
            <w:pPr>
              <w:pStyle w:val="BodyText"/>
              <w:ind w:left="0"/>
            </w:pPr>
            <w:r w:rsidRPr="00F160A4">
              <w:t xml:space="preserve"> 0.120** </w:t>
            </w:r>
          </w:p>
        </w:tc>
        <w:tc>
          <w:tcPr>
            <w:tcW w:w="1134" w:type="dxa"/>
          </w:tcPr>
          <w:p w:rsidR="007E23E7" w:rsidRPr="00F160A4" w:rsidRDefault="007E23E7" w:rsidP="00870CC5">
            <w:pPr>
              <w:pStyle w:val="BodyText"/>
              <w:ind w:left="0"/>
            </w:pPr>
            <w:r w:rsidRPr="00F160A4">
              <w:t xml:space="preserve"> 68</w:t>
            </w:r>
            <w:r w:rsidR="00A2689C">
              <w:t>,</w:t>
            </w:r>
            <w:r w:rsidRPr="00F160A4">
              <w:t xml:space="preserve">195 </w:t>
            </w:r>
          </w:p>
        </w:tc>
        <w:tc>
          <w:tcPr>
            <w:tcW w:w="992" w:type="dxa"/>
          </w:tcPr>
          <w:p w:rsidR="007E23E7" w:rsidRPr="00F160A4" w:rsidRDefault="007E23E7" w:rsidP="00870CC5">
            <w:pPr>
              <w:pStyle w:val="BodyText"/>
              <w:ind w:left="0"/>
            </w:pPr>
            <w:r>
              <w:t xml:space="preserve"> 320  </w:t>
            </w:r>
          </w:p>
        </w:tc>
      </w:tr>
      <w:tr w:rsidR="007E23E7" w:rsidRPr="00F160A4" w:rsidTr="00571C58">
        <w:tc>
          <w:tcPr>
            <w:tcW w:w="2626" w:type="dxa"/>
          </w:tcPr>
          <w:p w:rsidR="007E23E7" w:rsidRPr="00F160A4" w:rsidRDefault="007E23E7" w:rsidP="00870CC5">
            <w:pPr>
              <w:pStyle w:val="BodyText"/>
              <w:ind w:left="0"/>
            </w:pPr>
            <w:r w:rsidRPr="00F160A4">
              <w:t xml:space="preserve">  </w:t>
            </w:r>
          </w:p>
        </w:tc>
        <w:tc>
          <w:tcPr>
            <w:tcW w:w="1134" w:type="dxa"/>
          </w:tcPr>
          <w:p w:rsidR="007E23E7" w:rsidRPr="00F160A4" w:rsidRDefault="007E23E7" w:rsidP="00870CC5">
            <w:pPr>
              <w:pStyle w:val="BodyText"/>
              <w:ind w:left="0"/>
            </w:pPr>
            <w:r w:rsidRPr="00F160A4">
              <w:t xml:space="preserve"> (0.018) </w:t>
            </w:r>
          </w:p>
        </w:tc>
        <w:tc>
          <w:tcPr>
            <w:tcW w:w="1134" w:type="dxa"/>
          </w:tcPr>
          <w:p w:rsidR="007E23E7" w:rsidRPr="00F160A4" w:rsidRDefault="007E23E7" w:rsidP="00870CC5">
            <w:pPr>
              <w:pStyle w:val="BodyText"/>
              <w:ind w:left="0"/>
            </w:pPr>
            <w:r w:rsidRPr="00F160A4">
              <w:t xml:space="preserve"> (0.051) </w:t>
            </w:r>
          </w:p>
        </w:tc>
        <w:tc>
          <w:tcPr>
            <w:tcW w:w="1134" w:type="dxa"/>
          </w:tcPr>
          <w:p w:rsidR="007E23E7" w:rsidRPr="00F160A4" w:rsidRDefault="007E23E7" w:rsidP="00870CC5">
            <w:pPr>
              <w:pStyle w:val="BodyText"/>
              <w:ind w:left="0"/>
            </w:pPr>
          </w:p>
        </w:tc>
        <w:tc>
          <w:tcPr>
            <w:tcW w:w="992" w:type="dxa"/>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Pr>
          <w:p w:rsidR="007E23E7" w:rsidRPr="00F160A4" w:rsidRDefault="007E23E7" w:rsidP="00870CC5">
            <w:pPr>
              <w:pStyle w:val="BodyText"/>
              <w:ind w:left="0"/>
            </w:pPr>
            <w:r w:rsidRPr="00F160A4">
              <w:t xml:space="preserve"> </w:t>
            </w:r>
            <w:r w:rsidRPr="00F160A4">
              <w:rPr>
                <w:rFonts w:ascii="Symbol" w:hAnsi="Symbol"/>
                <w:sz w:val="24"/>
                <w:szCs w:val="24"/>
              </w:rPr>
              <w:t></w:t>
            </w:r>
            <w:r>
              <w:rPr>
                <w:rFonts w:ascii="Arial" w:hAnsi="Arial" w:cs="Arial"/>
              </w:rPr>
              <w:t>FTE</w:t>
            </w:r>
            <w:r w:rsidR="00965522">
              <w:rPr>
                <w:rFonts w:ascii="Arial" w:hAnsi="Arial" w:cs="Arial"/>
              </w:rPr>
              <w:softHyphen/>
            </w:r>
            <w:r w:rsidR="00774252">
              <w:rPr>
                <w:rFonts w:ascii="Arial" w:hAnsi="Arial" w:cs="Arial"/>
                <w:vertAlign w:val="subscript"/>
              </w:rPr>
              <w:t>2009–</w:t>
            </w:r>
            <w:r w:rsidR="00965522">
              <w:rPr>
                <w:rFonts w:ascii="Arial" w:hAnsi="Arial" w:cs="Arial"/>
                <w:vertAlign w:val="subscript"/>
              </w:rPr>
              <w:t>2011</w:t>
            </w:r>
            <w:r>
              <w:rPr>
                <w:rFonts w:ascii="Arial" w:hAnsi="Arial" w:cs="Arial"/>
              </w:rPr>
              <w:t>&lt;0</w:t>
            </w:r>
          </w:p>
        </w:tc>
        <w:tc>
          <w:tcPr>
            <w:tcW w:w="1134" w:type="dxa"/>
          </w:tcPr>
          <w:p w:rsidR="007E23E7" w:rsidRPr="00F160A4" w:rsidRDefault="007E23E7" w:rsidP="00870CC5">
            <w:pPr>
              <w:pStyle w:val="BodyText"/>
              <w:ind w:left="0"/>
            </w:pPr>
            <w:r w:rsidRPr="00F160A4">
              <w:t xml:space="preserve"> 0.464*** </w:t>
            </w:r>
          </w:p>
        </w:tc>
        <w:tc>
          <w:tcPr>
            <w:tcW w:w="1134" w:type="dxa"/>
          </w:tcPr>
          <w:p w:rsidR="007E23E7" w:rsidRPr="00F160A4" w:rsidRDefault="007E23E7" w:rsidP="00870CC5">
            <w:pPr>
              <w:pStyle w:val="BodyText"/>
              <w:ind w:left="0"/>
            </w:pPr>
            <w:r w:rsidRPr="00F160A4">
              <w:t xml:space="preserve"> 0.285*** </w:t>
            </w:r>
          </w:p>
        </w:tc>
        <w:tc>
          <w:tcPr>
            <w:tcW w:w="1134" w:type="dxa"/>
          </w:tcPr>
          <w:p w:rsidR="007E23E7" w:rsidRPr="00F160A4" w:rsidRDefault="007E23E7" w:rsidP="00870CC5">
            <w:pPr>
              <w:pStyle w:val="BodyText"/>
              <w:ind w:left="0"/>
            </w:pPr>
            <w:r w:rsidRPr="00F160A4">
              <w:t xml:space="preserve"> 17</w:t>
            </w:r>
            <w:r w:rsidR="00A2689C">
              <w:t>,</w:t>
            </w:r>
            <w:r w:rsidRPr="00F160A4">
              <w:t xml:space="preserve">515 </w:t>
            </w:r>
          </w:p>
        </w:tc>
        <w:tc>
          <w:tcPr>
            <w:tcW w:w="992" w:type="dxa"/>
          </w:tcPr>
          <w:p w:rsidR="007E23E7" w:rsidRPr="00F160A4" w:rsidRDefault="007E23E7" w:rsidP="00870CC5">
            <w:pPr>
              <w:pStyle w:val="BodyText"/>
              <w:ind w:left="0"/>
            </w:pPr>
            <w:r>
              <w:t xml:space="preserve"> 137  </w:t>
            </w:r>
          </w:p>
        </w:tc>
      </w:tr>
      <w:tr w:rsidR="007E23E7" w:rsidRPr="00F160A4" w:rsidTr="00571C58">
        <w:tc>
          <w:tcPr>
            <w:tcW w:w="2626" w:type="dxa"/>
            <w:tcBorders>
              <w:bottom w:val="single" w:sz="4" w:space="0" w:color="FFFFFF" w:themeColor="background1"/>
            </w:tcBorders>
          </w:tcPr>
          <w:p w:rsidR="007E23E7" w:rsidRPr="00F160A4" w:rsidRDefault="007E23E7" w:rsidP="00870CC5">
            <w:pPr>
              <w:pStyle w:val="BodyText"/>
              <w:ind w:left="0"/>
            </w:pPr>
            <w:r w:rsidRPr="00F160A4">
              <w:t xml:space="preserve">  </w:t>
            </w:r>
          </w:p>
        </w:tc>
        <w:tc>
          <w:tcPr>
            <w:tcW w:w="1134" w:type="dxa"/>
            <w:tcBorders>
              <w:bottom w:val="single" w:sz="4" w:space="0" w:color="FFFFFF" w:themeColor="background1"/>
            </w:tcBorders>
          </w:tcPr>
          <w:p w:rsidR="007E23E7" w:rsidRPr="00F160A4" w:rsidRDefault="007E23E7" w:rsidP="00870CC5">
            <w:pPr>
              <w:pStyle w:val="BodyText"/>
              <w:ind w:left="0"/>
            </w:pPr>
            <w:r w:rsidRPr="00F160A4">
              <w:t xml:space="preserve"> (0.025) </w:t>
            </w:r>
          </w:p>
        </w:tc>
        <w:tc>
          <w:tcPr>
            <w:tcW w:w="1134" w:type="dxa"/>
            <w:tcBorders>
              <w:bottom w:val="single" w:sz="4" w:space="0" w:color="FFFFFF" w:themeColor="background1"/>
            </w:tcBorders>
          </w:tcPr>
          <w:p w:rsidR="007E23E7" w:rsidRPr="00F160A4" w:rsidRDefault="007E23E7" w:rsidP="00870CC5">
            <w:pPr>
              <w:pStyle w:val="BodyText"/>
              <w:ind w:left="0"/>
            </w:pPr>
            <w:r w:rsidRPr="00F160A4">
              <w:t xml:space="preserve"> (0.075) </w:t>
            </w:r>
          </w:p>
        </w:tc>
        <w:tc>
          <w:tcPr>
            <w:tcW w:w="1134" w:type="dxa"/>
            <w:tcBorders>
              <w:bottom w:val="single" w:sz="4" w:space="0" w:color="FFFFFF" w:themeColor="background1"/>
            </w:tcBorders>
          </w:tcPr>
          <w:p w:rsidR="007E23E7" w:rsidRPr="00F160A4" w:rsidRDefault="007E23E7" w:rsidP="00870CC5">
            <w:pPr>
              <w:pStyle w:val="BodyText"/>
              <w:ind w:left="0"/>
            </w:pPr>
          </w:p>
        </w:tc>
        <w:tc>
          <w:tcPr>
            <w:tcW w:w="992" w:type="dxa"/>
            <w:tcBorders>
              <w:bottom w:val="single" w:sz="4" w:space="0" w:color="FFFFFF" w:themeColor="background1"/>
            </w:tcBorders>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Borders>
              <w:top w:val="single" w:sz="4" w:space="0" w:color="FFFFFF" w:themeColor="background1"/>
            </w:tcBorders>
          </w:tcPr>
          <w:p w:rsidR="007E23E7" w:rsidRPr="00F160A4" w:rsidRDefault="007E23E7" w:rsidP="00870CC5">
            <w:pPr>
              <w:pStyle w:val="BodyText"/>
              <w:ind w:left="0"/>
            </w:pPr>
            <w:r w:rsidRPr="00F160A4">
              <w:t xml:space="preserve"> </w:t>
            </w:r>
            <w:r>
              <w:t>Exporting</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0.147*** </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0.155*** </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26</w:t>
            </w:r>
            <w:r w:rsidR="00A2689C">
              <w:t>,</w:t>
            </w:r>
            <w:r w:rsidRPr="00F160A4">
              <w:t xml:space="preserve">392 </w:t>
            </w:r>
          </w:p>
        </w:tc>
        <w:tc>
          <w:tcPr>
            <w:tcW w:w="992" w:type="dxa"/>
            <w:tcBorders>
              <w:top w:val="single" w:sz="4" w:space="0" w:color="FFFFFF" w:themeColor="background1"/>
            </w:tcBorders>
          </w:tcPr>
          <w:p w:rsidR="007E23E7" w:rsidRPr="00F160A4" w:rsidRDefault="007E23E7" w:rsidP="00870CC5">
            <w:pPr>
              <w:pStyle w:val="BodyText"/>
              <w:ind w:left="0"/>
            </w:pPr>
            <w:r>
              <w:t xml:space="preserve"> 325  </w:t>
            </w:r>
            <w:r w:rsidRPr="00F160A4">
              <w:t xml:space="preserve"> </w:t>
            </w:r>
          </w:p>
        </w:tc>
      </w:tr>
      <w:tr w:rsidR="007E23E7" w:rsidRPr="00F160A4" w:rsidTr="00571C58">
        <w:tc>
          <w:tcPr>
            <w:tcW w:w="2626" w:type="dxa"/>
          </w:tcPr>
          <w:p w:rsidR="007E23E7" w:rsidRPr="00F160A4" w:rsidRDefault="007E23E7" w:rsidP="00870CC5">
            <w:pPr>
              <w:pStyle w:val="BodyText"/>
              <w:ind w:left="0"/>
            </w:pPr>
            <w:r w:rsidRPr="00F160A4">
              <w:t xml:space="preserve">  </w:t>
            </w:r>
          </w:p>
        </w:tc>
        <w:tc>
          <w:tcPr>
            <w:tcW w:w="1134" w:type="dxa"/>
          </w:tcPr>
          <w:p w:rsidR="007E23E7" w:rsidRPr="00F160A4" w:rsidRDefault="007E23E7" w:rsidP="00870CC5">
            <w:pPr>
              <w:pStyle w:val="BodyText"/>
              <w:ind w:left="0"/>
            </w:pPr>
            <w:r w:rsidRPr="00F160A4">
              <w:t xml:space="preserve"> (0.030) </w:t>
            </w:r>
          </w:p>
        </w:tc>
        <w:tc>
          <w:tcPr>
            <w:tcW w:w="1134" w:type="dxa"/>
          </w:tcPr>
          <w:p w:rsidR="007E23E7" w:rsidRPr="00F160A4" w:rsidRDefault="007E23E7" w:rsidP="00870CC5">
            <w:pPr>
              <w:pStyle w:val="BodyText"/>
              <w:ind w:left="0"/>
            </w:pPr>
            <w:r w:rsidRPr="00F160A4">
              <w:t xml:space="preserve"> (0.045) </w:t>
            </w:r>
          </w:p>
        </w:tc>
        <w:tc>
          <w:tcPr>
            <w:tcW w:w="1134" w:type="dxa"/>
          </w:tcPr>
          <w:p w:rsidR="007E23E7" w:rsidRPr="00F160A4" w:rsidRDefault="007E23E7" w:rsidP="00870CC5">
            <w:pPr>
              <w:pStyle w:val="BodyText"/>
              <w:ind w:left="0"/>
            </w:pPr>
          </w:p>
        </w:tc>
        <w:tc>
          <w:tcPr>
            <w:tcW w:w="992" w:type="dxa"/>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Pr>
          <w:p w:rsidR="007E23E7" w:rsidRPr="00F160A4" w:rsidRDefault="007E23E7" w:rsidP="00870CC5">
            <w:pPr>
              <w:pStyle w:val="BodyText"/>
              <w:ind w:left="0"/>
            </w:pPr>
            <w:r w:rsidRPr="00F160A4">
              <w:t xml:space="preserve"> </w:t>
            </w:r>
            <w:r>
              <w:t>Non-exporting</w:t>
            </w:r>
          </w:p>
        </w:tc>
        <w:tc>
          <w:tcPr>
            <w:tcW w:w="1134" w:type="dxa"/>
          </w:tcPr>
          <w:p w:rsidR="007E23E7" w:rsidRPr="00F160A4" w:rsidRDefault="007E23E7" w:rsidP="00870CC5">
            <w:pPr>
              <w:pStyle w:val="BodyText"/>
              <w:ind w:left="0"/>
            </w:pPr>
            <w:r w:rsidRPr="00F160A4">
              <w:t xml:space="preserve"> 0.272*** </w:t>
            </w:r>
          </w:p>
        </w:tc>
        <w:tc>
          <w:tcPr>
            <w:tcW w:w="1134" w:type="dxa"/>
          </w:tcPr>
          <w:p w:rsidR="007E23E7" w:rsidRPr="00F160A4" w:rsidRDefault="007E23E7" w:rsidP="00870CC5">
            <w:pPr>
              <w:pStyle w:val="BodyText"/>
              <w:ind w:left="0"/>
            </w:pPr>
            <w:r w:rsidRPr="00F160A4">
              <w:t xml:space="preserve"> 0.257*** </w:t>
            </w:r>
          </w:p>
        </w:tc>
        <w:tc>
          <w:tcPr>
            <w:tcW w:w="1134" w:type="dxa"/>
          </w:tcPr>
          <w:p w:rsidR="007E23E7" w:rsidRPr="00F160A4" w:rsidRDefault="007E23E7" w:rsidP="00870CC5">
            <w:pPr>
              <w:pStyle w:val="BodyText"/>
              <w:ind w:left="0"/>
            </w:pPr>
            <w:r w:rsidRPr="00F160A4">
              <w:t xml:space="preserve"> 59</w:t>
            </w:r>
            <w:r w:rsidR="00A2689C">
              <w:t>,</w:t>
            </w:r>
            <w:r w:rsidRPr="00F160A4">
              <w:t xml:space="preserve">342 </w:t>
            </w:r>
          </w:p>
        </w:tc>
        <w:tc>
          <w:tcPr>
            <w:tcW w:w="992" w:type="dxa"/>
          </w:tcPr>
          <w:p w:rsidR="007E23E7" w:rsidRPr="00F160A4" w:rsidRDefault="007E23E7" w:rsidP="00870CC5">
            <w:pPr>
              <w:pStyle w:val="BodyText"/>
              <w:ind w:left="0"/>
            </w:pPr>
            <w:r>
              <w:t xml:space="preserve"> 132  </w:t>
            </w:r>
            <w:r w:rsidRPr="00F160A4">
              <w:t xml:space="preserve"> </w:t>
            </w:r>
          </w:p>
        </w:tc>
      </w:tr>
      <w:tr w:rsidR="007E23E7" w:rsidRPr="00F160A4" w:rsidTr="00571C58">
        <w:tc>
          <w:tcPr>
            <w:tcW w:w="2626" w:type="dxa"/>
            <w:tcBorders>
              <w:bottom w:val="single" w:sz="4" w:space="0" w:color="FFFFFF" w:themeColor="background1"/>
            </w:tcBorders>
          </w:tcPr>
          <w:p w:rsidR="007E23E7" w:rsidRPr="00F160A4" w:rsidRDefault="007E23E7" w:rsidP="00870CC5">
            <w:pPr>
              <w:pStyle w:val="BodyText"/>
              <w:ind w:left="0"/>
            </w:pPr>
            <w:r w:rsidRPr="00F160A4">
              <w:t xml:space="preserve">  </w:t>
            </w:r>
          </w:p>
        </w:tc>
        <w:tc>
          <w:tcPr>
            <w:tcW w:w="1134" w:type="dxa"/>
            <w:tcBorders>
              <w:bottom w:val="single" w:sz="4" w:space="0" w:color="FFFFFF" w:themeColor="background1"/>
            </w:tcBorders>
          </w:tcPr>
          <w:p w:rsidR="007E23E7" w:rsidRPr="00F160A4" w:rsidRDefault="007E23E7" w:rsidP="00870CC5">
            <w:pPr>
              <w:pStyle w:val="BodyText"/>
              <w:ind w:left="0"/>
            </w:pPr>
            <w:r w:rsidRPr="00F160A4">
              <w:t xml:space="preserve"> (0.078) </w:t>
            </w:r>
          </w:p>
        </w:tc>
        <w:tc>
          <w:tcPr>
            <w:tcW w:w="1134" w:type="dxa"/>
            <w:tcBorders>
              <w:bottom w:val="single" w:sz="4" w:space="0" w:color="FFFFFF" w:themeColor="background1"/>
            </w:tcBorders>
          </w:tcPr>
          <w:p w:rsidR="007E23E7" w:rsidRPr="00F160A4" w:rsidRDefault="007E23E7" w:rsidP="00870CC5">
            <w:pPr>
              <w:pStyle w:val="BodyText"/>
              <w:ind w:left="0"/>
            </w:pPr>
            <w:r w:rsidRPr="00F160A4">
              <w:t xml:space="preserve"> (0.058) </w:t>
            </w:r>
          </w:p>
        </w:tc>
        <w:tc>
          <w:tcPr>
            <w:tcW w:w="1134" w:type="dxa"/>
            <w:tcBorders>
              <w:bottom w:val="single" w:sz="4" w:space="0" w:color="FFFFFF" w:themeColor="background1"/>
            </w:tcBorders>
          </w:tcPr>
          <w:p w:rsidR="007E23E7" w:rsidRPr="00F160A4" w:rsidRDefault="007E23E7" w:rsidP="00870CC5">
            <w:pPr>
              <w:pStyle w:val="BodyText"/>
              <w:ind w:left="0"/>
            </w:pPr>
          </w:p>
        </w:tc>
        <w:tc>
          <w:tcPr>
            <w:tcW w:w="992" w:type="dxa"/>
            <w:tcBorders>
              <w:bottom w:val="single" w:sz="4" w:space="0" w:color="FFFFFF" w:themeColor="background1"/>
            </w:tcBorders>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Borders>
              <w:top w:val="single" w:sz="4" w:space="0" w:color="FFFFFF" w:themeColor="background1"/>
            </w:tcBorders>
          </w:tcPr>
          <w:p w:rsidR="00F97181" w:rsidRDefault="007E23E7" w:rsidP="00774252">
            <w:pPr>
              <w:pStyle w:val="BodyText"/>
              <w:ind w:left="0"/>
            </w:pPr>
            <w:r w:rsidRPr="00F160A4">
              <w:t xml:space="preserve"> </w:t>
            </w:r>
            <w:r>
              <w:t>Foreign ownership</w:t>
            </w:r>
          </w:p>
          <w:p w:rsidR="00774252" w:rsidRPr="00F160A4" w:rsidRDefault="00774252" w:rsidP="00774252">
            <w:pPr>
              <w:pStyle w:val="BodyText"/>
              <w:ind w:left="0"/>
            </w:pP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0.108 </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0.100 </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60</w:t>
            </w:r>
            <w:r w:rsidR="00A2689C">
              <w:t>,</w:t>
            </w:r>
            <w:r w:rsidRPr="00F160A4">
              <w:t xml:space="preserve">348 </w:t>
            </w:r>
          </w:p>
        </w:tc>
        <w:tc>
          <w:tcPr>
            <w:tcW w:w="992" w:type="dxa"/>
            <w:tcBorders>
              <w:top w:val="single" w:sz="4" w:space="0" w:color="FFFFFF" w:themeColor="background1"/>
            </w:tcBorders>
          </w:tcPr>
          <w:p w:rsidR="007E23E7" w:rsidRPr="00F160A4" w:rsidRDefault="007E23E7" w:rsidP="00870CC5">
            <w:pPr>
              <w:pStyle w:val="BodyText"/>
              <w:ind w:left="0"/>
            </w:pPr>
            <w:r w:rsidRPr="00F160A4">
              <w:t xml:space="preserve"> 117   </w:t>
            </w:r>
          </w:p>
        </w:tc>
      </w:tr>
      <w:tr w:rsidR="007E23E7" w:rsidRPr="00F160A4" w:rsidTr="00571C58">
        <w:tc>
          <w:tcPr>
            <w:tcW w:w="2626" w:type="dxa"/>
          </w:tcPr>
          <w:p w:rsidR="007E23E7" w:rsidRPr="00F160A4" w:rsidRDefault="007E23E7" w:rsidP="00870CC5">
            <w:pPr>
              <w:pStyle w:val="BodyText"/>
              <w:ind w:left="0"/>
            </w:pPr>
            <w:r w:rsidRPr="00F160A4">
              <w:t xml:space="preserve">  </w:t>
            </w:r>
            <w:r w:rsidR="00774252">
              <w:rPr>
                <w:rFonts w:cstheme="minorHAnsi"/>
              </w:rPr>
              <w:t>≥</w:t>
            </w:r>
            <w:r w:rsidR="00774252">
              <w:t>10 per cent</w:t>
            </w:r>
          </w:p>
        </w:tc>
        <w:tc>
          <w:tcPr>
            <w:tcW w:w="1134" w:type="dxa"/>
          </w:tcPr>
          <w:p w:rsidR="007E23E7" w:rsidRPr="00F160A4" w:rsidRDefault="007E23E7" w:rsidP="00870CC5">
            <w:pPr>
              <w:pStyle w:val="BodyText"/>
              <w:ind w:left="0"/>
            </w:pPr>
            <w:r w:rsidRPr="00F160A4">
              <w:t xml:space="preserve"> (0.106) </w:t>
            </w:r>
          </w:p>
        </w:tc>
        <w:tc>
          <w:tcPr>
            <w:tcW w:w="1134" w:type="dxa"/>
          </w:tcPr>
          <w:p w:rsidR="007E23E7" w:rsidRPr="00F160A4" w:rsidRDefault="007E23E7" w:rsidP="00870CC5">
            <w:pPr>
              <w:pStyle w:val="BodyText"/>
              <w:ind w:left="0"/>
            </w:pPr>
            <w:r w:rsidRPr="00F160A4">
              <w:t xml:space="preserve"> (0.093) </w:t>
            </w:r>
          </w:p>
        </w:tc>
        <w:tc>
          <w:tcPr>
            <w:tcW w:w="1134" w:type="dxa"/>
          </w:tcPr>
          <w:p w:rsidR="007E23E7" w:rsidRPr="00F160A4" w:rsidRDefault="007E23E7" w:rsidP="00870CC5">
            <w:pPr>
              <w:pStyle w:val="BodyText"/>
              <w:ind w:left="0"/>
            </w:pPr>
          </w:p>
        </w:tc>
        <w:tc>
          <w:tcPr>
            <w:tcW w:w="992" w:type="dxa"/>
          </w:tcPr>
          <w:p w:rsidR="007E23E7" w:rsidRPr="00F160A4" w:rsidRDefault="007E23E7" w:rsidP="00870CC5">
            <w:pPr>
              <w:pStyle w:val="BodyText"/>
              <w:ind w:left="0"/>
            </w:pPr>
          </w:p>
        </w:tc>
      </w:tr>
      <w:tr w:rsidR="007E23E7" w:rsidRPr="00F160A4" w:rsidTr="00571C58">
        <w:trPr>
          <w:trHeight w:hRule="exact" w:val="284"/>
        </w:trPr>
        <w:tc>
          <w:tcPr>
            <w:tcW w:w="2626" w:type="dxa"/>
          </w:tcPr>
          <w:p w:rsidR="007E23E7" w:rsidRPr="00F160A4" w:rsidRDefault="007E23E7" w:rsidP="00774252">
            <w:pPr>
              <w:pStyle w:val="BodyText"/>
              <w:ind w:left="0"/>
            </w:pPr>
            <w:r w:rsidRPr="00F160A4">
              <w:t xml:space="preserve"> </w:t>
            </w:r>
            <w:r>
              <w:t xml:space="preserve">Foreign </w:t>
            </w:r>
            <w:r w:rsidR="000D538A">
              <w:t>Ownership</w:t>
            </w:r>
          </w:p>
        </w:tc>
        <w:tc>
          <w:tcPr>
            <w:tcW w:w="1134" w:type="dxa"/>
          </w:tcPr>
          <w:p w:rsidR="007E23E7" w:rsidRPr="00F160A4" w:rsidRDefault="007E23E7" w:rsidP="00870CC5">
            <w:pPr>
              <w:pStyle w:val="BodyText"/>
              <w:ind w:left="0"/>
            </w:pPr>
            <w:r w:rsidRPr="00F160A4">
              <w:t xml:space="preserve"> 0.259*** </w:t>
            </w:r>
          </w:p>
        </w:tc>
        <w:tc>
          <w:tcPr>
            <w:tcW w:w="1134" w:type="dxa"/>
          </w:tcPr>
          <w:p w:rsidR="007E23E7" w:rsidRPr="00F160A4" w:rsidRDefault="007E23E7" w:rsidP="00870CC5">
            <w:pPr>
              <w:pStyle w:val="BodyText"/>
              <w:ind w:left="0"/>
            </w:pPr>
            <w:r w:rsidRPr="00F160A4">
              <w:t xml:space="preserve"> 0.264*** </w:t>
            </w:r>
          </w:p>
        </w:tc>
        <w:tc>
          <w:tcPr>
            <w:tcW w:w="1134" w:type="dxa"/>
          </w:tcPr>
          <w:p w:rsidR="007E23E7" w:rsidRPr="00F160A4" w:rsidRDefault="007E23E7" w:rsidP="00870CC5">
            <w:pPr>
              <w:pStyle w:val="BodyText"/>
              <w:ind w:left="0"/>
            </w:pPr>
            <w:r w:rsidRPr="00F160A4">
              <w:t xml:space="preserve"> 25</w:t>
            </w:r>
            <w:r w:rsidR="00A2689C">
              <w:t>,</w:t>
            </w:r>
            <w:r w:rsidRPr="00F160A4">
              <w:t xml:space="preserve">386 </w:t>
            </w:r>
          </w:p>
        </w:tc>
        <w:tc>
          <w:tcPr>
            <w:tcW w:w="992" w:type="dxa"/>
          </w:tcPr>
          <w:p w:rsidR="007E23E7" w:rsidRPr="00F160A4" w:rsidRDefault="007E23E7" w:rsidP="00870CC5">
            <w:pPr>
              <w:pStyle w:val="BodyText"/>
              <w:ind w:left="0"/>
            </w:pPr>
            <w:r>
              <w:t xml:space="preserve"> 340  </w:t>
            </w:r>
          </w:p>
        </w:tc>
      </w:tr>
      <w:tr w:rsidR="007E23E7" w:rsidRPr="00F160A4" w:rsidTr="00571C58">
        <w:tc>
          <w:tcPr>
            <w:tcW w:w="2626" w:type="dxa"/>
            <w:tcBorders>
              <w:bottom w:val="single" w:sz="4" w:space="0" w:color="FFFFFF" w:themeColor="background1"/>
            </w:tcBorders>
          </w:tcPr>
          <w:p w:rsidR="007E23E7" w:rsidRPr="00F160A4" w:rsidRDefault="007E23E7" w:rsidP="00870CC5">
            <w:pPr>
              <w:pStyle w:val="BodyText"/>
              <w:ind w:left="0"/>
            </w:pPr>
            <w:r w:rsidRPr="00F160A4">
              <w:t xml:space="preserve">  </w:t>
            </w:r>
            <w:r w:rsidR="00774252">
              <w:t>&lt;10 per cent</w:t>
            </w:r>
          </w:p>
        </w:tc>
        <w:tc>
          <w:tcPr>
            <w:tcW w:w="1134" w:type="dxa"/>
            <w:tcBorders>
              <w:bottom w:val="single" w:sz="4" w:space="0" w:color="FFFFFF" w:themeColor="background1"/>
            </w:tcBorders>
          </w:tcPr>
          <w:p w:rsidR="007E23E7" w:rsidRPr="00F160A4" w:rsidRDefault="007E23E7" w:rsidP="00870CC5">
            <w:pPr>
              <w:pStyle w:val="BodyText"/>
              <w:ind w:left="0"/>
            </w:pPr>
            <w:r w:rsidRPr="00F160A4">
              <w:t xml:space="preserve"> (0.033) </w:t>
            </w:r>
          </w:p>
        </w:tc>
        <w:tc>
          <w:tcPr>
            <w:tcW w:w="1134" w:type="dxa"/>
            <w:tcBorders>
              <w:bottom w:val="single" w:sz="4" w:space="0" w:color="FFFFFF" w:themeColor="background1"/>
            </w:tcBorders>
          </w:tcPr>
          <w:p w:rsidR="007E23E7" w:rsidRPr="00F160A4" w:rsidRDefault="007E23E7" w:rsidP="00870CC5">
            <w:pPr>
              <w:pStyle w:val="BodyText"/>
              <w:ind w:left="0"/>
            </w:pPr>
            <w:r w:rsidRPr="00F160A4">
              <w:t xml:space="preserve"> (0.066) </w:t>
            </w:r>
          </w:p>
        </w:tc>
        <w:tc>
          <w:tcPr>
            <w:tcW w:w="1134" w:type="dxa"/>
            <w:tcBorders>
              <w:bottom w:val="single" w:sz="4" w:space="0" w:color="FFFFFF" w:themeColor="background1"/>
            </w:tcBorders>
          </w:tcPr>
          <w:p w:rsidR="007E23E7" w:rsidRPr="00F160A4" w:rsidRDefault="007E23E7" w:rsidP="00870CC5">
            <w:pPr>
              <w:pStyle w:val="BodyText"/>
              <w:ind w:left="0"/>
            </w:pPr>
          </w:p>
        </w:tc>
        <w:tc>
          <w:tcPr>
            <w:tcW w:w="992" w:type="dxa"/>
            <w:tcBorders>
              <w:bottom w:val="single" w:sz="4" w:space="0" w:color="FFFFFF" w:themeColor="background1"/>
            </w:tcBorders>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Borders>
              <w:top w:val="single" w:sz="4" w:space="0" w:color="FFFFFF" w:themeColor="background1"/>
            </w:tcBorders>
          </w:tcPr>
          <w:p w:rsidR="007E23E7" w:rsidRPr="00F160A4" w:rsidRDefault="007E23E7" w:rsidP="00870CC5">
            <w:pPr>
              <w:pStyle w:val="BodyText"/>
              <w:ind w:left="0"/>
            </w:pPr>
            <w:r w:rsidRPr="00F160A4">
              <w:t xml:space="preserve"> </w:t>
            </w:r>
            <w:r>
              <w:t>FTE</w:t>
            </w:r>
            <w:r w:rsidR="001B6F37">
              <w:softHyphen/>
            </w:r>
            <w:r w:rsidR="001B6F37">
              <w:rPr>
                <w:vertAlign w:val="subscript"/>
              </w:rPr>
              <w:t>2011</w:t>
            </w:r>
            <w:r>
              <w:t>&lt;20</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0.185 </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0.247 </w:t>
            </w:r>
          </w:p>
        </w:tc>
        <w:tc>
          <w:tcPr>
            <w:tcW w:w="1134" w:type="dxa"/>
            <w:tcBorders>
              <w:top w:val="single" w:sz="4" w:space="0" w:color="FFFFFF" w:themeColor="background1"/>
            </w:tcBorders>
          </w:tcPr>
          <w:p w:rsidR="007E23E7" w:rsidRPr="00F160A4" w:rsidRDefault="007E23E7" w:rsidP="00870CC5">
            <w:pPr>
              <w:pStyle w:val="BodyText"/>
              <w:ind w:left="0"/>
            </w:pPr>
            <w:r w:rsidRPr="00F160A4">
              <w:t xml:space="preserve"> 47</w:t>
            </w:r>
            <w:r w:rsidR="00A2689C">
              <w:t>,</w:t>
            </w:r>
            <w:r w:rsidRPr="00F160A4">
              <w:t xml:space="preserve">141 </w:t>
            </w:r>
          </w:p>
        </w:tc>
        <w:tc>
          <w:tcPr>
            <w:tcW w:w="992" w:type="dxa"/>
            <w:tcBorders>
              <w:top w:val="single" w:sz="4" w:space="0" w:color="FFFFFF" w:themeColor="background1"/>
            </w:tcBorders>
          </w:tcPr>
          <w:p w:rsidR="007E23E7" w:rsidRPr="00F160A4" w:rsidRDefault="007E23E7" w:rsidP="00870CC5">
            <w:pPr>
              <w:pStyle w:val="BodyText"/>
              <w:ind w:left="0"/>
            </w:pPr>
            <w:r>
              <w:t xml:space="preserve"> 122  </w:t>
            </w:r>
          </w:p>
        </w:tc>
      </w:tr>
      <w:tr w:rsidR="007E23E7" w:rsidRPr="00F160A4" w:rsidTr="00571C58">
        <w:tc>
          <w:tcPr>
            <w:tcW w:w="2626" w:type="dxa"/>
          </w:tcPr>
          <w:p w:rsidR="007E23E7" w:rsidRPr="00F160A4" w:rsidRDefault="007E23E7" w:rsidP="00870CC5">
            <w:pPr>
              <w:pStyle w:val="BodyText"/>
              <w:ind w:left="0"/>
            </w:pPr>
            <w:r w:rsidRPr="00F160A4">
              <w:t xml:space="preserve">  </w:t>
            </w:r>
          </w:p>
        </w:tc>
        <w:tc>
          <w:tcPr>
            <w:tcW w:w="1134" w:type="dxa"/>
          </w:tcPr>
          <w:p w:rsidR="007E23E7" w:rsidRPr="00F160A4" w:rsidRDefault="007E23E7" w:rsidP="00870CC5">
            <w:pPr>
              <w:pStyle w:val="BodyText"/>
              <w:ind w:left="0"/>
            </w:pPr>
            <w:r w:rsidRPr="00F160A4">
              <w:t xml:space="preserve"> (0.165) </w:t>
            </w:r>
          </w:p>
        </w:tc>
        <w:tc>
          <w:tcPr>
            <w:tcW w:w="1134" w:type="dxa"/>
          </w:tcPr>
          <w:p w:rsidR="007E23E7" w:rsidRPr="00F160A4" w:rsidRDefault="007E23E7" w:rsidP="00870CC5">
            <w:pPr>
              <w:pStyle w:val="BodyText"/>
              <w:ind w:left="0"/>
            </w:pPr>
            <w:r w:rsidRPr="00F160A4">
              <w:t xml:space="preserve"> (0.176) </w:t>
            </w:r>
          </w:p>
        </w:tc>
        <w:tc>
          <w:tcPr>
            <w:tcW w:w="1134" w:type="dxa"/>
          </w:tcPr>
          <w:p w:rsidR="007E23E7" w:rsidRPr="00F160A4" w:rsidRDefault="007E23E7" w:rsidP="00870CC5">
            <w:pPr>
              <w:pStyle w:val="BodyText"/>
              <w:ind w:left="0"/>
            </w:pPr>
          </w:p>
        </w:tc>
        <w:tc>
          <w:tcPr>
            <w:tcW w:w="992" w:type="dxa"/>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Pr>
          <w:p w:rsidR="007E23E7" w:rsidRPr="00F160A4" w:rsidRDefault="007E23E7" w:rsidP="00870CC5">
            <w:pPr>
              <w:pStyle w:val="BodyText"/>
              <w:ind w:left="0"/>
            </w:pPr>
            <w:r w:rsidRPr="00F160A4">
              <w:t xml:space="preserve"> </w:t>
            </w:r>
            <w:r>
              <w:t>20</w:t>
            </w:r>
            <w:r>
              <w:rPr>
                <w:rFonts w:cstheme="minorHAnsi"/>
              </w:rPr>
              <w:t>≤</w:t>
            </w:r>
            <w:r>
              <w:t>FTE</w:t>
            </w:r>
            <w:r w:rsidR="001B6F37">
              <w:rPr>
                <w:vertAlign w:val="subscript"/>
              </w:rPr>
              <w:t>2011</w:t>
            </w:r>
            <w:r w:rsidR="00501FA7">
              <w:rPr>
                <w:rFonts w:cstheme="minorHAnsi"/>
              </w:rPr>
              <w:t>&lt;</w:t>
            </w:r>
            <w:r>
              <w:t>200</w:t>
            </w:r>
          </w:p>
        </w:tc>
        <w:tc>
          <w:tcPr>
            <w:tcW w:w="1134" w:type="dxa"/>
          </w:tcPr>
          <w:p w:rsidR="007E23E7" w:rsidRPr="00F160A4" w:rsidRDefault="007E23E7" w:rsidP="00870CC5">
            <w:pPr>
              <w:pStyle w:val="BodyText"/>
              <w:ind w:left="0"/>
            </w:pPr>
            <w:r w:rsidRPr="00F160A4">
              <w:t xml:space="preserve"> 0.173*** </w:t>
            </w:r>
          </w:p>
        </w:tc>
        <w:tc>
          <w:tcPr>
            <w:tcW w:w="1134" w:type="dxa"/>
          </w:tcPr>
          <w:p w:rsidR="007E23E7" w:rsidRPr="00F160A4" w:rsidRDefault="007E23E7" w:rsidP="00870CC5">
            <w:pPr>
              <w:pStyle w:val="BodyText"/>
              <w:ind w:left="0"/>
            </w:pPr>
            <w:r w:rsidRPr="00F160A4">
              <w:t xml:space="preserve"> 0.197*** </w:t>
            </w:r>
          </w:p>
        </w:tc>
        <w:tc>
          <w:tcPr>
            <w:tcW w:w="1134" w:type="dxa"/>
          </w:tcPr>
          <w:p w:rsidR="007E23E7" w:rsidRPr="00F160A4" w:rsidRDefault="007E23E7" w:rsidP="00870CC5">
            <w:pPr>
              <w:pStyle w:val="BodyText"/>
              <w:ind w:left="0"/>
            </w:pPr>
            <w:r w:rsidRPr="00F160A4">
              <w:t xml:space="preserve">  3</w:t>
            </w:r>
            <w:r w:rsidR="00A2689C">
              <w:t>,</w:t>
            </w:r>
            <w:r w:rsidRPr="00F160A4">
              <w:t xml:space="preserve">556 </w:t>
            </w:r>
          </w:p>
        </w:tc>
        <w:tc>
          <w:tcPr>
            <w:tcW w:w="992" w:type="dxa"/>
          </w:tcPr>
          <w:p w:rsidR="007E23E7" w:rsidRPr="00F160A4" w:rsidRDefault="007E23E7" w:rsidP="00870CC5">
            <w:pPr>
              <w:pStyle w:val="BodyText"/>
              <w:ind w:left="0"/>
            </w:pPr>
            <w:r>
              <w:t xml:space="preserve"> 188  </w:t>
            </w:r>
          </w:p>
        </w:tc>
      </w:tr>
      <w:tr w:rsidR="007E23E7" w:rsidRPr="00F160A4" w:rsidTr="00571C58">
        <w:tc>
          <w:tcPr>
            <w:tcW w:w="2626" w:type="dxa"/>
          </w:tcPr>
          <w:p w:rsidR="007E23E7" w:rsidRPr="00F160A4" w:rsidRDefault="007E23E7" w:rsidP="00870CC5">
            <w:pPr>
              <w:pStyle w:val="BodyText"/>
              <w:ind w:left="0"/>
            </w:pPr>
            <w:r w:rsidRPr="00F160A4">
              <w:t xml:space="preserve">  </w:t>
            </w:r>
          </w:p>
        </w:tc>
        <w:tc>
          <w:tcPr>
            <w:tcW w:w="1134" w:type="dxa"/>
          </w:tcPr>
          <w:p w:rsidR="007E23E7" w:rsidRPr="00F160A4" w:rsidRDefault="007E23E7" w:rsidP="00870CC5">
            <w:pPr>
              <w:pStyle w:val="BodyText"/>
              <w:ind w:left="0"/>
            </w:pPr>
            <w:r w:rsidRPr="00F160A4">
              <w:t xml:space="preserve"> (0.029) </w:t>
            </w:r>
          </w:p>
        </w:tc>
        <w:tc>
          <w:tcPr>
            <w:tcW w:w="1134" w:type="dxa"/>
          </w:tcPr>
          <w:p w:rsidR="007E23E7" w:rsidRPr="00F160A4" w:rsidRDefault="007E23E7" w:rsidP="00870CC5">
            <w:pPr>
              <w:pStyle w:val="BodyText"/>
              <w:ind w:left="0"/>
            </w:pPr>
            <w:r w:rsidRPr="00F160A4">
              <w:t xml:space="preserve"> (0.044) </w:t>
            </w:r>
          </w:p>
        </w:tc>
        <w:tc>
          <w:tcPr>
            <w:tcW w:w="1134" w:type="dxa"/>
          </w:tcPr>
          <w:p w:rsidR="007E23E7" w:rsidRPr="00F160A4" w:rsidRDefault="007E23E7" w:rsidP="00870CC5">
            <w:pPr>
              <w:pStyle w:val="BodyText"/>
              <w:ind w:left="0"/>
            </w:pPr>
          </w:p>
        </w:tc>
        <w:tc>
          <w:tcPr>
            <w:tcW w:w="992" w:type="dxa"/>
          </w:tcPr>
          <w:p w:rsidR="007E23E7" w:rsidRPr="00F160A4" w:rsidRDefault="007E23E7" w:rsidP="00F160A4">
            <w:pPr>
              <w:pStyle w:val="BodyText"/>
              <w:ind w:left="0"/>
            </w:pPr>
            <w:r w:rsidRPr="00F160A4">
              <w:t xml:space="preserve"> </w:t>
            </w:r>
          </w:p>
        </w:tc>
      </w:tr>
      <w:tr w:rsidR="007E23E7" w:rsidRPr="00F160A4" w:rsidTr="00571C58">
        <w:trPr>
          <w:trHeight w:hRule="exact" w:val="284"/>
        </w:trPr>
        <w:tc>
          <w:tcPr>
            <w:tcW w:w="2626" w:type="dxa"/>
          </w:tcPr>
          <w:p w:rsidR="007E23E7" w:rsidRPr="00F160A4" w:rsidRDefault="007E23E7" w:rsidP="00870CC5">
            <w:pPr>
              <w:pStyle w:val="BodyText"/>
              <w:ind w:left="0"/>
            </w:pPr>
            <w:r w:rsidRPr="00F160A4">
              <w:t xml:space="preserve"> </w:t>
            </w:r>
            <w:r>
              <w:t>FTE</w:t>
            </w:r>
            <w:r w:rsidR="001B6F37">
              <w:rPr>
                <w:vertAlign w:val="subscript"/>
              </w:rPr>
              <w:t>2011</w:t>
            </w:r>
            <w:r w:rsidR="00501FA7">
              <w:rPr>
                <w:rFonts w:cstheme="minorHAnsi"/>
              </w:rPr>
              <w:t>≥</w:t>
            </w:r>
            <w:r>
              <w:t>200</w:t>
            </w:r>
          </w:p>
        </w:tc>
        <w:tc>
          <w:tcPr>
            <w:tcW w:w="1134" w:type="dxa"/>
          </w:tcPr>
          <w:p w:rsidR="007E23E7" w:rsidRPr="00F160A4" w:rsidRDefault="007E23E7" w:rsidP="00870CC5">
            <w:pPr>
              <w:pStyle w:val="BodyText"/>
              <w:ind w:left="0"/>
            </w:pPr>
            <w:r w:rsidRPr="00F160A4">
              <w:t xml:space="preserve"> 0.090** </w:t>
            </w:r>
          </w:p>
        </w:tc>
        <w:tc>
          <w:tcPr>
            <w:tcW w:w="1134" w:type="dxa"/>
          </w:tcPr>
          <w:p w:rsidR="007E23E7" w:rsidRPr="00F160A4" w:rsidRDefault="007E23E7" w:rsidP="00870CC5">
            <w:pPr>
              <w:pStyle w:val="BodyText"/>
              <w:ind w:left="0"/>
            </w:pPr>
            <w:r w:rsidRPr="00F160A4">
              <w:t xml:space="preserve"> 0.038 </w:t>
            </w:r>
          </w:p>
        </w:tc>
        <w:tc>
          <w:tcPr>
            <w:tcW w:w="1134" w:type="dxa"/>
          </w:tcPr>
          <w:p w:rsidR="007E23E7" w:rsidRPr="00F160A4" w:rsidRDefault="007E23E7" w:rsidP="00870CC5">
            <w:pPr>
              <w:pStyle w:val="BodyText"/>
              <w:ind w:left="0"/>
            </w:pPr>
            <w:r w:rsidRPr="00F160A4">
              <w:t xml:space="preserve"> 35</w:t>
            </w:r>
            <w:r w:rsidR="00A2689C">
              <w:t>,</w:t>
            </w:r>
            <w:r w:rsidRPr="00F160A4">
              <w:t xml:space="preserve">037 </w:t>
            </w:r>
          </w:p>
        </w:tc>
        <w:tc>
          <w:tcPr>
            <w:tcW w:w="992" w:type="dxa"/>
          </w:tcPr>
          <w:p w:rsidR="007E23E7" w:rsidRPr="00F160A4" w:rsidRDefault="007E23E7" w:rsidP="00870CC5">
            <w:pPr>
              <w:pStyle w:val="BodyText"/>
              <w:ind w:left="0"/>
            </w:pPr>
            <w:r>
              <w:t xml:space="preserve"> 147  </w:t>
            </w:r>
            <w:r w:rsidRPr="00F160A4">
              <w:t xml:space="preserve"> </w:t>
            </w:r>
          </w:p>
        </w:tc>
      </w:tr>
      <w:tr w:rsidR="007E23E7" w:rsidRPr="00F160A4" w:rsidTr="00571C58">
        <w:tc>
          <w:tcPr>
            <w:tcW w:w="2626" w:type="dxa"/>
          </w:tcPr>
          <w:p w:rsidR="007E23E7" w:rsidRPr="00F160A4" w:rsidRDefault="007E23E7" w:rsidP="00870CC5">
            <w:pPr>
              <w:pStyle w:val="BodyText"/>
              <w:ind w:left="0"/>
            </w:pPr>
            <w:r w:rsidRPr="00F160A4">
              <w:t xml:space="preserve">  </w:t>
            </w:r>
          </w:p>
        </w:tc>
        <w:tc>
          <w:tcPr>
            <w:tcW w:w="1134" w:type="dxa"/>
          </w:tcPr>
          <w:p w:rsidR="007E23E7" w:rsidRPr="00F160A4" w:rsidRDefault="007E23E7" w:rsidP="00870CC5">
            <w:pPr>
              <w:pStyle w:val="BodyText"/>
              <w:ind w:left="0"/>
            </w:pPr>
            <w:r w:rsidRPr="00F160A4">
              <w:t xml:space="preserve"> (0.041) </w:t>
            </w:r>
          </w:p>
        </w:tc>
        <w:tc>
          <w:tcPr>
            <w:tcW w:w="1134" w:type="dxa"/>
          </w:tcPr>
          <w:p w:rsidR="007E23E7" w:rsidRPr="00F160A4" w:rsidRDefault="007E23E7" w:rsidP="00870CC5">
            <w:pPr>
              <w:pStyle w:val="BodyText"/>
              <w:ind w:left="0"/>
            </w:pPr>
            <w:r w:rsidRPr="00F160A4">
              <w:t xml:space="preserve"> (0.039) </w:t>
            </w:r>
          </w:p>
        </w:tc>
        <w:tc>
          <w:tcPr>
            <w:tcW w:w="1134" w:type="dxa"/>
          </w:tcPr>
          <w:p w:rsidR="007E23E7" w:rsidRPr="00F160A4" w:rsidRDefault="007E23E7" w:rsidP="00870CC5">
            <w:pPr>
              <w:pStyle w:val="BodyText"/>
              <w:ind w:left="0"/>
            </w:pPr>
          </w:p>
        </w:tc>
        <w:tc>
          <w:tcPr>
            <w:tcW w:w="992" w:type="dxa"/>
          </w:tcPr>
          <w:p w:rsidR="007E23E7" w:rsidRPr="00F160A4" w:rsidRDefault="007E23E7" w:rsidP="00870CC5">
            <w:pPr>
              <w:pStyle w:val="BodyText"/>
              <w:ind w:left="0"/>
            </w:pPr>
          </w:p>
        </w:tc>
      </w:tr>
    </w:tbl>
    <w:p w:rsidR="00571C58" w:rsidRDefault="00571C58" w:rsidP="00571C58">
      <w:pPr>
        <w:pStyle w:val="Source"/>
      </w:pPr>
      <w:r>
        <w:t xml:space="preserve">Source: </w:t>
      </w:r>
      <w:r w:rsidRPr="00A9193F">
        <w:t xml:space="preserve">Author’s calculations based on the </w:t>
      </w:r>
      <w:r w:rsidR="00882F54">
        <w:t>BLADE</w:t>
      </w:r>
    </w:p>
    <w:p w:rsidR="007E23E7" w:rsidRDefault="00012FB1" w:rsidP="00571C58">
      <w:pPr>
        <w:pStyle w:val="BodyText"/>
      </w:pPr>
      <w:r>
        <w:t>However, when split</w:t>
      </w:r>
      <w:r w:rsidR="00E90AC0">
        <w:t>ting firms by prior growth in FTE</w:t>
      </w:r>
      <w:r>
        <w:t>, one sees a</w:t>
      </w:r>
      <w:r w:rsidR="00EF12C3">
        <w:t>n interesting pattern. The positive effect i</w:t>
      </w:r>
      <w:r>
        <w:t>s actually concentrated a</w:t>
      </w:r>
      <w:r w:rsidR="00013270">
        <w:t>mong firms that were destroying jobs</w:t>
      </w:r>
      <w:r>
        <w:t xml:space="preserve"> prior to the introduction of the programme. </w:t>
      </w:r>
      <w:r w:rsidR="00557140">
        <w:t>In contrast, t</w:t>
      </w:r>
      <w:r>
        <w:t xml:space="preserve">he growth rate for firms that were expanding just fell. </w:t>
      </w:r>
    </w:p>
    <w:p w:rsidR="00DB5E0A" w:rsidRDefault="00012FB1" w:rsidP="00DB5E0A">
      <w:pPr>
        <w:pStyle w:val="BodyText"/>
      </w:pPr>
      <w:r>
        <w:t xml:space="preserve">Regarding other </w:t>
      </w:r>
      <w:r w:rsidR="00E03EA3">
        <w:t>characteristics</w:t>
      </w:r>
      <w:r>
        <w:t>, the results s</w:t>
      </w:r>
      <w:r w:rsidR="00DB5E0A">
        <w:t xml:space="preserve">how that both exporting and non-exporting firms equally benefited from the programme, but the effect is more pronounced among non-exporting firms. </w:t>
      </w:r>
    </w:p>
    <w:p w:rsidR="00024283" w:rsidRDefault="00012FB1" w:rsidP="00DB5E0A">
      <w:pPr>
        <w:pStyle w:val="BodyText"/>
      </w:pPr>
      <w:r>
        <w:t>It w</w:t>
      </w:r>
      <w:r w:rsidR="00CC122B">
        <w:t>as found earlier that the majority</w:t>
      </w:r>
      <w:r>
        <w:t xml:space="preserve"> of the firms that received CleanTech </w:t>
      </w:r>
      <w:r w:rsidR="003163F8">
        <w:t xml:space="preserve">are </w:t>
      </w:r>
      <w:r w:rsidR="001B5AF8">
        <w:t xml:space="preserve">fully </w:t>
      </w:r>
      <w:r w:rsidR="003163F8">
        <w:t>Australian-owned</w:t>
      </w:r>
      <w:r w:rsidR="00024283">
        <w:t xml:space="preserve">, and the largest positive effect of CleanTech is also associated with </w:t>
      </w:r>
      <w:r w:rsidR="007B73DD">
        <w:t>firms with very little foreign ownership</w:t>
      </w:r>
      <w:r w:rsidR="00024283">
        <w:t>. The</w:t>
      </w:r>
      <w:r w:rsidR="00CC122B">
        <w:t xml:space="preserve"> positive effect of CleanTech i</w:t>
      </w:r>
      <w:r w:rsidR="00024283">
        <w:t xml:space="preserve">s also more evident among midsize and large firms. </w:t>
      </w:r>
      <w:r w:rsidR="00013270">
        <w:t xml:space="preserve">No statistically significant effect can be detected </w:t>
      </w:r>
      <w:r w:rsidR="00D51A77">
        <w:t>among small firms (those with fewer</w:t>
      </w:r>
      <w:r w:rsidR="00013270">
        <w:t xml:space="preserve"> than 20 employees)</w:t>
      </w:r>
      <w:r w:rsidR="00024283">
        <w:t>.</w:t>
      </w:r>
    </w:p>
    <w:p w:rsidR="009F2AF7" w:rsidRDefault="009F2AF7" w:rsidP="00DB5E0A">
      <w:pPr>
        <w:pStyle w:val="BodyText"/>
      </w:pPr>
      <w:r>
        <w:t xml:space="preserve">To get some insight into the type of jobs created, I will do a matching exercise where I use the ratio of FTE to the head count of employees in a </w:t>
      </w:r>
      <w:r w:rsidR="00B37FDD">
        <w:t>firm. This ratio</w:t>
      </w:r>
      <w:r>
        <w:t xml:space="preserve"> signifies whether most of the jobs in a firm are full-time or part-time. In the former case, the ratio would be close to one, whereas in the latter it becomes smaller </w:t>
      </w:r>
      <w:r w:rsidR="008033E7">
        <w:t xml:space="preserve">than one </w:t>
      </w:r>
      <w:r>
        <w:t xml:space="preserve">depending on the number of part-timers. I am only reporting the significant </w:t>
      </w:r>
      <w:r w:rsidR="00B37FDD">
        <w:t xml:space="preserve">matching </w:t>
      </w:r>
      <w:r w:rsidR="00557140">
        <w:t>outcomes in</w:t>
      </w:r>
      <w:r>
        <w:t xml:space="preserve"> </w:t>
      </w:r>
      <w:r>
        <w:fldChar w:fldCharType="begin"/>
      </w:r>
      <w:r>
        <w:instrText xml:space="preserve"> REF _Ref447264681 \h </w:instrText>
      </w:r>
      <w:r>
        <w:fldChar w:fldCharType="separate"/>
      </w:r>
      <w:r>
        <w:t xml:space="preserve">Table </w:t>
      </w:r>
      <w:r>
        <w:rPr>
          <w:noProof/>
        </w:rPr>
        <w:t>5</w:t>
      </w:r>
      <w:r>
        <w:t>.</w:t>
      </w:r>
      <w:r>
        <w:rPr>
          <w:noProof/>
        </w:rPr>
        <w:t>2</w:t>
      </w:r>
      <w:r>
        <w:fldChar w:fldCharType="end"/>
      </w:r>
      <w:r>
        <w:t>. The positive effects suggest that firms with access to CleanTech grants tend to create more full-time jobs, or switch part-timers to full-time position</w:t>
      </w:r>
      <w:r w:rsidR="00790F7F">
        <w:t>s</w:t>
      </w:r>
      <w:r>
        <w:t>, than a similar firm but without CleanTech.</w:t>
      </w:r>
      <w:r w:rsidR="008B12E6">
        <w:t xml:space="preserve"> This trend, again, is more associated with firms that were contracting before CleanTech was introduced.</w:t>
      </w:r>
    </w:p>
    <w:p w:rsidR="009F2AF7" w:rsidRDefault="009F2AF7" w:rsidP="009F2AF7">
      <w:pPr>
        <w:pStyle w:val="Caption"/>
      </w:pPr>
      <w:bookmarkStart w:id="11" w:name="_Ref447264681"/>
      <w:r>
        <w:t xml:space="preserve">Table </w:t>
      </w:r>
      <w:r w:rsidR="00E27332">
        <w:fldChar w:fldCharType="begin"/>
      </w:r>
      <w:r w:rsidR="00E27332">
        <w:instrText xml:space="preserve"> STYLEREF 1 \s </w:instrText>
      </w:r>
      <w:r w:rsidR="00E27332">
        <w:fldChar w:fldCharType="separate"/>
      </w:r>
      <w:r w:rsidR="00E62A7E">
        <w:rPr>
          <w:noProof/>
        </w:rPr>
        <w:t>5</w:t>
      </w:r>
      <w:r w:rsidR="00E27332">
        <w:rPr>
          <w:noProof/>
        </w:rPr>
        <w:fldChar w:fldCharType="end"/>
      </w:r>
      <w:r w:rsidR="00E62A7E">
        <w:t>.</w:t>
      </w:r>
      <w:r w:rsidR="00E27332">
        <w:fldChar w:fldCharType="begin"/>
      </w:r>
      <w:r w:rsidR="00E27332">
        <w:instrText xml:space="preserve"> SEQ Table \* ARABIC \s 1 </w:instrText>
      </w:r>
      <w:r w:rsidR="00E27332">
        <w:fldChar w:fldCharType="separate"/>
      </w:r>
      <w:r w:rsidR="00E62A7E">
        <w:rPr>
          <w:noProof/>
        </w:rPr>
        <w:t>2</w:t>
      </w:r>
      <w:r w:rsidR="00E27332">
        <w:rPr>
          <w:noProof/>
        </w:rPr>
        <w:fldChar w:fldCharType="end"/>
      </w:r>
      <w:bookmarkEnd w:id="11"/>
      <w:r>
        <w:t xml:space="preserve"> Average treatment effect for the rate of change in the ratio of FTE to headcount. </w:t>
      </w:r>
      <w:r w:rsidR="008C7BA6">
        <w:t xml:space="preserve">Numbers in </w:t>
      </w:r>
      <w:r w:rsidR="00FA7E51">
        <w:t>parentheses are standard errors</w:t>
      </w:r>
    </w:p>
    <w:tbl>
      <w:tblPr>
        <w:tblStyle w:val="OCETable"/>
        <w:tblW w:w="0" w:type="auto"/>
        <w:tblInd w:w="2235" w:type="dxa"/>
        <w:tblLook w:val="04A0" w:firstRow="1" w:lastRow="0" w:firstColumn="1" w:lastColumn="0" w:noHBand="0" w:noVBand="1"/>
        <w:tblCaption w:val="Table 5.2"/>
        <w:tblDescription w:val="Average treat,emt effect for the rate of change in the ratio fo FTE to headcount. Numnbers in parentheses are standard errors"/>
      </w:tblPr>
      <w:tblGrid>
        <w:gridCol w:w="1461"/>
        <w:gridCol w:w="1043"/>
        <w:gridCol w:w="1590"/>
        <w:gridCol w:w="1278"/>
        <w:gridCol w:w="1419"/>
      </w:tblGrid>
      <w:tr w:rsidR="009F2AF7" w:rsidTr="00571C58">
        <w:trPr>
          <w:cnfStyle w:val="100000000000" w:firstRow="1" w:lastRow="0" w:firstColumn="0" w:lastColumn="0" w:oddVBand="0" w:evenVBand="0" w:oddHBand="0" w:evenHBand="0" w:firstRowFirstColumn="0" w:firstRowLastColumn="0" w:lastRowFirstColumn="0" w:lastRowLastColumn="0"/>
          <w:tblHeader/>
        </w:trPr>
        <w:tc>
          <w:tcPr>
            <w:tcW w:w="1461" w:type="dxa"/>
          </w:tcPr>
          <w:p w:rsidR="009F2AF7" w:rsidRPr="00557140" w:rsidRDefault="009F2AF7" w:rsidP="00DB5E0A">
            <w:pPr>
              <w:pStyle w:val="BodyText"/>
              <w:ind w:left="0"/>
              <w:rPr>
                <w:color w:val="FFFFFF" w:themeColor="background1"/>
              </w:rPr>
            </w:pPr>
            <w:r w:rsidRPr="00557140">
              <w:rPr>
                <w:color w:val="FFFFFF" w:themeColor="background1"/>
              </w:rPr>
              <w:t>Firm Group</w:t>
            </w:r>
          </w:p>
        </w:tc>
        <w:tc>
          <w:tcPr>
            <w:tcW w:w="1043" w:type="dxa"/>
          </w:tcPr>
          <w:p w:rsidR="009F2AF7" w:rsidRPr="00557140" w:rsidRDefault="009F2AF7" w:rsidP="009F2AF7">
            <w:pPr>
              <w:pStyle w:val="BodyText"/>
              <w:ind w:left="0"/>
              <w:jc w:val="center"/>
              <w:rPr>
                <w:color w:val="FFFFFF" w:themeColor="background1"/>
              </w:rPr>
            </w:pPr>
            <w:r w:rsidRPr="00557140">
              <w:rPr>
                <w:color w:val="FFFFFF" w:themeColor="background1"/>
              </w:rPr>
              <w:t>All firms</w:t>
            </w:r>
          </w:p>
        </w:tc>
        <w:tc>
          <w:tcPr>
            <w:tcW w:w="1590" w:type="dxa"/>
          </w:tcPr>
          <w:p w:rsidR="009F2AF7" w:rsidRPr="00557140" w:rsidRDefault="009F2AF7" w:rsidP="009F2AF7">
            <w:pPr>
              <w:pStyle w:val="BodyText"/>
              <w:ind w:left="0"/>
              <w:jc w:val="center"/>
              <w:rPr>
                <w:color w:val="FFFFFF" w:themeColor="background1"/>
              </w:rPr>
            </w:pPr>
            <w:r w:rsidRPr="00557140">
              <w:rPr>
                <w:rFonts w:ascii="Symbol" w:hAnsi="Symbol"/>
                <w:color w:val="FFFFFF" w:themeColor="background1"/>
                <w:sz w:val="24"/>
                <w:szCs w:val="24"/>
              </w:rPr>
              <w:t></w:t>
            </w:r>
            <w:r w:rsidRPr="00557140">
              <w:rPr>
                <w:rFonts w:ascii="Arial" w:hAnsi="Arial" w:cs="Arial"/>
                <w:color w:val="FFFFFF" w:themeColor="background1"/>
              </w:rPr>
              <w:t>FTE</w:t>
            </w:r>
            <w:r w:rsidRPr="00557140">
              <w:rPr>
                <w:rFonts w:ascii="Arial" w:hAnsi="Arial" w:cs="Arial"/>
                <w:color w:val="FFFFFF" w:themeColor="background1"/>
                <w:vertAlign w:val="subscript"/>
              </w:rPr>
              <w:t>2009-2011</w:t>
            </w:r>
            <w:r w:rsidRPr="00557140">
              <w:rPr>
                <w:rFonts w:ascii="Arial" w:hAnsi="Arial" w:cs="Arial"/>
                <w:color w:val="FFFFFF" w:themeColor="background1"/>
              </w:rPr>
              <w:t>&lt;0</w:t>
            </w:r>
          </w:p>
        </w:tc>
        <w:tc>
          <w:tcPr>
            <w:tcW w:w="1278" w:type="dxa"/>
          </w:tcPr>
          <w:p w:rsidR="009F2AF7" w:rsidRPr="00557140" w:rsidRDefault="009F2AF7" w:rsidP="009F2AF7">
            <w:pPr>
              <w:pStyle w:val="BodyText"/>
              <w:ind w:left="0"/>
              <w:jc w:val="center"/>
              <w:rPr>
                <w:color w:val="FFFFFF" w:themeColor="background1"/>
              </w:rPr>
            </w:pPr>
            <w:r w:rsidRPr="00557140">
              <w:rPr>
                <w:color w:val="FFFFFF" w:themeColor="background1"/>
              </w:rPr>
              <w:t>Exporting</w:t>
            </w:r>
          </w:p>
        </w:tc>
        <w:tc>
          <w:tcPr>
            <w:tcW w:w="1419" w:type="dxa"/>
          </w:tcPr>
          <w:p w:rsidR="009F2AF7" w:rsidRPr="00557140" w:rsidRDefault="009F2AF7" w:rsidP="009F2AF7">
            <w:pPr>
              <w:pStyle w:val="BodyText"/>
              <w:ind w:left="0"/>
              <w:jc w:val="center"/>
              <w:rPr>
                <w:color w:val="FFFFFF" w:themeColor="background1"/>
              </w:rPr>
            </w:pPr>
            <w:r w:rsidRPr="00557140">
              <w:rPr>
                <w:color w:val="FFFFFF" w:themeColor="background1"/>
              </w:rPr>
              <w:t>Non-exporting</w:t>
            </w:r>
          </w:p>
        </w:tc>
      </w:tr>
      <w:tr w:rsidR="009F2AF7" w:rsidTr="00571C58">
        <w:tc>
          <w:tcPr>
            <w:tcW w:w="1461" w:type="dxa"/>
          </w:tcPr>
          <w:p w:rsidR="009F2AF7" w:rsidRDefault="009F2AF7" w:rsidP="00DB5E0A">
            <w:pPr>
              <w:pStyle w:val="BodyText"/>
              <w:ind w:left="0"/>
            </w:pPr>
            <w:r>
              <w:rPr>
                <w:rFonts w:cstheme="minorHAnsi"/>
              </w:rPr>
              <w:t>∆</w:t>
            </w:r>
            <w:r>
              <w:t>(FTE/HEAD)</w:t>
            </w:r>
          </w:p>
        </w:tc>
        <w:tc>
          <w:tcPr>
            <w:tcW w:w="1043" w:type="dxa"/>
          </w:tcPr>
          <w:p w:rsidR="009F2AF7" w:rsidRDefault="009F2AF7" w:rsidP="009F2AF7">
            <w:pPr>
              <w:pStyle w:val="BodyText"/>
              <w:ind w:left="0"/>
              <w:jc w:val="center"/>
            </w:pPr>
            <w:r>
              <w:t>0.042***</w:t>
            </w:r>
          </w:p>
          <w:p w:rsidR="009F2AF7" w:rsidRDefault="009F2AF7" w:rsidP="009F2AF7">
            <w:pPr>
              <w:pStyle w:val="BodyText"/>
              <w:ind w:left="0"/>
              <w:jc w:val="center"/>
            </w:pPr>
            <w:r>
              <w:t>(0.016)</w:t>
            </w:r>
          </w:p>
        </w:tc>
        <w:tc>
          <w:tcPr>
            <w:tcW w:w="1590" w:type="dxa"/>
          </w:tcPr>
          <w:p w:rsidR="009F2AF7" w:rsidRDefault="009F2AF7" w:rsidP="009F2AF7">
            <w:pPr>
              <w:pStyle w:val="BodyText"/>
              <w:ind w:left="0"/>
              <w:jc w:val="center"/>
            </w:pPr>
            <w:r>
              <w:t>0.129***</w:t>
            </w:r>
          </w:p>
          <w:p w:rsidR="009F2AF7" w:rsidRDefault="009F2AF7" w:rsidP="009F2AF7">
            <w:pPr>
              <w:pStyle w:val="BodyText"/>
              <w:ind w:left="0"/>
              <w:jc w:val="center"/>
            </w:pPr>
            <w:r>
              <w:t>(0.027)</w:t>
            </w:r>
          </w:p>
        </w:tc>
        <w:tc>
          <w:tcPr>
            <w:tcW w:w="1278" w:type="dxa"/>
          </w:tcPr>
          <w:p w:rsidR="009F2AF7" w:rsidRDefault="009F2AF7" w:rsidP="009F2AF7">
            <w:pPr>
              <w:pStyle w:val="BodyText"/>
              <w:ind w:left="0"/>
              <w:jc w:val="center"/>
            </w:pPr>
            <w:r>
              <w:t>0.069**</w:t>
            </w:r>
          </w:p>
          <w:p w:rsidR="009F2AF7" w:rsidRDefault="009F2AF7" w:rsidP="009F2AF7">
            <w:pPr>
              <w:pStyle w:val="BodyText"/>
              <w:ind w:left="0"/>
              <w:jc w:val="center"/>
            </w:pPr>
            <w:r>
              <w:t>(0.029)</w:t>
            </w:r>
          </w:p>
        </w:tc>
        <w:tc>
          <w:tcPr>
            <w:tcW w:w="1419" w:type="dxa"/>
          </w:tcPr>
          <w:p w:rsidR="009F2AF7" w:rsidRDefault="009F2AF7" w:rsidP="009F2AF7">
            <w:pPr>
              <w:pStyle w:val="BodyText"/>
              <w:ind w:left="0"/>
              <w:jc w:val="center"/>
            </w:pPr>
            <w:r>
              <w:t>0.042***</w:t>
            </w:r>
          </w:p>
          <w:p w:rsidR="009F2AF7" w:rsidRDefault="009F2AF7" w:rsidP="009F2AF7">
            <w:pPr>
              <w:pStyle w:val="BodyText"/>
              <w:ind w:left="0"/>
              <w:jc w:val="center"/>
            </w:pPr>
            <w:r>
              <w:t>(0.016)</w:t>
            </w:r>
          </w:p>
        </w:tc>
      </w:tr>
    </w:tbl>
    <w:p w:rsidR="00571C58" w:rsidRDefault="00571C58" w:rsidP="00571C58">
      <w:pPr>
        <w:pStyle w:val="Source"/>
      </w:pPr>
      <w:r>
        <w:t xml:space="preserve">Source: </w:t>
      </w:r>
      <w:r w:rsidRPr="00A9193F">
        <w:t xml:space="preserve">Author’s calculations based on the </w:t>
      </w:r>
      <w:r w:rsidR="00882F54">
        <w:t>BLADE</w:t>
      </w:r>
    </w:p>
    <w:p w:rsidR="00F8563F" w:rsidRDefault="00F8563F" w:rsidP="00F8563F">
      <w:pPr>
        <w:pStyle w:val="BodyText"/>
      </w:pPr>
      <w:r>
        <w:t xml:space="preserve">In </w:t>
      </w:r>
      <w:r>
        <w:fldChar w:fldCharType="begin"/>
      </w:r>
      <w:r>
        <w:instrText xml:space="preserve"> REF _Ref446062117 \h </w:instrText>
      </w:r>
      <w:r>
        <w:fldChar w:fldCharType="separate"/>
      </w:r>
      <w:r>
        <w:t xml:space="preserve">Table </w:t>
      </w:r>
      <w:r>
        <w:rPr>
          <w:noProof/>
        </w:rPr>
        <w:t>5</w:t>
      </w:r>
      <w:r>
        <w:t>.</w:t>
      </w:r>
      <w:r>
        <w:rPr>
          <w:noProof/>
        </w:rPr>
        <w:t>3</w:t>
      </w:r>
      <w:r>
        <w:fldChar w:fldCharType="end"/>
      </w:r>
      <w:r>
        <w:t xml:space="preserve"> I do a similar exercise to that of </w:t>
      </w:r>
      <w:r>
        <w:fldChar w:fldCharType="begin"/>
      </w:r>
      <w:r>
        <w:instrText xml:space="preserve"> REF _Ref446062111 \h </w:instrText>
      </w:r>
      <w:r>
        <w:fldChar w:fldCharType="separate"/>
      </w:r>
      <w:r>
        <w:t xml:space="preserve">Table </w:t>
      </w:r>
      <w:r>
        <w:rPr>
          <w:noProof/>
        </w:rPr>
        <w:t>5</w:t>
      </w:r>
      <w:r>
        <w:t>.</w:t>
      </w:r>
      <w:r>
        <w:rPr>
          <w:noProof/>
        </w:rPr>
        <w:t>1</w:t>
      </w:r>
      <w:r>
        <w:fldChar w:fldCharType="end"/>
      </w:r>
      <w:r>
        <w:t xml:space="preserve"> but comparing the growth rate of exports and capital investments. </w:t>
      </w:r>
    </w:p>
    <w:p w:rsidR="00F8563F" w:rsidRDefault="00F8563F" w:rsidP="00F8563F">
      <w:pPr>
        <w:pStyle w:val="Caption"/>
      </w:pPr>
      <w:bookmarkStart w:id="12" w:name="_Ref446062117"/>
      <w:r>
        <w:t xml:space="preserve">Table </w:t>
      </w:r>
      <w:fldSimple w:instr=" STYLEREF 1 \s ">
        <w:r>
          <w:rPr>
            <w:noProof/>
          </w:rPr>
          <w:t>5</w:t>
        </w:r>
      </w:fldSimple>
      <w:r>
        <w:t>.</w:t>
      </w:r>
      <w:fldSimple w:instr=" SEQ Table \* ARABIC \s 1 ">
        <w:r>
          <w:rPr>
            <w:noProof/>
          </w:rPr>
          <w:t>3</w:t>
        </w:r>
      </w:fldSimple>
      <w:bookmarkEnd w:id="12"/>
      <w:r>
        <w:t xml:space="preserve"> Average treatment effects for exports and capital expenditure rates of change. Numbers in parentheses are standard errors.</w:t>
      </w:r>
    </w:p>
    <w:tbl>
      <w:tblPr>
        <w:tblStyle w:val="OCETable"/>
        <w:tblW w:w="0" w:type="auto"/>
        <w:tblInd w:w="2160" w:type="dxa"/>
        <w:tblLook w:val="04A0" w:firstRow="1" w:lastRow="0" w:firstColumn="1" w:lastColumn="0" w:noHBand="0" w:noVBand="1"/>
        <w:tblCaption w:val="Table 5.3"/>
        <w:tblDescription w:val="Average treatment effects for exports and capital expenditure rates of change. Numbers in parentheses are standard errors."/>
      </w:tblPr>
      <w:tblGrid>
        <w:gridCol w:w="2505"/>
        <w:gridCol w:w="1122"/>
        <w:gridCol w:w="1131"/>
        <w:gridCol w:w="989"/>
        <w:gridCol w:w="1119"/>
      </w:tblGrid>
      <w:tr w:rsidR="00F8563F" w:rsidRPr="00F160A4" w:rsidTr="0097284E">
        <w:trPr>
          <w:cnfStyle w:val="100000000000" w:firstRow="1" w:lastRow="0" w:firstColumn="0" w:lastColumn="0" w:oddVBand="0" w:evenVBand="0" w:oddHBand="0" w:evenHBand="0" w:firstRowFirstColumn="0" w:firstRowLastColumn="0" w:lastRowFirstColumn="0" w:lastRowLastColumn="0"/>
          <w:tblHeader/>
        </w:trPr>
        <w:tc>
          <w:tcPr>
            <w:tcW w:w="2505" w:type="dxa"/>
            <w:tcBorders>
              <w:bottom w:val="none" w:sz="0" w:space="0" w:color="auto"/>
            </w:tcBorders>
          </w:tcPr>
          <w:p w:rsidR="00F8563F" w:rsidRPr="00557140" w:rsidRDefault="00F8563F" w:rsidP="0097284E">
            <w:pPr>
              <w:pStyle w:val="BodyText"/>
              <w:ind w:left="0"/>
              <w:rPr>
                <w:color w:val="FFFFFF" w:themeColor="background1"/>
              </w:rPr>
            </w:pPr>
            <w:r w:rsidRPr="00557140">
              <w:rPr>
                <w:color w:val="FFFFFF" w:themeColor="background1"/>
              </w:rPr>
              <w:t>Firm Group</w:t>
            </w:r>
          </w:p>
        </w:tc>
        <w:tc>
          <w:tcPr>
            <w:tcW w:w="1122" w:type="dxa"/>
            <w:tcBorders>
              <w:bottom w:val="none" w:sz="0" w:space="0" w:color="auto"/>
            </w:tcBorders>
          </w:tcPr>
          <w:p w:rsidR="00F8563F" w:rsidRPr="00557140" w:rsidRDefault="00F8563F" w:rsidP="0097284E">
            <w:pPr>
              <w:pStyle w:val="BodyText"/>
              <w:ind w:left="0"/>
              <w:rPr>
                <w:color w:val="FFFFFF" w:themeColor="background1"/>
              </w:rPr>
            </w:pPr>
            <w:r w:rsidRPr="00557140">
              <w:rPr>
                <w:rFonts w:ascii="Symbol" w:hAnsi="Symbol"/>
                <w:color w:val="FFFFFF" w:themeColor="background1"/>
                <w:sz w:val="24"/>
                <w:szCs w:val="24"/>
              </w:rPr>
              <w:t></w:t>
            </w:r>
            <w:r w:rsidRPr="00557140">
              <w:rPr>
                <w:color w:val="FFFFFF" w:themeColor="background1"/>
              </w:rPr>
              <w:t>Exports</w:t>
            </w:r>
          </w:p>
        </w:tc>
        <w:tc>
          <w:tcPr>
            <w:tcW w:w="1131" w:type="dxa"/>
            <w:tcBorders>
              <w:bottom w:val="none" w:sz="0" w:space="0" w:color="auto"/>
            </w:tcBorders>
          </w:tcPr>
          <w:p w:rsidR="00F8563F" w:rsidRPr="00557140" w:rsidRDefault="00F8563F" w:rsidP="0097284E">
            <w:pPr>
              <w:pStyle w:val="BodyText"/>
              <w:ind w:left="0"/>
              <w:rPr>
                <w:color w:val="FFFFFF" w:themeColor="background1"/>
              </w:rPr>
            </w:pPr>
            <w:r w:rsidRPr="00557140">
              <w:rPr>
                <w:rFonts w:ascii="Symbol" w:hAnsi="Symbol"/>
                <w:color w:val="FFFFFF" w:themeColor="background1"/>
                <w:sz w:val="24"/>
                <w:szCs w:val="24"/>
              </w:rPr>
              <w:t></w:t>
            </w:r>
            <w:r w:rsidRPr="00557140">
              <w:rPr>
                <w:color w:val="FFFFFF" w:themeColor="background1"/>
              </w:rPr>
              <w:t>Cap.Inv.</w:t>
            </w:r>
          </w:p>
        </w:tc>
        <w:tc>
          <w:tcPr>
            <w:tcW w:w="989" w:type="dxa"/>
            <w:tcBorders>
              <w:bottom w:val="none" w:sz="0" w:space="0" w:color="auto"/>
            </w:tcBorders>
          </w:tcPr>
          <w:p w:rsidR="00F8563F" w:rsidRPr="00557140" w:rsidRDefault="00F8563F" w:rsidP="0097284E">
            <w:pPr>
              <w:pStyle w:val="BodyText"/>
              <w:ind w:left="0"/>
              <w:rPr>
                <w:color w:val="FFFFFF" w:themeColor="background1"/>
              </w:rPr>
            </w:pPr>
            <w:r w:rsidRPr="00557140">
              <w:rPr>
                <w:color w:val="FFFFFF" w:themeColor="background1"/>
              </w:rPr>
              <w:t>#Control Firms</w:t>
            </w:r>
          </w:p>
        </w:tc>
        <w:tc>
          <w:tcPr>
            <w:tcW w:w="1119" w:type="dxa"/>
            <w:tcBorders>
              <w:bottom w:val="none" w:sz="0" w:space="0" w:color="auto"/>
            </w:tcBorders>
          </w:tcPr>
          <w:p w:rsidR="00F8563F" w:rsidRPr="00557140" w:rsidRDefault="00F8563F" w:rsidP="0097284E">
            <w:pPr>
              <w:pStyle w:val="BodyText"/>
              <w:ind w:left="0"/>
              <w:rPr>
                <w:color w:val="FFFFFF" w:themeColor="background1"/>
              </w:rPr>
            </w:pPr>
            <w:r w:rsidRPr="00557140">
              <w:rPr>
                <w:color w:val="FFFFFF" w:themeColor="background1"/>
              </w:rPr>
              <w:t>#Treated Firms</w:t>
            </w:r>
          </w:p>
        </w:tc>
      </w:tr>
      <w:tr w:rsidR="00F8563F" w:rsidRPr="00F160A4" w:rsidTr="0097284E">
        <w:trPr>
          <w:trHeight w:hRule="exact" w:val="284"/>
        </w:trPr>
        <w:tc>
          <w:tcPr>
            <w:tcW w:w="2505" w:type="dxa"/>
            <w:shd w:val="clear" w:color="auto" w:fill="D8EFF2" w:themeFill="accent2" w:themeFillTint="66"/>
          </w:tcPr>
          <w:p w:rsidR="00F8563F" w:rsidRPr="00F160A4" w:rsidRDefault="00F8563F" w:rsidP="0097284E">
            <w:pPr>
              <w:pStyle w:val="BodyText"/>
              <w:ind w:left="0"/>
            </w:pPr>
            <w:r w:rsidRPr="00F160A4">
              <w:t xml:space="preserve">  </w:t>
            </w:r>
            <w:r>
              <w:t>All firms</w:t>
            </w:r>
          </w:p>
        </w:tc>
        <w:tc>
          <w:tcPr>
            <w:tcW w:w="1122" w:type="dxa"/>
            <w:shd w:val="clear" w:color="auto" w:fill="D8EFF2" w:themeFill="accent2" w:themeFillTint="66"/>
          </w:tcPr>
          <w:p w:rsidR="00F8563F" w:rsidRPr="00F160A4" w:rsidRDefault="00F8563F" w:rsidP="0097284E">
            <w:pPr>
              <w:pStyle w:val="BodyText"/>
              <w:ind w:left="0"/>
            </w:pPr>
            <w:r w:rsidRPr="00F160A4">
              <w:t xml:space="preserve"> 0.227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0.357** </w:t>
            </w:r>
          </w:p>
        </w:tc>
        <w:tc>
          <w:tcPr>
            <w:tcW w:w="989" w:type="dxa"/>
            <w:shd w:val="clear" w:color="auto" w:fill="D8EFF2" w:themeFill="accent2" w:themeFillTint="66"/>
          </w:tcPr>
          <w:p w:rsidR="00F8563F" w:rsidRPr="00F160A4" w:rsidRDefault="00F8563F" w:rsidP="0097284E">
            <w:pPr>
              <w:pStyle w:val="BodyText"/>
              <w:ind w:left="0"/>
            </w:pPr>
            <w:r w:rsidRPr="00F160A4">
              <w:t xml:space="preserve"> 85734 </w:t>
            </w:r>
          </w:p>
        </w:tc>
        <w:tc>
          <w:tcPr>
            <w:tcW w:w="1119" w:type="dxa"/>
            <w:shd w:val="clear" w:color="auto" w:fill="D8EFF2" w:themeFill="accent2" w:themeFillTint="66"/>
          </w:tcPr>
          <w:p w:rsidR="00F8563F" w:rsidRPr="00F160A4" w:rsidRDefault="00F8563F" w:rsidP="0097284E">
            <w:pPr>
              <w:pStyle w:val="BodyText"/>
              <w:ind w:left="0"/>
            </w:pPr>
            <w:r>
              <w:t xml:space="preserve"> 457  </w:t>
            </w:r>
          </w:p>
        </w:tc>
      </w:tr>
      <w:tr w:rsidR="00F8563F" w:rsidRPr="00F160A4" w:rsidTr="0097284E">
        <w:tc>
          <w:tcPr>
            <w:tcW w:w="2505"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(0.163) </w:t>
            </w:r>
          </w:p>
        </w:tc>
        <w:tc>
          <w:tcPr>
            <w:tcW w:w="1131"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(0.172) </w:t>
            </w:r>
          </w:p>
        </w:tc>
        <w:tc>
          <w:tcPr>
            <w:tcW w:w="989"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p>
        </w:tc>
        <w:tc>
          <w:tcPr>
            <w:tcW w:w="1119"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w:t>
            </w:r>
            <w:r w:rsidRPr="00F160A4">
              <w:rPr>
                <w:rFonts w:ascii="Symbol" w:hAnsi="Symbol"/>
                <w:sz w:val="24"/>
                <w:szCs w:val="24"/>
              </w:rPr>
              <w:t></w:t>
            </w:r>
            <w:r>
              <w:rPr>
                <w:rFonts w:ascii="Arial" w:hAnsi="Arial" w:cs="Arial"/>
              </w:rPr>
              <w:t>FTE</w:t>
            </w:r>
            <w:r>
              <w:rPr>
                <w:rFonts w:ascii="Arial" w:hAnsi="Arial" w:cs="Arial"/>
                <w:vertAlign w:val="subscript"/>
              </w:rPr>
              <w:t>2009–2011</w:t>
            </w:r>
            <w:r>
              <w:rPr>
                <w:rFonts w:ascii="Arial" w:hAnsi="Arial" w:cs="Arial"/>
              </w:rPr>
              <w:t>&gt;0</w:t>
            </w:r>
          </w:p>
        </w:tc>
        <w:tc>
          <w:tcPr>
            <w:tcW w:w="1122"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0.183 </w:t>
            </w:r>
          </w:p>
        </w:tc>
        <w:tc>
          <w:tcPr>
            <w:tcW w:w="1131"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0.055 </w:t>
            </w:r>
          </w:p>
        </w:tc>
        <w:tc>
          <w:tcPr>
            <w:tcW w:w="989"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68195 </w:t>
            </w:r>
          </w:p>
        </w:tc>
        <w:tc>
          <w:tcPr>
            <w:tcW w:w="1119"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t xml:space="preserve"> 320  </w:t>
            </w:r>
          </w:p>
        </w:tc>
      </w:tr>
      <w:tr w:rsidR="00F8563F" w:rsidRPr="00F160A4" w:rsidTr="0097284E">
        <w:tc>
          <w:tcPr>
            <w:tcW w:w="2505" w:type="dxa"/>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shd w:val="clear" w:color="auto" w:fill="D8EFF2" w:themeFill="accent2" w:themeFillTint="66"/>
          </w:tcPr>
          <w:p w:rsidR="00F8563F" w:rsidRPr="00F160A4" w:rsidRDefault="00F8563F" w:rsidP="0097284E">
            <w:pPr>
              <w:pStyle w:val="BodyText"/>
              <w:ind w:left="0"/>
            </w:pPr>
            <w:r w:rsidRPr="00F160A4">
              <w:t xml:space="preserve"> (0.196)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(0.194) </w:t>
            </w:r>
          </w:p>
        </w:tc>
        <w:tc>
          <w:tcPr>
            <w:tcW w:w="989" w:type="dxa"/>
            <w:shd w:val="clear" w:color="auto" w:fill="D8EFF2" w:themeFill="accent2" w:themeFillTint="66"/>
          </w:tcPr>
          <w:p w:rsidR="00F8563F" w:rsidRPr="00F160A4" w:rsidRDefault="00F8563F" w:rsidP="0097284E">
            <w:pPr>
              <w:pStyle w:val="BodyText"/>
              <w:ind w:left="0"/>
            </w:pPr>
          </w:p>
        </w:tc>
        <w:tc>
          <w:tcPr>
            <w:tcW w:w="1119" w:type="dxa"/>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shd w:val="clear" w:color="auto" w:fill="D8EFF2" w:themeFill="accent2" w:themeFillTint="66"/>
          </w:tcPr>
          <w:p w:rsidR="00F8563F" w:rsidRPr="00F160A4" w:rsidRDefault="00F8563F" w:rsidP="0097284E">
            <w:pPr>
              <w:pStyle w:val="BodyText"/>
              <w:ind w:left="0"/>
            </w:pPr>
            <w:r w:rsidRPr="00F160A4">
              <w:t xml:space="preserve"> </w:t>
            </w:r>
            <w:r w:rsidRPr="00F160A4">
              <w:rPr>
                <w:rFonts w:ascii="Symbol" w:hAnsi="Symbol"/>
                <w:sz w:val="24"/>
                <w:szCs w:val="24"/>
              </w:rPr>
              <w:t></w:t>
            </w:r>
            <w:r>
              <w:rPr>
                <w:rFonts w:ascii="Arial" w:hAnsi="Arial" w:cs="Arial"/>
              </w:rPr>
              <w:t>FTE</w:t>
            </w:r>
            <w:r>
              <w:rPr>
                <w:rFonts w:ascii="Arial" w:hAnsi="Arial" w:cs="Arial"/>
                <w:vertAlign w:val="subscript"/>
              </w:rPr>
              <w:t>2009–2011</w:t>
            </w:r>
            <w:r>
              <w:rPr>
                <w:rFonts w:ascii="Arial" w:hAnsi="Arial" w:cs="Arial"/>
              </w:rPr>
              <w:t>&lt;0</w:t>
            </w:r>
          </w:p>
        </w:tc>
        <w:tc>
          <w:tcPr>
            <w:tcW w:w="1122" w:type="dxa"/>
            <w:shd w:val="clear" w:color="auto" w:fill="D8EFF2" w:themeFill="accent2" w:themeFillTint="66"/>
          </w:tcPr>
          <w:p w:rsidR="00F8563F" w:rsidRPr="00F160A4" w:rsidRDefault="00F8563F" w:rsidP="0097284E">
            <w:pPr>
              <w:pStyle w:val="BodyText"/>
              <w:ind w:left="0"/>
            </w:pPr>
            <w:r>
              <w:t xml:space="preserve"> </w:t>
            </w:r>
            <w:r>
              <w:rPr>
                <w:rFonts w:cstheme="minorHAnsi"/>
              </w:rPr>
              <w:t>–</w:t>
            </w:r>
            <w:r w:rsidRPr="00F160A4">
              <w:t xml:space="preserve">0.320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0.701** </w:t>
            </w:r>
          </w:p>
        </w:tc>
        <w:tc>
          <w:tcPr>
            <w:tcW w:w="989" w:type="dxa"/>
            <w:shd w:val="clear" w:color="auto" w:fill="D8EFF2" w:themeFill="accent2" w:themeFillTint="66"/>
          </w:tcPr>
          <w:p w:rsidR="00F8563F" w:rsidRPr="00F160A4" w:rsidRDefault="00F8563F" w:rsidP="0097284E">
            <w:pPr>
              <w:pStyle w:val="BodyText"/>
              <w:ind w:left="0"/>
            </w:pPr>
            <w:r w:rsidRPr="00F160A4">
              <w:t xml:space="preserve"> 17515 </w:t>
            </w:r>
          </w:p>
        </w:tc>
        <w:tc>
          <w:tcPr>
            <w:tcW w:w="1119" w:type="dxa"/>
            <w:shd w:val="clear" w:color="auto" w:fill="D8EFF2" w:themeFill="accent2" w:themeFillTint="66"/>
          </w:tcPr>
          <w:p w:rsidR="00F8563F" w:rsidRPr="00F160A4" w:rsidRDefault="00F8563F" w:rsidP="0097284E">
            <w:pPr>
              <w:pStyle w:val="BodyText"/>
              <w:ind w:left="0"/>
            </w:pPr>
            <w:r>
              <w:t xml:space="preserve"> 137  </w:t>
            </w:r>
          </w:p>
        </w:tc>
      </w:tr>
      <w:tr w:rsidR="00F8563F" w:rsidRPr="00F160A4" w:rsidTr="0097284E">
        <w:tc>
          <w:tcPr>
            <w:tcW w:w="2505"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(0.286) </w:t>
            </w:r>
          </w:p>
        </w:tc>
        <w:tc>
          <w:tcPr>
            <w:tcW w:w="1131"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(0.286) </w:t>
            </w:r>
          </w:p>
        </w:tc>
        <w:tc>
          <w:tcPr>
            <w:tcW w:w="989"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p>
        </w:tc>
        <w:tc>
          <w:tcPr>
            <w:tcW w:w="1119" w:type="dxa"/>
            <w:tcBorders>
              <w:bottom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w:t>
            </w:r>
            <w:r>
              <w:t>Exporting</w:t>
            </w:r>
          </w:p>
        </w:tc>
        <w:tc>
          <w:tcPr>
            <w:tcW w:w="1122"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0.413*** </w:t>
            </w:r>
          </w:p>
        </w:tc>
        <w:tc>
          <w:tcPr>
            <w:tcW w:w="1131"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0.179 </w:t>
            </w:r>
          </w:p>
        </w:tc>
        <w:tc>
          <w:tcPr>
            <w:tcW w:w="989"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rsidRPr="00F160A4">
              <w:t xml:space="preserve"> 26392 </w:t>
            </w:r>
          </w:p>
        </w:tc>
        <w:tc>
          <w:tcPr>
            <w:tcW w:w="1119" w:type="dxa"/>
            <w:tcBorders>
              <w:top w:val="single" w:sz="4" w:space="0" w:color="FFFFFF" w:themeColor="background1"/>
            </w:tcBorders>
            <w:shd w:val="clear" w:color="auto" w:fill="D8EFF2" w:themeFill="accent2" w:themeFillTint="66"/>
          </w:tcPr>
          <w:p w:rsidR="00F8563F" w:rsidRPr="00F160A4" w:rsidRDefault="00F8563F" w:rsidP="0097284E">
            <w:pPr>
              <w:pStyle w:val="BodyText"/>
              <w:ind w:left="0"/>
            </w:pPr>
            <w:r>
              <w:t xml:space="preserve"> 325  </w:t>
            </w:r>
            <w:r w:rsidRPr="00F160A4">
              <w:t xml:space="preserve"> </w:t>
            </w:r>
          </w:p>
        </w:tc>
      </w:tr>
      <w:tr w:rsidR="00F8563F" w:rsidRPr="00F160A4" w:rsidTr="0097284E">
        <w:tc>
          <w:tcPr>
            <w:tcW w:w="2505" w:type="dxa"/>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shd w:val="clear" w:color="auto" w:fill="D8EFF2" w:themeFill="accent2" w:themeFillTint="66"/>
          </w:tcPr>
          <w:p w:rsidR="00F8563F" w:rsidRPr="00F160A4" w:rsidRDefault="00F8563F" w:rsidP="0097284E">
            <w:pPr>
              <w:pStyle w:val="BodyText"/>
              <w:ind w:left="0"/>
            </w:pPr>
            <w:r w:rsidRPr="00F160A4">
              <w:t xml:space="preserve"> (0.145)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(0.176) </w:t>
            </w:r>
          </w:p>
        </w:tc>
        <w:tc>
          <w:tcPr>
            <w:tcW w:w="989" w:type="dxa"/>
            <w:shd w:val="clear" w:color="auto" w:fill="D8EFF2" w:themeFill="accent2" w:themeFillTint="66"/>
          </w:tcPr>
          <w:p w:rsidR="00F8563F" w:rsidRPr="00F160A4" w:rsidRDefault="00F8563F" w:rsidP="0097284E">
            <w:pPr>
              <w:pStyle w:val="BodyText"/>
              <w:ind w:left="0"/>
            </w:pPr>
          </w:p>
        </w:tc>
        <w:tc>
          <w:tcPr>
            <w:tcW w:w="1119" w:type="dxa"/>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shd w:val="clear" w:color="auto" w:fill="D8EFF2" w:themeFill="accent2" w:themeFillTint="66"/>
          </w:tcPr>
          <w:p w:rsidR="00F8563F" w:rsidRPr="00F160A4" w:rsidRDefault="00F8563F" w:rsidP="0097284E">
            <w:pPr>
              <w:pStyle w:val="BodyText"/>
              <w:ind w:left="0"/>
            </w:pPr>
            <w:r w:rsidRPr="00F160A4">
              <w:t xml:space="preserve"> </w:t>
            </w:r>
            <w:r>
              <w:t>Non-exporting</w:t>
            </w:r>
          </w:p>
        </w:tc>
        <w:tc>
          <w:tcPr>
            <w:tcW w:w="1122" w:type="dxa"/>
            <w:shd w:val="clear" w:color="auto" w:fill="D8EFF2" w:themeFill="accent2" w:themeFillTint="66"/>
          </w:tcPr>
          <w:p w:rsidR="00F8563F" w:rsidRPr="00F160A4" w:rsidRDefault="00F8563F" w:rsidP="0097284E">
            <w:pPr>
              <w:pStyle w:val="BodyText"/>
              <w:ind w:left="0"/>
            </w:pPr>
            <w:r>
              <w:t xml:space="preserve"> </w:t>
            </w:r>
            <w:r>
              <w:rPr>
                <w:rFonts w:cstheme="minorHAnsi"/>
              </w:rPr>
              <w:t>–</w:t>
            </w:r>
            <w:r w:rsidRPr="00F160A4">
              <w:t xml:space="preserve">0.000***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0.600** </w:t>
            </w:r>
          </w:p>
        </w:tc>
        <w:tc>
          <w:tcPr>
            <w:tcW w:w="989" w:type="dxa"/>
            <w:shd w:val="clear" w:color="auto" w:fill="D8EFF2" w:themeFill="accent2" w:themeFillTint="66"/>
          </w:tcPr>
          <w:p w:rsidR="00F8563F" w:rsidRPr="00F160A4" w:rsidRDefault="00F8563F" w:rsidP="0097284E">
            <w:pPr>
              <w:pStyle w:val="BodyText"/>
              <w:ind w:left="0"/>
            </w:pPr>
            <w:r w:rsidRPr="00F160A4">
              <w:t xml:space="preserve"> 59342 </w:t>
            </w:r>
          </w:p>
        </w:tc>
        <w:tc>
          <w:tcPr>
            <w:tcW w:w="1119" w:type="dxa"/>
            <w:shd w:val="clear" w:color="auto" w:fill="D8EFF2" w:themeFill="accent2" w:themeFillTint="66"/>
          </w:tcPr>
          <w:p w:rsidR="00F8563F" w:rsidRPr="00F160A4" w:rsidRDefault="00F8563F" w:rsidP="0097284E">
            <w:pPr>
              <w:pStyle w:val="BodyText"/>
              <w:ind w:left="0"/>
            </w:pPr>
            <w:r>
              <w:t xml:space="preserve"> 132  </w:t>
            </w:r>
            <w:r w:rsidRPr="00F160A4">
              <w:t xml:space="preserve"> </w:t>
            </w:r>
          </w:p>
        </w:tc>
      </w:tr>
      <w:tr w:rsidR="00F8563F" w:rsidRPr="00F160A4" w:rsidTr="0097284E">
        <w:tc>
          <w:tcPr>
            <w:tcW w:w="2505"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(0.000) </w:t>
            </w:r>
          </w:p>
        </w:tc>
        <w:tc>
          <w:tcPr>
            <w:tcW w:w="1131"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(0.265) </w:t>
            </w:r>
          </w:p>
        </w:tc>
        <w:tc>
          <w:tcPr>
            <w:tcW w:w="989"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p>
        </w:tc>
        <w:tc>
          <w:tcPr>
            <w:tcW w:w="1119"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w:t>
            </w:r>
            <w:r>
              <w:t>Foreign ownership</w:t>
            </w:r>
          </w:p>
        </w:tc>
        <w:tc>
          <w:tcPr>
            <w:tcW w:w="1122"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t xml:space="preserve"> </w:t>
            </w:r>
            <w:r>
              <w:rPr>
                <w:rFonts w:cstheme="minorHAnsi"/>
              </w:rPr>
              <w:t>–</w:t>
            </w:r>
            <w:r w:rsidRPr="00F160A4">
              <w:t xml:space="preserve">0.740 </w:t>
            </w:r>
          </w:p>
        </w:tc>
        <w:tc>
          <w:tcPr>
            <w:tcW w:w="1131"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1.771*** </w:t>
            </w:r>
          </w:p>
        </w:tc>
        <w:tc>
          <w:tcPr>
            <w:tcW w:w="989"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60348 </w:t>
            </w:r>
          </w:p>
        </w:tc>
        <w:tc>
          <w:tcPr>
            <w:tcW w:w="1119"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117   </w:t>
            </w:r>
          </w:p>
        </w:tc>
      </w:tr>
      <w:tr w:rsidR="00F8563F" w:rsidRPr="00F160A4" w:rsidTr="0097284E">
        <w:tc>
          <w:tcPr>
            <w:tcW w:w="2505" w:type="dxa"/>
            <w:shd w:val="clear" w:color="auto" w:fill="D8EFF2" w:themeFill="accent2" w:themeFillTint="66"/>
          </w:tcPr>
          <w:p w:rsidR="00F8563F" w:rsidRPr="00F160A4" w:rsidRDefault="00F8563F" w:rsidP="0097284E">
            <w:pPr>
              <w:pStyle w:val="BodyText"/>
              <w:ind w:left="0"/>
            </w:pPr>
            <w:r>
              <w:t xml:space="preserve"> </w:t>
            </w:r>
            <w:r>
              <w:rPr>
                <w:rFonts w:cstheme="minorHAnsi"/>
              </w:rPr>
              <w:t>≥</w:t>
            </w:r>
            <w:r>
              <w:t>10 per cent</w:t>
            </w:r>
          </w:p>
        </w:tc>
        <w:tc>
          <w:tcPr>
            <w:tcW w:w="1122" w:type="dxa"/>
            <w:shd w:val="clear" w:color="auto" w:fill="D8EFF2" w:themeFill="accent2" w:themeFillTint="66"/>
          </w:tcPr>
          <w:p w:rsidR="00F8563F" w:rsidRPr="00F160A4" w:rsidRDefault="00F8563F" w:rsidP="0097284E">
            <w:pPr>
              <w:pStyle w:val="BodyText"/>
              <w:ind w:left="0"/>
            </w:pPr>
            <w:r w:rsidRPr="00F160A4">
              <w:t xml:space="preserve"> (0.561)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(0.252) </w:t>
            </w:r>
          </w:p>
        </w:tc>
        <w:tc>
          <w:tcPr>
            <w:tcW w:w="989" w:type="dxa"/>
            <w:shd w:val="clear" w:color="auto" w:fill="D8EFF2" w:themeFill="accent2" w:themeFillTint="66"/>
          </w:tcPr>
          <w:p w:rsidR="00F8563F" w:rsidRPr="00F160A4" w:rsidRDefault="00F8563F" w:rsidP="0097284E">
            <w:pPr>
              <w:pStyle w:val="BodyText"/>
              <w:ind w:left="0"/>
            </w:pPr>
          </w:p>
        </w:tc>
        <w:tc>
          <w:tcPr>
            <w:tcW w:w="1119" w:type="dxa"/>
            <w:shd w:val="clear" w:color="auto" w:fill="D8EFF2" w:themeFill="accent2" w:themeFillTint="66"/>
          </w:tcPr>
          <w:p w:rsidR="00F8563F" w:rsidRPr="00F160A4" w:rsidRDefault="00F8563F" w:rsidP="0097284E">
            <w:pPr>
              <w:pStyle w:val="BodyText"/>
              <w:ind w:left="0"/>
            </w:pPr>
          </w:p>
        </w:tc>
      </w:tr>
      <w:tr w:rsidR="00F8563F" w:rsidRPr="00F160A4" w:rsidTr="0097284E">
        <w:trPr>
          <w:trHeight w:hRule="exact" w:val="284"/>
        </w:trPr>
        <w:tc>
          <w:tcPr>
            <w:tcW w:w="2505" w:type="dxa"/>
            <w:shd w:val="clear" w:color="auto" w:fill="D8EFF2" w:themeFill="accent2" w:themeFillTint="66"/>
          </w:tcPr>
          <w:p w:rsidR="00F8563F" w:rsidRPr="0087569B" w:rsidRDefault="00F8563F" w:rsidP="0097284E">
            <w:pPr>
              <w:pStyle w:val="BodyText"/>
              <w:ind w:left="0"/>
              <w:rPr>
                <w:color w:val="595A5B" w:themeColor="text1"/>
              </w:rPr>
            </w:pPr>
            <w:r w:rsidRPr="00F160A4">
              <w:t xml:space="preserve"> </w:t>
            </w:r>
            <w:r>
              <w:t>Foreign Ownership</w:t>
            </w:r>
          </w:p>
        </w:tc>
        <w:tc>
          <w:tcPr>
            <w:tcW w:w="1122" w:type="dxa"/>
            <w:shd w:val="clear" w:color="auto" w:fill="D8EFF2" w:themeFill="accent2" w:themeFillTint="66"/>
          </w:tcPr>
          <w:p w:rsidR="00F8563F" w:rsidRPr="00F160A4" w:rsidRDefault="00F8563F" w:rsidP="0097284E">
            <w:pPr>
              <w:pStyle w:val="BodyText"/>
              <w:ind w:left="0"/>
            </w:pPr>
            <w:r w:rsidRPr="00F160A4">
              <w:t xml:space="preserve"> 0.272*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0.326* </w:t>
            </w:r>
          </w:p>
        </w:tc>
        <w:tc>
          <w:tcPr>
            <w:tcW w:w="989" w:type="dxa"/>
            <w:shd w:val="clear" w:color="auto" w:fill="D8EFF2" w:themeFill="accent2" w:themeFillTint="66"/>
          </w:tcPr>
          <w:p w:rsidR="00F8563F" w:rsidRPr="00F160A4" w:rsidRDefault="00F8563F" w:rsidP="0097284E">
            <w:pPr>
              <w:pStyle w:val="BodyText"/>
              <w:ind w:left="0"/>
            </w:pPr>
            <w:r w:rsidRPr="00F160A4">
              <w:t xml:space="preserve"> 25386 </w:t>
            </w:r>
          </w:p>
        </w:tc>
        <w:tc>
          <w:tcPr>
            <w:tcW w:w="1119" w:type="dxa"/>
            <w:shd w:val="clear" w:color="auto" w:fill="D8EFF2" w:themeFill="accent2" w:themeFillTint="66"/>
          </w:tcPr>
          <w:p w:rsidR="00F8563F" w:rsidRPr="00F160A4" w:rsidRDefault="00F8563F" w:rsidP="0097284E">
            <w:pPr>
              <w:pStyle w:val="BodyText"/>
              <w:ind w:left="0"/>
            </w:pPr>
            <w:r>
              <w:t xml:space="preserve"> 340  </w:t>
            </w:r>
          </w:p>
        </w:tc>
      </w:tr>
      <w:tr w:rsidR="00F8563F" w:rsidRPr="00F160A4" w:rsidTr="0097284E">
        <w:tc>
          <w:tcPr>
            <w:tcW w:w="2505"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t xml:space="preserve"> &lt;10 per cent</w:t>
            </w:r>
          </w:p>
        </w:tc>
        <w:tc>
          <w:tcPr>
            <w:tcW w:w="1122"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(0.157) </w:t>
            </w:r>
          </w:p>
        </w:tc>
        <w:tc>
          <w:tcPr>
            <w:tcW w:w="1131"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(0.175) </w:t>
            </w:r>
          </w:p>
        </w:tc>
        <w:tc>
          <w:tcPr>
            <w:tcW w:w="989"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p>
        </w:tc>
        <w:tc>
          <w:tcPr>
            <w:tcW w:w="1119" w:type="dxa"/>
            <w:tcBorders>
              <w:bottom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w:t>
            </w:r>
            <w:r>
              <w:t>FTE</w:t>
            </w:r>
            <w:r>
              <w:rPr>
                <w:vertAlign w:val="subscript"/>
              </w:rPr>
              <w:t>2011</w:t>
            </w:r>
            <w:r>
              <w:t>&lt;20</w:t>
            </w:r>
          </w:p>
        </w:tc>
        <w:tc>
          <w:tcPr>
            <w:tcW w:w="1122"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t xml:space="preserve"> </w:t>
            </w:r>
            <w:r>
              <w:rPr>
                <w:rFonts w:cstheme="minorHAnsi"/>
              </w:rPr>
              <w:t>–</w:t>
            </w:r>
            <w:r w:rsidRPr="00F160A4">
              <w:t xml:space="preserve">0.034 </w:t>
            </w:r>
          </w:p>
        </w:tc>
        <w:tc>
          <w:tcPr>
            <w:tcW w:w="1131"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0.524 </w:t>
            </w:r>
          </w:p>
        </w:tc>
        <w:tc>
          <w:tcPr>
            <w:tcW w:w="989"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rsidRPr="00F160A4">
              <w:t xml:space="preserve"> 47141 </w:t>
            </w:r>
          </w:p>
        </w:tc>
        <w:tc>
          <w:tcPr>
            <w:tcW w:w="1119" w:type="dxa"/>
            <w:tcBorders>
              <w:top w:val="single" w:sz="4" w:space="0" w:color="FFFFFF" w:themeColor="text2"/>
            </w:tcBorders>
            <w:shd w:val="clear" w:color="auto" w:fill="D8EFF2" w:themeFill="accent2" w:themeFillTint="66"/>
          </w:tcPr>
          <w:p w:rsidR="00F8563F" w:rsidRPr="00F160A4" w:rsidRDefault="00F8563F" w:rsidP="0097284E">
            <w:pPr>
              <w:pStyle w:val="BodyText"/>
              <w:ind w:left="0"/>
            </w:pPr>
            <w:r>
              <w:t xml:space="preserve"> 122  </w:t>
            </w:r>
          </w:p>
        </w:tc>
      </w:tr>
      <w:tr w:rsidR="00F8563F" w:rsidRPr="00F160A4" w:rsidTr="0097284E">
        <w:tc>
          <w:tcPr>
            <w:tcW w:w="2505" w:type="dxa"/>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shd w:val="clear" w:color="auto" w:fill="D8EFF2" w:themeFill="accent2" w:themeFillTint="66"/>
          </w:tcPr>
          <w:p w:rsidR="00F8563F" w:rsidRPr="00F160A4" w:rsidRDefault="00F8563F" w:rsidP="0097284E">
            <w:pPr>
              <w:pStyle w:val="BodyText"/>
              <w:ind w:left="0"/>
            </w:pPr>
            <w:r w:rsidRPr="00F160A4">
              <w:t xml:space="preserve"> (0.379)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(0.470) </w:t>
            </w:r>
          </w:p>
        </w:tc>
        <w:tc>
          <w:tcPr>
            <w:tcW w:w="989" w:type="dxa"/>
            <w:shd w:val="clear" w:color="auto" w:fill="D8EFF2" w:themeFill="accent2" w:themeFillTint="66"/>
          </w:tcPr>
          <w:p w:rsidR="00F8563F" w:rsidRPr="00F160A4" w:rsidRDefault="00F8563F" w:rsidP="0097284E">
            <w:pPr>
              <w:pStyle w:val="BodyText"/>
              <w:ind w:left="0"/>
            </w:pPr>
          </w:p>
        </w:tc>
        <w:tc>
          <w:tcPr>
            <w:tcW w:w="1119" w:type="dxa"/>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shd w:val="clear" w:color="auto" w:fill="D8EFF2" w:themeFill="accent2" w:themeFillTint="66"/>
          </w:tcPr>
          <w:p w:rsidR="00F8563F" w:rsidRPr="00F160A4" w:rsidRDefault="00F8563F" w:rsidP="0097284E">
            <w:pPr>
              <w:pStyle w:val="BodyText"/>
              <w:ind w:left="0"/>
            </w:pPr>
            <w:r w:rsidRPr="00F160A4">
              <w:t xml:space="preserve"> </w:t>
            </w:r>
            <w:r>
              <w:t>20</w:t>
            </w:r>
            <w:r>
              <w:rPr>
                <w:rFonts w:cstheme="minorHAnsi"/>
              </w:rPr>
              <w:t>≤</w:t>
            </w:r>
            <w:r>
              <w:t>FTE</w:t>
            </w:r>
            <w:r>
              <w:rPr>
                <w:vertAlign w:val="subscript"/>
              </w:rPr>
              <w:t>2011</w:t>
            </w:r>
            <w:r>
              <w:rPr>
                <w:rFonts w:cstheme="minorHAnsi"/>
              </w:rPr>
              <w:t>&lt;</w:t>
            </w:r>
            <w:r>
              <w:t>200</w:t>
            </w:r>
          </w:p>
        </w:tc>
        <w:tc>
          <w:tcPr>
            <w:tcW w:w="1122" w:type="dxa"/>
            <w:shd w:val="clear" w:color="auto" w:fill="D8EFF2" w:themeFill="accent2" w:themeFillTint="66"/>
          </w:tcPr>
          <w:p w:rsidR="00F8563F" w:rsidRPr="00F160A4" w:rsidRDefault="00F8563F" w:rsidP="0097284E">
            <w:pPr>
              <w:pStyle w:val="BodyText"/>
              <w:ind w:left="0"/>
            </w:pPr>
            <w:r w:rsidRPr="00F160A4">
              <w:t xml:space="preserve"> 0.159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0.219 </w:t>
            </w:r>
          </w:p>
        </w:tc>
        <w:tc>
          <w:tcPr>
            <w:tcW w:w="989" w:type="dxa"/>
            <w:shd w:val="clear" w:color="auto" w:fill="D8EFF2" w:themeFill="accent2" w:themeFillTint="66"/>
          </w:tcPr>
          <w:p w:rsidR="00F8563F" w:rsidRPr="00F160A4" w:rsidRDefault="00F8563F" w:rsidP="0097284E">
            <w:pPr>
              <w:pStyle w:val="BodyText"/>
              <w:ind w:left="0"/>
            </w:pPr>
            <w:r w:rsidRPr="00F160A4">
              <w:t xml:space="preserve">  3556 </w:t>
            </w:r>
          </w:p>
        </w:tc>
        <w:tc>
          <w:tcPr>
            <w:tcW w:w="1119" w:type="dxa"/>
            <w:shd w:val="clear" w:color="auto" w:fill="D8EFF2" w:themeFill="accent2" w:themeFillTint="66"/>
          </w:tcPr>
          <w:p w:rsidR="00F8563F" w:rsidRPr="00F160A4" w:rsidRDefault="00F8563F" w:rsidP="0097284E">
            <w:pPr>
              <w:pStyle w:val="BodyText"/>
              <w:ind w:left="0"/>
            </w:pPr>
            <w:r>
              <w:t xml:space="preserve"> 188  </w:t>
            </w:r>
          </w:p>
        </w:tc>
      </w:tr>
      <w:tr w:rsidR="00F8563F" w:rsidRPr="00F160A4" w:rsidTr="0097284E">
        <w:tc>
          <w:tcPr>
            <w:tcW w:w="2505" w:type="dxa"/>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shd w:val="clear" w:color="auto" w:fill="D8EFF2" w:themeFill="accent2" w:themeFillTint="66"/>
          </w:tcPr>
          <w:p w:rsidR="00F8563F" w:rsidRPr="00F160A4" w:rsidRDefault="00F8563F" w:rsidP="0097284E">
            <w:pPr>
              <w:pStyle w:val="BodyText"/>
              <w:ind w:left="0"/>
            </w:pPr>
            <w:r w:rsidRPr="00F160A4">
              <w:t xml:space="preserve"> (0.200)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(0.215) </w:t>
            </w:r>
          </w:p>
        </w:tc>
        <w:tc>
          <w:tcPr>
            <w:tcW w:w="989" w:type="dxa"/>
            <w:shd w:val="clear" w:color="auto" w:fill="D8EFF2" w:themeFill="accent2" w:themeFillTint="66"/>
          </w:tcPr>
          <w:p w:rsidR="00F8563F" w:rsidRPr="00F160A4" w:rsidRDefault="00F8563F" w:rsidP="0097284E">
            <w:pPr>
              <w:pStyle w:val="BodyText"/>
              <w:ind w:left="0"/>
            </w:pPr>
          </w:p>
        </w:tc>
        <w:tc>
          <w:tcPr>
            <w:tcW w:w="1119" w:type="dxa"/>
            <w:shd w:val="clear" w:color="auto" w:fill="D8EFF2" w:themeFill="accent2" w:themeFillTint="66"/>
          </w:tcPr>
          <w:p w:rsidR="00F8563F" w:rsidRPr="00F160A4" w:rsidRDefault="00F8563F" w:rsidP="0097284E">
            <w:pPr>
              <w:pStyle w:val="BodyText"/>
              <w:ind w:left="0"/>
            </w:pPr>
            <w:r w:rsidRPr="00F160A4">
              <w:t xml:space="preserve"> </w:t>
            </w:r>
          </w:p>
        </w:tc>
      </w:tr>
      <w:tr w:rsidR="00F8563F" w:rsidRPr="00F160A4" w:rsidTr="0097284E">
        <w:trPr>
          <w:trHeight w:hRule="exact" w:val="284"/>
        </w:trPr>
        <w:tc>
          <w:tcPr>
            <w:tcW w:w="2505" w:type="dxa"/>
            <w:shd w:val="clear" w:color="auto" w:fill="D8EFF2" w:themeFill="accent2" w:themeFillTint="66"/>
          </w:tcPr>
          <w:p w:rsidR="00F8563F" w:rsidRPr="00F160A4" w:rsidRDefault="00F8563F" w:rsidP="0097284E">
            <w:pPr>
              <w:pStyle w:val="BodyText"/>
              <w:ind w:left="0"/>
            </w:pPr>
            <w:r w:rsidRPr="00F160A4">
              <w:t xml:space="preserve"> </w:t>
            </w:r>
            <w:r>
              <w:t>FTE</w:t>
            </w:r>
            <w:r>
              <w:rPr>
                <w:vertAlign w:val="subscript"/>
              </w:rPr>
              <w:t>2011</w:t>
            </w:r>
            <w:r>
              <w:rPr>
                <w:rFonts w:cstheme="minorHAnsi"/>
              </w:rPr>
              <w:t>≥</w:t>
            </w:r>
            <w:r>
              <w:t>200</w:t>
            </w:r>
          </w:p>
        </w:tc>
        <w:tc>
          <w:tcPr>
            <w:tcW w:w="1122" w:type="dxa"/>
            <w:shd w:val="clear" w:color="auto" w:fill="D8EFF2" w:themeFill="accent2" w:themeFillTint="66"/>
          </w:tcPr>
          <w:p w:rsidR="00F8563F" w:rsidRPr="00F160A4" w:rsidRDefault="00F8563F" w:rsidP="0097284E">
            <w:pPr>
              <w:pStyle w:val="BodyText"/>
              <w:ind w:left="0"/>
            </w:pPr>
            <w:r>
              <w:t xml:space="preserve"> </w:t>
            </w:r>
            <w:r>
              <w:rPr>
                <w:rFonts w:cstheme="minorHAnsi"/>
              </w:rPr>
              <w:t>–</w:t>
            </w:r>
            <w:r w:rsidRPr="00F160A4">
              <w:t xml:space="preserve">0.149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0.086 </w:t>
            </w:r>
          </w:p>
        </w:tc>
        <w:tc>
          <w:tcPr>
            <w:tcW w:w="989" w:type="dxa"/>
            <w:shd w:val="clear" w:color="auto" w:fill="D8EFF2" w:themeFill="accent2" w:themeFillTint="66"/>
          </w:tcPr>
          <w:p w:rsidR="00F8563F" w:rsidRPr="00F160A4" w:rsidRDefault="00F8563F" w:rsidP="0097284E">
            <w:pPr>
              <w:pStyle w:val="BodyText"/>
              <w:ind w:left="0"/>
            </w:pPr>
            <w:r w:rsidRPr="00F160A4">
              <w:t xml:space="preserve"> 35037 </w:t>
            </w:r>
          </w:p>
        </w:tc>
        <w:tc>
          <w:tcPr>
            <w:tcW w:w="1119" w:type="dxa"/>
            <w:shd w:val="clear" w:color="auto" w:fill="D8EFF2" w:themeFill="accent2" w:themeFillTint="66"/>
          </w:tcPr>
          <w:p w:rsidR="00F8563F" w:rsidRPr="00F160A4" w:rsidRDefault="00F8563F" w:rsidP="0097284E">
            <w:pPr>
              <w:pStyle w:val="BodyText"/>
              <w:ind w:left="0"/>
            </w:pPr>
            <w:r>
              <w:t xml:space="preserve"> 147  </w:t>
            </w:r>
            <w:r w:rsidRPr="00F160A4">
              <w:t xml:space="preserve"> </w:t>
            </w:r>
          </w:p>
        </w:tc>
      </w:tr>
      <w:tr w:rsidR="00F8563F" w:rsidRPr="00F160A4" w:rsidTr="0097284E">
        <w:tc>
          <w:tcPr>
            <w:tcW w:w="2505" w:type="dxa"/>
            <w:shd w:val="clear" w:color="auto" w:fill="D8EFF2" w:themeFill="accent2" w:themeFillTint="66"/>
          </w:tcPr>
          <w:p w:rsidR="00F8563F" w:rsidRPr="00F160A4" w:rsidRDefault="00F8563F" w:rsidP="0097284E">
            <w:pPr>
              <w:pStyle w:val="BodyText"/>
              <w:ind w:left="0"/>
            </w:pPr>
            <w:r w:rsidRPr="00F160A4">
              <w:t xml:space="preserve">  </w:t>
            </w:r>
          </w:p>
        </w:tc>
        <w:tc>
          <w:tcPr>
            <w:tcW w:w="1122" w:type="dxa"/>
            <w:shd w:val="clear" w:color="auto" w:fill="D8EFF2" w:themeFill="accent2" w:themeFillTint="66"/>
          </w:tcPr>
          <w:p w:rsidR="00F8563F" w:rsidRPr="00F160A4" w:rsidRDefault="00F8563F" w:rsidP="0097284E">
            <w:pPr>
              <w:pStyle w:val="BodyText"/>
              <w:ind w:left="0"/>
            </w:pPr>
            <w:r w:rsidRPr="00F160A4">
              <w:t xml:space="preserve"> (0.103) </w:t>
            </w:r>
          </w:p>
        </w:tc>
        <w:tc>
          <w:tcPr>
            <w:tcW w:w="1131" w:type="dxa"/>
            <w:shd w:val="clear" w:color="auto" w:fill="D8EFF2" w:themeFill="accent2" w:themeFillTint="66"/>
          </w:tcPr>
          <w:p w:rsidR="00F8563F" w:rsidRPr="00F160A4" w:rsidRDefault="00F8563F" w:rsidP="0097284E">
            <w:pPr>
              <w:pStyle w:val="BodyText"/>
              <w:ind w:left="0"/>
            </w:pPr>
            <w:r w:rsidRPr="00F160A4">
              <w:t xml:space="preserve"> (0.106) </w:t>
            </w:r>
          </w:p>
        </w:tc>
        <w:tc>
          <w:tcPr>
            <w:tcW w:w="989" w:type="dxa"/>
            <w:shd w:val="clear" w:color="auto" w:fill="D8EFF2" w:themeFill="accent2" w:themeFillTint="66"/>
          </w:tcPr>
          <w:p w:rsidR="00F8563F" w:rsidRPr="00F160A4" w:rsidRDefault="00F8563F" w:rsidP="0097284E">
            <w:pPr>
              <w:pStyle w:val="BodyText"/>
              <w:ind w:left="0"/>
            </w:pPr>
          </w:p>
        </w:tc>
        <w:tc>
          <w:tcPr>
            <w:tcW w:w="1119" w:type="dxa"/>
            <w:shd w:val="clear" w:color="auto" w:fill="D8EFF2" w:themeFill="accent2" w:themeFillTint="66"/>
          </w:tcPr>
          <w:p w:rsidR="00F8563F" w:rsidRPr="00F160A4" w:rsidRDefault="00F8563F" w:rsidP="0097284E">
            <w:pPr>
              <w:pStyle w:val="BodyText"/>
              <w:ind w:left="0"/>
            </w:pPr>
          </w:p>
        </w:tc>
      </w:tr>
    </w:tbl>
    <w:p w:rsidR="00F8563F" w:rsidRDefault="00F8563F" w:rsidP="00F8563F">
      <w:pPr>
        <w:pStyle w:val="Source"/>
      </w:pPr>
      <w:r>
        <w:t xml:space="preserve">Source: </w:t>
      </w:r>
      <w:r w:rsidRPr="00A9193F">
        <w:t xml:space="preserve">Author’s calculations based on the </w:t>
      </w:r>
      <w:r w:rsidR="00882F54">
        <w:t>BLADE</w:t>
      </w:r>
    </w:p>
    <w:p w:rsidR="00F8563F" w:rsidRDefault="00F8563F" w:rsidP="00F8563F">
      <w:pPr>
        <w:pStyle w:val="BodyText"/>
      </w:pPr>
    </w:p>
    <w:p w:rsidR="00501FA7" w:rsidRDefault="007277C1" w:rsidP="0087569B">
      <w:pPr>
        <w:pStyle w:val="BodyText"/>
      </w:pPr>
      <w:r>
        <w:t xml:space="preserve">Results are less compelling here. </w:t>
      </w:r>
      <w:r w:rsidR="00501FA7">
        <w:t xml:space="preserve">Looking at the column on growth in exports, there are few effects that are statistically significant. The important finding here is that CleanTech firms </w:t>
      </w:r>
      <w:r w:rsidR="00AA709E">
        <w:t>had a higher rate of growth in exports value than</w:t>
      </w:r>
      <w:r w:rsidR="00501FA7">
        <w:t xml:space="preserve"> non-CleanTech firms, whereas there is practically no increase in exporting (from zero) for non-exporting CleanTech firms. In other words, having access to CleanTech has not </w:t>
      </w:r>
      <w:r w:rsidR="00D3448B">
        <w:t xml:space="preserve">had any significant role in </w:t>
      </w:r>
      <w:r w:rsidR="005E0FFE">
        <w:t>compelling</w:t>
      </w:r>
      <w:r w:rsidR="00501FA7">
        <w:t xml:space="preserve"> non-exporting firms to commence exporting. </w:t>
      </w:r>
    </w:p>
    <w:p w:rsidR="007277C1" w:rsidRDefault="007277C1" w:rsidP="00614218">
      <w:pPr>
        <w:pStyle w:val="BodyText"/>
      </w:pPr>
      <w:r>
        <w:t>Capital investments rose among the CleanTech firms</w:t>
      </w:r>
      <w:r w:rsidR="00D51A77">
        <w:t>,</w:t>
      </w:r>
      <w:r w:rsidR="00F84DB8">
        <w:t xml:space="preserve"> as is expected</w:t>
      </w:r>
      <w:r w:rsidR="00986152">
        <w:t xml:space="preserve"> especially in the field of clean technology. B</w:t>
      </w:r>
      <w:r>
        <w:t>ut again</w:t>
      </w:r>
      <w:r w:rsidR="00D51A77">
        <w:t>,</w:t>
      </w:r>
      <w:r>
        <w:t xml:space="preserve"> the </w:t>
      </w:r>
      <w:r w:rsidR="00EF12C3">
        <w:t>statistically significant effect i</w:t>
      </w:r>
      <w:r>
        <w:t xml:space="preserve">s mostly concentrated among contracting and non-exporting firms. </w:t>
      </w:r>
    </w:p>
    <w:p w:rsidR="00B37FDD" w:rsidRDefault="00B37FDD" w:rsidP="00614218">
      <w:pPr>
        <w:pStyle w:val="BodyText"/>
      </w:pPr>
      <w:r>
        <w:t>Also considering the possibility that CleanTech projects could be carried out through a network of sub-contractors, I did an extra matching exercise using the reported cost of sub-contractors</w:t>
      </w:r>
      <w:r w:rsidR="00631F12">
        <w:t xml:space="preserve"> in </w:t>
      </w:r>
      <w:r w:rsidR="000239D6">
        <w:t>BLADE</w:t>
      </w:r>
      <w:r w:rsidR="00631F12">
        <w:t xml:space="preserve">. </w:t>
      </w:r>
      <w:r w:rsidR="007F769F">
        <w:t>Despite showing some positive outcomes, n</w:t>
      </w:r>
      <w:r>
        <w:t>one of the results in this cas</w:t>
      </w:r>
      <w:r w:rsidR="00D51A77">
        <w:t>e are statistically significant;</w:t>
      </w:r>
      <w:r>
        <w:t xml:space="preserve"> hence, I am not reporting them.</w:t>
      </w:r>
    </w:p>
    <w:p w:rsidR="00687021" w:rsidRDefault="00561625" w:rsidP="00687021">
      <w:pPr>
        <w:pStyle w:val="Heading1"/>
      </w:pPr>
      <w:r>
        <w:t>CleanTech within</w:t>
      </w:r>
      <w:r w:rsidR="00687021">
        <w:t xml:space="preserve"> Manufacturing Subdivisions</w:t>
      </w:r>
    </w:p>
    <w:p w:rsidR="00687021" w:rsidRDefault="00687021" w:rsidP="00687021">
      <w:pPr>
        <w:pStyle w:val="BodyText"/>
      </w:pPr>
      <w:r>
        <w:t>The previous results show that the CleanTech programme had a positive effect</w:t>
      </w:r>
      <w:r w:rsidR="00D51A77">
        <w:t xml:space="preserve"> on the </w:t>
      </w:r>
      <w:r w:rsidR="006556AB">
        <w:t>dynamism</w:t>
      </w:r>
      <w:r>
        <w:t xml:space="preserve"> of manufacturing firms. However, given </w:t>
      </w:r>
      <w:r w:rsidR="00072574">
        <w:t xml:space="preserve">that </w:t>
      </w:r>
      <w:r w:rsidR="00D51A77">
        <w:t>about half of the CleanTech grants were offered to</w:t>
      </w:r>
      <w:r>
        <w:t xml:space="preserve"> food manufacturers and foundries, one could wonder whether the results are being driven by those industries. To see whether, the impact of CleanTech is concentrated within certain manufacturing subdivision</w:t>
      </w:r>
      <w:r w:rsidR="00D51A77">
        <w:t>s or is present across all the m</w:t>
      </w:r>
      <w:r w:rsidR="00072574">
        <w:t>anufacturing regardless of the</w:t>
      </w:r>
      <w:r>
        <w:t xml:space="preserve"> type of activity,</w:t>
      </w:r>
      <w:r w:rsidR="00072574">
        <w:t xml:space="preserve"> I repeat the matching exercise</w:t>
      </w:r>
      <w:r>
        <w:t xml:space="preserve"> but this time separately within each manufac</w:t>
      </w:r>
      <w:r w:rsidR="00C47902">
        <w:t>turing subdivision defined by it</w:t>
      </w:r>
      <w:r>
        <w:t>s two-digit ANZSIC.</w:t>
      </w:r>
      <w:r w:rsidR="00005284">
        <w:t xml:space="preserve"> The</w:t>
      </w:r>
      <w:r w:rsidR="00C47902">
        <w:t xml:space="preserve"> average treatment effects</w:t>
      </w:r>
      <w:r w:rsidR="00005284">
        <w:t xml:space="preserve"> are reported in </w:t>
      </w:r>
      <w:r w:rsidR="00C47902">
        <w:fldChar w:fldCharType="begin"/>
      </w:r>
      <w:r w:rsidR="00C47902">
        <w:instrText xml:space="preserve"> REF _Ref451239956 \h </w:instrText>
      </w:r>
      <w:r w:rsidR="00C47902">
        <w:fldChar w:fldCharType="separate"/>
      </w:r>
      <w:r w:rsidR="00C47902">
        <w:t xml:space="preserve">Table </w:t>
      </w:r>
      <w:r w:rsidR="00C47902">
        <w:rPr>
          <w:noProof/>
        </w:rPr>
        <w:t>6</w:t>
      </w:r>
      <w:r w:rsidR="00C47902">
        <w:t>.</w:t>
      </w:r>
      <w:r w:rsidR="00C47902">
        <w:rPr>
          <w:noProof/>
        </w:rPr>
        <w:t>1</w:t>
      </w:r>
      <w:r w:rsidR="00C47902">
        <w:fldChar w:fldCharType="end"/>
      </w:r>
      <w:r w:rsidR="00C47902">
        <w:t>.</w:t>
      </w:r>
    </w:p>
    <w:p w:rsidR="00E62A7E" w:rsidRDefault="00E62A7E" w:rsidP="00E62A7E">
      <w:pPr>
        <w:pStyle w:val="Caption"/>
      </w:pPr>
      <w:bookmarkStart w:id="13" w:name="_Ref451239956"/>
      <w:r>
        <w:t xml:space="preserve">Table </w:t>
      </w:r>
      <w:r w:rsidR="00E27332">
        <w:fldChar w:fldCharType="begin"/>
      </w:r>
      <w:r w:rsidR="00E27332">
        <w:instrText xml:space="preserve"> STYLEREF 1 \s </w:instrText>
      </w:r>
      <w:r w:rsidR="00E27332">
        <w:fldChar w:fldCharType="separate"/>
      </w:r>
      <w:r>
        <w:rPr>
          <w:noProof/>
        </w:rPr>
        <w:t>6</w:t>
      </w:r>
      <w:r w:rsidR="00E27332">
        <w:rPr>
          <w:noProof/>
        </w:rPr>
        <w:fldChar w:fldCharType="end"/>
      </w:r>
      <w:r>
        <w:t>.</w:t>
      </w:r>
      <w:r w:rsidR="00E27332">
        <w:fldChar w:fldCharType="begin"/>
      </w:r>
      <w:r w:rsidR="00E27332">
        <w:instrText xml:space="preserve"> SEQ Table \* ARABIC \s 1 </w:instrText>
      </w:r>
      <w:r w:rsidR="00E27332">
        <w:fldChar w:fldCharType="separate"/>
      </w:r>
      <w:r>
        <w:rPr>
          <w:noProof/>
        </w:rPr>
        <w:t>1</w:t>
      </w:r>
      <w:r w:rsidR="00E27332">
        <w:rPr>
          <w:noProof/>
        </w:rPr>
        <w:fldChar w:fldCharType="end"/>
      </w:r>
      <w:bookmarkEnd w:id="13"/>
      <w:r>
        <w:t xml:space="preserve"> Average treatment effects within manufacturing subdivisions. </w:t>
      </w:r>
      <w:r w:rsidR="004A1AB3">
        <w:t>Numbers in parentheses are standard erro</w:t>
      </w:r>
      <w:r w:rsidR="00A24014">
        <w:t>r</w:t>
      </w:r>
      <w:r w:rsidR="004A1AB3">
        <w:t xml:space="preserve">s. </w:t>
      </w:r>
      <w:r w:rsidR="00A24014">
        <w:t xml:space="preserve">A few </w:t>
      </w:r>
      <w:r>
        <w:t>subdivisions are suppressed due to small sample sizes</w:t>
      </w:r>
      <w:r w:rsidR="00FA7E51">
        <w:t xml:space="preserve"> and to protect confidentiality</w:t>
      </w:r>
    </w:p>
    <w:tbl>
      <w:tblPr>
        <w:tblStyle w:val="OCETable"/>
        <w:tblW w:w="0" w:type="auto"/>
        <w:tblInd w:w="2127" w:type="dxa"/>
        <w:tblLook w:val="04A0" w:firstRow="1" w:lastRow="0" w:firstColumn="1" w:lastColumn="0" w:noHBand="0" w:noVBand="1"/>
        <w:tblCaption w:val="Table 6.1"/>
        <w:tblDescription w:val="Average treatment effects within manufacturing subdivisions. Numbers in parentheses are standard errors. A few subdivisions are suppressed due to small sample sizes and to protect confidentiality"/>
      </w:tblPr>
      <w:tblGrid>
        <w:gridCol w:w="2503"/>
        <w:gridCol w:w="1102"/>
        <w:gridCol w:w="1164"/>
        <w:gridCol w:w="1113"/>
        <w:gridCol w:w="1017"/>
      </w:tblGrid>
      <w:tr w:rsidR="00005284" w:rsidRPr="00005284" w:rsidTr="00571C58">
        <w:trPr>
          <w:cnfStyle w:val="100000000000" w:firstRow="1" w:lastRow="0" w:firstColumn="0" w:lastColumn="0" w:oddVBand="0" w:evenVBand="0" w:oddHBand="0" w:evenHBand="0" w:firstRowFirstColumn="0" w:firstRowLastColumn="0" w:lastRowFirstColumn="0" w:lastRowLastColumn="0"/>
          <w:tblHeader/>
        </w:trPr>
        <w:tc>
          <w:tcPr>
            <w:tcW w:w="2503" w:type="dxa"/>
          </w:tcPr>
          <w:p w:rsidR="00005284" w:rsidRPr="00005284" w:rsidRDefault="004B7116" w:rsidP="0087569B">
            <w:pPr>
              <w:pStyle w:val="BodyText"/>
              <w:ind w:left="0"/>
              <w:jc w:val="left"/>
            </w:pPr>
            <w:r>
              <w:rPr>
                <w:color w:val="FFFFFF" w:themeColor="background1"/>
              </w:rPr>
              <w:t>Sub-division</w:t>
            </w:r>
          </w:p>
        </w:tc>
        <w:tc>
          <w:tcPr>
            <w:tcW w:w="1102" w:type="dxa"/>
          </w:tcPr>
          <w:p w:rsidR="00005284" w:rsidRPr="00557140" w:rsidRDefault="00005284" w:rsidP="00005284">
            <w:pPr>
              <w:pStyle w:val="BodyText"/>
              <w:ind w:left="0"/>
              <w:rPr>
                <w:rFonts w:ascii="Arial" w:hAnsi="Arial" w:cs="Arial"/>
                <w:color w:val="FFFFFF" w:themeColor="background1"/>
              </w:rPr>
            </w:pPr>
            <w:r w:rsidRPr="00557140">
              <w:rPr>
                <w:rFonts w:ascii="Symbol" w:hAnsi="Symbol"/>
                <w:color w:val="FFFFFF" w:themeColor="background1"/>
                <w:sz w:val="24"/>
                <w:szCs w:val="24"/>
              </w:rPr>
              <w:t></w:t>
            </w:r>
            <w:r w:rsidRPr="00557140">
              <w:rPr>
                <w:rFonts w:ascii="Arial" w:hAnsi="Arial" w:cs="Arial"/>
                <w:color w:val="FFFFFF" w:themeColor="background1"/>
              </w:rPr>
              <w:t>FTE</w:t>
            </w:r>
          </w:p>
        </w:tc>
        <w:tc>
          <w:tcPr>
            <w:tcW w:w="1164" w:type="dxa"/>
          </w:tcPr>
          <w:p w:rsidR="00005284" w:rsidRPr="00557140" w:rsidRDefault="00005284" w:rsidP="00005284">
            <w:pPr>
              <w:pStyle w:val="BodyText"/>
              <w:ind w:left="0"/>
              <w:rPr>
                <w:color w:val="FFFFFF" w:themeColor="background1"/>
              </w:rPr>
            </w:pPr>
            <w:r w:rsidRPr="00557140">
              <w:rPr>
                <w:rFonts w:ascii="Symbol" w:hAnsi="Symbol"/>
                <w:color w:val="FFFFFF" w:themeColor="background1"/>
                <w:sz w:val="24"/>
                <w:szCs w:val="24"/>
              </w:rPr>
              <w:t></w:t>
            </w:r>
            <w:r w:rsidRPr="00557140">
              <w:rPr>
                <w:color w:val="FFFFFF" w:themeColor="background1"/>
              </w:rPr>
              <w:t>Turnover</w:t>
            </w:r>
          </w:p>
        </w:tc>
        <w:tc>
          <w:tcPr>
            <w:tcW w:w="1113" w:type="dxa"/>
          </w:tcPr>
          <w:p w:rsidR="00005284" w:rsidRPr="00557140" w:rsidRDefault="00005284" w:rsidP="00680346">
            <w:pPr>
              <w:pStyle w:val="BodyText"/>
              <w:ind w:left="0"/>
              <w:jc w:val="center"/>
              <w:rPr>
                <w:color w:val="FFFFFF" w:themeColor="background1"/>
              </w:rPr>
            </w:pPr>
            <w:r w:rsidRPr="00557140">
              <w:rPr>
                <w:color w:val="FFFFFF" w:themeColor="background1"/>
              </w:rPr>
              <w:t>#Controls</w:t>
            </w:r>
          </w:p>
        </w:tc>
        <w:tc>
          <w:tcPr>
            <w:tcW w:w="1017" w:type="dxa"/>
          </w:tcPr>
          <w:p w:rsidR="00005284" w:rsidRPr="00557140" w:rsidRDefault="00005284" w:rsidP="00680346">
            <w:pPr>
              <w:pStyle w:val="BodyText"/>
              <w:ind w:left="0"/>
              <w:jc w:val="center"/>
              <w:rPr>
                <w:color w:val="FFFFFF" w:themeColor="background1"/>
              </w:rPr>
            </w:pPr>
            <w:r w:rsidRPr="00557140">
              <w:rPr>
                <w:color w:val="FFFFFF" w:themeColor="background1"/>
              </w:rPr>
              <w:t>#Treated</w:t>
            </w:r>
          </w:p>
        </w:tc>
      </w:tr>
      <w:tr w:rsidR="00005284" w:rsidRPr="00005284" w:rsidTr="00571C58">
        <w:trPr>
          <w:trHeight w:hRule="exact" w:val="284"/>
        </w:trPr>
        <w:tc>
          <w:tcPr>
            <w:tcW w:w="2503" w:type="dxa"/>
          </w:tcPr>
          <w:p w:rsidR="00005284" w:rsidRPr="00005284" w:rsidRDefault="00680346" w:rsidP="004B7116">
            <w:pPr>
              <w:pStyle w:val="BodyText"/>
              <w:ind w:left="0"/>
              <w:jc w:val="left"/>
            </w:pPr>
            <w:r>
              <w:t>Food</w:t>
            </w:r>
          </w:p>
        </w:tc>
        <w:tc>
          <w:tcPr>
            <w:tcW w:w="1102" w:type="dxa"/>
          </w:tcPr>
          <w:p w:rsidR="00005284" w:rsidRPr="00005284" w:rsidRDefault="00005284" w:rsidP="00005284">
            <w:pPr>
              <w:pStyle w:val="BodyText"/>
              <w:ind w:left="0"/>
            </w:pPr>
            <w:r w:rsidRPr="00005284">
              <w:t xml:space="preserve"> 0.227*** </w:t>
            </w:r>
          </w:p>
        </w:tc>
        <w:tc>
          <w:tcPr>
            <w:tcW w:w="1164" w:type="dxa"/>
          </w:tcPr>
          <w:p w:rsidR="00005284" w:rsidRPr="00005284" w:rsidRDefault="00005284" w:rsidP="00005284">
            <w:pPr>
              <w:pStyle w:val="BodyText"/>
              <w:ind w:left="0"/>
            </w:pPr>
            <w:r w:rsidRPr="00005284">
              <w:t xml:space="preserve"> 0.202*** </w:t>
            </w:r>
          </w:p>
        </w:tc>
        <w:tc>
          <w:tcPr>
            <w:tcW w:w="1113" w:type="dxa"/>
          </w:tcPr>
          <w:p w:rsidR="00005284" w:rsidRPr="00005284" w:rsidRDefault="00005284" w:rsidP="00680346">
            <w:pPr>
              <w:pStyle w:val="BodyText"/>
              <w:ind w:left="0"/>
              <w:jc w:val="center"/>
            </w:pPr>
            <w:r w:rsidRPr="00005284">
              <w:t>7</w:t>
            </w:r>
            <w:r w:rsidR="005C679A">
              <w:t>,</w:t>
            </w:r>
            <w:r w:rsidRPr="00005284">
              <w:t>894</w:t>
            </w:r>
          </w:p>
        </w:tc>
        <w:tc>
          <w:tcPr>
            <w:tcW w:w="1017" w:type="dxa"/>
          </w:tcPr>
          <w:p w:rsidR="00005284" w:rsidRPr="00005284" w:rsidRDefault="00005284" w:rsidP="00680346">
            <w:pPr>
              <w:pStyle w:val="BodyText"/>
              <w:ind w:left="0"/>
              <w:jc w:val="center"/>
            </w:pPr>
            <w:r w:rsidRPr="00005284">
              <w:t>173</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(0.068) </w:t>
            </w:r>
          </w:p>
        </w:tc>
        <w:tc>
          <w:tcPr>
            <w:tcW w:w="1164" w:type="dxa"/>
          </w:tcPr>
          <w:p w:rsidR="00005284" w:rsidRPr="00005284" w:rsidRDefault="00005284" w:rsidP="00005284">
            <w:pPr>
              <w:pStyle w:val="BodyText"/>
              <w:ind w:left="0"/>
            </w:pPr>
            <w:r w:rsidRPr="00005284">
              <w:t xml:space="preserve"> (0.061)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680346" w:rsidP="004B7116">
            <w:pPr>
              <w:pStyle w:val="BodyText"/>
              <w:ind w:left="0"/>
              <w:jc w:val="left"/>
            </w:pPr>
            <w:r>
              <w:t>Beverage &amp; Tobacco</w:t>
            </w:r>
          </w:p>
        </w:tc>
        <w:tc>
          <w:tcPr>
            <w:tcW w:w="1102" w:type="dxa"/>
          </w:tcPr>
          <w:p w:rsidR="00005284" w:rsidRPr="00005284" w:rsidRDefault="00005284" w:rsidP="00005284">
            <w:pPr>
              <w:pStyle w:val="BodyText"/>
              <w:ind w:left="0"/>
            </w:pPr>
            <w:r w:rsidRPr="00005284">
              <w:t xml:space="preserve"> 0.186*** </w:t>
            </w:r>
          </w:p>
        </w:tc>
        <w:tc>
          <w:tcPr>
            <w:tcW w:w="1164" w:type="dxa"/>
          </w:tcPr>
          <w:p w:rsidR="00005284" w:rsidRPr="00005284" w:rsidRDefault="00005284" w:rsidP="00005284">
            <w:pPr>
              <w:pStyle w:val="BodyText"/>
              <w:ind w:left="0"/>
            </w:pPr>
            <w:r w:rsidRPr="00005284">
              <w:t xml:space="preserve"> 0.173*** </w:t>
            </w:r>
          </w:p>
        </w:tc>
        <w:tc>
          <w:tcPr>
            <w:tcW w:w="1113" w:type="dxa"/>
          </w:tcPr>
          <w:p w:rsidR="00005284" w:rsidRPr="00005284" w:rsidRDefault="00005284" w:rsidP="00680346">
            <w:pPr>
              <w:pStyle w:val="BodyText"/>
              <w:ind w:left="0"/>
              <w:jc w:val="center"/>
            </w:pPr>
            <w:r w:rsidRPr="00005284">
              <w:t>3</w:t>
            </w:r>
            <w:r w:rsidR="005C679A">
              <w:t>,</w:t>
            </w:r>
            <w:r w:rsidRPr="00005284">
              <w:t>290</w:t>
            </w:r>
          </w:p>
        </w:tc>
        <w:tc>
          <w:tcPr>
            <w:tcW w:w="1017" w:type="dxa"/>
          </w:tcPr>
          <w:p w:rsidR="00005284" w:rsidRPr="00005284" w:rsidRDefault="00005284" w:rsidP="00680346">
            <w:pPr>
              <w:pStyle w:val="BodyText"/>
              <w:ind w:left="0"/>
              <w:jc w:val="center"/>
            </w:pPr>
            <w:r w:rsidRPr="00005284">
              <w:t>89</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(0.062) </w:t>
            </w:r>
          </w:p>
        </w:tc>
        <w:tc>
          <w:tcPr>
            <w:tcW w:w="1164" w:type="dxa"/>
          </w:tcPr>
          <w:p w:rsidR="00005284" w:rsidRPr="00005284" w:rsidRDefault="00005284" w:rsidP="00005284">
            <w:pPr>
              <w:pStyle w:val="BodyText"/>
              <w:ind w:left="0"/>
            </w:pPr>
            <w:r w:rsidRPr="00005284">
              <w:t xml:space="preserve"> (0.048)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Wood Products</w:t>
            </w:r>
          </w:p>
        </w:tc>
        <w:tc>
          <w:tcPr>
            <w:tcW w:w="1102" w:type="dxa"/>
          </w:tcPr>
          <w:p w:rsidR="00005284" w:rsidRPr="00005284" w:rsidRDefault="00005284" w:rsidP="00005284">
            <w:pPr>
              <w:pStyle w:val="BodyText"/>
              <w:ind w:left="0"/>
            </w:pPr>
            <w:r w:rsidRPr="00005284">
              <w:t xml:space="preserve"> 0.284*** </w:t>
            </w:r>
          </w:p>
        </w:tc>
        <w:tc>
          <w:tcPr>
            <w:tcW w:w="1164" w:type="dxa"/>
          </w:tcPr>
          <w:p w:rsidR="00005284" w:rsidRPr="00005284" w:rsidRDefault="00005284" w:rsidP="00005284">
            <w:pPr>
              <w:pStyle w:val="BodyText"/>
              <w:ind w:left="0"/>
            </w:pPr>
            <w:r w:rsidRPr="00005284">
              <w:t xml:space="preserve"> 0.253*** </w:t>
            </w:r>
          </w:p>
        </w:tc>
        <w:tc>
          <w:tcPr>
            <w:tcW w:w="1113" w:type="dxa"/>
          </w:tcPr>
          <w:p w:rsidR="00005284" w:rsidRPr="00005284" w:rsidRDefault="00005284" w:rsidP="00680346">
            <w:pPr>
              <w:pStyle w:val="BodyText"/>
              <w:ind w:left="0"/>
              <w:jc w:val="center"/>
            </w:pPr>
            <w:r w:rsidRPr="00005284">
              <w:t>8</w:t>
            </w:r>
            <w:r w:rsidR="005C679A">
              <w:t>,</w:t>
            </w:r>
            <w:r w:rsidRPr="00005284">
              <w:t>227</w:t>
            </w:r>
          </w:p>
        </w:tc>
        <w:tc>
          <w:tcPr>
            <w:tcW w:w="1017" w:type="dxa"/>
          </w:tcPr>
          <w:p w:rsidR="00005284" w:rsidRPr="00005284" w:rsidRDefault="00005284" w:rsidP="00680346">
            <w:pPr>
              <w:pStyle w:val="BodyText"/>
              <w:ind w:left="0"/>
              <w:jc w:val="center"/>
            </w:pPr>
            <w:r w:rsidRPr="00005284">
              <w:t>12</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(0.044) </w:t>
            </w:r>
          </w:p>
        </w:tc>
        <w:tc>
          <w:tcPr>
            <w:tcW w:w="1164" w:type="dxa"/>
          </w:tcPr>
          <w:p w:rsidR="00005284" w:rsidRPr="00005284" w:rsidRDefault="00005284" w:rsidP="00005284">
            <w:pPr>
              <w:pStyle w:val="BodyText"/>
              <w:ind w:left="0"/>
            </w:pPr>
            <w:r w:rsidRPr="00005284">
              <w:t xml:space="preserve"> (0.028)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Printing</w:t>
            </w:r>
          </w:p>
        </w:tc>
        <w:tc>
          <w:tcPr>
            <w:tcW w:w="1102" w:type="dxa"/>
          </w:tcPr>
          <w:p w:rsidR="00005284" w:rsidRPr="00005284" w:rsidRDefault="00005284" w:rsidP="00005284">
            <w:pPr>
              <w:pStyle w:val="BodyText"/>
              <w:ind w:left="0"/>
            </w:pPr>
            <w:r w:rsidRPr="00005284">
              <w:t xml:space="preserve"> 0.442*** </w:t>
            </w:r>
          </w:p>
        </w:tc>
        <w:tc>
          <w:tcPr>
            <w:tcW w:w="1164" w:type="dxa"/>
          </w:tcPr>
          <w:p w:rsidR="00005284" w:rsidRPr="00005284" w:rsidRDefault="00005284" w:rsidP="00005284">
            <w:pPr>
              <w:pStyle w:val="BodyText"/>
              <w:ind w:left="0"/>
            </w:pPr>
            <w:r w:rsidRPr="00005284">
              <w:t xml:space="preserve"> 0.469*** </w:t>
            </w:r>
          </w:p>
        </w:tc>
        <w:tc>
          <w:tcPr>
            <w:tcW w:w="1113" w:type="dxa"/>
          </w:tcPr>
          <w:p w:rsidR="00005284" w:rsidRPr="00005284" w:rsidRDefault="00005284" w:rsidP="00680346">
            <w:pPr>
              <w:pStyle w:val="BodyText"/>
              <w:ind w:left="0"/>
              <w:jc w:val="center"/>
            </w:pPr>
            <w:r w:rsidRPr="00005284">
              <w:t>9</w:t>
            </w:r>
            <w:r w:rsidR="005C679A">
              <w:t>,</w:t>
            </w:r>
            <w:r w:rsidRPr="00005284">
              <w:t>019</w:t>
            </w:r>
          </w:p>
        </w:tc>
        <w:tc>
          <w:tcPr>
            <w:tcW w:w="1017" w:type="dxa"/>
          </w:tcPr>
          <w:p w:rsidR="00005284" w:rsidRPr="00005284" w:rsidRDefault="00005284" w:rsidP="00680346">
            <w:pPr>
              <w:pStyle w:val="BodyText"/>
              <w:ind w:left="0"/>
              <w:jc w:val="center"/>
            </w:pPr>
            <w:r w:rsidRPr="00005284">
              <w:t>17</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(0.076) </w:t>
            </w:r>
          </w:p>
        </w:tc>
        <w:tc>
          <w:tcPr>
            <w:tcW w:w="1164" w:type="dxa"/>
          </w:tcPr>
          <w:p w:rsidR="00005284" w:rsidRPr="00005284" w:rsidRDefault="00005284" w:rsidP="00005284">
            <w:pPr>
              <w:pStyle w:val="BodyText"/>
              <w:ind w:left="0"/>
            </w:pPr>
            <w:r w:rsidRPr="00005284">
              <w:t xml:space="preserve"> (0.136)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Basic Chemical</w:t>
            </w:r>
          </w:p>
        </w:tc>
        <w:tc>
          <w:tcPr>
            <w:tcW w:w="1102" w:type="dxa"/>
          </w:tcPr>
          <w:p w:rsidR="00005284" w:rsidRPr="00005284" w:rsidRDefault="00005284" w:rsidP="00005284">
            <w:pPr>
              <w:pStyle w:val="BodyText"/>
              <w:ind w:left="0"/>
            </w:pPr>
            <w:r w:rsidRPr="00005284">
              <w:t xml:space="preserve"> 0.562 </w:t>
            </w:r>
          </w:p>
        </w:tc>
        <w:tc>
          <w:tcPr>
            <w:tcW w:w="1164" w:type="dxa"/>
          </w:tcPr>
          <w:p w:rsidR="00005284" w:rsidRPr="00005284" w:rsidRDefault="00005284" w:rsidP="00005284">
            <w:pPr>
              <w:pStyle w:val="BodyText"/>
              <w:ind w:left="0"/>
            </w:pPr>
            <w:r w:rsidRPr="00005284">
              <w:t xml:space="preserve"> 0.546* </w:t>
            </w:r>
          </w:p>
        </w:tc>
        <w:tc>
          <w:tcPr>
            <w:tcW w:w="1113" w:type="dxa"/>
          </w:tcPr>
          <w:p w:rsidR="00005284" w:rsidRPr="00005284" w:rsidRDefault="00005284" w:rsidP="00680346">
            <w:pPr>
              <w:pStyle w:val="BodyText"/>
              <w:ind w:left="0"/>
              <w:jc w:val="center"/>
            </w:pPr>
            <w:r w:rsidRPr="00005284">
              <w:t>3</w:t>
            </w:r>
            <w:r w:rsidR="005C679A">
              <w:t>,</w:t>
            </w:r>
            <w:r w:rsidRPr="00005284">
              <w:t>135</w:t>
            </w:r>
          </w:p>
        </w:tc>
        <w:tc>
          <w:tcPr>
            <w:tcW w:w="1017" w:type="dxa"/>
          </w:tcPr>
          <w:p w:rsidR="00005284" w:rsidRPr="00005284" w:rsidRDefault="00005284" w:rsidP="00680346">
            <w:pPr>
              <w:pStyle w:val="BodyText"/>
              <w:ind w:left="0"/>
              <w:jc w:val="center"/>
            </w:pPr>
            <w:r w:rsidRPr="00005284">
              <w:t>23</w:t>
            </w:r>
          </w:p>
        </w:tc>
      </w:tr>
      <w:tr w:rsidR="00005284" w:rsidRPr="00005284" w:rsidTr="00571C58">
        <w:tc>
          <w:tcPr>
            <w:tcW w:w="2503" w:type="dxa"/>
          </w:tcPr>
          <w:p w:rsidR="00005284" w:rsidRPr="00005284" w:rsidRDefault="004B7116" w:rsidP="004B7116">
            <w:pPr>
              <w:pStyle w:val="BodyText"/>
              <w:ind w:left="0"/>
              <w:jc w:val="left"/>
            </w:pPr>
            <w:r>
              <w:t>Products</w:t>
            </w:r>
          </w:p>
        </w:tc>
        <w:tc>
          <w:tcPr>
            <w:tcW w:w="1102" w:type="dxa"/>
          </w:tcPr>
          <w:p w:rsidR="00005284" w:rsidRPr="00005284" w:rsidRDefault="00005284" w:rsidP="00005284">
            <w:pPr>
              <w:pStyle w:val="BodyText"/>
              <w:ind w:left="0"/>
            </w:pPr>
            <w:r w:rsidRPr="00005284">
              <w:t xml:space="preserve"> (0.364) </w:t>
            </w:r>
          </w:p>
        </w:tc>
        <w:tc>
          <w:tcPr>
            <w:tcW w:w="1164" w:type="dxa"/>
          </w:tcPr>
          <w:p w:rsidR="00005284" w:rsidRPr="00005284" w:rsidRDefault="00005284" w:rsidP="00005284">
            <w:pPr>
              <w:pStyle w:val="BodyText"/>
              <w:ind w:left="0"/>
            </w:pPr>
            <w:r w:rsidRPr="00005284">
              <w:t xml:space="preserve"> (0.305)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Polymer &amp; Rubber</w:t>
            </w:r>
          </w:p>
        </w:tc>
        <w:tc>
          <w:tcPr>
            <w:tcW w:w="1102" w:type="dxa"/>
          </w:tcPr>
          <w:p w:rsidR="00005284" w:rsidRPr="00005284" w:rsidRDefault="00005284" w:rsidP="00005284">
            <w:pPr>
              <w:pStyle w:val="BodyText"/>
              <w:ind w:left="0"/>
            </w:pPr>
            <w:r w:rsidRPr="00005284">
              <w:t xml:space="preserve"> 0.254*** </w:t>
            </w:r>
          </w:p>
        </w:tc>
        <w:tc>
          <w:tcPr>
            <w:tcW w:w="1164" w:type="dxa"/>
          </w:tcPr>
          <w:p w:rsidR="00005284" w:rsidRPr="00005284" w:rsidRDefault="00005284" w:rsidP="00005284">
            <w:pPr>
              <w:pStyle w:val="BodyText"/>
              <w:ind w:left="0"/>
            </w:pPr>
            <w:r w:rsidRPr="00005284">
              <w:t xml:space="preserve"> 0.297*** </w:t>
            </w:r>
          </w:p>
        </w:tc>
        <w:tc>
          <w:tcPr>
            <w:tcW w:w="1113" w:type="dxa"/>
          </w:tcPr>
          <w:p w:rsidR="00005284" w:rsidRPr="00005284" w:rsidRDefault="00005284" w:rsidP="00680346">
            <w:pPr>
              <w:pStyle w:val="BodyText"/>
              <w:ind w:left="0"/>
              <w:jc w:val="center"/>
            </w:pPr>
            <w:r w:rsidRPr="00005284">
              <w:t>4</w:t>
            </w:r>
            <w:r w:rsidR="005C679A">
              <w:t>,</w:t>
            </w:r>
            <w:r w:rsidRPr="00005284">
              <w:t>217</w:t>
            </w:r>
          </w:p>
        </w:tc>
        <w:tc>
          <w:tcPr>
            <w:tcW w:w="1017" w:type="dxa"/>
          </w:tcPr>
          <w:p w:rsidR="00005284" w:rsidRPr="00005284" w:rsidRDefault="00005284" w:rsidP="00680346">
            <w:pPr>
              <w:pStyle w:val="BodyText"/>
              <w:ind w:left="0"/>
              <w:jc w:val="center"/>
            </w:pPr>
            <w:r w:rsidRPr="00005284">
              <w:t>35</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(0.040) </w:t>
            </w:r>
          </w:p>
        </w:tc>
        <w:tc>
          <w:tcPr>
            <w:tcW w:w="1164" w:type="dxa"/>
          </w:tcPr>
          <w:p w:rsidR="00005284" w:rsidRPr="00005284" w:rsidRDefault="00005284" w:rsidP="00005284">
            <w:pPr>
              <w:pStyle w:val="BodyText"/>
              <w:ind w:left="0"/>
            </w:pPr>
            <w:r w:rsidRPr="00005284">
              <w:t xml:space="preserve"> (0.052)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Non-metallic Minerals</w:t>
            </w:r>
          </w:p>
        </w:tc>
        <w:tc>
          <w:tcPr>
            <w:tcW w:w="1102" w:type="dxa"/>
          </w:tcPr>
          <w:p w:rsidR="00005284" w:rsidRPr="00005284" w:rsidRDefault="00005284" w:rsidP="00005284">
            <w:pPr>
              <w:pStyle w:val="BodyText"/>
              <w:ind w:left="0"/>
            </w:pPr>
            <w:r w:rsidRPr="00005284">
              <w:t xml:space="preserve"> 0.024 </w:t>
            </w:r>
          </w:p>
        </w:tc>
        <w:tc>
          <w:tcPr>
            <w:tcW w:w="1164" w:type="dxa"/>
          </w:tcPr>
          <w:p w:rsidR="00005284" w:rsidRPr="00005284" w:rsidRDefault="00005284" w:rsidP="00005284">
            <w:pPr>
              <w:pStyle w:val="BodyText"/>
              <w:ind w:left="0"/>
            </w:pPr>
            <w:r w:rsidRPr="00005284">
              <w:t xml:space="preserve"> 0.107 </w:t>
            </w:r>
          </w:p>
        </w:tc>
        <w:tc>
          <w:tcPr>
            <w:tcW w:w="1113" w:type="dxa"/>
          </w:tcPr>
          <w:p w:rsidR="00005284" w:rsidRPr="00005284" w:rsidRDefault="00005284" w:rsidP="00680346">
            <w:pPr>
              <w:pStyle w:val="BodyText"/>
              <w:ind w:left="0"/>
              <w:jc w:val="center"/>
            </w:pPr>
            <w:r w:rsidRPr="00005284">
              <w:t>4</w:t>
            </w:r>
            <w:r w:rsidR="005C679A">
              <w:t>,</w:t>
            </w:r>
            <w:r w:rsidRPr="00005284">
              <w:t>005</w:t>
            </w:r>
          </w:p>
        </w:tc>
        <w:tc>
          <w:tcPr>
            <w:tcW w:w="1017" w:type="dxa"/>
          </w:tcPr>
          <w:p w:rsidR="00005284" w:rsidRPr="00005284" w:rsidRDefault="00005284" w:rsidP="00680346">
            <w:pPr>
              <w:pStyle w:val="BodyText"/>
              <w:ind w:left="0"/>
              <w:jc w:val="center"/>
            </w:pPr>
            <w:r w:rsidRPr="00005284">
              <w:t>16</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(0.366) </w:t>
            </w:r>
          </w:p>
        </w:tc>
        <w:tc>
          <w:tcPr>
            <w:tcW w:w="1164" w:type="dxa"/>
          </w:tcPr>
          <w:p w:rsidR="00005284" w:rsidRPr="00005284" w:rsidRDefault="00005284" w:rsidP="00005284">
            <w:pPr>
              <w:pStyle w:val="BodyText"/>
              <w:ind w:left="0"/>
            </w:pPr>
            <w:r w:rsidRPr="00005284">
              <w:t xml:space="preserve"> (0.113)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Primary Metals</w:t>
            </w:r>
          </w:p>
        </w:tc>
        <w:tc>
          <w:tcPr>
            <w:tcW w:w="1102" w:type="dxa"/>
          </w:tcPr>
          <w:p w:rsidR="00005284" w:rsidRPr="00005284" w:rsidRDefault="00005284" w:rsidP="00005284">
            <w:pPr>
              <w:pStyle w:val="BodyText"/>
              <w:ind w:left="0"/>
            </w:pPr>
            <w:r w:rsidRPr="00005284">
              <w:t xml:space="preserve"> 0.172 </w:t>
            </w:r>
          </w:p>
        </w:tc>
        <w:tc>
          <w:tcPr>
            <w:tcW w:w="1164" w:type="dxa"/>
          </w:tcPr>
          <w:p w:rsidR="00005284" w:rsidRPr="00005284" w:rsidRDefault="00005284" w:rsidP="00005284">
            <w:pPr>
              <w:pStyle w:val="BodyText"/>
              <w:ind w:left="0"/>
            </w:pPr>
            <w:r w:rsidRPr="00005284">
              <w:t xml:space="preserve"> 0.362** </w:t>
            </w:r>
          </w:p>
        </w:tc>
        <w:tc>
          <w:tcPr>
            <w:tcW w:w="1113" w:type="dxa"/>
          </w:tcPr>
          <w:p w:rsidR="00005284" w:rsidRPr="00005284" w:rsidRDefault="00005284" w:rsidP="00680346">
            <w:pPr>
              <w:pStyle w:val="BodyText"/>
              <w:ind w:left="0"/>
              <w:jc w:val="center"/>
            </w:pPr>
            <w:r w:rsidRPr="00005284">
              <w:t>929</w:t>
            </w:r>
          </w:p>
        </w:tc>
        <w:tc>
          <w:tcPr>
            <w:tcW w:w="1017" w:type="dxa"/>
          </w:tcPr>
          <w:p w:rsidR="00005284" w:rsidRPr="00005284" w:rsidRDefault="00005284" w:rsidP="00680346">
            <w:pPr>
              <w:pStyle w:val="BodyText"/>
              <w:ind w:left="0"/>
              <w:jc w:val="center"/>
            </w:pPr>
            <w:r w:rsidRPr="00005284">
              <w:t>12</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(0.218) </w:t>
            </w:r>
          </w:p>
        </w:tc>
        <w:tc>
          <w:tcPr>
            <w:tcW w:w="1164" w:type="dxa"/>
          </w:tcPr>
          <w:p w:rsidR="00005284" w:rsidRPr="00005284" w:rsidRDefault="00005284" w:rsidP="00005284">
            <w:pPr>
              <w:pStyle w:val="BodyText"/>
              <w:ind w:left="0"/>
            </w:pPr>
            <w:r w:rsidRPr="00005284">
              <w:t xml:space="preserve"> (0.150)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Fabricated Metal</w:t>
            </w:r>
          </w:p>
        </w:tc>
        <w:tc>
          <w:tcPr>
            <w:tcW w:w="1102" w:type="dxa"/>
          </w:tcPr>
          <w:p w:rsidR="00005284" w:rsidRPr="00005284" w:rsidRDefault="00005284" w:rsidP="00005284">
            <w:pPr>
              <w:pStyle w:val="BodyText"/>
              <w:ind w:left="0"/>
            </w:pPr>
            <w:r w:rsidRPr="00005284">
              <w:t xml:space="preserve"> 0.163** </w:t>
            </w:r>
          </w:p>
        </w:tc>
        <w:tc>
          <w:tcPr>
            <w:tcW w:w="1164" w:type="dxa"/>
          </w:tcPr>
          <w:p w:rsidR="00005284" w:rsidRPr="00005284" w:rsidRDefault="00005284" w:rsidP="00005284">
            <w:pPr>
              <w:pStyle w:val="BodyText"/>
              <w:ind w:left="0"/>
            </w:pPr>
            <w:r w:rsidRPr="00005284">
              <w:t xml:space="preserve"> 0.157*** </w:t>
            </w:r>
          </w:p>
        </w:tc>
        <w:tc>
          <w:tcPr>
            <w:tcW w:w="1113" w:type="dxa"/>
          </w:tcPr>
          <w:p w:rsidR="00005284" w:rsidRPr="00005284" w:rsidRDefault="00005284" w:rsidP="00680346">
            <w:pPr>
              <w:pStyle w:val="BodyText"/>
              <w:ind w:left="0"/>
              <w:jc w:val="center"/>
            </w:pPr>
            <w:r w:rsidRPr="00005284">
              <w:t>19</w:t>
            </w:r>
            <w:r w:rsidR="005C679A">
              <w:t>,</w:t>
            </w:r>
            <w:r w:rsidRPr="00005284">
              <w:t>551</w:t>
            </w:r>
          </w:p>
        </w:tc>
        <w:tc>
          <w:tcPr>
            <w:tcW w:w="1017" w:type="dxa"/>
          </w:tcPr>
          <w:p w:rsidR="00005284" w:rsidRPr="00005284" w:rsidRDefault="00005284" w:rsidP="00680346">
            <w:pPr>
              <w:pStyle w:val="BodyText"/>
              <w:ind w:left="0"/>
              <w:jc w:val="center"/>
            </w:pPr>
            <w:r w:rsidRPr="00005284">
              <w:t>20</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(0.073) </w:t>
            </w:r>
          </w:p>
        </w:tc>
        <w:tc>
          <w:tcPr>
            <w:tcW w:w="1164" w:type="dxa"/>
          </w:tcPr>
          <w:p w:rsidR="00005284" w:rsidRPr="00005284" w:rsidRDefault="00005284" w:rsidP="00005284">
            <w:pPr>
              <w:pStyle w:val="BodyText"/>
              <w:ind w:left="0"/>
            </w:pPr>
            <w:r w:rsidRPr="00005284">
              <w:t xml:space="preserve"> (0.061)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Transport Equipment</w:t>
            </w:r>
          </w:p>
        </w:tc>
        <w:tc>
          <w:tcPr>
            <w:tcW w:w="1102" w:type="dxa"/>
          </w:tcPr>
          <w:p w:rsidR="00005284" w:rsidRPr="00005284" w:rsidRDefault="00005284" w:rsidP="00005284">
            <w:pPr>
              <w:pStyle w:val="BodyText"/>
              <w:ind w:left="0"/>
            </w:pPr>
            <w:r w:rsidRPr="00005284">
              <w:t xml:space="preserve"> 0.217*** </w:t>
            </w:r>
          </w:p>
        </w:tc>
        <w:tc>
          <w:tcPr>
            <w:tcW w:w="1164" w:type="dxa"/>
          </w:tcPr>
          <w:p w:rsidR="00005284" w:rsidRPr="00005284" w:rsidRDefault="00005284" w:rsidP="00005284">
            <w:pPr>
              <w:pStyle w:val="BodyText"/>
              <w:ind w:left="0"/>
            </w:pPr>
            <w:r w:rsidRPr="00005284">
              <w:t xml:space="preserve"> 0.162* </w:t>
            </w:r>
          </w:p>
        </w:tc>
        <w:tc>
          <w:tcPr>
            <w:tcW w:w="1113" w:type="dxa"/>
          </w:tcPr>
          <w:p w:rsidR="00005284" w:rsidRPr="00005284" w:rsidRDefault="00005284" w:rsidP="00680346">
            <w:pPr>
              <w:pStyle w:val="BodyText"/>
              <w:ind w:left="0"/>
              <w:jc w:val="center"/>
            </w:pPr>
            <w:r w:rsidRPr="00005284">
              <w:t>4</w:t>
            </w:r>
            <w:r w:rsidR="005C679A">
              <w:t>,</w:t>
            </w:r>
            <w:r w:rsidRPr="00005284">
              <w:t>048</w:t>
            </w:r>
          </w:p>
        </w:tc>
        <w:tc>
          <w:tcPr>
            <w:tcW w:w="1017" w:type="dxa"/>
          </w:tcPr>
          <w:p w:rsidR="00005284" w:rsidRPr="00005284" w:rsidRDefault="00005284" w:rsidP="00680346">
            <w:pPr>
              <w:pStyle w:val="BodyText"/>
              <w:ind w:left="0"/>
              <w:jc w:val="center"/>
            </w:pPr>
            <w:r w:rsidRPr="00005284">
              <w:t>10</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(0.077) </w:t>
            </w:r>
          </w:p>
        </w:tc>
        <w:tc>
          <w:tcPr>
            <w:tcW w:w="1164" w:type="dxa"/>
          </w:tcPr>
          <w:p w:rsidR="00005284" w:rsidRPr="00005284" w:rsidRDefault="00005284" w:rsidP="00005284">
            <w:pPr>
              <w:pStyle w:val="BodyText"/>
              <w:ind w:left="0"/>
            </w:pPr>
            <w:r w:rsidRPr="00005284">
              <w:t xml:space="preserve"> (0.088)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r w:rsidR="00005284" w:rsidRPr="00005284" w:rsidTr="00571C58">
        <w:trPr>
          <w:trHeight w:hRule="exact" w:val="284"/>
        </w:trPr>
        <w:tc>
          <w:tcPr>
            <w:tcW w:w="2503" w:type="dxa"/>
          </w:tcPr>
          <w:p w:rsidR="00005284" w:rsidRPr="00005284" w:rsidRDefault="004B7116" w:rsidP="004B7116">
            <w:pPr>
              <w:pStyle w:val="BodyText"/>
              <w:ind w:left="0"/>
              <w:jc w:val="left"/>
            </w:pPr>
            <w:r>
              <w:t>Machinery &amp; Equipment</w:t>
            </w:r>
          </w:p>
        </w:tc>
        <w:tc>
          <w:tcPr>
            <w:tcW w:w="1102" w:type="dxa"/>
          </w:tcPr>
          <w:p w:rsidR="00005284" w:rsidRPr="00005284" w:rsidRDefault="00005284" w:rsidP="00005284">
            <w:pPr>
              <w:pStyle w:val="BodyText"/>
              <w:ind w:left="0"/>
            </w:pPr>
            <w:r w:rsidRPr="00005284">
              <w:t xml:space="preserve"> 0.283*** </w:t>
            </w:r>
          </w:p>
        </w:tc>
        <w:tc>
          <w:tcPr>
            <w:tcW w:w="1164" w:type="dxa"/>
          </w:tcPr>
          <w:p w:rsidR="00005284" w:rsidRPr="00005284" w:rsidRDefault="00005284" w:rsidP="00005284">
            <w:pPr>
              <w:pStyle w:val="BodyText"/>
              <w:ind w:left="0"/>
            </w:pPr>
            <w:r w:rsidRPr="00005284">
              <w:t xml:space="preserve"> 0.228*** </w:t>
            </w:r>
          </w:p>
        </w:tc>
        <w:tc>
          <w:tcPr>
            <w:tcW w:w="1113" w:type="dxa"/>
          </w:tcPr>
          <w:p w:rsidR="00005284" w:rsidRPr="00005284" w:rsidRDefault="00005284" w:rsidP="00680346">
            <w:pPr>
              <w:pStyle w:val="BodyText"/>
              <w:ind w:left="0"/>
              <w:jc w:val="center"/>
            </w:pPr>
            <w:r w:rsidRPr="00005284">
              <w:t>11</w:t>
            </w:r>
            <w:r w:rsidR="005C679A">
              <w:t>,</w:t>
            </w:r>
            <w:r w:rsidRPr="00005284">
              <w:t>678</w:t>
            </w:r>
          </w:p>
        </w:tc>
        <w:tc>
          <w:tcPr>
            <w:tcW w:w="1017" w:type="dxa"/>
          </w:tcPr>
          <w:p w:rsidR="00005284" w:rsidRPr="00005284" w:rsidRDefault="00005284" w:rsidP="00680346">
            <w:pPr>
              <w:pStyle w:val="BodyText"/>
              <w:ind w:left="0"/>
              <w:jc w:val="center"/>
            </w:pPr>
            <w:r w:rsidRPr="00005284">
              <w:t>27</w:t>
            </w:r>
          </w:p>
        </w:tc>
      </w:tr>
      <w:tr w:rsidR="00005284" w:rsidRPr="00005284" w:rsidTr="00571C58">
        <w:tc>
          <w:tcPr>
            <w:tcW w:w="2503" w:type="dxa"/>
          </w:tcPr>
          <w:p w:rsidR="00005284" w:rsidRPr="00005284" w:rsidRDefault="00005284" w:rsidP="004B7116">
            <w:pPr>
              <w:pStyle w:val="BodyText"/>
              <w:ind w:left="0"/>
              <w:jc w:val="left"/>
            </w:pPr>
          </w:p>
        </w:tc>
        <w:tc>
          <w:tcPr>
            <w:tcW w:w="1102" w:type="dxa"/>
          </w:tcPr>
          <w:p w:rsidR="00005284" w:rsidRPr="00005284" w:rsidRDefault="00005284" w:rsidP="00005284">
            <w:pPr>
              <w:pStyle w:val="BodyText"/>
              <w:ind w:left="0"/>
            </w:pPr>
            <w:r w:rsidRPr="00005284">
              <w:t xml:space="preserve"> (0.052) </w:t>
            </w:r>
          </w:p>
        </w:tc>
        <w:tc>
          <w:tcPr>
            <w:tcW w:w="1164" w:type="dxa"/>
          </w:tcPr>
          <w:p w:rsidR="00005284" w:rsidRPr="00005284" w:rsidRDefault="00005284" w:rsidP="00005284">
            <w:pPr>
              <w:pStyle w:val="BodyText"/>
              <w:ind w:left="0"/>
            </w:pPr>
            <w:r w:rsidRPr="00005284">
              <w:t xml:space="preserve"> (0.082) </w:t>
            </w:r>
          </w:p>
        </w:tc>
        <w:tc>
          <w:tcPr>
            <w:tcW w:w="1113" w:type="dxa"/>
          </w:tcPr>
          <w:p w:rsidR="00005284" w:rsidRPr="00005284" w:rsidRDefault="00005284" w:rsidP="00680346">
            <w:pPr>
              <w:pStyle w:val="BodyText"/>
              <w:ind w:left="0"/>
              <w:jc w:val="center"/>
            </w:pPr>
          </w:p>
        </w:tc>
        <w:tc>
          <w:tcPr>
            <w:tcW w:w="1017" w:type="dxa"/>
          </w:tcPr>
          <w:p w:rsidR="00005284" w:rsidRPr="00005284" w:rsidRDefault="00005284" w:rsidP="00680346">
            <w:pPr>
              <w:pStyle w:val="BodyText"/>
              <w:ind w:left="0"/>
              <w:jc w:val="center"/>
            </w:pPr>
          </w:p>
        </w:tc>
      </w:tr>
    </w:tbl>
    <w:p w:rsidR="00571C58" w:rsidRDefault="00571C58" w:rsidP="00571C58">
      <w:pPr>
        <w:pStyle w:val="Source"/>
      </w:pPr>
      <w:r>
        <w:t xml:space="preserve">Source: </w:t>
      </w:r>
      <w:r w:rsidRPr="00A9193F">
        <w:t xml:space="preserve">Author’s calculations based on the </w:t>
      </w:r>
      <w:r w:rsidR="006920B4">
        <w:t>BLADE</w:t>
      </w:r>
    </w:p>
    <w:p w:rsidR="00F8563F" w:rsidRDefault="00C32F2B" w:rsidP="00571C58">
      <w:pPr>
        <w:pStyle w:val="BodyText"/>
      </w:pPr>
      <w:r>
        <w:t xml:space="preserve">Looking at the numbers in the table makes it clear that practically every manufacturing subdivision benefited from CleanTech in terms of increased </w:t>
      </w:r>
      <w:r w:rsidR="00F32594">
        <w:t>dynamism</w:t>
      </w:r>
      <w:r>
        <w:t xml:space="preserve">. Only in </w:t>
      </w:r>
      <w:r w:rsidR="00D51A77">
        <w:t>few</w:t>
      </w:r>
      <w:r>
        <w:t xml:space="preserve"> cases the results are statistically insignificant. </w:t>
      </w:r>
      <w:r w:rsidR="00FD6589">
        <w:t>A few subdivisions in manufacturing had to be supressed to protect confidentiality due to</w:t>
      </w:r>
      <w:r w:rsidR="0083334D">
        <w:t xml:space="preserve"> non-existence of CleanTech firms or because of</w:t>
      </w:r>
      <w:r w:rsidR="00FD6589">
        <w:t xml:space="preserve"> small size of the CleanTech sample.</w:t>
      </w:r>
      <w:r w:rsidR="00F8563F">
        <w:br w:type="page"/>
      </w:r>
    </w:p>
    <w:p w:rsidR="00614218" w:rsidRDefault="007277C1" w:rsidP="00614218">
      <w:pPr>
        <w:pStyle w:val="Heading1"/>
      </w:pPr>
      <w:r>
        <w:t>Conclusion</w:t>
      </w:r>
    </w:p>
    <w:p w:rsidR="00614218" w:rsidRDefault="007277C1" w:rsidP="007277C1">
      <w:pPr>
        <w:pStyle w:val="BodyText"/>
      </w:pPr>
      <w:r>
        <w:t xml:space="preserve">Overall, CleanTech seems to have been in support of </w:t>
      </w:r>
      <w:r w:rsidR="00A40BFD">
        <w:t xml:space="preserve">growth, job </w:t>
      </w:r>
      <w:r w:rsidR="001B22C0">
        <w:t>creation, and exporting</w:t>
      </w:r>
      <w:r>
        <w:t xml:space="preserve"> but mostly among firms that were performing badly prior to the programme. The programme seems to have offered a lifeline to these firms that eventually enabled them to turn themselves around and start growing</w:t>
      </w:r>
      <w:r w:rsidR="00747113">
        <w:t xml:space="preserve"> and creating jobs. There is ve</w:t>
      </w:r>
      <w:r>
        <w:t>ry little evidence that the programme had a positive impact on firms that were already growing and could perform well. The bulk of</w:t>
      </w:r>
      <w:r w:rsidR="00733CD7">
        <w:t xml:space="preserve"> the assistance went to </w:t>
      </w:r>
      <w:r w:rsidR="00D13CEF">
        <w:t xml:space="preserve">firms that </w:t>
      </w:r>
      <w:r w:rsidR="009716FC">
        <w:t>have no or very little foreign ownership</w:t>
      </w:r>
      <w:r>
        <w:t xml:space="preserve"> and had the greatest impact among those firms. In that sense, the programme seems to have been properly targeted in support of </w:t>
      </w:r>
      <w:r w:rsidR="00747113">
        <w:t>the domestic economy</w:t>
      </w:r>
      <w:r>
        <w:t>.</w:t>
      </w:r>
    </w:p>
    <w:p w:rsidR="00A8668E" w:rsidRDefault="00896A24" w:rsidP="007277C1">
      <w:pPr>
        <w:pStyle w:val="BodyText"/>
      </w:pPr>
      <w:r>
        <w:t>There are two</w:t>
      </w:r>
      <w:r w:rsidR="00A8668E">
        <w:t xml:space="preserve"> caveat</w:t>
      </w:r>
      <w:r w:rsidR="00557140">
        <w:t>s</w:t>
      </w:r>
      <w:r w:rsidR="00A8668E">
        <w:t xml:space="preserve">. </w:t>
      </w:r>
      <w:r>
        <w:t>First, t</w:t>
      </w:r>
      <w:r w:rsidR="00A8668E">
        <w:t>he</w:t>
      </w:r>
      <w:r w:rsidR="00733CD7">
        <w:t xml:space="preserve"> study</w:t>
      </w:r>
      <w:r w:rsidR="00A8668E">
        <w:t xml:space="preserve"> only look</w:t>
      </w:r>
      <w:r w:rsidR="00733CD7">
        <w:t>s</w:t>
      </w:r>
      <w:r w:rsidR="00A8668E">
        <w:t xml:space="preserve"> at what happened as a result of CleanTech during 2011 to 2013. This is the period that firms were actually carrying out projects. For</w:t>
      </w:r>
      <w:r w:rsidR="00733CD7">
        <w:t xml:space="preserve"> a</w:t>
      </w:r>
      <w:r w:rsidR="00A8668E">
        <w:t xml:space="preserve"> longer term view of those effects one </w:t>
      </w:r>
      <w:r w:rsidR="00013270">
        <w:t xml:space="preserve">also </w:t>
      </w:r>
      <w:r w:rsidR="00A8668E">
        <w:t xml:space="preserve">needs </w:t>
      </w:r>
      <w:r w:rsidR="00013270">
        <w:t>to</w:t>
      </w:r>
      <w:r w:rsidR="00557140">
        <w:t xml:space="preserve"> look at</w:t>
      </w:r>
      <w:r w:rsidR="00A8668E">
        <w:t xml:space="preserve"> growth durin</w:t>
      </w:r>
      <w:r w:rsidR="00565102">
        <w:t>g 2013 to 2015. T</w:t>
      </w:r>
      <w:r w:rsidR="00A8668E">
        <w:t xml:space="preserve">he data for this last period is </w:t>
      </w:r>
      <w:r w:rsidR="00733CD7">
        <w:t xml:space="preserve">currently </w:t>
      </w:r>
      <w:r w:rsidR="00A8668E">
        <w:t xml:space="preserve">unavailable </w:t>
      </w:r>
      <w:r w:rsidR="00733CD7">
        <w:t xml:space="preserve">in the </w:t>
      </w:r>
      <w:r w:rsidR="00A6340B">
        <w:t>BLADE</w:t>
      </w:r>
      <w:r w:rsidR="00A8668E">
        <w:t xml:space="preserve">, so a </w:t>
      </w:r>
      <w:r w:rsidR="00F84DB8">
        <w:t>follow-up</w:t>
      </w:r>
      <w:r w:rsidR="00A8668E">
        <w:t xml:space="preserve"> research in a few years could be helpful.</w:t>
      </w:r>
    </w:p>
    <w:p w:rsidR="00387515" w:rsidRDefault="00896A24" w:rsidP="007277C1">
      <w:pPr>
        <w:pStyle w:val="BodyText"/>
      </w:pPr>
      <w:r>
        <w:t xml:space="preserve">The second, </w:t>
      </w:r>
      <w:r w:rsidR="00F526C9">
        <w:t>and probably the more important,</w:t>
      </w:r>
      <w:r>
        <w:t xml:space="preserve"> caveat i</w:t>
      </w:r>
      <w:r w:rsidR="00427B8B">
        <w:t>s that owing to data limitation</w:t>
      </w:r>
      <w:r>
        <w:t xml:space="preserve">s the analysis was carried out at firm (ABN) level </w:t>
      </w:r>
      <w:r w:rsidR="00427B8B">
        <w:t>whereas the grants were</w:t>
      </w:r>
      <w:r>
        <w:t xml:space="preserve"> awarded to specific facilities. It is not clear from the results whether a facility that received Clea</w:t>
      </w:r>
      <w:r w:rsidR="00CB7CB2">
        <w:t>nTech grants actually grew at the same time that</w:t>
      </w:r>
      <w:r>
        <w:t xml:space="preserve"> the whole firm was growing. Subsequently, the findings need to be interpreted as the impact of CleanTech on the overall firm strategy including its ability to shift and redistribute activity across its multiple facilities and locations.</w:t>
      </w:r>
    </w:p>
    <w:p w:rsidR="00387515" w:rsidRDefault="00387515">
      <w:pPr>
        <w:spacing w:after="200" w:line="276" w:lineRule="auto"/>
        <w:ind w:left="0"/>
        <w:jc w:val="left"/>
        <w:rPr>
          <w:rFonts w:asciiTheme="minorHAnsi" w:hAnsiTheme="minorHAnsi"/>
        </w:rPr>
      </w:pPr>
      <w:r>
        <w:br w:type="page"/>
      </w:r>
    </w:p>
    <w:p w:rsidR="00896A24" w:rsidRPr="006F7095" w:rsidRDefault="00896A24" w:rsidP="007277C1">
      <w:pPr>
        <w:pStyle w:val="BodyText"/>
      </w:pPr>
    </w:p>
    <w:p w:rsidR="002F56EE" w:rsidRDefault="00C17CFD" w:rsidP="00387515">
      <w:pPr>
        <w:pStyle w:val="UnnumberedHeading"/>
      </w:pPr>
      <w:r>
        <w:t>References</w:t>
      </w:r>
    </w:p>
    <w:p w:rsidR="00E50CAC" w:rsidRDefault="00E50CAC" w:rsidP="00C17CFD">
      <w:pPr>
        <w:pStyle w:val="BodyText"/>
      </w:pPr>
      <w:r>
        <w:t xml:space="preserve">Bakhtiari, Sasan (2016) </w:t>
      </w:r>
      <w:r>
        <w:rPr>
          <w:i/>
        </w:rPr>
        <w:t>Clean</w:t>
      </w:r>
      <w:r w:rsidR="000D538A">
        <w:rPr>
          <w:i/>
        </w:rPr>
        <w:t xml:space="preserve"> </w:t>
      </w:r>
      <w:r>
        <w:rPr>
          <w:i/>
        </w:rPr>
        <w:t>Technology, Regulation</w:t>
      </w:r>
      <w:r w:rsidR="000A177A">
        <w:rPr>
          <w:i/>
        </w:rPr>
        <w:t xml:space="preserve"> and </w:t>
      </w:r>
      <w:r w:rsidR="000D538A">
        <w:rPr>
          <w:i/>
        </w:rPr>
        <w:t>Government</w:t>
      </w:r>
      <w:r w:rsidR="000A177A">
        <w:rPr>
          <w:i/>
        </w:rPr>
        <w:t xml:space="preserve"> Intervention: The Australian Experience</w:t>
      </w:r>
      <w:r w:rsidR="000A177A">
        <w:t>, Department of Industry, I</w:t>
      </w:r>
      <w:r w:rsidR="00774252">
        <w:t>nnovation and Science, Canberra</w:t>
      </w:r>
    </w:p>
    <w:p w:rsidR="00123721" w:rsidRPr="00123721" w:rsidRDefault="00123721" w:rsidP="00C17CFD">
      <w:pPr>
        <w:pStyle w:val="BodyText"/>
      </w:pPr>
      <w:r>
        <w:t xml:space="preserve">Chapple, Larelle, Peter M. Clarkson, and Daniel L. Gold (2013) “The Cost of Carbon: Capital Market Effects of the Proposed Emission Trading Scheme (ETS),” </w:t>
      </w:r>
      <w:r>
        <w:rPr>
          <w:i/>
        </w:rPr>
        <w:t>Abacus</w:t>
      </w:r>
      <w:r>
        <w:t>, 49(1), 133.</w:t>
      </w:r>
    </w:p>
    <w:p w:rsidR="00A26781" w:rsidRPr="00A26781" w:rsidRDefault="00A26781" w:rsidP="00C17CFD">
      <w:pPr>
        <w:pStyle w:val="BodyText"/>
      </w:pPr>
      <w:r>
        <w:t xml:space="preserve">Clean Energy Act (2011), </w:t>
      </w:r>
      <w:r>
        <w:rPr>
          <w:i/>
        </w:rPr>
        <w:t>Australian Government</w:t>
      </w:r>
      <w:r>
        <w:t xml:space="preserve">, </w:t>
      </w:r>
      <w:hyperlink r:id="rId26" w:tooltip="http://www.comlaw.gov.au" w:history="1">
        <w:r w:rsidRPr="00730F78">
          <w:rPr>
            <w:rStyle w:val="Hyperlink"/>
          </w:rPr>
          <w:t>http://www.comlaw.gov.au</w:t>
        </w:r>
      </w:hyperlink>
      <w:r w:rsidR="00B46FF9">
        <w:t>, ID C2011A00131</w:t>
      </w:r>
    </w:p>
    <w:p w:rsidR="00C17CFD" w:rsidRPr="00C17CFD" w:rsidRDefault="00C17CFD" w:rsidP="00C17CFD">
      <w:pPr>
        <w:pStyle w:val="BodyText"/>
      </w:pPr>
      <w:r>
        <w:t xml:space="preserve">Davis, Haltiwanger, and Schuh (1996) </w:t>
      </w:r>
      <w:r>
        <w:rPr>
          <w:i/>
        </w:rPr>
        <w:t>Job Creation and Destruction</w:t>
      </w:r>
      <w:r>
        <w:t>, The MIT Press, 2</w:t>
      </w:r>
      <w:r w:rsidRPr="00C17CFD">
        <w:rPr>
          <w:vertAlign w:val="superscript"/>
        </w:rPr>
        <w:t>nd</w:t>
      </w:r>
      <w:r>
        <w:t xml:space="preserve"> Ed.</w:t>
      </w:r>
      <w:r w:rsidR="00774252">
        <w:t>, Cambridge, Massachusetts</w:t>
      </w:r>
    </w:p>
    <w:p w:rsidR="00637F62" w:rsidRPr="00637F62" w:rsidRDefault="006368E4">
      <w:pPr>
        <w:pStyle w:val="BodyText"/>
        <w:rPr>
          <w:i/>
        </w:rPr>
      </w:pPr>
      <w:r>
        <w:t>Productivity Commission (2011) “</w:t>
      </w:r>
      <w:r>
        <w:rPr>
          <w:lang w:val="en"/>
        </w:rPr>
        <w:t>Emission Reduction Policies and Carbon Prices in Key Economies</w:t>
      </w:r>
      <w:r w:rsidR="00637F62">
        <w:t xml:space="preserve">”, </w:t>
      </w:r>
      <w:r w:rsidR="00774252">
        <w:t>Research Report, June</w:t>
      </w:r>
    </w:p>
    <w:sectPr w:rsidR="00637F62" w:rsidRPr="00637F62" w:rsidSect="0077425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B6" w:rsidRDefault="002E7FB6" w:rsidP="00F244EA">
      <w:pPr>
        <w:spacing w:after="0" w:line="240" w:lineRule="auto"/>
      </w:pPr>
      <w:r>
        <w:separator/>
      </w:r>
    </w:p>
  </w:endnote>
  <w:endnote w:type="continuationSeparator" w:id="0">
    <w:p w:rsidR="002E7FB6" w:rsidRDefault="002E7FB6"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B6" w:rsidRPr="001C2E57" w:rsidRDefault="002E7FB6" w:rsidP="00F244EA">
    <w:pPr>
      <w:pStyle w:val="Footer"/>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B6" w:rsidRPr="001C2E57" w:rsidRDefault="002E7FB6" w:rsidP="007A59E6">
    <w:pPr>
      <w:pStyle w:val="Footer"/>
    </w:pPr>
    <w:r w:rsidRPr="001C2E57">
      <w:fldChar w:fldCharType="begin"/>
    </w:r>
    <w:r w:rsidRPr="001C2E57">
      <w:instrText>IF</w:instrText>
    </w:r>
    <w:r>
      <w:fldChar w:fldCharType="begin"/>
    </w:r>
    <w:r>
      <w:instrText xml:space="preserve"> STYLEREF "Title Heading" \* Charformat </w:instrText>
    </w:r>
    <w:r>
      <w:fldChar w:fldCharType="separate"/>
    </w:r>
    <w:r>
      <w:rPr>
        <w:b/>
        <w:bCs/>
        <w:noProof/>
        <w:lang w:val="en-US"/>
      </w:rPr>
      <w:instrText>Error! No text of specified style in document.</w:instrText>
    </w:r>
    <w:r>
      <w:rPr>
        <w:noProof/>
      </w:rPr>
      <w:fldChar w:fldCharType="end"/>
    </w:r>
    <w:r w:rsidRPr="001C2E57">
      <w:instrText xml:space="preserve"> &lt;&gt; "Error*" </w:instrText>
    </w:r>
    <w:r w:rsidR="00E27332">
      <w:fldChar w:fldCharType="begin"/>
    </w:r>
    <w:r w:rsidR="00E27332">
      <w:instrText xml:space="preserve"> STYLEREF "Title Heading" \* Charformat </w:instrText>
    </w:r>
    <w:r w:rsidR="00E27332">
      <w:fldChar w:fldCharType="separate"/>
    </w:r>
    <w:r>
      <w:rPr>
        <w:noProof/>
      </w:rPr>
      <w:instrText>[Research Paper Title]</w:instrText>
    </w:r>
    <w:r w:rsidR="00E27332">
      <w:rPr>
        <w:noProof/>
      </w:rPr>
      <w:fldChar w:fldCharType="end"/>
    </w:r>
    <w:r w:rsidRPr="001C2E57">
      <w:instrText xml:space="preserve"> </w:instrTex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52" w:rsidRPr="001C2E57" w:rsidRDefault="00774252" w:rsidP="00F244EA">
    <w:pPr>
      <w:pStyle w:val="Footer"/>
    </w:pPr>
    <w:r w:rsidRPr="001C2E57">
      <w:fldChar w:fldCharType="begin"/>
    </w:r>
    <w:r w:rsidRPr="001C2E57">
      <w:instrText>IF</w:instrText>
    </w:r>
    <w:r w:rsidR="00E27332">
      <w:fldChar w:fldCharType="begin"/>
    </w:r>
    <w:r w:rsidR="00E27332">
      <w:instrText xml:space="preserve"> STYLEREF "Title Heading" \* Charformat </w:instrText>
    </w:r>
    <w:r w:rsidR="00E27332">
      <w:fldChar w:fldCharType="separate"/>
    </w:r>
    <w:r w:rsidR="00E27332">
      <w:rPr>
        <w:noProof/>
      </w:rPr>
      <w:instrText>Business Dynamics of a Clean Energy Policy</w:instrText>
    </w:r>
    <w:r w:rsidR="00E27332">
      <w:rPr>
        <w:noProof/>
      </w:rPr>
      <w:fldChar w:fldCharType="end"/>
    </w:r>
    <w:r w:rsidRPr="001C2E57">
      <w:instrText xml:space="preserve"> &lt;&gt; "Error*" </w:instrText>
    </w:r>
    <w:r w:rsidR="00E27332">
      <w:fldChar w:fldCharType="begin"/>
    </w:r>
    <w:r w:rsidR="00E27332">
      <w:instrText xml:space="preserve"> STYLEREF "Title Heading" \* Charformat </w:instrText>
    </w:r>
    <w:r w:rsidR="00E27332">
      <w:fldChar w:fldCharType="separate"/>
    </w:r>
    <w:r w:rsidR="00E27332">
      <w:rPr>
        <w:noProof/>
      </w:rPr>
      <w:instrText>Business Dynamics of a Clean Energy Policy</w:instrText>
    </w:r>
    <w:r w:rsidR="00E27332">
      <w:rPr>
        <w:noProof/>
      </w:rPr>
      <w:fldChar w:fldCharType="end"/>
    </w:r>
    <w:r w:rsidRPr="001C2E57">
      <w:instrText xml:space="preserve"> </w:instrText>
    </w:r>
    <w:r w:rsidRPr="001C2E57">
      <w:fldChar w:fldCharType="separate"/>
    </w:r>
    <w:r w:rsidR="00E27332">
      <w:rPr>
        <w:noProof/>
      </w:rPr>
      <w:t>Business Dynamics of a Clean Energy Policy</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E27332">
      <w:rPr>
        <w:noProof/>
      </w:rPr>
      <w:t>18</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B6" w:rsidRDefault="002E7FB6" w:rsidP="00F244EA">
      <w:pPr>
        <w:spacing w:after="0" w:line="240" w:lineRule="auto"/>
      </w:pPr>
      <w:r>
        <w:separator/>
      </w:r>
    </w:p>
  </w:footnote>
  <w:footnote w:type="continuationSeparator" w:id="0">
    <w:p w:rsidR="002E7FB6" w:rsidRDefault="002E7FB6" w:rsidP="00F244EA">
      <w:pPr>
        <w:spacing w:after="0" w:line="240" w:lineRule="auto"/>
      </w:pPr>
      <w:r>
        <w:continuationSeparator/>
      </w:r>
    </w:p>
  </w:footnote>
  <w:footnote w:id="1">
    <w:p w:rsidR="002E7FB6" w:rsidRDefault="002E7FB6">
      <w:pPr>
        <w:pStyle w:val="FootnoteText"/>
      </w:pPr>
      <w:r>
        <w:rPr>
          <w:rStyle w:val="FootnoteReference"/>
        </w:rPr>
        <w:footnoteRef/>
      </w:r>
      <w:r>
        <w:t xml:space="preserve"> See also Productivity Commission (2011) for a review of carbon trading schemes in other countries.</w:t>
      </w:r>
    </w:p>
  </w:footnote>
  <w:footnote w:id="2">
    <w:p w:rsidR="0013126C" w:rsidRDefault="0013126C" w:rsidP="0013126C">
      <w:pPr>
        <w:pStyle w:val="FootnoteText"/>
      </w:pPr>
      <w:r>
        <w:rPr>
          <w:rStyle w:val="FootnoteReference"/>
        </w:rPr>
        <w:footnoteRef/>
      </w:r>
      <w:r>
        <w:t xml:space="preserve"> Years in this document refer to financial years that start from July 1</w:t>
      </w:r>
      <w:r w:rsidRPr="00435F70">
        <w:rPr>
          <w:vertAlign w:val="superscript"/>
        </w:rPr>
        <w:t>st</w:t>
      </w:r>
      <w:r>
        <w:t xml:space="preserve"> to June 30</w:t>
      </w:r>
      <w:r w:rsidRPr="00425F77">
        <w:rPr>
          <w:vertAlign w:val="superscript"/>
        </w:rPr>
        <w:t>th</w:t>
      </w:r>
      <w:r>
        <w:t xml:space="preserve"> of the next calendar year. For instance, year 2015 refers to the financial year 2014</w:t>
      </w:r>
      <w:r>
        <w:rPr>
          <w:rFonts w:cs="Arial"/>
        </w:rPr>
        <w:t>−</w:t>
      </w:r>
      <w:r>
        <w:t>2015.</w:t>
      </w:r>
    </w:p>
  </w:footnote>
  <w:footnote w:id="3">
    <w:p w:rsidR="002E7FB6" w:rsidRDefault="002E7FB6">
      <w:pPr>
        <w:pStyle w:val="FootnoteText"/>
      </w:pPr>
      <w:r>
        <w:rPr>
          <w:rStyle w:val="FootnoteReference"/>
        </w:rPr>
        <w:footnoteRef/>
      </w:r>
      <w:r>
        <w:t xml:space="preserve"> The programme also offered grants for collaborative investment across firms. Only one or two of such funds were awarded; therefore, the statistical impact is negligible.</w:t>
      </w:r>
    </w:p>
  </w:footnote>
  <w:footnote w:id="4">
    <w:p w:rsidR="002E7FB6" w:rsidRDefault="002E7FB6">
      <w:pPr>
        <w:pStyle w:val="FootnoteText"/>
      </w:pPr>
      <w:r>
        <w:rPr>
          <w:rStyle w:val="FootnoteReference"/>
        </w:rPr>
        <w:footnoteRef/>
      </w:r>
      <w:r>
        <w:t xml:space="preserve"> See ABS cat.no.8171.0 for more details.</w:t>
      </w:r>
    </w:p>
  </w:footnote>
  <w:footnote w:id="5">
    <w:p w:rsidR="002E7FB6" w:rsidRDefault="002E7FB6">
      <w:pPr>
        <w:pStyle w:val="FootnoteText"/>
      </w:pPr>
      <w:r>
        <w:rPr>
          <w:rStyle w:val="FootnoteReference"/>
        </w:rPr>
        <w:footnoteRef/>
      </w:r>
      <w:r>
        <w:t xml:space="preserve"> See </w:t>
      </w:r>
      <w:hyperlink r:id="rId1" w:tooltip="https://www.business.gov.au/assistance/clean-technology-investment-program" w:history="1">
        <w:r w:rsidR="00445362" w:rsidRPr="00DA5FD7">
          <w:rPr>
            <w:rStyle w:val="Hyperlink"/>
          </w:rPr>
          <w:t>https://www.business.gov.au/assistance/clean-technology-investment-program</w:t>
        </w:r>
      </w:hyperlink>
      <w:r w:rsidR="00445362">
        <w:t xml:space="preserve"> </w:t>
      </w:r>
      <w:r>
        <w:t>for the list of grant recipients.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127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07E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90010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3323B38"/>
    <w:multiLevelType w:val="multilevel"/>
    <w:tmpl w:val="3A866F96"/>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4"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5"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7" w15:restartNumberingAfterBreak="0">
    <w:nsid w:val="254C1349"/>
    <w:multiLevelType w:val="hybridMultilevel"/>
    <w:tmpl w:val="C2F240F2"/>
    <w:lvl w:ilvl="0" w:tplc="12E089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9" w15:restartNumberingAfterBreak="0">
    <w:nsid w:val="427C52AC"/>
    <w:multiLevelType w:val="hybridMultilevel"/>
    <w:tmpl w:val="18EEAF78"/>
    <w:lvl w:ilvl="0" w:tplc="421473CC">
      <w:start w:val="1"/>
      <w:numFmt w:val="bullet"/>
      <w:pStyle w:val="Keypointsbullet"/>
      <w:lvlText w:val=""/>
      <w:lvlJc w:val="left"/>
      <w:pPr>
        <w:ind w:left="456" w:hanging="360"/>
      </w:pPr>
      <w:rPr>
        <w:rFonts w:ascii="Wingdings" w:hAnsi="Wingdings" w:hint="default"/>
      </w:rPr>
    </w:lvl>
    <w:lvl w:ilvl="1" w:tplc="0C090003">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0"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0E1601F"/>
    <w:multiLevelType w:val="multilevel"/>
    <w:tmpl w:val="3684BDEC"/>
    <w:numStyleLink w:val="OCETableBullets"/>
  </w:abstractNum>
  <w:abstractNum w:abstractNumId="12" w15:restartNumberingAfterBreak="0">
    <w:nsid w:val="620951DF"/>
    <w:multiLevelType w:val="hybridMultilevel"/>
    <w:tmpl w:val="1D3A9F1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3"/>
  </w:num>
  <w:num w:numId="4">
    <w:abstractNumId w:val="10"/>
  </w:num>
  <w:num w:numId="5">
    <w:abstractNumId w:val="6"/>
  </w:num>
  <w:num w:numId="6">
    <w:abstractNumId w:val="5"/>
  </w:num>
  <w:num w:numId="7">
    <w:abstractNumId w:val="9"/>
  </w:num>
  <w:num w:numId="8">
    <w:abstractNumId w:val="9"/>
  </w:num>
  <w:num w:numId="9">
    <w:abstractNumId w:val="2"/>
  </w:num>
  <w:num w:numId="10">
    <w:abstractNumId w:val="1"/>
  </w:num>
  <w:num w:numId="11">
    <w:abstractNumId w:val="0"/>
  </w:num>
  <w:num w:numId="12">
    <w:abstractNumId w:val="7"/>
  </w:num>
  <w:num w:numId="13">
    <w:abstractNumId w:val="7"/>
  </w:num>
  <w:num w:numId="14">
    <w:abstractNumId w:val="7"/>
  </w:num>
  <w:num w:numId="15">
    <w:abstractNumId w:val="4"/>
  </w:num>
  <w:num w:numId="16">
    <w:abstractNumId w:val="4"/>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6"/>
  </w:num>
  <w:num w:numId="30">
    <w:abstractNumId w:val="13"/>
  </w:num>
  <w:num w:numId="31">
    <w:abstractNumId w:val="8"/>
  </w:num>
  <w:num w:numId="32">
    <w:abstractNumId w:val="3"/>
  </w:num>
  <w:num w:numId="33">
    <w:abstractNumId w:val="10"/>
  </w:num>
  <w:num w:numId="34">
    <w:abstractNumId w:val="6"/>
  </w:num>
  <w:num w:numId="35">
    <w:abstractNumId w:val="5"/>
  </w:num>
  <w:num w:numId="36">
    <w:abstractNumId w:val="9"/>
  </w:num>
  <w:num w:numId="37">
    <w:abstractNumId w:val="11"/>
  </w:num>
  <w:num w:numId="38">
    <w:abstractNumId w:val="4"/>
  </w:num>
  <w:num w:numId="3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activeWritingStyle w:appName="MSWord" w:lang="en" w:vendorID="64" w:dllVersion="131078" w:nlCheck="1" w:checkStyle="0"/>
  <w:activeWritingStyle w:appName="MSWord" w:lang="en-US" w:vendorID="64" w:dllVersion="131078" w:nlCheck="1" w:checkStyle="1"/>
  <w:activeWritingStyle w:appName="MSWord" w:lang="en-AU"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EB"/>
    <w:rsid w:val="000036F1"/>
    <w:rsid w:val="00003B81"/>
    <w:rsid w:val="00004365"/>
    <w:rsid w:val="00005284"/>
    <w:rsid w:val="00007EBB"/>
    <w:rsid w:val="000122D8"/>
    <w:rsid w:val="00012FB1"/>
    <w:rsid w:val="00013270"/>
    <w:rsid w:val="00013F4A"/>
    <w:rsid w:val="0002189B"/>
    <w:rsid w:val="000239D6"/>
    <w:rsid w:val="00023CA0"/>
    <w:rsid w:val="00024283"/>
    <w:rsid w:val="0002648C"/>
    <w:rsid w:val="0002710C"/>
    <w:rsid w:val="0003164B"/>
    <w:rsid w:val="00033A9C"/>
    <w:rsid w:val="00035325"/>
    <w:rsid w:val="00041926"/>
    <w:rsid w:val="00041936"/>
    <w:rsid w:val="00041FE3"/>
    <w:rsid w:val="0005753A"/>
    <w:rsid w:val="00060184"/>
    <w:rsid w:val="00060CE1"/>
    <w:rsid w:val="000618FB"/>
    <w:rsid w:val="0006354C"/>
    <w:rsid w:val="000641E0"/>
    <w:rsid w:val="0006492D"/>
    <w:rsid w:val="00072574"/>
    <w:rsid w:val="000728D2"/>
    <w:rsid w:val="00073A65"/>
    <w:rsid w:val="00077BD7"/>
    <w:rsid w:val="0008180C"/>
    <w:rsid w:val="00082B3B"/>
    <w:rsid w:val="00082BF4"/>
    <w:rsid w:val="00082DDB"/>
    <w:rsid w:val="000846B7"/>
    <w:rsid w:val="00090174"/>
    <w:rsid w:val="00090A2C"/>
    <w:rsid w:val="000912E7"/>
    <w:rsid w:val="000920D2"/>
    <w:rsid w:val="00094833"/>
    <w:rsid w:val="00096CBC"/>
    <w:rsid w:val="000A177A"/>
    <w:rsid w:val="000A3D7F"/>
    <w:rsid w:val="000A5473"/>
    <w:rsid w:val="000A63C0"/>
    <w:rsid w:val="000A6F5B"/>
    <w:rsid w:val="000B1555"/>
    <w:rsid w:val="000B203E"/>
    <w:rsid w:val="000B279E"/>
    <w:rsid w:val="000D538A"/>
    <w:rsid w:val="000D7237"/>
    <w:rsid w:val="000E3C83"/>
    <w:rsid w:val="000E3C84"/>
    <w:rsid w:val="000E415F"/>
    <w:rsid w:val="000E5F78"/>
    <w:rsid w:val="000F3150"/>
    <w:rsid w:val="00100B74"/>
    <w:rsid w:val="001028AC"/>
    <w:rsid w:val="00107A3F"/>
    <w:rsid w:val="00107A60"/>
    <w:rsid w:val="00107E5E"/>
    <w:rsid w:val="00114B93"/>
    <w:rsid w:val="00115A6B"/>
    <w:rsid w:val="0011640A"/>
    <w:rsid w:val="0012045F"/>
    <w:rsid w:val="00120E94"/>
    <w:rsid w:val="00122D7E"/>
    <w:rsid w:val="00123721"/>
    <w:rsid w:val="00125971"/>
    <w:rsid w:val="0013066A"/>
    <w:rsid w:val="0013126C"/>
    <w:rsid w:val="00135E19"/>
    <w:rsid w:val="001440C3"/>
    <w:rsid w:val="001443DC"/>
    <w:rsid w:val="0015000D"/>
    <w:rsid w:val="00152346"/>
    <w:rsid w:val="00163D6E"/>
    <w:rsid w:val="001658D2"/>
    <w:rsid w:val="00166576"/>
    <w:rsid w:val="00166996"/>
    <w:rsid w:val="0017293E"/>
    <w:rsid w:val="00174624"/>
    <w:rsid w:val="00180E4F"/>
    <w:rsid w:val="001863C1"/>
    <w:rsid w:val="00186D3D"/>
    <w:rsid w:val="001A322A"/>
    <w:rsid w:val="001A6352"/>
    <w:rsid w:val="001B22C0"/>
    <w:rsid w:val="001B33C2"/>
    <w:rsid w:val="001B345E"/>
    <w:rsid w:val="001B5AF8"/>
    <w:rsid w:val="001B6F37"/>
    <w:rsid w:val="001C07DC"/>
    <w:rsid w:val="001C4733"/>
    <w:rsid w:val="001C5291"/>
    <w:rsid w:val="001C5740"/>
    <w:rsid w:val="001D05B4"/>
    <w:rsid w:val="001D50B2"/>
    <w:rsid w:val="001F1E5D"/>
    <w:rsid w:val="001F39C2"/>
    <w:rsid w:val="001F5BC1"/>
    <w:rsid w:val="001F5F85"/>
    <w:rsid w:val="001F7477"/>
    <w:rsid w:val="00202B5E"/>
    <w:rsid w:val="00207D37"/>
    <w:rsid w:val="00210446"/>
    <w:rsid w:val="0022378D"/>
    <w:rsid w:val="002253F3"/>
    <w:rsid w:val="00225842"/>
    <w:rsid w:val="00225A54"/>
    <w:rsid w:val="00234CEA"/>
    <w:rsid w:val="0024038A"/>
    <w:rsid w:val="00247725"/>
    <w:rsid w:val="0025065A"/>
    <w:rsid w:val="00252C28"/>
    <w:rsid w:val="00253271"/>
    <w:rsid w:val="00255773"/>
    <w:rsid w:val="0026658D"/>
    <w:rsid w:val="00267F2D"/>
    <w:rsid w:val="00270669"/>
    <w:rsid w:val="00271422"/>
    <w:rsid w:val="00272952"/>
    <w:rsid w:val="002757A5"/>
    <w:rsid w:val="002809FD"/>
    <w:rsid w:val="00280EB9"/>
    <w:rsid w:val="00281054"/>
    <w:rsid w:val="00284D13"/>
    <w:rsid w:val="00285A2F"/>
    <w:rsid w:val="002935D1"/>
    <w:rsid w:val="002A33E7"/>
    <w:rsid w:val="002A700F"/>
    <w:rsid w:val="002A7F2D"/>
    <w:rsid w:val="002B1DD2"/>
    <w:rsid w:val="002B3220"/>
    <w:rsid w:val="002C07C9"/>
    <w:rsid w:val="002C1206"/>
    <w:rsid w:val="002C37DC"/>
    <w:rsid w:val="002C7932"/>
    <w:rsid w:val="002D0127"/>
    <w:rsid w:val="002D4188"/>
    <w:rsid w:val="002D5C65"/>
    <w:rsid w:val="002D6592"/>
    <w:rsid w:val="002E3270"/>
    <w:rsid w:val="002E4114"/>
    <w:rsid w:val="002E43BD"/>
    <w:rsid w:val="002E4965"/>
    <w:rsid w:val="002E542E"/>
    <w:rsid w:val="002E65AE"/>
    <w:rsid w:val="002E7FB6"/>
    <w:rsid w:val="002F0EEF"/>
    <w:rsid w:val="002F56EE"/>
    <w:rsid w:val="002F79BE"/>
    <w:rsid w:val="0030442F"/>
    <w:rsid w:val="003073AC"/>
    <w:rsid w:val="00307AD6"/>
    <w:rsid w:val="003107B7"/>
    <w:rsid w:val="00310993"/>
    <w:rsid w:val="00311A07"/>
    <w:rsid w:val="00311B71"/>
    <w:rsid w:val="003151B9"/>
    <w:rsid w:val="003163F8"/>
    <w:rsid w:val="00317E8A"/>
    <w:rsid w:val="00322656"/>
    <w:rsid w:val="00340E62"/>
    <w:rsid w:val="00344388"/>
    <w:rsid w:val="00345516"/>
    <w:rsid w:val="00347A7F"/>
    <w:rsid w:val="00350DB0"/>
    <w:rsid w:val="00354E7E"/>
    <w:rsid w:val="00354EA2"/>
    <w:rsid w:val="00364BAD"/>
    <w:rsid w:val="00370CD0"/>
    <w:rsid w:val="003712D9"/>
    <w:rsid w:val="00374B59"/>
    <w:rsid w:val="003770E0"/>
    <w:rsid w:val="00385BB6"/>
    <w:rsid w:val="00387515"/>
    <w:rsid w:val="00387F73"/>
    <w:rsid w:val="00396E87"/>
    <w:rsid w:val="00397657"/>
    <w:rsid w:val="003A10B9"/>
    <w:rsid w:val="003A13F1"/>
    <w:rsid w:val="003A155C"/>
    <w:rsid w:val="003A253A"/>
    <w:rsid w:val="003B12F3"/>
    <w:rsid w:val="003B141B"/>
    <w:rsid w:val="003B2E29"/>
    <w:rsid w:val="003C0FAA"/>
    <w:rsid w:val="003C1263"/>
    <w:rsid w:val="003C2429"/>
    <w:rsid w:val="003C7B09"/>
    <w:rsid w:val="003D0D58"/>
    <w:rsid w:val="003D135D"/>
    <w:rsid w:val="003D6B35"/>
    <w:rsid w:val="003D7074"/>
    <w:rsid w:val="003E1341"/>
    <w:rsid w:val="003E32D9"/>
    <w:rsid w:val="003F2D75"/>
    <w:rsid w:val="003F7E51"/>
    <w:rsid w:val="00407BFB"/>
    <w:rsid w:val="00410B42"/>
    <w:rsid w:val="0041374E"/>
    <w:rsid w:val="004253A5"/>
    <w:rsid w:val="00425F77"/>
    <w:rsid w:val="00426883"/>
    <w:rsid w:val="00427B8B"/>
    <w:rsid w:val="00430E39"/>
    <w:rsid w:val="00431C86"/>
    <w:rsid w:val="00432ABB"/>
    <w:rsid w:val="00435F70"/>
    <w:rsid w:val="004449F1"/>
    <w:rsid w:val="0044521B"/>
    <w:rsid w:val="00445362"/>
    <w:rsid w:val="00445DE2"/>
    <w:rsid w:val="00446C1F"/>
    <w:rsid w:val="00447B15"/>
    <w:rsid w:val="004561DA"/>
    <w:rsid w:val="00457D05"/>
    <w:rsid w:val="0047180F"/>
    <w:rsid w:val="00477A78"/>
    <w:rsid w:val="00477E85"/>
    <w:rsid w:val="0048023B"/>
    <w:rsid w:val="00480CAF"/>
    <w:rsid w:val="00483169"/>
    <w:rsid w:val="00493446"/>
    <w:rsid w:val="004939EA"/>
    <w:rsid w:val="00496236"/>
    <w:rsid w:val="004A0F69"/>
    <w:rsid w:val="004A1AB3"/>
    <w:rsid w:val="004A1CAE"/>
    <w:rsid w:val="004A46E3"/>
    <w:rsid w:val="004A752B"/>
    <w:rsid w:val="004B53E7"/>
    <w:rsid w:val="004B70E3"/>
    <w:rsid w:val="004B7116"/>
    <w:rsid w:val="004B7AEA"/>
    <w:rsid w:val="004C1602"/>
    <w:rsid w:val="004C2892"/>
    <w:rsid w:val="004D047C"/>
    <w:rsid w:val="004D1C5E"/>
    <w:rsid w:val="004D6381"/>
    <w:rsid w:val="004D68A1"/>
    <w:rsid w:val="004E2E6A"/>
    <w:rsid w:val="004E3D67"/>
    <w:rsid w:val="004F7D5E"/>
    <w:rsid w:val="00501FA7"/>
    <w:rsid w:val="00503623"/>
    <w:rsid w:val="00505701"/>
    <w:rsid w:val="0051017B"/>
    <w:rsid w:val="00513F90"/>
    <w:rsid w:val="005141A1"/>
    <w:rsid w:val="00516A09"/>
    <w:rsid w:val="00516D57"/>
    <w:rsid w:val="00522523"/>
    <w:rsid w:val="00523B54"/>
    <w:rsid w:val="00525CAD"/>
    <w:rsid w:val="00527CD7"/>
    <w:rsid w:val="0053223D"/>
    <w:rsid w:val="00532C69"/>
    <w:rsid w:val="005453E2"/>
    <w:rsid w:val="00546578"/>
    <w:rsid w:val="00546899"/>
    <w:rsid w:val="00554D12"/>
    <w:rsid w:val="00556D86"/>
    <w:rsid w:val="00557140"/>
    <w:rsid w:val="005577F2"/>
    <w:rsid w:val="00561625"/>
    <w:rsid w:val="00561DE5"/>
    <w:rsid w:val="00562489"/>
    <w:rsid w:val="005624BA"/>
    <w:rsid w:val="00565102"/>
    <w:rsid w:val="00566D20"/>
    <w:rsid w:val="00571C58"/>
    <w:rsid w:val="00573F05"/>
    <w:rsid w:val="005765FE"/>
    <w:rsid w:val="00576B53"/>
    <w:rsid w:val="00583BEA"/>
    <w:rsid w:val="00585BB3"/>
    <w:rsid w:val="005862E9"/>
    <w:rsid w:val="00587701"/>
    <w:rsid w:val="0059135A"/>
    <w:rsid w:val="005971FA"/>
    <w:rsid w:val="005A39A1"/>
    <w:rsid w:val="005C4185"/>
    <w:rsid w:val="005C5D37"/>
    <w:rsid w:val="005C679A"/>
    <w:rsid w:val="005D0DE5"/>
    <w:rsid w:val="005D29FC"/>
    <w:rsid w:val="005E0A11"/>
    <w:rsid w:val="005E0FFE"/>
    <w:rsid w:val="005E121F"/>
    <w:rsid w:val="005E387F"/>
    <w:rsid w:val="005E3919"/>
    <w:rsid w:val="005E4753"/>
    <w:rsid w:val="005E5AE3"/>
    <w:rsid w:val="005F4627"/>
    <w:rsid w:val="005F5226"/>
    <w:rsid w:val="00604241"/>
    <w:rsid w:val="0061140B"/>
    <w:rsid w:val="006128D9"/>
    <w:rsid w:val="00614218"/>
    <w:rsid w:val="00616A03"/>
    <w:rsid w:val="00620945"/>
    <w:rsid w:val="0062205A"/>
    <w:rsid w:val="00631F12"/>
    <w:rsid w:val="006321E5"/>
    <w:rsid w:val="006368E4"/>
    <w:rsid w:val="006370E6"/>
    <w:rsid w:val="00637F62"/>
    <w:rsid w:val="006405CE"/>
    <w:rsid w:val="00640B00"/>
    <w:rsid w:val="00641BBD"/>
    <w:rsid w:val="006446EF"/>
    <w:rsid w:val="0065213F"/>
    <w:rsid w:val="00652811"/>
    <w:rsid w:val="006556AB"/>
    <w:rsid w:val="00675D40"/>
    <w:rsid w:val="00680346"/>
    <w:rsid w:val="00685F6E"/>
    <w:rsid w:val="00687021"/>
    <w:rsid w:val="006915ED"/>
    <w:rsid w:val="006920B4"/>
    <w:rsid w:val="006A0FA8"/>
    <w:rsid w:val="006A3983"/>
    <w:rsid w:val="006A6873"/>
    <w:rsid w:val="006A6F3E"/>
    <w:rsid w:val="006B142F"/>
    <w:rsid w:val="006C0A8C"/>
    <w:rsid w:val="006C5E1A"/>
    <w:rsid w:val="006C604E"/>
    <w:rsid w:val="006D0652"/>
    <w:rsid w:val="006D3274"/>
    <w:rsid w:val="006D4B68"/>
    <w:rsid w:val="006D6B1F"/>
    <w:rsid w:val="006D6C5F"/>
    <w:rsid w:val="006E1987"/>
    <w:rsid w:val="006E592A"/>
    <w:rsid w:val="006F1F8D"/>
    <w:rsid w:val="006F398D"/>
    <w:rsid w:val="006F5A1A"/>
    <w:rsid w:val="00706EB4"/>
    <w:rsid w:val="007078D4"/>
    <w:rsid w:val="00710A15"/>
    <w:rsid w:val="00712C62"/>
    <w:rsid w:val="00722986"/>
    <w:rsid w:val="007277C1"/>
    <w:rsid w:val="007319FD"/>
    <w:rsid w:val="0073223C"/>
    <w:rsid w:val="00733CD7"/>
    <w:rsid w:val="00740D7B"/>
    <w:rsid w:val="00746272"/>
    <w:rsid w:val="00746291"/>
    <w:rsid w:val="00747113"/>
    <w:rsid w:val="007506D1"/>
    <w:rsid w:val="00751128"/>
    <w:rsid w:val="007602FD"/>
    <w:rsid w:val="007618C3"/>
    <w:rsid w:val="00765582"/>
    <w:rsid w:val="00766E58"/>
    <w:rsid w:val="00767209"/>
    <w:rsid w:val="007719E5"/>
    <w:rsid w:val="00774252"/>
    <w:rsid w:val="00774640"/>
    <w:rsid w:val="007765E4"/>
    <w:rsid w:val="007812AE"/>
    <w:rsid w:val="007849BC"/>
    <w:rsid w:val="00785260"/>
    <w:rsid w:val="00787086"/>
    <w:rsid w:val="00790F7F"/>
    <w:rsid w:val="00795CA9"/>
    <w:rsid w:val="00796467"/>
    <w:rsid w:val="007A59E6"/>
    <w:rsid w:val="007A7202"/>
    <w:rsid w:val="007B4C18"/>
    <w:rsid w:val="007B6F87"/>
    <w:rsid w:val="007B73DD"/>
    <w:rsid w:val="007C3581"/>
    <w:rsid w:val="007C6F2D"/>
    <w:rsid w:val="007D7031"/>
    <w:rsid w:val="007E06C4"/>
    <w:rsid w:val="007E23E7"/>
    <w:rsid w:val="007E2AF2"/>
    <w:rsid w:val="007E60DD"/>
    <w:rsid w:val="007F13C4"/>
    <w:rsid w:val="007F194E"/>
    <w:rsid w:val="007F769F"/>
    <w:rsid w:val="008006BA"/>
    <w:rsid w:val="00802621"/>
    <w:rsid w:val="008033E7"/>
    <w:rsid w:val="008057E6"/>
    <w:rsid w:val="00810F3D"/>
    <w:rsid w:val="00814594"/>
    <w:rsid w:val="008174F6"/>
    <w:rsid w:val="00817A6A"/>
    <w:rsid w:val="008223A2"/>
    <w:rsid w:val="008233B0"/>
    <w:rsid w:val="0082355B"/>
    <w:rsid w:val="0083072A"/>
    <w:rsid w:val="008328D1"/>
    <w:rsid w:val="00832CAA"/>
    <w:rsid w:val="0083334D"/>
    <w:rsid w:val="008440D9"/>
    <w:rsid w:val="00850C5D"/>
    <w:rsid w:val="00854FE2"/>
    <w:rsid w:val="00856DCB"/>
    <w:rsid w:val="0086611B"/>
    <w:rsid w:val="0086662E"/>
    <w:rsid w:val="00870CC5"/>
    <w:rsid w:val="0087267D"/>
    <w:rsid w:val="008735F6"/>
    <w:rsid w:val="0087569B"/>
    <w:rsid w:val="00876BAA"/>
    <w:rsid w:val="00882F54"/>
    <w:rsid w:val="0088746F"/>
    <w:rsid w:val="00895006"/>
    <w:rsid w:val="00895030"/>
    <w:rsid w:val="008960DC"/>
    <w:rsid w:val="00896A24"/>
    <w:rsid w:val="008A0568"/>
    <w:rsid w:val="008A25C6"/>
    <w:rsid w:val="008B1176"/>
    <w:rsid w:val="008B12E6"/>
    <w:rsid w:val="008B4FA8"/>
    <w:rsid w:val="008C3E24"/>
    <w:rsid w:val="008C6145"/>
    <w:rsid w:val="008C7439"/>
    <w:rsid w:val="008C7BA6"/>
    <w:rsid w:val="008D0685"/>
    <w:rsid w:val="008D1EFA"/>
    <w:rsid w:val="008D1F5D"/>
    <w:rsid w:val="008E76CC"/>
    <w:rsid w:val="008F28CD"/>
    <w:rsid w:val="008F3372"/>
    <w:rsid w:val="008F5889"/>
    <w:rsid w:val="00903E9B"/>
    <w:rsid w:val="00917C8D"/>
    <w:rsid w:val="00921942"/>
    <w:rsid w:val="00924E05"/>
    <w:rsid w:val="00924F8D"/>
    <w:rsid w:val="0092504F"/>
    <w:rsid w:val="009250C4"/>
    <w:rsid w:val="0093309C"/>
    <w:rsid w:val="00935433"/>
    <w:rsid w:val="00936DCF"/>
    <w:rsid w:val="00944C03"/>
    <w:rsid w:val="00951561"/>
    <w:rsid w:val="00954CEE"/>
    <w:rsid w:val="009635EF"/>
    <w:rsid w:val="00965522"/>
    <w:rsid w:val="009716FC"/>
    <w:rsid w:val="00973C7C"/>
    <w:rsid w:val="00974367"/>
    <w:rsid w:val="00985CE4"/>
    <w:rsid w:val="00986152"/>
    <w:rsid w:val="009861EC"/>
    <w:rsid w:val="009A3B62"/>
    <w:rsid w:val="009B3448"/>
    <w:rsid w:val="009B3E63"/>
    <w:rsid w:val="009C187E"/>
    <w:rsid w:val="009C7EDE"/>
    <w:rsid w:val="009E06BA"/>
    <w:rsid w:val="009E16E5"/>
    <w:rsid w:val="009E42B5"/>
    <w:rsid w:val="009E4A2D"/>
    <w:rsid w:val="009E5DBE"/>
    <w:rsid w:val="009F065A"/>
    <w:rsid w:val="009F1C72"/>
    <w:rsid w:val="009F2AF7"/>
    <w:rsid w:val="009F5FB3"/>
    <w:rsid w:val="009F78F1"/>
    <w:rsid w:val="00A01741"/>
    <w:rsid w:val="00A03AEE"/>
    <w:rsid w:val="00A0712A"/>
    <w:rsid w:val="00A07FE5"/>
    <w:rsid w:val="00A15233"/>
    <w:rsid w:val="00A217BB"/>
    <w:rsid w:val="00A24014"/>
    <w:rsid w:val="00A26781"/>
    <w:rsid w:val="00A2689C"/>
    <w:rsid w:val="00A27AE3"/>
    <w:rsid w:val="00A30089"/>
    <w:rsid w:val="00A32C6A"/>
    <w:rsid w:val="00A40BFD"/>
    <w:rsid w:val="00A45C3D"/>
    <w:rsid w:val="00A527F7"/>
    <w:rsid w:val="00A56D66"/>
    <w:rsid w:val="00A61083"/>
    <w:rsid w:val="00A6125A"/>
    <w:rsid w:val="00A6340B"/>
    <w:rsid w:val="00A646CC"/>
    <w:rsid w:val="00A65155"/>
    <w:rsid w:val="00A72DA8"/>
    <w:rsid w:val="00A7542E"/>
    <w:rsid w:val="00A75AEB"/>
    <w:rsid w:val="00A77B5C"/>
    <w:rsid w:val="00A83255"/>
    <w:rsid w:val="00A84D04"/>
    <w:rsid w:val="00A8668E"/>
    <w:rsid w:val="00A87C5A"/>
    <w:rsid w:val="00A9193F"/>
    <w:rsid w:val="00A95F9C"/>
    <w:rsid w:val="00A9631E"/>
    <w:rsid w:val="00AA2C44"/>
    <w:rsid w:val="00AA709E"/>
    <w:rsid w:val="00AA71B0"/>
    <w:rsid w:val="00AB4844"/>
    <w:rsid w:val="00AB4D42"/>
    <w:rsid w:val="00AC0A27"/>
    <w:rsid w:val="00AC592C"/>
    <w:rsid w:val="00AD7077"/>
    <w:rsid w:val="00AE3349"/>
    <w:rsid w:val="00AE46E9"/>
    <w:rsid w:val="00AF0526"/>
    <w:rsid w:val="00AF1D6E"/>
    <w:rsid w:val="00AF2F00"/>
    <w:rsid w:val="00AF3727"/>
    <w:rsid w:val="00B0306F"/>
    <w:rsid w:val="00B16F86"/>
    <w:rsid w:val="00B170C5"/>
    <w:rsid w:val="00B22773"/>
    <w:rsid w:val="00B2365E"/>
    <w:rsid w:val="00B32230"/>
    <w:rsid w:val="00B3291A"/>
    <w:rsid w:val="00B343CA"/>
    <w:rsid w:val="00B37FDD"/>
    <w:rsid w:val="00B41631"/>
    <w:rsid w:val="00B42D88"/>
    <w:rsid w:val="00B455F9"/>
    <w:rsid w:val="00B46FF9"/>
    <w:rsid w:val="00B51007"/>
    <w:rsid w:val="00B5752F"/>
    <w:rsid w:val="00B6022F"/>
    <w:rsid w:val="00B63DA3"/>
    <w:rsid w:val="00B6488E"/>
    <w:rsid w:val="00B67312"/>
    <w:rsid w:val="00B70FFE"/>
    <w:rsid w:val="00B72E9A"/>
    <w:rsid w:val="00B761B1"/>
    <w:rsid w:val="00B9127E"/>
    <w:rsid w:val="00B9390E"/>
    <w:rsid w:val="00BA200E"/>
    <w:rsid w:val="00BA31B0"/>
    <w:rsid w:val="00BA478A"/>
    <w:rsid w:val="00BA7C76"/>
    <w:rsid w:val="00BB087B"/>
    <w:rsid w:val="00BB21DC"/>
    <w:rsid w:val="00BC1EBA"/>
    <w:rsid w:val="00BC3286"/>
    <w:rsid w:val="00BC412E"/>
    <w:rsid w:val="00BC5CCA"/>
    <w:rsid w:val="00C0070E"/>
    <w:rsid w:val="00C17CFD"/>
    <w:rsid w:val="00C20A0D"/>
    <w:rsid w:val="00C2135C"/>
    <w:rsid w:val="00C21AAD"/>
    <w:rsid w:val="00C2262E"/>
    <w:rsid w:val="00C2622B"/>
    <w:rsid w:val="00C27760"/>
    <w:rsid w:val="00C306B3"/>
    <w:rsid w:val="00C32F2B"/>
    <w:rsid w:val="00C405C1"/>
    <w:rsid w:val="00C440BC"/>
    <w:rsid w:val="00C47902"/>
    <w:rsid w:val="00C51D12"/>
    <w:rsid w:val="00C527E6"/>
    <w:rsid w:val="00C55C83"/>
    <w:rsid w:val="00C57D99"/>
    <w:rsid w:val="00C62E34"/>
    <w:rsid w:val="00C648E0"/>
    <w:rsid w:val="00C67156"/>
    <w:rsid w:val="00C726CD"/>
    <w:rsid w:val="00C73580"/>
    <w:rsid w:val="00C7744C"/>
    <w:rsid w:val="00C8039D"/>
    <w:rsid w:val="00C81853"/>
    <w:rsid w:val="00C8621D"/>
    <w:rsid w:val="00C9326C"/>
    <w:rsid w:val="00C94DA6"/>
    <w:rsid w:val="00C96458"/>
    <w:rsid w:val="00CA0854"/>
    <w:rsid w:val="00CA5C62"/>
    <w:rsid w:val="00CB235A"/>
    <w:rsid w:val="00CB267B"/>
    <w:rsid w:val="00CB448F"/>
    <w:rsid w:val="00CB7CB2"/>
    <w:rsid w:val="00CC122B"/>
    <w:rsid w:val="00CC170B"/>
    <w:rsid w:val="00CC2323"/>
    <w:rsid w:val="00CC2CAB"/>
    <w:rsid w:val="00CC38E3"/>
    <w:rsid w:val="00CD28EA"/>
    <w:rsid w:val="00CD3243"/>
    <w:rsid w:val="00CD4B8A"/>
    <w:rsid w:val="00CD595F"/>
    <w:rsid w:val="00CE1065"/>
    <w:rsid w:val="00CE51A0"/>
    <w:rsid w:val="00CF0D8C"/>
    <w:rsid w:val="00CF1B82"/>
    <w:rsid w:val="00CF30D8"/>
    <w:rsid w:val="00CF357C"/>
    <w:rsid w:val="00D01FAB"/>
    <w:rsid w:val="00D13CEF"/>
    <w:rsid w:val="00D1580C"/>
    <w:rsid w:val="00D1663A"/>
    <w:rsid w:val="00D2002C"/>
    <w:rsid w:val="00D30438"/>
    <w:rsid w:val="00D30489"/>
    <w:rsid w:val="00D322B1"/>
    <w:rsid w:val="00D339BA"/>
    <w:rsid w:val="00D3448B"/>
    <w:rsid w:val="00D37E46"/>
    <w:rsid w:val="00D4192F"/>
    <w:rsid w:val="00D43764"/>
    <w:rsid w:val="00D50174"/>
    <w:rsid w:val="00D5121F"/>
    <w:rsid w:val="00D51A77"/>
    <w:rsid w:val="00D53B4E"/>
    <w:rsid w:val="00D56EFB"/>
    <w:rsid w:val="00D620AE"/>
    <w:rsid w:val="00D62112"/>
    <w:rsid w:val="00D66B6D"/>
    <w:rsid w:val="00D67873"/>
    <w:rsid w:val="00D71A31"/>
    <w:rsid w:val="00D72ED9"/>
    <w:rsid w:val="00D755C0"/>
    <w:rsid w:val="00D802CE"/>
    <w:rsid w:val="00D8534F"/>
    <w:rsid w:val="00D86837"/>
    <w:rsid w:val="00D878D5"/>
    <w:rsid w:val="00D9288D"/>
    <w:rsid w:val="00D949FB"/>
    <w:rsid w:val="00D9649E"/>
    <w:rsid w:val="00DA3DA6"/>
    <w:rsid w:val="00DB2638"/>
    <w:rsid w:val="00DB5E0A"/>
    <w:rsid w:val="00DB6D06"/>
    <w:rsid w:val="00DB7F42"/>
    <w:rsid w:val="00DC0E9F"/>
    <w:rsid w:val="00DD1A6B"/>
    <w:rsid w:val="00DD2763"/>
    <w:rsid w:val="00DD448C"/>
    <w:rsid w:val="00DD4AAB"/>
    <w:rsid w:val="00DE0BC5"/>
    <w:rsid w:val="00DE1A63"/>
    <w:rsid w:val="00DE40EE"/>
    <w:rsid w:val="00DE4703"/>
    <w:rsid w:val="00DE4976"/>
    <w:rsid w:val="00DF1E20"/>
    <w:rsid w:val="00DF7BBA"/>
    <w:rsid w:val="00E0340D"/>
    <w:rsid w:val="00E03969"/>
    <w:rsid w:val="00E03EA3"/>
    <w:rsid w:val="00E13CCA"/>
    <w:rsid w:val="00E2097B"/>
    <w:rsid w:val="00E27332"/>
    <w:rsid w:val="00E31FF3"/>
    <w:rsid w:val="00E3314E"/>
    <w:rsid w:val="00E45C78"/>
    <w:rsid w:val="00E461A6"/>
    <w:rsid w:val="00E50CAC"/>
    <w:rsid w:val="00E52290"/>
    <w:rsid w:val="00E52A51"/>
    <w:rsid w:val="00E530CD"/>
    <w:rsid w:val="00E537CD"/>
    <w:rsid w:val="00E57835"/>
    <w:rsid w:val="00E609D5"/>
    <w:rsid w:val="00E614C0"/>
    <w:rsid w:val="00E626A9"/>
    <w:rsid w:val="00E62A7E"/>
    <w:rsid w:val="00E6385A"/>
    <w:rsid w:val="00E6586D"/>
    <w:rsid w:val="00E70C38"/>
    <w:rsid w:val="00E71F13"/>
    <w:rsid w:val="00E720C9"/>
    <w:rsid w:val="00E72A13"/>
    <w:rsid w:val="00E77B01"/>
    <w:rsid w:val="00E80621"/>
    <w:rsid w:val="00E845F8"/>
    <w:rsid w:val="00E85A86"/>
    <w:rsid w:val="00E90AC0"/>
    <w:rsid w:val="00E93F0C"/>
    <w:rsid w:val="00EA34B8"/>
    <w:rsid w:val="00EB736A"/>
    <w:rsid w:val="00EC0098"/>
    <w:rsid w:val="00EC0548"/>
    <w:rsid w:val="00ED0DB1"/>
    <w:rsid w:val="00ED0F93"/>
    <w:rsid w:val="00ED1389"/>
    <w:rsid w:val="00EE0A8B"/>
    <w:rsid w:val="00EF054B"/>
    <w:rsid w:val="00EF12C3"/>
    <w:rsid w:val="00EF37CC"/>
    <w:rsid w:val="00EF4BE8"/>
    <w:rsid w:val="00EF4CCA"/>
    <w:rsid w:val="00EF6E6E"/>
    <w:rsid w:val="00F0137A"/>
    <w:rsid w:val="00F04158"/>
    <w:rsid w:val="00F04CC2"/>
    <w:rsid w:val="00F05895"/>
    <w:rsid w:val="00F1195C"/>
    <w:rsid w:val="00F12AAF"/>
    <w:rsid w:val="00F130F8"/>
    <w:rsid w:val="00F160A4"/>
    <w:rsid w:val="00F17117"/>
    <w:rsid w:val="00F244EA"/>
    <w:rsid w:val="00F26232"/>
    <w:rsid w:val="00F32594"/>
    <w:rsid w:val="00F32C22"/>
    <w:rsid w:val="00F37625"/>
    <w:rsid w:val="00F526C9"/>
    <w:rsid w:val="00F558B0"/>
    <w:rsid w:val="00F56A1E"/>
    <w:rsid w:val="00F57544"/>
    <w:rsid w:val="00F60468"/>
    <w:rsid w:val="00F61ECB"/>
    <w:rsid w:val="00F84D60"/>
    <w:rsid w:val="00F84DB8"/>
    <w:rsid w:val="00F8537D"/>
    <w:rsid w:val="00F8563F"/>
    <w:rsid w:val="00F86D6E"/>
    <w:rsid w:val="00F87674"/>
    <w:rsid w:val="00F876EF"/>
    <w:rsid w:val="00F87BD3"/>
    <w:rsid w:val="00F95CCD"/>
    <w:rsid w:val="00F96F13"/>
    <w:rsid w:val="00F9706A"/>
    <w:rsid w:val="00F97181"/>
    <w:rsid w:val="00FA2D48"/>
    <w:rsid w:val="00FA7E51"/>
    <w:rsid w:val="00FB146D"/>
    <w:rsid w:val="00FB28D2"/>
    <w:rsid w:val="00FB3DCF"/>
    <w:rsid w:val="00FB61FB"/>
    <w:rsid w:val="00FC05A6"/>
    <w:rsid w:val="00FD13F9"/>
    <w:rsid w:val="00FD3EBC"/>
    <w:rsid w:val="00FD62ED"/>
    <w:rsid w:val="00FD6589"/>
    <w:rsid w:val="00FE6DDB"/>
    <w:rsid w:val="00FF3F08"/>
    <w:rsid w:val="00FF7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A9D5676-CB73-4BB7-BEEF-DA69CC84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372"/>
    <w:pPr>
      <w:spacing w:after="180" w:line="260" w:lineRule="exact"/>
      <w:ind w:left="2160"/>
      <w:jc w:val="both"/>
    </w:pPr>
    <w:rPr>
      <w:rFonts w:ascii="Arial" w:hAnsi="Arial"/>
      <w:color w:val="595A5B"/>
      <w:sz w:val="20"/>
    </w:rPr>
  </w:style>
  <w:style w:type="paragraph" w:styleId="Heading1">
    <w:name w:val="heading 1"/>
    <w:basedOn w:val="Normal"/>
    <w:next w:val="BodyText"/>
    <w:link w:val="Heading1Char"/>
    <w:qFormat/>
    <w:rsid w:val="008F3372"/>
    <w:pPr>
      <w:keepNext/>
      <w:numPr>
        <w:numId w:val="32"/>
      </w:numPr>
      <w:spacing w:before="300" w:line="280" w:lineRule="atLeast"/>
      <w:jc w:val="left"/>
      <w:outlineLvl w:val="0"/>
    </w:pPr>
    <w:rPr>
      <w:rFonts w:asciiTheme="majorHAnsi" w:eastAsia="Times New Roman" w:hAnsiTheme="majorHAnsi" w:cs="Arial"/>
      <w:b/>
      <w:bCs/>
      <w:color w:val="22789A"/>
      <w:kern w:val="32"/>
      <w:sz w:val="32"/>
      <w:szCs w:val="32"/>
    </w:rPr>
  </w:style>
  <w:style w:type="paragraph" w:styleId="Heading2">
    <w:name w:val="heading 2"/>
    <w:basedOn w:val="BodyText"/>
    <w:next w:val="BodyText"/>
    <w:link w:val="Heading2Char"/>
    <w:qFormat/>
    <w:rsid w:val="008F3372"/>
    <w:pPr>
      <w:keepNext/>
      <w:numPr>
        <w:ilvl w:val="1"/>
        <w:numId w:val="32"/>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basedOn w:val="BodyText"/>
    <w:next w:val="BodyText"/>
    <w:link w:val="Heading3Char"/>
    <w:qFormat/>
    <w:rsid w:val="008F3372"/>
    <w:pPr>
      <w:keepNext/>
      <w:numPr>
        <w:ilvl w:val="2"/>
        <w:numId w:val="32"/>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rsid w:val="008F3372"/>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8F3372"/>
    <w:pPr>
      <w:keepNext/>
      <w:pageBreakBefore/>
      <w:numPr>
        <w:ilvl w:val="5"/>
        <w:numId w:val="32"/>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basedOn w:val="Normal"/>
    <w:next w:val="BodyText"/>
    <w:link w:val="Heading7Char"/>
    <w:uiPriority w:val="1"/>
    <w:qFormat/>
    <w:rsid w:val="008F3372"/>
    <w:pPr>
      <w:keepNext/>
      <w:keepLines/>
      <w:numPr>
        <w:ilvl w:val="6"/>
        <w:numId w:val="32"/>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basedOn w:val="Normal"/>
    <w:next w:val="BodyText"/>
    <w:link w:val="Heading8Char"/>
    <w:uiPriority w:val="1"/>
    <w:qFormat/>
    <w:rsid w:val="008F3372"/>
    <w:pPr>
      <w:keepNext/>
      <w:keepLines/>
      <w:numPr>
        <w:ilvl w:val="7"/>
        <w:numId w:val="32"/>
      </w:numPr>
      <w:spacing w:before="300"/>
      <w:jc w:val="left"/>
      <w:outlineLvl w:val="7"/>
    </w:pPr>
    <w:rPr>
      <w:rFonts w:asciiTheme="majorHAnsi" w:eastAsiaTheme="majorEastAsia" w:hAnsiTheme="majorHAnsi" w:cstheme="majorBidi"/>
      <w:color w:val="22789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8F3372"/>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8F3372"/>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31"/>
      </w:numPr>
      <w:spacing w:before="100" w:line="312" w:lineRule="auto"/>
    </w:pPr>
    <w:rPr>
      <w:rFonts w:eastAsia="Times New Roman"/>
      <w:lang w:eastAsia="en-AU"/>
    </w:rPr>
  </w:style>
  <w:style w:type="character" w:customStyle="1" w:styleId="Heading1Char">
    <w:name w:val="Heading 1 Char"/>
    <w:basedOn w:val="DefaultParagraphFont"/>
    <w:link w:val="Heading1"/>
    <w:rsid w:val="008F3372"/>
    <w:rPr>
      <w:rFonts w:asciiTheme="majorHAnsi" w:eastAsia="Times New Roman" w:hAnsiTheme="majorHAnsi" w:cs="Arial"/>
      <w:b/>
      <w:bCs/>
      <w:color w:val="22789A"/>
      <w:kern w:val="32"/>
      <w:sz w:val="32"/>
      <w:szCs w:val="32"/>
    </w:rPr>
  </w:style>
  <w:style w:type="character" w:customStyle="1" w:styleId="Heading2Char">
    <w:name w:val="Heading 2 Char"/>
    <w:basedOn w:val="DefaultParagraphFont"/>
    <w:link w:val="Heading2"/>
    <w:rsid w:val="008F3372"/>
    <w:rPr>
      <w:rFonts w:asciiTheme="majorHAnsi" w:eastAsia="Times New Roman" w:hAnsiTheme="majorHAnsi" w:cs="Arial"/>
      <w:b/>
      <w:bCs/>
      <w:iCs/>
      <w:color w:val="6CCCDE"/>
      <w:szCs w:val="28"/>
    </w:rPr>
  </w:style>
  <w:style w:type="character" w:customStyle="1" w:styleId="Heading3Char">
    <w:name w:val="Heading 3 Char"/>
    <w:basedOn w:val="DefaultParagraphFont"/>
    <w:link w:val="Heading3"/>
    <w:rsid w:val="008F3372"/>
    <w:rPr>
      <w:rFonts w:asciiTheme="majorHAnsi" w:eastAsia="Times New Roman" w:hAnsiTheme="majorHAnsi" w:cs="Arial"/>
      <w:bCs/>
      <w:color w:val="22789A"/>
    </w:rPr>
  </w:style>
  <w:style w:type="paragraph" w:styleId="TOC1">
    <w:name w:val="toc 1"/>
    <w:basedOn w:val="Normal"/>
    <w:next w:val="Normal"/>
    <w:autoRedefine/>
    <w:uiPriority w:val="39"/>
    <w:rsid w:val="008F3372"/>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8F3372"/>
    <w:pPr>
      <w:ind w:left="2268" w:hanging="108"/>
    </w:pPr>
    <w:rPr>
      <w:rFonts w:eastAsia="Times New Roman"/>
      <w:sz w:val="16"/>
    </w:rPr>
  </w:style>
  <w:style w:type="character" w:customStyle="1" w:styleId="FootnoteTextChar">
    <w:name w:val="Footnote Text Char"/>
    <w:basedOn w:val="DefaultParagraphFont"/>
    <w:link w:val="FootnoteText"/>
    <w:uiPriority w:val="19"/>
    <w:rsid w:val="008F3372"/>
    <w:rPr>
      <w:rFonts w:ascii="Arial" w:eastAsia="Times New Roman" w:hAnsi="Arial"/>
      <w:color w:val="595A5B"/>
      <w:sz w:val="16"/>
    </w:rPr>
  </w:style>
  <w:style w:type="paragraph" w:styleId="Footer">
    <w:name w:val="footer"/>
    <w:basedOn w:val="Normal"/>
    <w:link w:val="FooterChar"/>
    <w:uiPriority w:val="99"/>
    <w:rsid w:val="008F3372"/>
    <w:pPr>
      <w:tabs>
        <w:tab w:val="right" w:pos="9680"/>
      </w:tabs>
    </w:pPr>
    <w:rPr>
      <w:rFonts w:eastAsia="Times New Roman"/>
      <w:sz w:val="16"/>
      <w:szCs w:val="16"/>
    </w:rPr>
  </w:style>
  <w:style w:type="character" w:customStyle="1" w:styleId="FooterChar">
    <w:name w:val="Footer Char"/>
    <w:basedOn w:val="DefaultParagraphFont"/>
    <w:link w:val="Footer"/>
    <w:uiPriority w:val="99"/>
    <w:rsid w:val="008F3372"/>
    <w:rPr>
      <w:rFonts w:ascii="Arial" w:eastAsia="Times New Roman" w:hAnsi="Arial"/>
      <w:color w:val="595A5B"/>
      <w:sz w:val="16"/>
      <w:szCs w:val="16"/>
    </w:rPr>
  </w:style>
  <w:style w:type="paragraph" w:styleId="TableofFigures">
    <w:name w:val="table of figures"/>
    <w:basedOn w:val="Normal"/>
    <w:next w:val="Normal"/>
    <w:uiPriority w:val="99"/>
    <w:rsid w:val="008F3372"/>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8F3372"/>
    <w:rPr>
      <w:vertAlign w:val="superscript"/>
    </w:rPr>
  </w:style>
  <w:style w:type="character" w:styleId="PageNumber">
    <w:name w:val="page number"/>
    <w:rsid w:val="008F3372"/>
    <w:rPr>
      <w:rFonts w:ascii="Arial" w:hAnsi="Arial"/>
      <w:sz w:val="18"/>
    </w:rPr>
  </w:style>
  <w:style w:type="paragraph" w:styleId="BodyText">
    <w:name w:val="Body Text"/>
    <w:link w:val="BodyTextChar"/>
    <w:qFormat/>
    <w:rsid w:val="008F3372"/>
    <w:pPr>
      <w:spacing w:after="180" w:line="270" w:lineRule="exact"/>
      <w:ind w:left="2160"/>
      <w:jc w:val="both"/>
    </w:pPr>
    <w:rPr>
      <w:color w:val="595A5B"/>
      <w:sz w:val="20"/>
    </w:rPr>
  </w:style>
  <w:style w:type="character" w:customStyle="1" w:styleId="BodyTextChar">
    <w:name w:val="Body Text Char"/>
    <w:basedOn w:val="DefaultParagraphFont"/>
    <w:link w:val="BodyText"/>
    <w:rsid w:val="008F3372"/>
    <w:rPr>
      <w:color w:val="595A5B"/>
      <w:sz w:val="20"/>
    </w:rPr>
  </w:style>
  <w:style w:type="paragraph" w:styleId="Subtitle">
    <w:name w:val="Subtitle"/>
    <w:basedOn w:val="Normal"/>
    <w:next w:val="Normal"/>
    <w:link w:val="SubtitleChar"/>
    <w:rsid w:val="008F3372"/>
    <w:pPr>
      <w:numPr>
        <w:ilvl w:val="1"/>
      </w:numPr>
      <w:ind w:left="2160"/>
    </w:pPr>
    <w:rPr>
      <w:rFonts w:asciiTheme="majorHAnsi" w:eastAsiaTheme="majorEastAsia" w:hAnsiTheme="majorHAnsi" w:cstheme="majorBidi"/>
      <w:i/>
      <w:iCs/>
      <w:color w:val="22789A" w:themeColor="accent1"/>
      <w:spacing w:val="15"/>
      <w:sz w:val="24"/>
      <w:szCs w:val="24"/>
    </w:rPr>
  </w:style>
  <w:style w:type="character" w:customStyle="1" w:styleId="SubtitleChar">
    <w:name w:val="Subtitle Char"/>
    <w:basedOn w:val="DefaultParagraphFont"/>
    <w:link w:val="Subtitle"/>
    <w:rsid w:val="008F3372"/>
    <w:rPr>
      <w:rFonts w:asciiTheme="majorHAnsi" w:eastAsiaTheme="majorEastAsia" w:hAnsiTheme="majorHAnsi" w:cstheme="majorBidi"/>
      <w:i/>
      <w:iCs/>
      <w:color w:val="22789A" w:themeColor="accent1"/>
      <w:spacing w:val="15"/>
      <w:sz w:val="24"/>
      <w:szCs w:val="24"/>
    </w:rPr>
  </w:style>
  <w:style w:type="character" w:styleId="Hyperlink">
    <w:name w:val="Hyperlink"/>
    <w:uiPriority w:val="99"/>
    <w:rsid w:val="008F3372"/>
    <w:rPr>
      <w:color w:val="22789A"/>
      <w:u w:val="single"/>
    </w:rPr>
  </w:style>
  <w:style w:type="table" w:styleId="Table3Deffects1">
    <w:name w:val="Table 3D effects 1"/>
    <w:basedOn w:val="TableNormal"/>
    <w:rsid w:val="008F3372"/>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8F3372"/>
    <w:rPr>
      <w:rFonts w:ascii="Tahoma" w:eastAsia="Times New Roman" w:hAnsi="Tahoma" w:cs="Tahoma"/>
      <w:sz w:val="16"/>
      <w:szCs w:val="16"/>
    </w:rPr>
  </w:style>
  <w:style w:type="character" w:customStyle="1" w:styleId="BalloonTextChar">
    <w:name w:val="Balloon Text Char"/>
    <w:basedOn w:val="DefaultParagraphFont"/>
    <w:link w:val="BalloonText"/>
    <w:rsid w:val="008F3372"/>
    <w:rPr>
      <w:rFonts w:ascii="Tahoma" w:eastAsia="Times New Roman" w:hAnsi="Tahoma" w:cs="Tahoma"/>
      <w:color w:val="595A5B"/>
      <w:sz w:val="16"/>
      <w:szCs w:val="16"/>
    </w:rPr>
  </w:style>
  <w:style w:type="table" w:styleId="TableGrid">
    <w:name w:val="Table Grid"/>
    <w:basedOn w:val="TableNormal"/>
    <w:uiPriority w:val="59"/>
    <w:rsid w:val="008F3372"/>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8F3372"/>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2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8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8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C4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C4E2" w:themeFill="accent1" w:themeFillTint="7F"/>
      </w:tcPr>
    </w:tblStylePr>
  </w:style>
  <w:style w:type="table" w:styleId="ColorfulGrid-Accent1">
    <w:name w:val="Colorful Grid Accent 1"/>
    <w:basedOn w:val="TableNormal"/>
    <w:uiPriority w:val="73"/>
    <w:rsid w:val="008F3372"/>
    <w:rPr>
      <w:rFonts w:eastAsia="Times New Roman"/>
      <w:color w:val="595A5B" w:themeColor="text1"/>
      <w:lang w:eastAsia="en-AU"/>
    </w:rPr>
    <w:tblPr>
      <w:tblStyleRowBandSize w:val="1"/>
      <w:tblStyleColBandSize w:val="1"/>
      <w:tblBorders>
        <w:insideH w:val="single" w:sz="4" w:space="0" w:color="FFFFFF" w:themeColor="background1"/>
      </w:tblBorders>
    </w:tblPr>
    <w:tcPr>
      <w:shd w:val="clear" w:color="auto" w:fill="CAE7F3" w:themeFill="accent1" w:themeFillTint="33"/>
    </w:tcPr>
    <w:tblStylePr w:type="firstRow">
      <w:rPr>
        <w:b/>
        <w:bCs/>
      </w:rPr>
      <w:tblPr/>
      <w:tcPr>
        <w:shd w:val="clear" w:color="auto" w:fill="95D0E7" w:themeFill="accent1" w:themeFillTint="66"/>
      </w:tcPr>
    </w:tblStylePr>
    <w:tblStylePr w:type="lastRow">
      <w:rPr>
        <w:b/>
        <w:bCs/>
        <w:color w:val="595A5B" w:themeColor="text1"/>
      </w:rPr>
      <w:tblPr/>
      <w:tcPr>
        <w:shd w:val="clear" w:color="auto" w:fill="95D0E7" w:themeFill="accent1" w:themeFillTint="66"/>
      </w:tcPr>
    </w:tblStylePr>
    <w:tblStylePr w:type="firstCol">
      <w:rPr>
        <w:color w:val="FFFFFF" w:themeColor="background1"/>
      </w:rPr>
      <w:tblPr/>
      <w:tcPr>
        <w:shd w:val="clear" w:color="auto" w:fill="195973" w:themeFill="accent1" w:themeFillShade="BF"/>
      </w:tcPr>
    </w:tblStylePr>
    <w:tblStylePr w:type="lastCol">
      <w:rPr>
        <w:color w:val="FFFFFF" w:themeColor="background1"/>
      </w:rPr>
      <w:tblPr/>
      <w:tcPr>
        <w:shd w:val="clear" w:color="auto" w:fill="195973" w:themeFill="accent1" w:themeFillShade="BF"/>
      </w:tcPr>
    </w:tblStylePr>
    <w:tblStylePr w:type="band1Vert">
      <w:tblPr/>
      <w:tcPr>
        <w:shd w:val="clear" w:color="auto" w:fill="7BC4E2" w:themeFill="accent1" w:themeFillTint="7F"/>
      </w:tcPr>
    </w:tblStylePr>
    <w:tblStylePr w:type="band1Horz">
      <w:tblPr/>
      <w:tcPr>
        <w:shd w:val="clear" w:color="auto" w:fill="7BC4E2" w:themeFill="accent1" w:themeFillTint="7F"/>
      </w:tcPr>
    </w:tblStylePr>
  </w:style>
  <w:style w:type="character" w:styleId="IntenseEmphasis">
    <w:name w:val="Intense Emphasis"/>
    <w:basedOn w:val="DefaultParagraphFont"/>
    <w:uiPriority w:val="21"/>
    <w:rsid w:val="008F3372"/>
    <w:rPr>
      <w:b/>
      <w:bCs/>
      <w:i/>
      <w:iCs/>
      <w:color w:val="22789A" w:themeColor="accent1"/>
    </w:rPr>
  </w:style>
  <w:style w:type="paragraph" w:styleId="Bibliography">
    <w:name w:val="Bibliography"/>
    <w:basedOn w:val="Normal"/>
    <w:next w:val="Normal"/>
    <w:uiPriority w:val="37"/>
    <w:unhideWhenUsed/>
    <w:rsid w:val="008F3372"/>
    <w:rPr>
      <w:rFonts w:eastAsia="Times New Roman"/>
    </w:rPr>
  </w:style>
  <w:style w:type="paragraph" w:styleId="TOCHeading">
    <w:name w:val="TOC Heading"/>
    <w:basedOn w:val="Heading1"/>
    <w:next w:val="Normal"/>
    <w:uiPriority w:val="39"/>
    <w:semiHidden/>
    <w:unhideWhenUsed/>
    <w:qFormat/>
    <w:rsid w:val="008F3372"/>
    <w:pPr>
      <w:keepLines/>
      <w:numPr>
        <w:numId w:val="0"/>
      </w:numPr>
      <w:spacing w:before="480" w:after="0" w:line="276" w:lineRule="auto"/>
      <w:outlineLvl w:val="9"/>
    </w:pPr>
    <w:rPr>
      <w:rFonts w:eastAsiaTheme="majorEastAsia" w:cstheme="majorBidi"/>
      <w:color w:val="195973" w:themeColor="accent1" w:themeShade="BF"/>
      <w:kern w:val="0"/>
      <w:sz w:val="28"/>
      <w:szCs w:val="28"/>
      <w:lang w:eastAsia="ja-JP"/>
    </w:rPr>
  </w:style>
  <w:style w:type="table" w:styleId="Table3Deffects2">
    <w:name w:val="Table 3D effects 2"/>
    <w:basedOn w:val="TableNormal"/>
    <w:rsid w:val="008F3372"/>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8F3372"/>
    <w:pPr>
      <w:numPr>
        <w:numId w:val="3"/>
      </w:numPr>
    </w:pPr>
  </w:style>
  <w:style w:type="character" w:customStyle="1" w:styleId="Heading4Char">
    <w:name w:val="Heading 4 Char"/>
    <w:basedOn w:val="DefaultParagraphFont"/>
    <w:link w:val="Heading4"/>
    <w:uiPriority w:val="9"/>
    <w:rsid w:val="008F3372"/>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8F3372"/>
    <w:rPr>
      <w:rFonts w:asciiTheme="majorHAnsi" w:eastAsiaTheme="majorEastAsia" w:hAnsiTheme="majorHAnsi" w:cstheme="majorBidi"/>
      <w:b/>
      <w:iCs/>
      <w:color w:val="22789A"/>
      <w:sz w:val="32"/>
    </w:rPr>
  </w:style>
  <w:style w:type="paragraph" w:styleId="ListParagraph">
    <w:name w:val="List Paragraph"/>
    <w:basedOn w:val="ListBullet"/>
    <w:link w:val="ListParagraphChar"/>
    <w:uiPriority w:val="34"/>
    <w:rsid w:val="008F3372"/>
    <w:pPr>
      <w:numPr>
        <w:numId w:val="0"/>
      </w:numPr>
    </w:pPr>
    <w:rPr>
      <w:lang w:val="en"/>
    </w:rPr>
  </w:style>
  <w:style w:type="character" w:customStyle="1" w:styleId="ListParagraphChar">
    <w:name w:val="List Paragraph Char"/>
    <w:basedOn w:val="DefaultParagraphFont"/>
    <w:link w:val="ListParagraph"/>
    <w:uiPriority w:val="34"/>
    <w:rsid w:val="008F3372"/>
    <w:rPr>
      <w:color w:val="595A5B"/>
      <w:sz w:val="20"/>
      <w:lang w:val="en"/>
    </w:rPr>
  </w:style>
  <w:style w:type="numbering" w:customStyle="1" w:styleId="OCEBulletedList">
    <w:name w:val="OCE Bulleted List"/>
    <w:uiPriority w:val="99"/>
    <w:rsid w:val="008F3372"/>
    <w:pPr>
      <w:numPr>
        <w:numId w:val="4"/>
      </w:numPr>
    </w:pPr>
  </w:style>
  <w:style w:type="paragraph" w:styleId="ListBullet">
    <w:name w:val="List Bullet"/>
    <w:basedOn w:val="BodyText"/>
    <w:uiPriority w:val="4"/>
    <w:qFormat/>
    <w:rsid w:val="008F3372"/>
    <w:pPr>
      <w:numPr>
        <w:numId w:val="33"/>
      </w:numPr>
      <w:spacing w:after="120"/>
    </w:pPr>
  </w:style>
  <w:style w:type="paragraph" w:styleId="ListContinue2">
    <w:name w:val="List Continue 2"/>
    <w:basedOn w:val="Normal"/>
    <w:rsid w:val="008F3372"/>
    <w:pPr>
      <w:spacing w:after="120"/>
      <w:ind w:left="566"/>
      <w:contextualSpacing/>
    </w:pPr>
  </w:style>
  <w:style w:type="paragraph" w:styleId="ListBullet2">
    <w:name w:val="List Bullet 2"/>
    <w:basedOn w:val="ListBullet"/>
    <w:uiPriority w:val="4"/>
    <w:qFormat/>
    <w:rsid w:val="008F3372"/>
    <w:pPr>
      <w:numPr>
        <w:ilvl w:val="1"/>
      </w:numPr>
    </w:pPr>
  </w:style>
  <w:style w:type="paragraph" w:styleId="ListBullet4">
    <w:name w:val="List Bullet 4"/>
    <w:basedOn w:val="ListBullet3"/>
    <w:rsid w:val="008F3372"/>
    <w:pPr>
      <w:numPr>
        <w:ilvl w:val="3"/>
      </w:numPr>
    </w:pPr>
  </w:style>
  <w:style w:type="paragraph" w:styleId="ListBullet3">
    <w:name w:val="List Bullet 3"/>
    <w:basedOn w:val="ListBullet2"/>
    <w:uiPriority w:val="4"/>
    <w:qFormat/>
    <w:rsid w:val="008F3372"/>
    <w:pPr>
      <w:numPr>
        <w:ilvl w:val="2"/>
      </w:numPr>
    </w:pPr>
  </w:style>
  <w:style w:type="paragraph" w:styleId="ListNumber">
    <w:name w:val="List Number"/>
    <w:basedOn w:val="Normal"/>
    <w:uiPriority w:val="4"/>
    <w:qFormat/>
    <w:rsid w:val="008F3372"/>
    <w:pPr>
      <w:numPr>
        <w:numId w:val="34"/>
      </w:numPr>
      <w:spacing w:after="120"/>
    </w:pPr>
  </w:style>
  <w:style w:type="paragraph" w:styleId="ListNumber2">
    <w:name w:val="List Number 2"/>
    <w:basedOn w:val="Normal"/>
    <w:uiPriority w:val="4"/>
    <w:qFormat/>
    <w:rsid w:val="008F3372"/>
    <w:pPr>
      <w:numPr>
        <w:ilvl w:val="1"/>
        <w:numId w:val="34"/>
      </w:numPr>
      <w:spacing w:after="120"/>
    </w:pPr>
  </w:style>
  <w:style w:type="paragraph" w:styleId="ListNumber3">
    <w:name w:val="List Number 3"/>
    <w:basedOn w:val="Normal"/>
    <w:uiPriority w:val="4"/>
    <w:qFormat/>
    <w:rsid w:val="008F3372"/>
    <w:pPr>
      <w:numPr>
        <w:ilvl w:val="2"/>
        <w:numId w:val="34"/>
      </w:numPr>
      <w:spacing w:after="120"/>
    </w:pPr>
  </w:style>
  <w:style w:type="character" w:customStyle="1" w:styleId="Heading7Char">
    <w:name w:val="Heading 7 Char"/>
    <w:basedOn w:val="DefaultParagraphFont"/>
    <w:link w:val="Heading7"/>
    <w:uiPriority w:val="1"/>
    <w:rsid w:val="008F3372"/>
    <w:rPr>
      <w:rFonts w:asciiTheme="majorHAnsi" w:eastAsiaTheme="majorEastAsia" w:hAnsiTheme="majorHAnsi" w:cstheme="majorBidi"/>
      <w:b/>
      <w:iCs/>
      <w:color w:val="6CCCDE"/>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8F3372"/>
    <w:rPr>
      <w:rFonts w:asciiTheme="majorHAnsi" w:eastAsiaTheme="majorEastAsia" w:hAnsiTheme="majorHAnsi" w:cstheme="majorBidi"/>
      <w:color w:val="22789A"/>
      <w:szCs w:val="20"/>
    </w:rPr>
  </w:style>
  <w:style w:type="paragraph" w:customStyle="1" w:styleId="Source">
    <w:name w:val="Source"/>
    <w:basedOn w:val="Normal"/>
    <w:next w:val="BodyText"/>
    <w:link w:val="SourceChar"/>
    <w:qFormat/>
    <w:rsid w:val="008F3372"/>
    <w:pPr>
      <w:keepLines/>
      <w:pBdr>
        <w:bottom w:val="single" w:sz="4" w:space="1" w:color="595A5B"/>
      </w:pBdr>
      <w:spacing w:before="60" w:after="360" w:line="270" w:lineRule="exact"/>
    </w:pPr>
    <w:rPr>
      <w:rFonts w:eastAsia="Times New Roman" w:cs="Arial"/>
      <w:color w:val="22789A"/>
      <w:sz w:val="16"/>
      <w:szCs w:val="20"/>
      <w:lang w:val="en"/>
    </w:rPr>
  </w:style>
  <w:style w:type="character" w:customStyle="1" w:styleId="SourceChar">
    <w:name w:val="Source Char"/>
    <w:basedOn w:val="DefaultParagraphFont"/>
    <w:link w:val="Source"/>
    <w:rsid w:val="008F3372"/>
    <w:rPr>
      <w:rFonts w:ascii="Arial" w:eastAsia="Times New Roman" w:hAnsi="Arial" w:cs="Arial"/>
      <w:color w:val="22789A"/>
      <w:sz w:val="16"/>
      <w:szCs w:val="20"/>
      <w:lang w:val="en"/>
    </w:rPr>
  </w:style>
  <w:style w:type="paragraph" w:customStyle="1" w:styleId="Tabletext">
    <w:name w:val="Table text"/>
    <w:basedOn w:val="Normal"/>
    <w:link w:val="TabletextChar"/>
    <w:qFormat/>
    <w:rsid w:val="008F3372"/>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8F3372"/>
    <w:rPr>
      <w:rFonts w:ascii="Arial" w:hAnsi="Arial" w:cs="Arial"/>
      <w:color w:val="595A5B"/>
      <w:sz w:val="18"/>
      <w:szCs w:val="18"/>
    </w:rPr>
  </w:style>
  <w:style w:type="paragraph" w:customStyle="1" w:styleId="Tableheader">
    <w:name w:val="Table header"/>
    <w:basedOn w:val="Normal"/>
    <w:link w:val="TableheaderChar"/>
    <w:qFormat/>
    <w:rsid w:val="008F3372"/>
    <w:pPr>
      <w:keepNext/>
      <w:spacing w:before="120" w:after="120" w:line="240" w:lineRule="auto"/>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8F3372"/>
    <w:rPr>
      <w:rFonts w:ascii="Arial" w:hAnsi="Arial" w:cs="Arial"/>
      <w:i/>
      <w:color w:val="FFFFFF" w:themeColor="background1"/>
      <w:sz w:val="18"/>
      <w:szCs w:val="18"/>
    </w:rPr>
  </w:style>
  <w:style w:type="paragraph" w:styleId="Caption">
    <w:name w:val="caption"/>
    <w:basedOn w:val="Normal"/>
    <w:next w:val="Placeholder"/>
    <w:rsid w:val="008F3372"/>
    <w:pPr>
      <w:keepNext/>
      <w:keepLines/>
      <w:pBdr>
        <w:top w:val="single" w:sz="2" w:space="1" w:color="595A5B"/>
      </w:pBdr>
      <w:spacing w:before="360" w:after="240" w:line="240" w:lineRule="atLeast"/>
    </w:pPr>
    <w:rPr>
      <w:bCs/>
      <w:color w:val="22789A" w:themeColor="accent1"/>
      <w:sz w:val="18"/>
      <w:szCs w:val="18"/>
    </w:rPr>
  </w:style>
  <w:style w:type="paragraph" w:customStyle="1" w:styleId="Note">
    <w:name w:val="Note"/>
    <w:basedOn w:val="Source"/>
    <w:rsid w:val="008F3372"/>
    <w:pPr>
      <w:keepNext/>
      <w:spacing w:after="60"/>
    </w:pPr>
  </w:style>
  <w:style w:type="table" w:customStyle="1" w:styleId="OCETable">
    <w:name w:val="OCE Table"/>
    <w:basedOn w:val="TableNormal"/>
    <w:uiPriority w:val="99"/>
    <w:rsid w:val="008F3372"/>
    <w:pPr>
      <w:spacing w:after="0" w:line="240" w:lineRule="auto"/>
    </w:pPr>
    <w:rPr>
      <w:sz w:val="18"/>
    </w:rPr>
    <w:tblPr/>
    <w:tcPr>
      <w:shd w:val="clear" w:color="auto" w:fill="CAE7F3" w:themeFill="accent1" w:themeFillTint="33"/>
    </w:tcPr>
    <w:tblStylePr w:type="firstRow">
      <w:rPr>
        <w:rFonts w:asciiTheme="minorHAnsi" w:hAnsiTheme="minorHAnsi"/>
        <w:b w:val="0"/>
        <w:i w:val="0"/>
        <w:color w:val="FFFFFF" w:themeColor="text2"/>
        <w:sz w:val="18"/>
      </w:rPr>
      <w:tblPr/>
      <w:tcPr>
        <w:tcBorders>
          <w:top w:val="nil"/>
          <w:left w:val="nil"/>
          <w:bottom w:val="nil"/>
          <w:right w:val="nil"/>
          <w:insideH w:val="nil"/>
          <w:insideV w:val="nil"/>
          <w:tl2br w:val="nil"/>
          <w:tr2bl w:val="nil"/>
        </w:tcBorders>
        <w:shd w:val="clear" w:color="auto" w:fill="22789A" w:themeFill="accent1"/>
      </w:tcPr>
    </w:tblStylePr>
  </w:style>
  <w:style w:type="paragraph" w:customStyle="1" w:styleId="CaptionWide">
    <w:name w:val="Caption Wide"/>
    <w:basedOn w:val="Caption"/>
    <w:next w:val="PlaceholderWide"/>
    <w:rsid w:val="008F3372"/>
    <w:pPr>
      <w:ind w:left="0"/>
    </w:pPr>
  </w:style>
  <w:style w:type="paragraph" w:customStyle="1" w:styleId="NoteWide">
    <w:name w:val="Note Wide"/>
    <w:basedOn w:val="Note"/>
    <w:rsid w:val="008F3372"/>
    <w:pPr>
      <w:ind w:left="0"/>
    </w:pPr>
  </w:style>
  <w:style w:type="paragraph" w:customStyle="1" w:styleId="SourceWide">
    <w:name w:val="Source Wide"/>
    <w:basedOn w:val="Source"/>
    <w:next w:val="BodyText"/>
    <w:rsid w:val="008F3372"/>
    <w:pPr>
      <w:ind w:left="0"/>
    </w:pPr>
  </w:style>
  <w:style w:type="paragraph" w:customStyle="1" w:styleId="Placeholder">
    <w:name w:val="Placeholder"/>
    <w:basedOn w:val="Normal"/>
    <w:rsid w:val="008F3372"/>
    <w:pPr>
      <w:keepNext/>
      <w:keepLines/>
      <w:spacing w:after="0" w:line="240" w:lineRule="auto"/>
      <w:ind w:left="0"/>
      <w:jc w:val="center"/>
    </w:pPr>
    <w:rPr>
      <w:sz w:val="18"/>
    </w:rPr>
  </w:style>
  <w:style w:type="paragraph" w:customStyle="1" w:styleId="PlaceholderWide">
    <w:name w:val="Placeholder Wide"/>
    <w:basedOn w:val="Placeholder"/>
    <w:rsid w:val="008F3372"/>
  </w:style>
  <w:style w:type="paragraph" w:customStyle="1" w:styleId="Boxtext">
    <w:name w:val="Box text"/>
    <w:basedOn w:val="Placeholder"/>
    <w:rsid w:val="008F3372"/>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8F3372"/>
    <w:pPr>
      <w:numPr>
        <w:numId w:val="5"/>
      </w:numPr>
    </w:pPr>
  </w:style>
  <w:style w:type="paragraph" w:customStyle="1" w:styleId="UnnumberedHeading">
    <w:name w:val="Unnumbered Heading"/>
    <w:next w:val="BodyText"/>
    <w:link w:val="UnnumberedHeadingChar"/>
    <w:rsid w:val="008F3372"/>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8F3372"/>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8F3372"/>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8F3372"/>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8F3372"/>
    <w:pPr>
      <w:spacing w:before="240" w:line="270" w:lineRule="exact"/>
    </w:pPr>
    <w:rPr>
      <w:rFonts w:eastAsia="Times New Roman" w:cs="Arial"/>
      <w:b/>
      <w:caps/>
      <w:sz w:val="21"/>
      <w:szCs w:val="20"/>
    </w:rPr>
  </w:style>
  <w:style w:type="character" w:customStyle="1" w:styleId="ResearchPaperChar">
    <w:name w:val="Research Paper # Char"/>
    <w:link w:val="ResearchPaper"/>
    <w:rsid w:val="008F3372"/>
    <w:rPr>
      <w:rFonts w:eastAsia="Times New Roman" w:cs="Arial"/>
      <w:b/>
      <w:caps/>
      <w:color w:val="595A5B"/>
      <w:sz w:val="21"/>
      <w:szCs w:val="20"/>
    </w:rPr>
  </w:style>
  <w:style w:type="paragraph" w:customStyle="1" w:styleId="Author">
    <w:name w:val="Author"/>
    <w:basedOn w:val="Normal"/>
    <w:link w:val="AuthorChar"/>
    <w:rsid w:val="008F3372"/>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8F3372"/>
    <w:rPr>
      <w:rFonts w:ascii="Arial" w:eastAsia="Times New Roman" w:hAnsi="Arial" w:cs="Arial"/>
      <w:b/>
      <w:color w:val="22789A"/>
      <w:sz w:val="32"/>
      <w:szCs w:val="20"/>
    </w:rPr>
  </w:style>
  <w:style w:type="paragraph" w:customStyle="1" w:styleId="MonthYear">
    <w:name w:val="Month Year"/>
    <w:basedOn w:val="Normal"/>
    <w:link w:val="MonthYearChar"/>
    <w:qFormat/>
    <w:rsid w:val="008F3372"/>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8F3372"/>
    <w:rPr>
      <w:rFonts w:eastAsia="Times New Roman" w:cs="Arial"/>
      <w:b/>
      <w:color w:val="9ED9DF"/>
      <w:sz w:val="20"/>
      <w:szCs w:val="20"/>
    </w:rPr>
  </w:style>
  <w:style w:type="paragraph" w:customStyle="1" w:styleId="AbstractHeader">
    <w:name w:val="Abstract Header"/>
    <w:basedOn w:val="Normal"/>
    <w:link w:val="AbstractHeaderChar"/>
    <w:qFormat/>
    <w:rsid w:val="008F3372"/>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rsid w:val="008F3372"/>
    <w:rPr>
      <w:rFonts w:ascii="Arial" w:eastAsia="Times New Roman" w:hAnsi="Arial" w:cs="Arial"/>
      <w:color w:val="22789A"/>
      <w:sz w:val="32"/>
      <w:szCs w:val="20"/>
    </w:rPr>
  </w:style>
  <w:style w:type="numbering" w:customStyle="1" w:styleId="EASDMultilevelList">
    <w:name w:val="EASD Multilevel List"/>
    <w:uiPriority w:val="99"/>
    <w:rsid w:val="008F3372"/>
    <w:pPr>
      <w:numPr>
        <w:numId w:val="6"/>
      </w:numPr>
    </w:pPr>
  </w:style>
  <w:style w:type="numbering" w:styleId="111111">
    <w:name w:val="Outline List 2"/>
    <w:basedOn w:val="NoList"/>
    <w:rsid w:val="008F3372"/>
    <w:pPr>
      <w:numPr>
        <w:numId w:val="1"/>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8F3372"/>
    <w:pPr>
      <w:spacing w:line="240" w:lineRule="auto"/>
    </w:pPr>
    <w:rPr>
      <w:color w:val="595A5B"/>
      <w:sz w:val="20"/>
    </w:rPr>
  </w:style>
  <w:style w:type="paragraph" w:customStyle="1" w:styleId="TitleHeading">
    <w:name w:val="Title Heading"/>
    <w:basedOn w:val="Heading2"/>
    <w:link w:val="TitleHeadingChar"/>
    <w:qFormat/>
    <w:rsid w:val="008F3372"/>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8F3372"/>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8F3372"/>
    <w:pPr>
      <w:numPr>
        <w:numId w:val="36"/>
      </w:numPr>
      <w:spacing w:after="180"/>
      <w:ind w:right="155"/>
    </w:pPr>
    <w:rPr>
      <w:rFonts w:eastAsia="Times New Roman" w:cs="Arial"/>
      <w:b/>
      <w:szCs w:val="20"/>
    </w:rPr>
  </w:style>
  <w:style w:type="character" w:customStyle="1" w:styleId="KeypointsbulletChar">
    <w:name w:val="Key points bullet Char"/>
    <w:basedOn w:val="ListParagraphChar"/>
    <w:link w:val="Keypointsbullet"/>
    <w:rsid w:val="008F3372"/>
    <w:rPr>
      <w:rFonts w:eastAsia="Times New Roman" w:cs="Arial"/>
      <w:b/>
      <w:color w:val="595A5B"/>
      <w:sz w:val="20"/>
      <w:szCs w:val="20"/>
      <w:lang w:val="en"/>
    </w:rPr>
  </w:style>
  <w:style w:type="paragraph" w:styleId="Header">
    <w:name w:val="header"/>
    <w:basedOn w:val="Normal"/>
    <w:link w:val="HeaderChar"/>
    <w:unhideWhenUsed/>
    <w:rsid w:val="008F3372"/>
    <w:pPr>
      <w:tabs>
        <w:tab w:val="center" w:pos="4513"/>
        <w:tab w:val="right" w:pos="9026"/>
      </w:tabs>
      <w:spacing w:after="0" w:line="240" w:lineRule="auto"/>
    </w:pPr>
  </w:style>
  <w:style w:type="character" w:customStyle="1" w:styleId="HeaderChar">
    <w:name w:val="Header Char"/>
    <w:basedOn w:val="DefaultParagraphFont"/>
    <w:link w:val="Header"/>
    <w:rsid w:val="008F3372"/>
    <w:rPr>
      <w:rFonts w:ascii="Arial" w:hAnsi="Arial"/>
      <w:color w:val="595A5B"/>
      <w:sz w:val="20"/>
    </w:rPr>
  </w:style>
  <w:style w:type="paragraph" w:customStyle="1" w:styleId="CoverAbstract">
    <w:name w:val="Cover Abstract"/>
    <w:basedOn w:val="Normal"/>
    <w:uiPriority w:val="10"/>
    <w:rsid w:val="008F3372"/>
    <w:pPr>
      <w:spacing w:line="270" w:lineRule="exact"/>
    </w:pPr>
    <w:rPr>
      <w:lang w:val="en"/>
    </w:rPr>
  </w:style>
  <w:style w:type="paragraph" w:customStyle="1" w:styleId="ReportCoverContact">
    <w:name w:val="Report Cover Contact"/>
    <w:basedOn w:val="Normal"/>
    <w:rsid w:val="008F3372"/>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8F3372"/>
    <w:pPr>
      <w:keepNext/>
      <w:pBdr>
        <w:top w:val="single" w:sz="4" w:space="1" w:color="595A5B"/>
      </w:pBdr>
      <w:spacing w:before="600" w:after="120" w:line="240" w:lineRule="atLeast"/>
      <w:ind w:left="0" w:right="57"/>
      <w:outlineLvl w:val="7"/>
    </w:pPr>
    <w:rPr>
      <w:rFonts w:eastAsia="Times New Roman" w:cs="Times New Roman"/>
      <w:color w:val="22789A"/>
      <w:sz w:val="16"/>
      <w:szCs w:val="20"/>
      <w:lang w:val="en"/>
    </w:rPr>
  </w:style>
  <w:style w:type="paragraph" w:styleId="TOC2">
    <w:name w:val="toc 2"/>
    <w:basedOn w:val="Normal"/>
    <w:next w:val="Normal"/>
    <w:autoRedefine/>
    <w:uiPriority w:val="39"/>
    <w:rsid w:val="008F3372"/>
    <w:pPr>
      <w:tabs>
        <w:tab w:val="right" w:pos="8931"/>
      </w:tabs>
      <w:spacing w:after="100"/>
      <w:ind w:left="1843" w:right="804" w:hanging="567"/>
    </w:pPr>
    <w:rPr>
      <w:noProof/>
    </w:rPr>
  </w:style>
  <w:style w:type="paragraph" w:styleId="TOC3">
    <w:name w:val="toc 3"/>
    <w:basedOn w:val="Normal"/>
    <w:next w:val="Normal"/>
    <w:autoRedefine/>
    <w:uiPriority w:val="39"/>
    <w:rsid w:val="008F3372"/>
    <w:pPr>
      <w:tabs>
        <w:tab w:val="right" w:pos="8931"/>
      </w:tabs>
      <w:spacing w:after="100"/>
      <w:ind w:left="1843" w:right="804"/>
    </w:pPr>
    <w:rPr>
      <w:noProof/>
    </w:rPr>
  </w:style>
  <w:style w:type="paragraph" w:styleId="TOC6">
    <w:name w:val="toc 6"/>
    <w:basedOn w:val="Normal"/>
    <w:next w:val="Normal"/>
    <w:autoRedefine/>
    <w:uiPriority w:val="39"/>
    <w:rsid w:val="008F3372"/>
    <w:pPr>
      <w:tabs>
        <w:tab w:val="right" w:pos="8931"/>
      </w:tabs>
      <w:spacing w:after="100"/>
      <w:ind w:left="2127" w:right="804" w:hanging="1418"/>
    </w:pPr>
    <w:rPr>
      <w:b/>
    </w:rPr>
  </w:style>
  <w:style w:type="paragraph" w:customStyle="1" w:styleId="Contents">
    <w:name w:val="Contents"/>
    <w:basedOn w:val="CoverNormal"/>
    <w:uiPriority w:val="19"/>
    <w:rsid w:val="008F3372"/>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rsid w:val="008F3372"/>
    <w:pPr>
      <w:keepNext/>
      <w:pBdr>
        <w:top w:val="single" w:sz="4" w:space="1" w:color="595A5B"/>
      </w:pBdr>
      <w:spacing w:before="360" w:after="120" w:line="240" w:lineRule="atLeast"/>
      <w:ind w:right="57"/>
      <w:outlineLvl w:val="7"/>
    </w:pPr>
    <w:rPr>
      <w:rFonts w:eastAsia="Times New Roman" w:cs="Times New Roman"/>
      <w:color w:val="22789A"/>
      <w:sz w:val="16"/>
      <w:szCs w:val="20"/>
      <w:lang w:val="en"/>
    </w:rPr>
  </w:style>
  <w:style w:type="paragraph" w:customStyle="1" w:styleId="Keypointsheader">
    <w:name w:val="Key points header"/>
    <w:basedOn w:val="Normal"/>
    <w:link w:val="KeypointsheaderChar"/>
    <w:qFormat/>
    <w:rsid w:val="008F3372"/>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8F3372"/>
    <w:rPr>
      <w:rFonts w:ascii="Arial" w:eastAsia="Times New Roman" w:hAnsi="Arial" w:cs="Times New Roman"/>
      <w:b/>
      <w:color w:val="22789A"/>
      <w:sz w:val="32"/>
      <w:szCs w:val="20"/>
    </w:rPr>
  </w:style>
  <w:style w:type="paragraph" w:customStyle="1" w:styleId="AbstractText">
    <w:name w:val="Abstract Text"/>
    <w:basedOn w:val="CoverNormal"/>
    <w:rsid w:val="008F3372"/>
    <w:pPr>
      <w:spacing w:before="60" w:after="60" w:line="260" w:lineRule="exact"/>
    </w:pPr>
  </w:style>
  <w:style w:type="paragraph" w:customStyle="1" w:styleId="JELCodeheader">
    <w:name w:val="JEL Code header"/>
    <w:link w:val="JELCodeheaderChar"/>
    <w:qFormat/>
    <w:rsid w:val="008F3372"/>
    <w:pPr>
      <w:spacing w:after="0" w:line="270" w:lineRule="exact"/>
      <w:jc w:val="both"/>
    </w:pPr>
    <w:rPr>
      <w:rFonts w:ascii="Arial" w:eastAsia="Times New Roman" w:hAnsi="Arial" w:cs="Arial"/>
      <w:b/>
      <w:color w:val="22789A"/>
      <w:sz w:val="20"/>
      <w:szCs w:val="20"/>
      <w:lang w:val="en"/>
    </w:rPr>
  </w:style>
  <w:style w:type="character" w:customStyle="1" w:styleId="JELCodeheaderChar">
    <w:name w:val="JEL Code header Char"/>
    <w:basedOn w:val="DefaultParagraphFont"/>
    <w:link w:val="JELCodeheader"/>
    <w:rsid w:val="008F3372"/>
    <w:rPr>
      <w:rFonts w:ascii="Arial" w:eastAsia="Times New Roman" w:hAnsi="Arial" w:cs="Arial"/>
      <w:b/>
      <w:color w:val="22789A"/>
      <w:sz w:val="20"/>
      <w:szCs w:val="20"/>
      <w:lang w:val="en"/>
    </w:rPr>
  </w:style>
  <w:style w:type="paragraph" w:customStyle="1" w:styleId="DisclaimerandAcknowledgement">
    <w:name w:val="Disclaimer and Acknowledgement"/>
    <w:basedOn w:val="Normal"/>
    <w:link w:val="DisclaimerandAcknowledgementChar"/>
    <w:qFormat/>
    <w:rsid w:val="008F3372"/>
    <w:pPr>
      <w:spacing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8F3372"/>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8F3372"/>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8F3372"/>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qFormat/>
    <w:rsid w:val="008F3372"/>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lang w:val="en"/>
    </w:rPr>
  </w:style>
  <w:style w:type="character" w:customStyle="1" w:styleId="DisclaimerHeadingChar">
    <w:name w:val="Disclaimer Heading Char"/>
    <w:basedOn w:val="DefaultParagraphFont"/>
    <w:link w:val="DisclaimerHeading"/>
    <w:rsid w:val="008F3372"/>
    <w:rPr>
      <w:rFonts w:ascii="Arial" w:eastAsia="Times New Roman" w:hAnsi="Arial" w:cs="Times New Roman"/>
      <w:color w:val="22789A"/>
      <w:sz w:val="16"/>
      <w:szCs w:val="20"/>
      <w:lang w:val="en"/>
    </w:rPr>
  </w:style>
  <w:style w:type="paragraph" w:styleId="Quote">
    <w:name w:val="Quote"/>
    <w:basedOn w:val="Normal"/>
    <w:next w:val="Normal"/>
    <w:link w:val="QuoteChar"/>
    <w:uiPriority w:val="29"/>
    <w:rsid w:val="008F3372"/>
    <w:pPr>
      <w:ind w:left="2552" w:right="521"/>
    </w:pPr>
    <w:rPr>
      <w:rFonts w:asciiTheme="minorHAnsi" w:hAnsiTheme="minorHAnsi"/>
      <w:iCs/>
      <w:color w:val="595A5B" w:themeColor="text1"/>
      <w:sz w:val="18"/>
    </w:rPr>
  </w:style>
  <w:style w:type="character" w:customStyle="1" w:styleId="QuoteChar">
    <w:name w:val="Quote Char"/>
    <w:basedOn w:val="DefaultParagraphFont"/>
    <w:link w:val="Quote"/>
    <w:uiPriority w:val="29"/>
    <w:rsid w:val="008F3372"/>
    <w:rPr>
      <w:iCs/>
      <w:color w:val="595A5B" w:themeColor="text1"/>
      <w:sz w:val="18"/>
    </w:rPr>
  </w:style>
  <w:style w:type="paragraph" w:customStyle="1" w:styleId="TableListBullet">
    <w:name w:val="Table List Bullet"/>
    <w:basedOn w:val="Tabletext"/>
    <w:rsid w:val="008F3372"/>
    <w:pPr>
      <w:numPr>
        <w:numId w:val="38"/>
      </w:numPr>
    </w:pPr>
    <w:rPr>
      <w:rFonts w:eastAsia="Times New Roman"/>
      <w:lang w:eastAsia="en-AU"/>
    </w:rPr>
  </w:style>
  <w:style w:type="numbering" w:customStyle="1" w:styleId="OCETableBullets">
    <w:name w:val="OCE Table Bullets"/>
    <w:uiPriority w:val="99"/>
    <w:rsid w:val="008F3372"/>
    <w:pPr>
      <w:numPr>
        <w:numId w:val="15"/>
      </w:numPr>
    </w:pPr>
  </w:style>
  <w:style w:type="paragraph" w:customStyle="1" w:styleId="InsertionStyle">
    <w:name w:val="Insertion Style"/>
    <w:basedOn w:val="Normal"/>
    <w:link w:val="InsertionStyleChar"/>
    <w:qFormat/>
    <w:rsid w:val="00F60468"/>
    <w:pPr>
      <w:spacing w:before="120" w:after="200" w:line="276" w:lineRule="auto"/>
      <w:ind w:left="0"/>
      <w:jc w:val="left"/>
    </w:pPr>
    <w:rPr>
      <w:color w:val="1E789A"/>
      <w:sz w:val="22"/>
      <w:lang w:eastAsia="en-AU"/>
    </w:rPr>
  </w:style>
  <w:style w:type="character" w:customStyle="1" w:styleId="InsertionStyleChar">
    <w:name w:val="Insertion Style Char"/>
    <w:basedOn w:val="DefaultParagraphFont"/>
    <w:link w:val="InsertionStyle"/>
    <w:rsid w:val="00F60468"/>
    <w:rPr>
      <w:rFonts w:ascii="Arial" w:hAnsi="Arial"/>
      <w:color w:val="1E789A"/>
      <w:lang w:eastAsia="en-AU"/>
    </w:rPr>
  </w:style>
  <w:style w:type="paragraph" w:styleId="Revision">
    <w:name w:val="Revision"/>
    <w:hidden/>
    <w:uiPriority w:val="99"/>
    <w:semiHidden/>
    <w:rsid w:val="00CE1065"/>
    <w:pPr>
      <w:spacing w:after="0" w:line="240" w:lineRule="auto"/>
    </w:pPr>
    <w:rPr>
      <w:rFonts w:ascii="Arial" w:hAnsi="Arial"/>
      <w:color w:val="595A5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www.comlaw.gov.a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file:///C:/Users/LLing.PROTECTED/AppData/Local/Microsoft/Windows/Temporary%20Internet%20Files/Content.Outlook/0ORI5IDQ/sasan.bakhtiari@industry.gov.au" TargetMode="External"/><Relationship Id="rId17" Type="http://schemas.openxmlformats.org/officeDocument/2006/relationships/hyperlink" Target="http://creativecommons.org/licenses/by/3.0/au/legalcode"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www.industry.gov.au/OCE"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efeconomist@industry.gov.au"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gov.au/assistance/clean-technology-investment-program" TargetMode="External"/></Relationships>
</file>

<file path=word/theme/theme1.xml><?xml version="1.0" encoding="utf-8"?>
<a:theme xmlns:a="http://schemas.openxmlformats.org/drawingml/2006/main" name="Office Theme">
  <a:themeElements>
    <a:clrScheme name="OCE 1">
      <a:dk1>
        <a:srgbClr val="595A5B"/>
      </a:dk1>
      <a:lt1>
        <a:srgbClr val="FFFFFF"/>
      </a:lt1>
      <a:dk2>
        <a:srgbClr val="FFFFFF"/>
      </a:dk2>
      <a:lt2>
        <a:srgbClr val="292067"/>
      </a:lt2>
      <a:accent1>
        <a:srgbClr val="22789A"/>
      </a:accent1>
      <a:accent2>
        <a:srgbClr val="9ED9DF"/>
      </a:accent2>
      <a:accent3>
        <a:srgbClr val="BCBFC1"/>
      </a:accent3>
      <a:accent4>
        <a:srgbClr val="595A5B"/>
      </a:accent4>
      <a:accent5>
        <a:srgbClr val="C979A7"/>
      </a:accent5>
      <a:accent6>
        <a:srgbClr val="0072B2"/>
      </a:accent6>
      <a:hlink>
        <a:srgbClr val="22789A"/>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69CDEFA52F2CB4D9860A76B602E27F3" ma:contentTypeVersion="78" ma:contentTypeDescription="Core Publishing Document, inherited from OOTB document." ma:contentTypeScope="" ma:versionID="691fa46638dd1796bfcc443d030dadba">
  <xsd:schema xmlns:xsd="http://www.w3.org/2001/XMLSchema" xmlns:xs="http://www.w3.org/2001/XMLSchema" xmlns:p="http://schemas.microsoft.com/office/2006/metadata/properties" xmlns:ns1="http://schemas.microsoft.com/sharepoint/v3" xmlns:ns2="d580843d-216d-45a8-9226-4ce87fce8ec1" xmlns:ns3="c0b4bd0a-f6ac-422c-a0b2-ddc3a705a698" targetNamespace="http://schemas.microsoft.com/office/2006/metadata/properties" ma:root="true" ma:fieldsID="731d6cfb07b9c27845297ef9cc7fdc92" ns1:_="" ns2:_="" ns3:_="">
    <xsd:import namespace="http://schemas.microsoft.com/sharepoint/v3"/>
    <xsd:import namespace="d580843d-216d-45a8-9226-4ce87fce8ec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0843d-216d-45a8-9226-4ce87fce8ec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CorePublishingDocumentChangeDescription xmlns="d580843d-216d-45a8-9226-4ce87fce8ec1" xsi:nil="true"/>
    <IPSCategory xmlns="d580843d-216d-45a8-9226-4ce87fce8ec1" xsi:nil="true"/>
    <CorePublishingComments xmlns="d580843d-216d-45a8-9226-4ce87fce8ec1" xsi:nil="true"/>
    <CorePublishingFileReference xmlns="d580843d-216d-45a8-9226-4ce87fce8ec1" xsi:nil="true"/>
    <SubjectLookupField xmlns="c0b4bd0a-f6ac-422c-a0b2-ddc3a705a698"/>
    <PublishingExpirationDate xmlns="http://schemas.microsoft.com/sharepoint/v3" xsi:nil="true"/>
    <PublishingStartDate xmlns="http://schemas.microsoft.com/sharepoint/v3" xsi:nil="true"/>
    <CorePublishingDocumentContact xmlns="d580843d-216d-45a8-9226-4ce87fce8ec1">
      <UserInfo>
        <DisplayName/>
        <AccountId xsi:nil="true"/>
        <AccountType/>
      </UserInfo>
    </CorePublishingDocumentContact>
    <IncludeInNotificationsAndUpdates xmlns="d580843d-216d-45a8-9226-4ce87fce8ec1">true</IncludeInNotificationsAndUpdates>
    <IncludeInRSSFeeds xmlns="d580843d-216d-45a8-9226-4ce87fce8ec1">false</IncludeInRSSFeeds>
    <IncludeInContentRollups xmlns="d580843d-216d-45a8-9226-4ce87fce8ec1">false</IncludeInContentRollups>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B506-6CAC-495B-93A1-0E518BB01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80843d-216d-45a8-9226-4ce87fce8ec1"/>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2E28D-6947-480F-BBF1-3DFDF858D2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d580843d-216d-45a8-9226-4ce87fce8ec1"/>
    <ds:schemaRef ds:uri="http://purl.org/dc/terms/"/>
    <ds:schemaRef ds:uri="http://schemas.openxmlformats.org/package/2006/metadata/core-properties"/>
    <ds:schemaRef ds:uri="c0b4bd0a-f6ac-422c-a0b2-ddc3a705a698"/>
    <ds:schemaRef ds:uri="http://www.w3.org/XML/1998/namespace"/>
    <ds:schemaRef ds:uri="http://purl.org/dc/dcmitype/"/>
  </ds:schemaRefs>
</ds:datastoreItem>
</file>

<file path=customXml/itemProps3.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4.xml><?xml version="1.0" encoding="utf-8"?>
<ds:datastoreItem xmlns:ds="http://schemas.openxmlformats.org/officeDocument/2006/customXml" ds:itemID="{DCB84E43-E042-4958-ADC1-B1320587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4642</Words>
  <Characters>26465</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Business Dynamics of a Clean Energy Policy</vt:lpstr>
    </vt:vector>
  </TitlesOfParts>
  <Company>INDUSTRY</Company>
  <LinksUpToDate>false</LinksUpToDate>
  <CharactersWithSpaces>31045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Dynamics of a Clean Energy Policy</dc:title>
  <dc:subject>Energy economics</dc:subject>
  <dc:creator>Department of Industry, Innovation and Science</dc:creator>
  <cp:keywords>Energy, economics</cp:keywords>
  <cp:lastModifiedBy>McGregor, Lenore</cp:lastModifiedBy>
  <cp:revision>2</cp:revision>
  <cp:lastPrinted>2016-02-12T04:11:00Z</cp:lastPrinted>
  <dcterms:created xsi:type="dcterms:W3CDTF">2018-06-11T01:48:00Z</dcterms:created>
  <dcterms:modified xsi:type="dcterms:W3CDTF">2018-06-11T01:48:00Z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0x01010097F86F0C24D64525B252BB20BD9D45A700C69CDEFA52F2CB4D9860A76B602E27F3</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ies>
</file>