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147413146"/>
        <w:docPartObj>
          <w:docPartGallery w:val="Cover Pages"/>
          <w:docPartUnique/>
        </w:docPartObj>
      </w:sdtPr>
      <w:sdtEndPr/>
      <w:sdtContent>
        <w:tbl>
          <w:tblPr>
            <w:tblW w:w="0" w:type="auto"/>
            <w:tblLook w:val="0400" w:firstRow="0" w:lastRow="0" w:firstColumn="0" w:lastColumn="0" w:noHBand="0" w:noVBand="1"/>
          </w:tblPr>
          <w:tblGrid>
            <w:gridCol w:w="9026"/>
          </w:tblGrid>
          <w:tr w:rsidR="00830FDC" w14:paraId="61B83ADC" w14:textId="77777777" w:rsidTr="00866271">
            <w:trPr>
              <w:cantSplit/>
              <w:trHeight w:val="993"/>
            </w:trPr>
            <w:tc>
              <w:tcPr>
                <w:tcW w:w="9242" w:type="dxa"/>
              </w:tcPr>
              <w:p w14:paraId="3FA6E021" w14:textId="3928D563" w:rsidR="00830FDC" w:rsidRDefault="0020515A" w:rsidP="00D0090A">
                <w:pPr>
                  <w:pStyle w:val="CoverNormal"/>
                </w:pPr>
                <w:r>
                  <w:rPr>
                    <w:noProof/>
                    <w:lang w:eastAsia="en-AU"/>
                  </w:rPr>
                  <w:drawing>
                    <wp:anchor distT="0" distB="0" distL="114300" distR="114300" simplePos="0" relativeHeight="251662336" behindDoc="0" locked="0" layoutInCell="1" allowOverlap="1" wp14:anchorId="3CC8852F" wp14:editId="3AF9EBFF">
                      <wp:simplePos x="0" y="0"/>
                      <wp:positionH relativeFrom="column">
                        <wp:posOffset>2579522</wp:posOffset>
                      </wp:positionH>
                      <wp:positionV relativeFrom="paragraph">
                        <wp:posOffset>1</wp:posOffset>
                      </wp:positionV>
                      <wp:extent cx="3078811" cy="482960"/>
                      <wp:effectExtent l="0" t="0" r="0" b="0"/>
                      <wp:wrapNone/>
                      <wp:docPr id="11" name="Picture 11" title="O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40804 OCE lockup 01 RBG.png"/>
                              <pic:cNvPicPr/>
                            </pic:nvPicPr>
                            <pic:blipFill>
                              <a:blip r:embed="rId11">
                                <a:extLst>
                                  <a:ext uri="{28A0092B-C50C-407E-A947-70E740481C1C}">
                                    <a14:useLocalDpi xmlns:a14="http://schemas.microsoft.com/office/drawing/2010/main" val="0"/>
                                  </a:ext>
                                </a:extLst>
                              </a:blip>
                              <a:stretch>
                                <a:fillRect/>
                              </a:stretch>
                            </pic:blipFill>
                            <pic:spPr>
                              <a:xfrm>
                                <a:off x="0" y="0"/>
                                <a:ext cx="3105861" cy="487203"/>
                              </a:xfrm>
                              <a:prstGeom prst="rect">
                                <a:avLst/>
                              </a:prstGeom>
                            </pic:spPr>
                          </pic:pic>
                        </a:graphicData>
                      </a:graphic>
                      <wp14:sizeRelH relativeFrom="page">
                        <wp14:pctWidth>0</wp14:pctWidth>
                      </wp14:sizeRelH>
                      <wp14:sizeRelV relativeFrom="page">
                        <wp14:pctHeight>0</wp14:pctHeight>
                      </wp14:sizeRelV>
                    </wp:anchor>
                  </w:drawing>
                </w:r>
                <w:r w:rsidR="00964B20">
                  <w:t xml:space="preserve"> </w:t>
                </w:r>
              </w:p>
              <w:p w14:paraId="7FF128D4" w14:textId="0F0F0095" w:rsidR="00830FDC" w:rsidRDefault="00830FDC" w:rsidP="00D0090A">
                <w:pPr>
                  <w:pStyle w:val="ResearchPaper"/>
                </w:pPr>
              </w:p>
            </w:tc>
          </w:tr>
          <w:tr w:rsidR="00830FDC" w14:paraId="4BF5EE5F" w14:textId="77777777" w:rsidTr="00866271">
            <w:trPr>
              <w:cantSplit/>
              <w:trHeight w:hRule="exact" w:val="709"/>
            </w:trPr>
            <w:tc>
              <w:tcPr>
                <w:tcW w:w="9242" w:type="dxa"/>
                <w:vAlign w:val="bottom"/>
              </w:tcPr>
              <w:p w14:paraId="73B6EED9" w14:textId="3F8EFA3A" w:rsidR="00830FDC" w:rsidRDefault="00A94BA9" w:rsidP="00A94BA9">
                <w:pPr>
                  <w:pStyle w:val="ResearchPaper"/>
                </w:pPr>
                <w:r>
                  <w:t xml:space="preserve">UPDATED </w:t>
                </w:r>
                <w:r w:rsidR="00E9166E">
                  <w:t xml:space="preserve">Research Paper </w:t>
                </w:r>
                <w:r w:rsidR="0024337F" w:rsidRPr="0024337F">
                  <w:t>3/2015</w:t>
                </w:r>
              </w:p>
            </w:tc>
          </w:tr>
          <w:tr w:rsidR="00830FDC" w14:paraId="408D2429" w14:textId="77777777" w:rsidTr="00866271">
            <w:trPr>
              <w:cantSplit/>
              <w:trHeight w:val="2543"/>
            </w:trPr>
            <w:tc>
              <w:tcPr>
                <w:tcW w:w="9242" w:type="dxa"/>
              </w:tcPr>
              <w:p w14:paraId="34C68FF3" w14:textId="77777777" w:rsidR="00830FDC" w:rsidRPr="0079221B" w:rsidRDefault="00830FDC" w:rsidP="00D0090A">
                <w:pPr>
                  <w:pStyle w:val="TitleHeading"/>
                  <w:rPr>
                    <w:rFonts w:eastAsiaTheme="minorHAnsi"/>
                  </w:rPr>
                </w:pPr>
                <w:r w:rsidRPr="00861ACA">
                  <w:t>Australian geography of innovative entrepreneurship</w:t>
                </w:r>
              </w:p>
            </w:tc>
          </w:tr>
          <w:tr w:rsidR="00830FDC" w14:paraId="00315318" w14:textId="77777777" w:rsidTr="00866271">
            <w:trPr>
              <w:cantSplit/>
            </w:trPr>
            <w:tc>
              <w:tcPr>
                <w:tcW w:w="9242" w:type="dxa"/>
                <w:vAlign w:val="center"/>
              </w:tcPr>
              <w:p w14:paraId="01B10C4B" w14:textId="6F50F101" w:rsidR="00830FDC" w:rsidRDefault="00830FDC" w:rsidP="00EB034A">
                <w:pPr>
                  <w:pStyle w:val="Author"/>
                  <w:spacing w:before="0" w:line="240" w:lineRule="auto"/>
                </w:pPr>
                <w:r>
                  <w:t xml:space="preserve">Samira Hassan, </w:t>
                </w:r>
                <w:r w:rsidR="00EB034A">
                  <w:t xml:space="preserve">Francy Bulic, </w:t>
                </w:r>
                <w:r>
                  <w:t>Stan Bucifal, Paul Drake</w:t>
                </w:r>
                <w:r w:rsidR="00893061">
                  <w:t xml:space="preserve"> </w:t>
                </w:r>
                <w:r>
                  <w:t>and Luke Hendrickson</w:t>
                </w:r>
              </w:p>
            </w:tc>
          </w:tr>
          <w:tr w:rsidR="00830FDC" w14:paraId="5A969ED5" w14:textId="77777777" w:rsidTr="00866271">
            <w:trPr>
              <w:cantSplit/>
            </w:trPr>
            <w:tc>
              <w:tcPr>
                <w:tcW w:w="9242" w:type="dxa"/>
                <w:vAlign w:val="center"/>
              </w:tcPr>
              <w:sdt>
                <w:sdtPr>
                  <w:rPr>
                    <w:rStyle w:val="MonthYearChar"/>
                    <w:rFonts w:eastAsiaTheme="majorEastAsia"/>
                  </w:rPr>
                  <w:alias w:val="Date (Month &amp; Year)"/>
                  <w:tag w:val="Date (Month &amp; Year)"/>
                  <w:id w:val="-586145151"/>
                  <w:date w:fullDate="2016-11-23T00:00:00Z">
                    <w:dateFormat w:val="MMMM yyyy"/>
                    <w:lid w:val="en-AU"/>
                    <w:storeMappedDataAs w:val="dateTime"/>
                    <w:calendar w:val="gregorian"/>
                  </w:date>
                </w:sdtPr>
                <w:sdtEndPr>
                  <w:rPr>
                    <w:rStyle w:val="DefaultParagraphFont"/>
                    <w:rFonts w:eastAsia="Times New Roman"/>
                    <w:b/>
                  </w:rPr>
                </w:sdtEndPr>
                <w:sdtContent>
                  <w:p w14:paraId="7F4D7BE3" w14:textId="00872113" w:rsidR="00830FDC" w:rsidRDefault="00232E73">
                    <w:pPr>
                      <w:pStyle w:val="MonthYear"/>
                    </w:pPr>
                    <w:r>
                      <w:rPr>
                        <w:rStyle w:val="MonthYearChar"/>
                        <w:rFonts w:eastAsiaTheme="majorEastAsia"/>
                      </w:rPr>
                      <w:t>November 2016</w:t>
                    </w:r>
                  </w:p>
                </w:sdtContent>
              </w:sdt>
            </w:tc>
          </w:tr>
          <w:tr w:rsidR="00830FDC" w14:paraId="53C11D8D" w14:textId="77777777" w:rsidTr="00866271">
            <w:trPr>
              <w:cantSplit/>
              <w:trHeight w:val="600"/>
            </w:trPr>
            <w:tc>
              <w:tcPr>
                <w:tcW w:w="9242" w:type="dxa"/>
              </w:tcPr>
              <w:p w14:paraId="5F582645" w14:textId="77777777" w:rsidR="00830FDC" w:rsidRDefault="00830FDC" w:rsidP="00D0090A">
                <w:pPr>
                  <w:pStyle w:val="AbstractHeader"/>
                </w:pPr>
                <w:r w:rsidRPr="002054C2">
                  <w:t>Abstract</w:t>
                </w:r>
              </w:p>
            </w:tc>
          </w:tr>
          <w:tr w:rsidR="00830FDC" w14:paraId="4F6BD819" w14:textId="77777777" w:rsidTr="00866271">
            <w:trPr>
              <w:cantSplit/>
              <w:trHeight w:val="1125"/>
            </w:trPr>
            <w:tc>
              <w:tcPr>
                <w:tcW w:w="9242" w:type="dxa"/>
              </w:tcPr>
              <w:p w14:paraId="7A25264F" w14:textId="3E2507C1" w:rsidR="00830FDC" w:rsidRPr="00540B48" w:rsidRDefault="00830FDC" w:rsidP="00D0090A">
                <w:pPr>
                  <w:pStyle w:val="AbstractText"/>
                </w:pPr>
                <w:r w:rsidRPr="00540B48">
                  <w:t>Th</w:t>
                </w:r>
                <w:r>
                  <w:t>is</w:t>
                </w:r>
                <w:r w:rsidRPr="00540B48">
                  <w:t xml:space="preserve"> </w:t>
                </w:r>
                <w:r w:rsidR="00893061">
                  <w:t xml:space="preserve">updated </w:t>
                </w:r>
                <w:r w:rsidRPr="00540B48">
                  <w:t xml:space="preserve">paper explores the </w:t>
                </w:r>
                <w:r>
                  <w:t xml:space="preserve">patterns of innovative entrepreneurship in Australia, showing the distribution and </w:t>
                </w:r>
                <w:r w:rsidRPr="00540B48">
                  <w:t xml:space="preserve">concentration of business </w:t>
                </w:r>
                <w:r>
                  <w:t>creation</w:t>
                </w:r>
                <w:r w:rsidRPr="00540B48">
                  <w:t xml:space="preserve">, </w:t>
                </w:r>
                <w:r>
                  <w:t xml:space="preserve">research and development (R&amp;D), </w:t>
                </w:r>
                <w:r w:rsidRPr="00540B48">
                  <w:t>patenting and trademark</w:t>
                </w:r>
                <w:r>
                  <w:t xml:space="preserve"> activity</w:t>
                </w:r>
                <w:r w:rsidRPr="00540B48">
                  <w:t xml:space="preserve"> across various regions of Australia. </w:t>
                </w:r>
                <w:r w:rsidR="00893061">
                  <w:t>T</w:t>
                </w:r>
                <w:r w:rsidRPr="00540B48">
                  <w:t>he paper fi</w:t>
                </w:r>
                <w:r>
                  <w:t>nds that during the period 2008</w:t>
                </w:r>
                <w:r>
                  <w:rPr>
                    <w:rFonts w:cstheme="minorHAnsi"/>
                  </w:rPr>
                  <w:t>–</w:t>
                </w:r>
                <w:r w:rsidRPr="00540B48">
                  <w:t>1</w:t>
                </w:r>
                <w:r w:rsidR="004A6E2D">
                  <w:t>5</w:t>
                </w:r>
                <w:r>
                  <w:t xml:space="preserve"> these activities are concentrated in </w:t>
                </w:r>
                <w:r w:rsidRPr="00540B48">
                  <w:t>the major metropolitan areas of Australia, Sydney</w:t>
                </w:r>
                <w:r>
                  <w:t xml:space="preserve"> in particular.</w:t>
                </w:r>
                <w:r w:rsidR="00893061">
                  <w:t xml:space="preserve"> </w:t>
                </w:r>
                <w:r>
                  <w:t xml:space="preserve">Innovation and entrepreneurship go hand in hand. There are no regions in Australia where high </w:t>
                </w:r>
                <w:r w:rsidR="00266986">
                  <w:t xml:space="preserve">intellectual property- </w:t>
                </w:r>
                <w:r>
                  <w:t xml:space="preserve">generation does not occur in tandem with high entrepreneurship. </w:t>
                </w:r>
                <w:r w:rsidRPr="00540B48">
                  <w:t xml:space="preserve">It was found that an increase in the number of patents and trademarks in a given region was </w:t>
                </w:r>
                <w:r>
                  <w:t xml:space="preserve">positively </w:t>
                </w:r>
                <w:r w:rsidRPr="00540B48">
                  <w:t>associated with an increase in the number of business entries. In addition, for every 1</w:t>
                </w:r>
                <w:r>
                  <w:t xml:space="preserve"> per cent </w:t>
                </w:r>
                <w:r w:rsidRPr="00540B48">
                  <w:t>increase in R&amp;D expenditure, a 0.</w:t>
                </w:r>
                <w:r>
                  <w:t xml:space="preserve">35 per cent </w:t>
                </w:r>
                <w:r w:rsidRPr="00540B48">
                  <w:t xml:space="preserve">increase was observed in patent </w:t>
                </w:r>
                <w:r w:rsidR="004E512F">
                  <w:t>applicant</w:t>
                </w:r>
                <w:r w:rsidR="004E512F" w:rsidRPr="00540B48">
                  <w:t xml:space="preserve"> </w:t>
                </w:r>
                <w:r w:rsidRPr="00540B48">
                  <w:t>counts and a 0.</w:t>
                </w:r>
                <w:r>
                  <w:t xml:space="preserve">40 per cent </w:t>
                </w:r>
                <w:r w:rsidRPr="00540B48">
                  <w:t xml:space="preserve">increase in trademark </w:t>
                </w:r>
                <w:r w:rsidR="004E512F">
                  <w:t>applicant</w:t>
                </w:r>
                <w:r w:rsidR="004E512F" w:rsidRPr="00540B48">
                  <w:t xml:space="preserve"> </w:t>
                </w:r>
                <w:r w:rsidRPr="00540B48">
                  <w:t xml:space="preserve">counts. </w:t>
                </w:r>
              </w:p>
              <w:p w14:paraId="7E3B990F" w14:textId="2CB2B8D7" w:rsidR="00830FDC" w:rsidRPr="00C63547" w:rsidRDefault="00830FDC" w:rsidP="00D0090A">
                <w:pPr>
                  <w:pStyle w:val="AbstractText"/>
                </w:pPr>
                <w:r w:rsidRPr="00540B48">
                  <w:t xml:space="preserve">Significant </w:t>
                </w:r>
                <w:r>
                  <w:t>convergence</w:t>
                </w:r>
                <w:r w:rsidRPr="00540B48">
                  <w:t xml:space="preserve"> of high </w:t>
                </w:r>
                <w:r>
                  <w:t>levels of innovation</w:t>
                </w:r>
                <w:r w:rsidRPr="00540B48">
                  <w:t xml:space="preserve"> activit</w:t>
                </w:r>
                <w:r>
                  <w:t>y</w:t>
                </w:r>
                <w:r w:rsidRPr="00540B48">
                  <w:t xml:space="preserve"> and business creation </w:t>
                </w:r>
                <w:r>
                  <w:t>was</w:t>
                </w:r>
                <w:r w:rsidRPr="00540B48">
                  <w:t xml:space="preserve"> observed in areas of New South Wales and Queensland</w:t>
                </w:r>
                <w:r>
                  <w:t>,</w:t>
                </w:r>
                <w:r w:rsidRPr="00540B48">
                  <w:t xml:space="preserve"> where large number</w:t>
                </w:r>
                <w:r>
                  <w:t>s</w:t>
                </w:r>
                <w:r w:rsidRPr="00540B48">
                  <w:t xml:space="preserve"> of businesses were generated in the </w:t>
                </w:r>
                <w:r w:rsidRPr="00F43CA9">
                  <w:rPr>
                    <w:i/>
                  </w:rPr>
                  <w:t>Professional, Scientific and Technical Services</w:t>
                </w:r>
                <w:r w:rsidRPr="00540B48">
                  <w:t xml:space="preserve"> </w:t>
                </w:r>
                <w:r>
                  <w:t>industry</w:t>
                </w:r>
                <w:r w:rsidRPr="00540B48">
                  <w:t xml:space="preserve">. The presence of </w:t>
                </w:r>
                <w:r>
                  <w:t xml:space="preserve">publicly funded </w:t>
                </w:r>
                <w:r w:rsidRPr="00540B48">
                  <w:t xml:space="preserve">research organisations in </w:t>
                </w:r>
                <w:r>
                  <w:t>a</w:t>
                </w:r>
                <w:r w:rsidRPr="00540B48">
                  <w:t xml:space="preserve"> region, particularly those hosting Centres of Excellence and Cooperative Research Centres, produced </w:t>
                </w:r>
                <w:r>
                  <w:t>levels of patenting and trademarking</w:t>
                </w:r>
                <w:r w:rsidR="00893061">
                  <w:t>;</w:t>
                </w:r>
                <w:r w:rsidRPr="00540B48">
                  <w:t xml:space="preserve"> </w:t>
                </w:r>
                <w:r>
                  <w:t>three and a half times higher than</w:t>
                </w:r>
                <w:r w:rsidRPr="00540B48">
                  <w:t xml:space="preserve"> the national average. </w:t>
                </w:r>
                <w:r>
                  <w:t xml:space="preserve">Regions that host these research centres were also found to have twice as many businesses in the </w:t>
                </w:r>
                <w:r w:rsidRPr="00F43CA9">
                  <w:rPr>
                    <w:i/>
                  </w:rPr>
                  <w:t>Professional, Scientific and Technical Services</w:t>
                </w:r>
                <w:r w:rsidRPr="00540B48">
                  <w:t xml:space="preserve"> </w:t>
                </w:r>
                <w:r>
                  <w:t>industry</w:t>
                </w:r>
                <w:r w:rsidRPr="00540B48">
                  <w:t>.</w:t>
                </w:r>
              </w:p>
            </w:tc>
          </w:tr>
          <w:tr w:rsidR="00830FDC" w14:paraId="410CAE14" w14:textId="77777777" w:rsidTr="00866271">
            <w:trPr>
              <w:cantSplit/>
              <w:trHeight w:val="656"/>
            </w:trPr>
            <w:tc>
              <w:tcPr>
                <w:tcW w:w="9242" w:type="dxa"/>
              </w:tcPr>
              <w:p w14:paraId="774E1676" w14:textId="77777777" w:rsidR="00830FDC" w:rsidRPr="00116A9D" w:rsidRDefault="00830FDC" w:rsidP="00D0090A">
                <w:pPr>
                  <w:pStyle w:val="JELCodeheader"/>
                  <w:rPr>
                    <w:b w:val="0"/>
                  </w:rPr>
                </w:pPr>
                <w:r w:rsidRPr="00C63547">
                  <w:t>JEL Codes:</w:t>
                </w:r>
                <w:r w:rsidRPr="00116A9D">
                  <w:rPr>
                    <w:b w:val="0"/>
                  </w:rPr>
                  <w:t xml:space="preserve"> </w:t>
                </w:r>
                <w:r>
                  <w:rPr>
                    <w:b w:val="0"/>
                  </w:rPr>
                  <w:t>L26, O34, R30</w:t>
                </w:r>
              </w:p>
              <w:p w14:paraId="09C0B5D7" w14:textId="4E89F8EA" w:rsidR="00830FDC" w:rsidRPr="0079221B" w:rsidRDefault="00830FDC">
                <w:pPr>
                  <w:pStyle w:val="JELCodeheader"/>
                  <w:rPr>
                    <w:b w:val="0"/>
                  </w:rPr>
                </w:pPr>
                <w:r w:rsidRPr="00C63547">
                  <w:t>Keywords:</w:t>
                </w:r>
                <w:r w:rsidRPr="00116A9D">
                  <w:rPr>
                    <w:b w:val="0"/>
                  </w:rPr>
                  <w:t xml:space="preserve"> </w:t>
                </w:r>
                <w:r>
                  <w:rPr>
                    <w:b w:val="0"/>
                  </w:rPr>
                  <w:t>Innovation geography, patent, trademark, geographical cluster, entrepreneurship</w:t>
                </w:r>
              </w:p>
            </w:tc>
          </w:tr>
        </w:tbl>
        <w:p w14:paraId="1E7F1F37" w14:textId="77777777" w:rsidR="00830FDC" w:rsidRDefault="00830FDC" w:rsidP="00830FDC">
          <w:pPr>
            <w:pStyle w:val="DisclaimerHeading"/>
            <w:ind w:left="0"/>
          </w:pPr>
          <w:r>
            <w:br w:type="page"/>
          </w:r>
        </w:p>
        <w:p w14:paraId="6C2FA0CA" w14:textId="04E99F64" w:rsidR="00A94BA9" w:rsidRDefault="0020515A" w:rsidP="0020515A">
          <w:pPr>
            <w:pStyle w:val="BodyText"/>
          </w:pPr>
          <w:r>
            <w:rPr>
              <w:noProof/>
              <w:lang w:eastAsia="en-AU"/>
            </w:rPr>
            <w:lastRenderedPageBreak/>
            <w:drawing>
              <wp:anchor distT="0" distB="0" distL="114300" distR="114300" simplePos="0" relativeHeight="251664384" behindDoc="0" locked="0" layoutInCell="1" allowOverlap="1" wp14:anchorId="11947C06" wp14:editId="2221AF60">
                <wp:simplePos x="0" y="0"/>
                <wp:positionH relativeFrom="margin">
                  <wp:align>right</wp:align>
                </wp:positionH>
                <wp:positionV relativeFrom="paragraph">
                  <wp:posOffset>-226822</wp:posOffset>
                </wp:positionV>
                <wp:extent cx="3078811" cy="482960"/>
                <wp:effectExtent l="0" t="0" r="0" b="0"/>
                <wp:wrapNone/>
                <wp:docPr id="12" name="Picture 12" title="O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40804 OCE lockup 01 RBG.png"/>
                        <pic:cNvPicPr/>
                      </pic:nvPicPr>
                      <pic:blipFill>
                        <a:blip r:embed="rId11">
                          <a:extLst>
                            <a:ext uri="{28A0092B-C50C-407E-A947-70E740481C1C}">
                              <a14:useLocalDpi xmlns:a14="http://schemas.microsoft.com/office/drawing/2010/main" val="0"/>
                            </a:ext>
                          </a:extLst>
                        </a:blip>
                        <a:stretch>
                          <a:fillRect/>
                        </a:stretch>
                      </pic:blipFill>
                      <pic:spPr>
                        <a:xfrm>
                          <a:off x="0" y="0"/>
                          <a:ext cx="3078811" cy="482960"/>
                        </a:xfrm>
                        <a:prstGeom prst="rect">
                          <a:avLst/>
                        </a:prstGeom>
                      </pic:spPr>
                    </pic:pic>
                  </a:graphicData>
                </a:graphic>
                <wp14:sizeRelH relativeFrom="page">
                  <wp14:pctWidth>0</wp14:pctWidth>
                </wp14:sizeRelH>
                <wp14:sizeRelV relativeFrom="page">
                  <wp14:pctHeight>0</wp14:pctHeight>
                </wp14:sizeRelV>
              </wp:anchor>
            </w:drawing>
          </w:r>
        </w:p>
        <w:p w14:paraId="0DDD54AE" w14:textId="48E1438F" w:rsidR="00830FDC" w:rsidRPr="00F12E30" w:rsidRDefault="00830FDC" w:rsidP="00830FDC">
          <w:pPr>
            <w:pStyle w:val="DisclaimerHeading"/>
            <w:spacing w:before="600"/>
          </w:pPr>
          <w:r w:rsidRPr="00F12E30">
            <w:t xml:space="preserve">For further information on this research paper please </w:t>
          </w:r>
          <w:r w:rsidRPr="00B91524">
            <w:t xml:space="preserve">contact: </w:t>
          </w:r>
        </w:p>
        <w:p w14:paraId="7F064690" w14:textId="77777777" w:rsidR="00830FDC" w:rsidRPr="00EC76AE" w:rsidRDefault="00830FDC" w:rsidP="00830FDC">
          <w:pPr>
            <w:pStyle w:val="DisclaimerandAcknowledgement"/>
            <w:spacing w:after="0"/>
          </w:pPr>
          <w:r>
            <w:t>Manager</w:t>
          </w:r>
        </w:p>
        <w:p w14:paraId="2ECDFAB9" w14:textId="77777777" w:rsidR="00830FDC" w:rsidRPr="00EC76AE" w:rsidRDefault="00830FDC" w:rsidP="00830FDC">
          <w:pPr>
            <w:pStyle w:val="DisclaimerandAcknowledgement"/>
            <w:spacing w:after="0"/>
          </w:pPr>
          <w:r>
            <w:t>Innovation Research</w:t>
          </w:r>
        </w:p>
        <w:p w14:paraId="2F186127" w14:textId="5268C491" w:rsidR="00830FDC" w:rsidRPr="00B91524" w:rsidRDefault="00830FDC" w:rsidP="00830FDC">
          <w:pPr>
            <w:pStyle w:val="DisclaimerandAcknowledgement"/>
            <w:spacing w:after="0"/>
          </w:pPr>
          <w:r w:rsidRPr="00B91524">
            <w:t>Department of Industry</w:t>
          </w:r>
          <w:r w:rsidR="006C5399">
            <w:t>, Innovation</w:t>
          </w:r>
          <w:r>
            <w:t xml:space="preserve"> and Science</w:t>
          </w:r>
        </w:p>
        <w:p w14:paraId="5553D5C1" w14:textId="77777777" w:rsidR="00830FDC" w:rsidRPr="00EC76AE" w:rsidRDefault="00830FDC" w:rsidP="00830FDC">
          <w:pPr>
            <w:pStyle w:val="DisclaimerandAcknowledgement"/>
            <w:spacing w:after="0"/>
          </w:pPr>
          <w:r w:rsidRPr="00EC76AE">
            <w:t>GPO Box 9839</w:t>
          </w:r>
        </w:p>
        <w:p w14:paraId="0C3C3CFC" w14:textId="77777777" w:rsidR="00830FDC" w:rsidRPr="00EC76AE" w:rsidRDefault="00830FDC" w:rsidP="00830FDC">
          <w:pPr>
            <w:pStyle w:val="DisclaimerandAcknowledgement"/>
            <w:spacing w:after="0"/>
          </w:pPr>
          <w:r w:rsidRPr="00EC76AE">
            <w:t>Canberra ACT 2601</w:t>
          </w:r>
        </w:p>
        <w:p w14:paraId="7DFC4A4A" w14:textId="77777777" w:rsidR="00830FDC" w:rsidRPr="00EC76AE" w:rsidRDefault="00830FDC" w:rsidP="00830FDC">
          <w:pPr>
            <w:pStyle w:val="DisclaimerandAcknowledgement"/>
            <w:spacing w:after="0"/>
          </w:pPr>
          <w:r w:rsidRPr="00EC76AE">
            <w:t>Phone :</w:t>
          </w:r>
          <w:r>
            <w:t xml:space="preserve"> +61 2 6213 6000</w:t>
          </w:r>
        </w:p>
        <w:p w14:paraId="52BAE24E" w14:textId="77777777" w:rsidR="00830FDC" w:rsidRDefault="00830FDC" w:rsidP="00830FDC">
          <w:pPr>
            <w:pStyle w:val="DisclaimerandAcknowledgement"/>
            <w:spacing w:after="0"/>
            <w:rPr>
              <w:rStyle w:val="HyperlinkStyleChar"/>
            </w:rPr>
          </w:pPr>
          <w:r w:rsidRPr="00EC76AE">
            <w:t xml:space="preserve">Email: </w:t>
          </w:r>
          <w:hyperlink r:id="rId12" w:history="1">
            <w:r w:rsidRPr="002B5A6B">
              <w:rPr>
                <w:rStyle w:val="Hyperlink"/>
              </w:rPr>
              <w:t>innovation.report@industry.gov.au</w:t>
            </w:r>
          </w:hyperlink>
        </w:p>
        <w:p w14:paraId="6688BA0D" w14:textId="77777777" w:rsidR="00830FDC" w:rsidRPr="00EC76AE" w:rsidRDefault="00830FDC" w:rsidP="00830FDC">
          <w:pPr>
            <w:pStyle w:val="DisclaimerHeading"/>
          </w:pPr>
          <w:r w:rsidRPr="00EC76AE">
            <w:t>Disclaimer</w:t>
          </w:r>
        </w:p>
        <w:p w14:paraId="26567E42" w14:textId="3ED6C49A" w:rsidR="00830FDC" w:rsidRDefault="00830FDC" w:rsidP="00830FDC">
          <w:pPr>
            <w:pStyle w:val="DisclaimerandAcknowledgement"/>
          </w:pPr>
          <w:r>
            <w:t>The views expressed in this report are those of the author(s) and do not necessarily reflect those of the Australian Government or the Department of Industry</w:t>
          </w:r>
          <w:r w:rsidR="00C165A3">
            <w:t>, Innovation</w:t>
          </w:r>
          <w:r>
            <w:t xml:space="preserve"> and Science.</w:t>
          </w:r>
        </w:p>
        <w:p w14:paraId="5F367547" w14:textId="3EB644DE" w:rsidR="00830FDC" w:rsidRPr="00EC76AE" w:rsidRDefault="00830FDC" w:rsidP="00830FDC">
          <w:pPr>
            <w:pStyle w:val="DisclaimerandAcknowledgement"/>
          </w:pPr>
          <w:r w:rsidRPr="00EC76AE">
            <w:sym w:font="Symbol" w:char="F0D3"/>
          </w:r>
          <w:r w:rsidRPr="00EC76AE">
            <w:t xml:space="preserve"> Commonwealth of Australia </w:t>
          </w:r>
          <w:r>
            <w:t>201</w:t>
          </w:r>
          <w:r w:rsidR="00893061">
            <w:t>6</w:t>
          </w:r>
          <w:r>
            <w:t>.</w:t>
          </w:r>
          <w:r w:rsidRPr="00EC76AE">
            <w:t xml:space="preserve"> </w:t>
          </w:r>
        </w:p>
        <w:p w14:paraId="473E13B0" w14:textId="1C71BD17" w:rsidR="00830FDC" w:rsidRDefault="00830FDC" w:rsidP="00830FDC">
          <w:pPr>
            <w:pStyle w:val="DisclaimerandAcknowledgement"/>
            <w:rPr>
              <w:rStyle w:val="HyperlinkStyleChar"/>
              <w:sz w:val="18"/>
            </w:rPr>
          </w:pPr>
          <w:r w:rsidRPr="00EC76AE">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3" w:history="1">
            <w:r w:rsidRPr="0049772D">
              <w:rPr>
                <w:rStyle w:val="Hyperlink"/>
              </w:rPr>
              <w:t>chiefeconomist@industry.gov.au</w:t>
            </w:r>
          </w:hyperlink>
          <w:r w:rsidRPr="00B461F3">
            <w:rPr>
              <w:rFonts w:asciiTheme="minorHAnsi" w:hAnsiTheme="minorHAnsi" w:cstheme="minorHAnsi"/>
              <w:color w:val="666666"/>
              <w:szCs w:val="16"/>
            </w:rPr>
            <w:t>.</w:t>
          </w:r>
          <w:r>
            <w:rPr>
              <w:rFonts w:ascii="Tahoma" w:hAnsi="Tahoma" w:cs="Tahoma"/>
              <w:color w:val="666666"/>
              <w:sz w:val="18"/>
            </w:rPr>
            <w:t> </w:t>
          </w:r>
          <w:r w:rsidRPr="00EC76AE">
            <w:t xml:space="preserve">For more information on Office of the Chief Economist research papers please access the Department’s website at: </w:t>
          </w:r>
          <w:hyperlink r:id="rId14" w:tooltip="www.industry.gov.au/OCE" w:history="1">
            <w:r w:rsidRPr="0049772D">
              <w:rPr>
                <w:rStyle w:val="Hyperlink"/>
              </w:rPr>
              <w:t>www.industry.gov.au/OCE</w:t>
            </w:r>
          </w:hyperlink>
        </w:p>
        <w:p w14:paraId="33861A2F" w14:textId="01AC5D9B" w:rsidR="00830FDC" w:rsidRDefault="00830FDC" w:rsidP="00830FDC">
          <w:pPr>
            <w:pStyle w:val="DisclaimerandAcknowledgement"/>
            <w:rPr>
              <w:rStyle w:val="HyperlinkStyleChar"/>
              <w:sz w:val="18"/>
            </w:rPr>
          </w:pPr>
        </w:p>
        <w:p w14:paraId="3AA74F59" w14:textId="0D5E6BC8" w:rsidR="00830FDC" w:rsidRDefault="00866271" w:rsidP="00830FDC">
          <w:pPr>
            <w:rPr>
              <w:rStyle w:val="HyperlinkStyleChar"/>
              <w:rFonts w:cs="Arial"/>
              <w:b/>
              <w:color w:val="595A5B"/>
              <w:sz w:val="18"/>
            </w:rPr>
          </w:pPr>
          <w:r>
            <w:rPr>
              <w:rFonts w:ascii="inherit" w:hAnsi="inherit"/>
              <w:noProof/>
              <w:szCs w:val="20"/>
              <w:lang w:eastAsia="en-AU"/>
            </w:rPr>
            <w:drawing>
              <wp:anchor distT="0" distB="0" distL="114300" distR="114300" simplePos="0" relativeHeight="251666432" behindDoc="0" locked="0" layoutInCell="1" allowOverlap="1" wp14:anchorId="3DE87463" wp14:editId="543EC44F">
                <wp:simplePos x="0" y="0"/>
                <wp:positionH relativeFrom="column">
                  <wp:posOffset>1371600</wp:posOffset>
                </wp:positionH>
                <wp:positionV relativeFrom="paragraph">
                  <wp:posOffset>-276890</wp:posOffset>
                </wp:positionV>
                <wp:extent cx="1189355" cy="407035"/>
                <wp:effectExtent l="0" t="0" r="0" b="0"/>
                <wp:wrapNone/>
                <wp:docPr id="6" name="Picture 6"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BCDBE" w14:textId="77777777" w:rsidR="00830FDC" w:rsidRPr="004D7A11" w:rsidRDefault="00830FDC" w:rsidP="00830FDC">
          <w:pPr>
            <w:pStyle w:val="CreativeCommonsLicence"/>
            <w:rPr>
              <w:rFonts w:eastAsia="Calibri"/>
            </w:rPr>
          </w:pPr>
          <w:r w:rsidRPr="004D7A11">
            <w:t>Creative Commons Licence</w:t>
          </w:r>
        </w:p>
        <w:p w14:paraId="5730C5A4" w14:textId="77777777" w:rsidR="00830FDC" w:rsidRPr="00A1774F" w:rsidRDefault="00830FDC" w:rsidP="00830FDC">
          <w:pPr>
            <w:pStyle w:val="DisclaimerandAcknowledgement"/>
          </w:pPr>
          <w:r w:rsidRPr="00A1774F">
            <w:t>With the exception of the Coat of Arms, this publication is licensed under a Creative Commons Attribution 3.0 Australia Licence.</w:t>
          </w:r>
        </w:p>
        <w:p w14:paraId="051B19B2" w14:textId="6C8B96D8" w:rsidR="00830FDC" w:rsidRPr="00A1774F" w:rsidRDefault="00830FDC" w:rsidP="00830FDC">
          <w:pPr>
            <w:pStyle w:val="DisclaimerandAcknowledgement"/>
          </w:pPr>
          <w:r w:rsidRPr="00A1774F">
            <w:t>Creative Commons Attribution 3.0 Australia Licence is a standard form license agreement that allows you to copy, distrib</w:t>
          </w:r>
          <w:r>
            <w:t xml:space="preserve">ute, </w:t>
          </w:r>
          <w:r w:rsidRPr="00A1774F">
            <w:t xml:space="preserve">transmit and adapt this publication provided that you attribute the work. A summary of the licence </w:t>
          </w:r>
          <w:r>
            <w:t xml:space="preserve">terms is available from </w:t>
          </w:r>
          <w:hyperlink r:id="rId16" w:tooltip="http://creativecommons.org/licenses/by/3.0/au/deed.en" w:history="1">
            <w:r w:rsidRPr="002B5A6B">
              <w:rPr>
                <w:rStyle w:val="Hyperlink"/>
              </w:rPr>
              <w:t>http://creativecommons.org/licenses/by/3.0/au/deed.en</w:t>
            </w:r>
          </w:hyperlink>
          <w:r w:rsidRPr="00A1774F">
            <w:t xml:space="preserve">. The full licence terms are available from </w:t>
          </w:r>
          <w:hyperlink r:id="rId17" w:tooltip="http://creativecommons.org/licenses/by/3.0/au/legalcode" w:history="1">
            <w:r w:rsidRPr="002B5A6B">
              <w:rPr>
                <w:rStyle w:val="Hyperlink"/>
              </w:rPr>
              <w:t>http://creativecommons.org/licenses/by/3.0/au/legalcode</w:t>
            </w:r>
          </w:hyperlink>
          <w:r w:rsidRPr="00A1774F">
            <w:t>.</w:t>
          </w:r>
        </w:p>
        <w:p w14:paraId="7BB57177" w14:textId="77777777" w:rsidR="00830FDC" w:rsidRPr="00A1774F" w:rsidRDefault="00830FDC" w:rsidP="00830FDC">
          <w:pPr>
            <w:pStyle w:val="DisclaimerandAcknowledgement"/>
          </w:pPr>
          <w:r w:rsidRPr="00A1774F">
            <w:t>The Commonwealth’s preference is that you attribute this publication (and any material sourc</w:t>
          </w:r>
          <w:r>
            <w:t xml:space="preserve">ed from it) using the following </w:t>
          </w:r>
          <w:r w:rsidRPr="00A1774F">
            <w:t>wording:</w:t>
          </w:r>
        </w:p>
        <w:p w14:paraId="7ACEDE15" w14:textId="77777777" w:rsidR="00830FDC" w:rsidRDefault="00830FDC" w:rsidP="00830FDC">
          <w:pPr>
            <w:pStyle w:val="DisclaimerandAcknowledgement"/>
          </w:pPr>
          <w:r w:rsidRPr="00A1774F">
            <w:t>Source: Licensed from the Commonwealth of Australia under a Creative Commons Attribution 3.0 Australia Licence.</w:t>
          </w:r>
          <w:r>
            <w:t xml:space="preserve"> </w:t>
          </w:r>
          <w:r w:rsidRPr="00A1774F">
            <w:t>The Commonwealth of Australia does not necessarily endorse</w:t>
          </w:r>
          <w:r>
            <w:t xml:space="preserve"> the content of this publication. </w:t>
          </w:r>
        </w:p>
        <w:p w14:paraId="6D2AD592" w14:textId="77777777" w:rsidR="00830FDC" w:rsidRPr="00EC76AE" w:rsidRDefault="00830FDC" w:rsidP="00830FDC">
          <w:pPr>
            <w:pStyle w:val="DisclaimerHeading"/>
          </w:pPr>
          <w:r>
            <w:t>Acknowledgments</w:t>
          </w:r>
        </w:p>
        <w:p w14:paraId="1F502B51" w14:textId="77777777" w:rsidR="00830FDC" w:rsidRDefault="00830FDC" w:rsidP="00830FDC">
          <w:pPr>
            <w:pStyle w:val="DisclaimerandAcknowledgement"/>
          </w:pPr>
          <w:r w:rsidRPr="002B5A6B">
            <w:t>Roger Smith and Alex Aitkin (for assistance with research and analysis); Matthew Johnson, Joachim Schoen and Anton Kriz (for peer-reviewing); Razib Tuhin and Bilal Rafi (for assistance with econometrics); Rifat Majumder and Lisa Cornish for interactive web-based accompanying visualisation</w:t>
          </w:r>
          <w:r>
            <w:t>.</w:t>
          </w:r>
        </w:p>
        <w:tbl>
          <w:tblPr>
            <w:tblW w:w="0" w:type="auto"/>
            <w:tblInd w:w="2235" w:type="dxa"/>
            <w:shd w:val="clear" w:color="auto" w:fill="DBE5F1"/>
            <w:tblLayout w:type="fixed"/>
            <w:tblLook w:val="0620" w:firstRow="1" w:lastRow="0" w:firstColumn="0" w:lastColumn="0" w:noHBand="1" w:noVBand="1"/>
          </w:tblPr>
          <w:tblGrid>
            <w:gridCol w:w="7007"/>
          </w:tblGrid>
          <w:tr w:rsidR="00830FDC" w14:paraId="139C9393" w14:textId="77777777" w:rsidTr="00491275">
            <w:tc>
              <w:tcPr>
                <w:tcW w:w="7007" w:type="dxa"/>
                <w:shd w:val="clear" w:color="auto" w:fill="DBE5F1"/>
              </w:tcPr>
              <w:p w14:paraId="619A7DD8" w14:textId="77777777" w:rsidR="00830FDC" w:rsidRPr="001835DD" w:rsidRDefault="00830FDC" w:rsidP="00D0090A">
                <w:pPr>
                  <w:pStyle w:val="Keypointsheader"/>
                </w:pPr>
                <w:r w:rsidRPr="00AC3DDE">
                  <w:lastRenderedPageBreak/>
                  <w:t>Key points</w:t>
                </w:r>
              </w:p>
              <w:p w14:paraId="2587F63A" w14:textId="77777777" w:rsidR="00183DC9" w:rsidRDefault="00183DC9" w:rsidP="00D0090A">
                <w:pPr>
                  <w:pStyle w:val="Keypointsbullet"/>
                  <w:numPr>
                    <w:ilvl w:val="0"/>
                    <w:numId w:val="7"/>
                  </w:numPr>
                  <w:ind w:left="317" w:hanging="252"/>
                </w:pPr>
                <w:r>
                  <w:t xml:space="preserve">The paper examines trends in R&amp;D expenditure, patent and trademark activity, taking these measures as proxies for innovation, while new business entries are considered to represent entrepreneurial activity. </w:t>
                </w:r>
              </w:p>
              <w:p w14:paraId="7EDAA2E1" w14:textId="6BFDC3BE" w:rsidR="00830FDC" w:rsidRDefault="00830FDC" w:rsidP="00D0090A">
                <w:pPr>
                  <w:pStyle w:val="Keypointsbullet"/>
                  <w:numPr>
                    <w:ilvl w:val="0"/>
                    <w:numId w:val="7"/>
                  </w:numPr>
                  <w:ind w:left="317" w:hanging="252"/>
                </w:pPr>
                <w:r>
                  <w:t>Innovative entrepreneurship in Australia, measured by expenditure on research and development (R&amp;D), innovation activities generating significant intellectual property (IP), and business entries, occurs at more intense levels in the large metropolitan cities, taking population size into account.</w:t>
                </w:r>
              </w:p>
              <w:p w14:paraId="24A782A8" w14:textId="717CDAE0" w:rsidR="00830FDC" w:rsidRDefault="00830FDC" w:rsidP="00D0090A">
                <w:pPr>
                  <w:pStyle w:val="Keypointsbullet"/>
                  <w:numPr>
                    <w:ilvl w:val="0"/>
                    <w:numId w:val="7"/>
                  </w:numPr>
                  <w:ind w:left="317" w:hanging="252"/>
                </w:pPr>
                <w:r>
                  <w:t xml:space="preserve">Increased business creation in a region is positively associated with increases in patent and trademark </w:t>
                </w:r>
                <w:r w:rsidR="004E512F">
                  <w:t>applicants</w:t>
                </w:r>
                <w:r>
                  <w:t xml:space="preserve">. </w:t>
                </w:r>
              </w:p>
              <w:p w14:paraId="494C36AE" w14:textId="77777777" w:rsidR="00830FDC" w:rsidRDefault="00830FDC" w:rsidP="00D0090A">
                <w:pPr>
                  <w:pStyle w:val="Keypointsbullet"/>
                  <w:numPr>
                    <w:ilvl w:val="0"/>
                    <w:numId w:val="7"/>
                  </w:numPr>
                  <w:ind w:left="317" w:hanging="252"/>
                </w:pPr>
                <w:r>
                  <w:t xml:space="preserve">However, creative destruction (where more productive firms replace or take market share from less productive ones) caused by innovation can also lower the survival rate of businesses and increase the churn of businesses in regions of high innovative entrepreneurship. </w:t>
                </w:r>
              </w:p>
              <w:p w14:paraId="0BDA8E46" w14:textId="0BADBC3A" w:rsidR="00830FDC" w:rsidRDefault="00830FDC" w:rsidP="00D0090A">
                <w:pPr>
                  <w:pStyle w:val="Keypointsbullet"/>
                  <w:numPr>
                    <w:ilvl w:val="0"/>
                    <w:numId w:val="7"/>
                  </w:numPr>
                  <w:ind w:left="317" w:hanging="252"/>
                </w:pPr>
                <w:r>
                  <w:t>Regions of high innovative entrepreneurship were found in N</w:t>
                </w:r>
                <w:r w:rsidR="006C5399">
                  <w:t>ew South Wales</w:t>
                </w:r>
                <w:r>
                  <w:t xml:space="preserve"> and Queensland, where a high number of businesses were created in the IP-intensive </w:t>
                </w:r>
                <w:r w:rsidRPr="00474C11">
                  <w:rPr>
                    <w:i/>
                  </w:rPr>
                  <w:t>Professional, Scientific and Technical Services</w:t>
                </w:r>
                <w:r>
                  <w:t xml:space="preserve"> industry. Queensland has the widest regional spread of innovative entrepreneurship.</w:t>
                </w:r>
              </w:p>
              <w:p w14:paraId="5A90DDD5" w14:textId="77777777" w:rsidR="00830FDC" w:rsidRDefault="00830FDC" w:rsidP="00D0090A">
                <w:pPr>
                  <w:pStyle w:val="Keypointsbullet"/>
                  <w:numPr>
                    <w:ilvl w:val="0"/>
                    <w:numId w:val="7"/>
                  </w:numPr>
                  <w:ind w:left="317" w:hanging="252"/>
                </w:pPr>
                <w:r>
                  <w:t xml:space="preserve">The presence of research organisations with known industry collaboration (such as Cooperative Research Centres) was positively linked with significant increases in innovation activity in that region (by an average 350 per cent above the national average) and business entries in the </w:t>
                </w:r>
                <w:r w:rsidRPr="00474C11">
                  <w:rPr>
                    <w:i/>
                  </w:rPr>
                  <w:t>Professional, Scientific and Technical Services</w:t>
                </w:r>
                <w:r>
                  <w:t xml:space="preserve"> industry. </w:t>
                </w:r>
              </w:p>
              <w:p w14:paraId="029B1C62" w14:textId="7A385399" w:rsidR="00830FDC" w:rsidRDefault="00830FDC" w:rsidP="00D0090A">
                <w:pPr>
                  <w:pStyle w:val="Keypointsbullet"/>
                  <w:numPr>
                    <w:ilvl w:val="0"/>
                    <w:numId w:val="7"/>
                  </w:numPr>
                  <w:ind w:left="317" w:hanging="252"/>
                  <w:jc w:val="left"/>
                </w:pPr>
                <w:r>
                  <w:t xml:space="preserve">In support of this paper, an </w:t>
                </w:r>
                <w:r w:rsidR="00A94BA9">
                  <w:t xml:space="preserve">updated </w:t>
                </w:r>
                <w:r>
                  <w:t>interactive map of innovation activities and entrepreneurship is provided at</w:t>
                </w:r>
                <w:r w:rsidR="00F5479E">
                  <w:t xml:space="preserve"> the</w:t>
                </w:r>
                <w:r>
                  <w:t xml:space="preserve"> </w:t>
                </w:r>
                <w:hyperlink r:id="rId18" w:history="1">
                  <w:r w:rsidRPr="00AD68FF">
                    <w:rPr>
                      <w:rStyle w:val="Hyperlink"/>
                    </w:rPr>
                    <w:t>National Innovation Map</w:t>
                  </w:r>
                </w:hyperlink>
                <w:r>
                  <w:t xml:space="preserve">. </w:t>
                </w:r>
              </w:p>
            </w:tc>
          </w:tr>
        </w:tbl>
        <w:p w14:paraId="78D63C2D" w14:textId="77777777" w:rsidR="00830FDC" w:rsidRDefault="00830FDC" w:rsidP="00830FDC">
          <w:pPr>
            <w:pStyle w:val="BodyText"/>
          </w:pPr>
        </w:p>
        <w:p w14:paraId="4DCF9005" w14:textId="77777777" w:rsidR="00830FDC" w:rsidRPr="002B5A6B" w:rsidRDefault="00830FDC" w:rsidP="00830FDC">
          <w:pPr>
            <w:pStyle w:val="DisclaimerandAcknowledgement"/>
            <w:rPr>
              <w:sz w:val="18"/>
            </w:rPr>
            <w:sectPr w:rsidR="00830FDC" w:rsidRPr="002B5A6B" w:rsidSect="00D0090A">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40" w:right="1440" w:bottom="1440" w:left="1440" w:header="709" w:footer="709" w:gutter="0"/>
              <w:pgNumType w:start="0"/>
              <w:cols w:space="708"/>
              <w:titlePg/>
              <w:docGrid w:linePitch="360"/>
            </w:sectPr>
          </w:pPr>
        </w:p>
        <w:p w14:paraId="2ED4EB75" w14:textId="77777777" w:rsidR="00830FDC" w:rsidRDefault="00830FDC" w:rsidP="00830FDC">
          <w:pPr>
            <w:pStyle w:val="Heading1"/>
            <w:numPr>
              <w:ilvl w:val="0"/>
              <w:numId w:val="40"/>
            </w:numPr>
          </w:pPr>
          <w:r>
            <w:t>Introduction</w:t>
          </w:r>
        </w:p>
        <w:p w14:paraId="3959A09A" w14:textId="094FE67E" w:rsidR="00830FDC" w:rsidRDefault="00830FDC" w:rsidP="00830FDC">
          <w:pPr>
            <w:pStyle w:val="BodyText"/>
          </w:pPr>
          <w:r w:rsidRPr="00C1464F">
            <w:t>A considerable amount of economic geography research recognises that proximity to areas of dense economic activity and natural resource endowments may have a significant impact on productivity both within and across countries</w:t>
          </w:r>
          <w:r w:rsidR="00F57092">
            <w:t>.</w:t>
          </w:r>
          <w:r w:rsidR="00F57092">
            <w:rPr>
              <w:rStyle w:val="FootnoteReference"/>
            </w:rPr>
            <w:footnoteReference w:id="1"/>
          </w:r>
          <w:r w:rsidRPr="00C1464F">
            <w:t xml:space="preserve"> This proximity induces stronger competition between firms that encourages innovation and resource efficiency</w:t>
          </w:r>
          <w:r w:rsidR="00F57092">
            <w:t>.</w:t>
          </w:r>
          <w:r w:rsidR="00F57092">
            <w:rPr>
              <w:rStyle w:val="FootnoteReference"/>
            </w:rPr>
            <w:footnoteReference w:id="2"/>
          </w:r>
          <w:r w:rsidR="00F57092">
            <w:t xml:space="preserve"> </w:t>
          </w:r>
          <w:r w:rsidRPr="00C1464F">
            <w:t>Access to larger consumer and supplier markets allows increasing returns to scale to be realised. Access to a large pool of workers, localised knowledge spillovers and access to public infrastructure also drives economies of scale.</w:t>
          </w:r>
          <w:r>
            <w:t xml:space="preserve"> Distance from dense economic activity (high transport or communication costs) also reduces the scope for specialisation according to inherent innovation-driven comparative advantage</w:t>
          </w:r>
          <w:r w:rsidR="00F57092">
            <w:t>.</w:t>
          </w:r>
          <w:r w:rsidR="00F57092">
            <w:rPr>
              <w:rStyle w:val="FootnoteReference"/>
            </w:rPr>
            <w:footnoteReference w:id="3"/>
          </w:r>
        </w:p>
        <w:p w14:paraId="3E72F728" w14:textId="21B26425" w:rsidR="00830FDC" w:rsidRPr="00C1464F" w:rsidRDefault="00830FDC" w:rsidP="00830FDC">
          <w:pPr>
            <w:pStyle w:val="BodyText"/>
          </w:pPr>
          <w:r w:rsidRPr="00C1464F">
            <w:t>Clusters are a geographic concentration of related firms and associated institutions in a particular field, linked by spillovers and complementarities.</w:t>
          </w:r>
          <w:r w:rsidR="00F57092">
            <w:rPr>
              <w:rStyle w:val="FootnoteReference"/>
            </w:rPr>
            <w:footnoteReference w:id="4"/>
          </w:r>
          <w:r w:rsidRPr="00C1464F">
            <w:t xml:space="preserve"> Clustering builds trust and cooperation, thereby reducing transaction costs and increasing knowledge spillovers</w:t>
          </w:r>
          <w:r w:rsidR="00F57092">
            <w:t>.</w:t>
          </w:r>
          <w:r w:rsidR="00F57092">
            <w:rPr>
              <w:rStyle w:val="FootnoteReference"/>
            </w:rPr>
            <w:footnoteReference w:id="5"/>
          </w:r>
          <w:r w:rsidR="00F57092">
            <w:t xml:space="preserve"> </w:t>
          </w:r>
          <w:r>
            <w:t>Clusters may benefit national economies because they raise a firm’s profitability and operational efficiency which is influenced by local assets and the presence of like firms, institutions and infrastructure surrounding it.</w:t>
          </w:r>
          <w:r w:rsidR="00BF371E">
            <w:rPr>
              <w:rStyle w:val="FootnoteReference"/>
            </w:rPr>
            <w:footnoteReference w:id="6"/>
          </w:r>
          <w:r w:rsidR="003853D5">
            <w:t xml:space="preserve"> Casares &amp; Khan</w:t>
          </w:r>
          <w:r w:rsidR="00BF371E">
            <w:rPr>
              <w:rStyle w:val="FootnoteReference"/>
            </w:rPr>
            <w:footnoteReference w:id="7"/>
          </w:r>
          <w:r w:rsidR="003853D5">
            <w:t xml:space="preserve"> examined US business dynamics from 1987 to 2013 across all US states and found that business density had a positive and statistically significant effect on regional growth.</w:t>
          </w:r>
          <w:r>
            <w:t xml:space="preserve"> </w:t>
          </w:r>
          <w:r w:rsidRPr="00C1464F">
            <w:t xml:space="preserve">As globalisation makes capital and labour more mobile and lowers the costs of communication and transport “the enduring competitive advantages in a global economy lie increasingly in local things </w:t>
          </w:r>
          <w:r w:rsidRPr="00C1464F">
            <w:rPr>
              <w:rFonts w:cstheme="minorHAnsi"/>
            </w:rPr>
            <w:t>—</w:t>
          </w:r>
          <w:r w:rsidRPr="00C1464F">
            <w:t xml:space="preserve"> knowledge, relationships, motivation </w:t>
          </w:r>
          <w:r w:rsidRPr="00C1464F">
            <w:rPr>
              <w:rFonts w:cstheme="minorHAnsi"/>
            </w:rPr>
            <w:t>—</w:t>
          </w:r>
          <w:r w:rsidRPr="00C1464F">
            <w:t xml:space="preserve"> that distant rivals cannot match”</w:t>
          </w:r>
          <w:r w:rsidRPr="00C1464F">
            <w:rPr>
              <w:vertAlign w:val="superscript"/>
            </w:rPr>
            <w:t xml:space="preserve"> </w:t>
          </w:r>
          <w:r w:rsidRPr="00C1464F">
            <w:t>or access.</w:t>
          </w:r>
          <w:r w:rsidR="00BF371E">
            <w:rPr>
              <w:rStyle w:val="FootnoteReference"/>
            </w:rPr>
            <w:footnoteReference w:id="8"/>
          </w:r>
          <w:r w:rsidRPr="00C1464F">
            <w:t xml:space="preserve"> </w:t>
          </w:r>
        </w:p>
        <w:p w14:paraId="5B8090BF" w14:textId="24FEA5FF" w:rsidR="00830FDC" w:rsidRPr="00F9495A" w:rsidRDefault="00830FDC" w:rsidP="00830FDC">
          <w:pPr>
            <w:pStyle w:val="BodyText"/>
          </w:pPr>
          <w:r w:rsidRPr="00C1464F">
            <w:t>Increasingly, these competitiveness-enhancing assets that clustered firms are accessing are intangible capital assets. Intangible capital assets are mostly created through research and development, education, training, innovation and networking activities and include assets such as intellectual property (IP) and brand equity.</w:t>
          </w:r>
          <w:r w:rsidRPr="00C1464F">
            <w:rPr>
              <w:rStyle w:val="FootnoteReference"/>
            </w:rPr>
            <w:footnoteReference w:id="9"/>
          </w:r>
          <w:r>
            <w:t xml:space="preserve"> Firms tend to cluster because these economically useful intangible assets are ‘sticky’ i.e. they are hard to identify, difficult to get access to, and demanding and costly to absorb</w:t>
          </w:r>
          <w:r w:rsidR="00BF371E">
            <w:t>.</w:t>
          </w:r>
          <w:r w:rsidR="00BF371E">
            <w:rPr>
              <w:rStyle w:val="FootnoteReference"/>
            </w:rPr>
            <w:footnoteReference w:id="10"/>
          </w:r>
          <w:r w:rsidR="00BF371E">
            <w:t xml:space="preserve"> </w:t>
          </w:r>
          <w:r w:rsidRPr="00B752A0">
            <w:t xml:space="preserve">Aharonson </w:t>
          </w:r>
          <w:r>
            <w:rPr>
              <w:i/>
            </w:rPr>
            <w:t>et al.</w:t>
          </w:r>
          <w:r w:rsidR="00BF371E">
            <w:rPr>
              <w:rStyle w:val="FootnoteReference"/>
              <w:i/>
            </w:rPr>
            <w:footnoteReference w:id="11"/>
          </w:r>
          <w:r>
            <w:rPr>
              <w:i/>
            </w:rPr>
            <w:t xml:space="preserve"> </w:t>
          </w:r>
          <w:r>
            <w:t xml:space="preserve">show that clustered firms are eight times more innovative than non-clustered firms. </w:t>
          </w:r>
        </w:p>
        <w:p w14:paraId="6E3DD9B5" w14:textId="3F0C7E7D" w:rsidR="00830FDC" w:rsidRDefault="00830FDC" w:rsidP="00830FDC">
          <w:pPr>
            <w:pStyle w:val="BodyText"/>
          </w:pPr>
          <w:r w:rsidRPr="00C1464F">
            <w:t>Innovation drives firm creation, survival and growth</w:t>
          </w:r>
          <w:r w:rsidR="008F01D6">
            <w:t xml:space="preserve"> and </w:t>
          </w:r>
          <w:r w:rsidR="006517C3">
            <w:t xml:space="preserve">is </w:t>
          </w:r>
          <w:r w:rsidR="008F01D6">
            <w:t xml:space="preserve">often clustered </w:t>
          </w:r>
          <w:r w:rsidR="006517C3">
            <w:t>in firms geographically</w:t>
          </w:r>
          <w:r w:rsidRPr="00C1464F">
            <w:t>.</w:t>
          </w:r>
          <w:r w:rsidR="00BF371E">
            <w:rPr>
              <w:rStyle w:val="FootnoteReference"/>
            </w:rPr>
            <w:footnoteReference w:id="12"/>
          </w:r>
          <w:r w:rsidRPr="00C1464F">
            <w:t xml:space="preserve"> It is therefore important to establish where business entrepreneurship and innovation intersect geographically in order to begin to understand where and how clusters of innovative entrepreneurship form. The innovation economy has an inherent tendency toward geographical clustering.</w:t>
          </w:r>
          <w:r w:rsidR="00BF371E">
            <w:rPr>
              <w:rStyle w:val="FootnoteReference"/>
            </w:rPr>
            <w:footnoteReference w:id="13"/>
          </w:r>
          <w:r w:rsidRPr="00C1464F">
            <w:t xml:space="preserve"> Cluster formation is most effective when it involves complementary actors in the innovation process beyond businesses. In this regard, universities, vocational education and training providers and other research organisations perform an especially vital role in the diffusion of knowledge that is valuable to the region, acting as a focus for localised experimentation, learning and innovation</w:t>
          </w:r>
          <w:r w:rsidR="00BF371E">
            <w:t>.</w:t>
          </w:r>
          <w:r w:rsidR="00BF371E">
            <w:rPr>
              <w:rStyle w:val="FootnoteReference"/>
            </w:rPr>
            <w:footnoteReference w:id="14"/>
          </w:r>
        </w:p>
        <w:p w14:paraId="55D5EB4A" w14:textId="6125E389" w:rsidR="00830FDC" w:rsidRDefault="00830FDC" w:rsidP="00830FDC">
          <w:pPr>
            <w:pStyle w:val="BodyText"/>
          </w:pPr>
          <w:r>
            <w:t xml:space="preserve">Rigorous studies of economic geography and clustering in Australia were conducted in the late 1990s and early 2000s and focused on case studies and policies. Little new research has appeared since then until a major 2014 study </w:t>
          </w:r>
          <w:r w:rsidR="000B0579">
            <w:t xml:space="preserve">finding that </w:t>
          </w:r>
          <w:r>
            <w:t xml:space="preserve">Adelaide has emerged, with little government support or university involvement, as a significant cluster and the dominant location of Australia’s </w:t>
          </w:r>
          <w:r w:rsidR="000B0579">
            <w:t>high technology electronics industry</w:t>
          </w:r>
          <w:r>
            <w:t>.</w:t>
          </w:r>
          <w:r w:rsidR="000B0579">
            <w:rPr>
              <w:rStyle w:val="FootnoteReference"/>
            </w:rPr>
            <w:footnoteReference w:id="15"/>
          </w:r>
          <w:r w:rsidRPr="00435FBA">
            <w:t xml:space="preserve"> </w:t>
          </w:r>
          <w:r>
            <w:t xml:space="preserve">Notwithstanding a recent map of incubators and accelerators published by </w:t>
          </w:r>
          <w:r w:rsidRPr="006C5399">
            <w:rPr>
              <w:i/>
            </w:rPr>
            <w:t>The Australian</w:t>
          </w:r>
          <w:r>
            <w:t>,</w:t>
          </w:r>
          <w:r>
            <w:rPr>
              <w:rStyle w:val="FootnoteReference"/>
            </w:rPr>
            <w:footnoteReference w:id="16"/>
          </w:r>
          <w:r>
            <w:t xml:space="preserve"> knowledge</w:t>
          </w:r>
          <w:bookmarkStart w:id="1" w:name="CursorPositionBM"/>
          <w:bookmarkEnd w:id="1"/>
          <w:r>
            <w:t xml:space="preserve"> is still lacking as to the state of clustering more broadly across Australia and how it has trended over time. </w:t>
          </w:r>
        </w:p>
        <w:p w14:paraId="0AB05D83" w14:textId="4593DE20" w:rsidR="00830FDC" w:rsidRDefault="00830FDC" w:rsidP="00830FDC">
          <w:pPr>
            <w:pStyle w:val="BodyText"/>
          </w:pPr>
          <w:r>
            <w:t xml:space="preserve">This research paper takes a quantitative and graphic visualisation approach to the clustering of innovative and entrepreneurial activities in regions across Australia. For the purposes of this paper we adopt the </w:t>
          </w:r>
          <w:r w:rsidR="00AE4D4F">
            <w:rPr>
              <w:lang w:val="en"/>
            </w:rPr>
            <w:t>Organisation for Economic Co-operation and Development (</w:t>
          </w:r>
          <w:r>
            <w:t>OECD</w:t>
          </w:r>
          <w:r w:rsidR="00AE4D4F">
            <w:t>)</w:t>
          </w:r>
          <w:r>
            <w:t xml:space="preserve"> definition of innovative entrepreneurship: t</w:t>
          </w:r>
          <w:r w:rsidRPr="00AC6BDF">
            <w:t>hat sphere of activity where innovative businesses intersect with young and high-growth businesses and small and me</w:t>
          </w:r>
          <w:r>
            <w:t>dium-sized enterprises (SMEs).</w:t>
          </w:r>
          <w:r>
            <w:rPr>
              <w:rStyle w:val="FootnoteReference"/>
            </w:rPr>
            <w:footnoteReference w:id="17"/>
          </w:r>
          <w:r>
            <w:t xml:space="preserve"> This paper aims to understand the intersection of innovation-related activity and firm creation and survival in Australia, mapping the extent to which these activities are regionally clustered. Using the definitions and methodology outlined in Appendix A, the paper attempts to answer the following research questions:</w:t>
          </w:r>
        </w:p>
        <w:p w14:paraId="2B002616" w14:textId="54BD57C0" w:rsidR="00830FDC" w:rsidRDefault="00830FDC" w:rsidP="00830FDC">
          <w:pPr>
            <w:pStyle w:val="BodyText"/>
            <w:numPr>
              <w:ilvl w:val="0"/>
              <w:numId w:val="42"/>
            </w:numPr>
          </w:pPr>
          <w:r>
            <w:t>Does high innovation activity overlap with high</w:t>
          </w:r>
          <w:r w:rsidR="00AE4D4F">
            <w:t xml:space="preserve"> levels of</w:t>
          </w:r>
          <w:r>
            <w:t xml:space="preserve"> firm creation in Australia? If so, in which regions does this innovative entrepreneurship occur?</w:t>
          </w:r>
        </w:p>
        <w:p w14:paraId="3FC1D603" w14:textId="77777777" w:rsidR="00830FDC" w:rsidRDefault="00830FDC" w:rsidP="00830FDC">
          <w:pPr>
            <w:pStyle w:val="BodyText"/>
            <w:numPr>
              <w:ilvl w:val="0"/>
              <w:numId w:val="42"/>
            </w:numPr>
          </w:pPr>
          <w:r>
            <w:t>Do research organisations or specific industry sectors significantly alter the distribution and levels of innovative entrepreneurship in different regions of Australia?</w:t>
          </w:r>
        </w:p>
        <w:p w14:paraId="0A3BF787" w14:textId="77777777" w:rsidR="00830FDC" w:rsidRDefault="00830FDC" w:rsidP="00830FDC">
          <w:pPr>
            <w:pStyle w:val="Caption"/>
          </w:pPr>
          <w:r w:rsidRPr="00D26202">
            <w:t>Box</w:t>
          </w:r>
          <w:r>
            <w:t xml:space="preserve"> 1</w:t>
          </w:r>
          <w:r>
            <w:rPr>
              <w:noProof/>
            </w:rPr>
            <w:t>.</w:t>
          </w:r>
          <w:fldSimple w:instr=" SEQ Box \* ARABIC \s 1  ">
            <w:r w:rsidR="00D55DA4">
              <w:rPr>
                <w:noProof/>
              </w:rPr>
              <w:t>1</w:t>
            </w:r>
          </w:fldSimple>
          <w:r>
            <w:t>: Defining regions of Australia</w:t>
          </w:r>
        </w:p>
        <w:tbl>
          <w:tblPr>
            <w:tblStyle w:val="OCETable"/>
            <w:tblW w:w="3790" w:type="pct"/>
            <w:tblInd w:w="2235" w:type="dxa"/>
            <w:tblLayout w:type="fixed"/>
            <w:tblLook w:val="04A0" w:firstRow="1" w:lastRow="0" w:firstColumn="1" w:lastColumn="0" w:noHBand="0" w:noVBand="1"/>
            <w:tblCaption w:val="Box 1.1: Defining regions of Australia"/>
            <w:tblDescription w:val="This paper uses the statistical geography definitions of the Australian Bureau of Statistics Australian Statistical Geography Standard  to identify regions of innovative entrepreneurship. We use two complementary regional definitions in this research paper:&#10;SA3 regions provide a standardised regional breakup of Australia that clusters areas with similar regional characteristics. The population in each SA3 region is between 30,000 and 130,000 persons. SA3s are often the functional areas of regional towns and cities with a population in excess of 20,000 or clusters of related suburbs around urban commercial and transport hubs within major urban areas. SA3s do not cross State and Territory borders. There are 333 SA3 spatial units. In aggregate, they cover the whole of Australia without gaps or overlaps.&#10;Greater Capital City Statistical Areas (GCCSAs) comprise a number of Statistical Area Level 3 (SA3) regions. The number of SA3 regions contained in a GCCSA varies substantially from one GCCSA to the next, depending on the population density. For instance, the Greater Sydney area contains 47 individual SA3 regions while the Greater Darwin area contains only 4 (See Appendix A Table A3 for full details of the composition of all GCCSAs). To facilitate comparison, results shown in Figures 2.1 to 2.4 are reported at the GCCSA level, but in all other figures and tables results are shown at the level of SA3 regions.&#10;"/>
          </w:tblPr>
          <w:tblGrid>
            <w:gridCol w:w="6842"/>
          </w:tblGrid>
          <w:tr w:rsidR="00830FDC" w14:paraId="13C51883" w14:textId="77777777" w:rsidTr="000D227A">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Pr>
              <w:p w14:paraId="39939FA1" w14:textId="77777777" w:rsidR="00830FDC" w:rsidRDefault="00830FDC" w:rsidP="00D0090A">
                <w:pPr>
                  <w:pStyle w:val="Boxtext"/>
                  <w:rPr>
                    <w:sz w:val="20"/>
                  </w:rPr>
                </w:pPr>
                <w:r>
                  <w:rPr>
                    <w:sz w:val="20"/>
                  </w:rPr>
                  <w:t xml:space="preserve">This paper uses the statistical geography definitions of the Australian Bureau of Statistics </w:t>
                </w:r>
                <w:r w:rsidRPr="00B0078D">
                  <w:rPr>
                    <w:sz w:val="20"/>
                  </w:rPr>
                  <w:t>Australian Statistical Geography Standard</w:t>
                </w:r>
                <w:r>
                  <w:rPr>
                    <w:rStyle w:val="FootnoteReference"/>
                    <w:sz w:val="20"/>
                  </w:rPr>
                  <w:footnoteReference w:id="18"/>
                </w:r>
                <w:r>
                  <w:rPr>
                    <w:sz w:val="20"/>
                  </w:rPr>
                  <w:t xml:space="preserve"> to identify regions of innovative entrepreneurship. </w:t>
                </w:r>
                <w:r w:rsidRPr="00EF3556">
                  <w:rPr>
                    <w:sz w:val="20"/>
                  </w:rPr>
                  <w:t xml:space="preserve">We use two </w:t>
                </w:r>
                <w:r>
                  <w:rPr>
                    <w:sz w:val="20"/>
                  </w:rPr>
                  <w:t xml:space="preserve">complementary regional </w:t>
                </w:r>
                <w:r w:rsidRPr="00EF3556">
                  <w:rPr>
                    <w:sz w:val="20"/>
                  </w:rPr>
                  <w:t>definitions in this research paper</w:t>
                </w:r>
                <w:r>
                  <w:rPr>
                    <w:sz w:val="20"/>
                  </w:rPr>
                  <w:t>:</w:t>
                </w:r>
              </w:p>
              <w:p w14:paraId="6F5FB60F" w14:textId="77963F40" w:rsidR="00830FDC" w:rsidRDefault="00830FDC" w:rsidP="00D0090A">
                <w:pPr>
                  <w:pStyle w:val="Boxtext"/>
                  <w:rPr>
                    <w:sz w:val="20"/>
                  </w:rPr>
                </w:pPr>
                <w:r>
                  <w:rPr>
                    <w:sz w:val="20"/>
                  </w:rPr>
                  <w:t xml:space="preserve">SA3 regions </w:t>
                </w:r>
                <w:r w:rsidRPr="00B0078D">
                  <w:rPr>
                    <w:sz w:val="20"/>
                  </w:rPr>
                  <w:t>provide a standardised regional breakup of Australia</w:t>
                </w:r>
                <w:r>
                  <w:rPr>
                    <w:sz w:val="20"/>
                  </w:rPr>
                  <w:t xml:space="preserve"> that clusters areas with </w:t>
                </w:r>
                <w:r w:rsidRPr="00B0078D">
                  <w:rPr>
                    <w:sz w:val="20"/>
                  </w:rPr>
                  <w:t xml:space="preserve">similar regional characteristics. </w:t>
                </w:r>
                <w:r>
                  <w:rPr>
                    <w:sz w:val="20"/>
                  </w:rPr>
                  <w:t>T</w:t>
                </w:r>
                <w:r w:rsidRPr="00B0078D">
                  <w:rPr>
                    <w:sz w:val="20"/>
                  </w:rPr>
                  <w:t>he population in each SA3 region is between 30,000 and 130,000 persons</w:t>
                </w:r>
                <w:r>
                  <w:rPr>
                    <w:sz w:val="20"/>
                  </w:rPr>
                  <w:t>.</w:t>
                </w:r>
                <w:r w:rsidRPr="003A6D17">
                  <w:rPr>
                    <w:sz w:val="20"/>
                  </w:rPr>
                  <w:t xml:space="preserve"> </w:t>
                </w:r>
                <w:r w:rsidRPr="002F1E6C">
                  <w:rPr>
                    <w:sz w:val="20"/>
                  </w:rPr>
                  <w:t xml:space="preserve">SA3s are often the functional areas of regional towns and cities with a population in excess of 20,000 or clusters of related suburbs around urban commercial and transport hubs within major urban areas. </w:t>
                </w:r>
                <w:r w:rsidRPr="00B0078D">
                  <w:rPr>
                    <w:sz w:val="20"/>
                  </w:rPr>
                  <w:t xml:space="preserve">SA3s do not cross </w:t>
                </w:r>
                <w:r w:rsidR="00FE4E3E">
                  <w:rPr>
                    <w:sz w:val="20"/>
                  </w:rPr>
                  <w:t>state and t</w:t>
                </w:r>
                <w:r>
                  <w:rPr>
                    <w:sz w:val="20"/>
                  </w:rPr>
                  <w:t>erritory</w:t>
                </w:r>
                <w:r w:rsidRPr="00B0078D">
                  <w:rPr>
                    <w:sz w:val="20"/>
                  </w:rPr>
                  <w:t xml:space="preserve"> borders. There are 333 SA3 spatial units. In aggregate, they cover the whole of Australia without gaps or overlaps.</w:t>
                </w:r>
              </w:p>
              <w:p w14:paraId="45D83DBB" w14:textId="77777777" w:rsidR="00830FDC" w:rsidRDefault="00830FDC" w:rsidP="00D0090A">
                <w:pPr>
                  <w:pStyle w:val="Boxtext"/>
                </w:pPr>
                <w:r w:rsidRPr="00B0078D">
                  <w:rPr>
                    <w:sz w:val="20"/>
                  </w:rPr>
                  <w:t>Greater Capital City Statistical Areas (GCCSAs) co</w:t>
                </w:r>
                <w:r>
                  <w:rPr>
                    <w:sz w:val="20"/>
                  </w:rPr>
                  <w:t>mprise</w:t>
                </w:r>
                <w:r w:rsidRPr="00B0078D">
                  <w:rPr>
                    <w:sz w:val="20"/>
                  </w:rPr>
                  <w:t xml:space="preserve"> a number of Statistical Area Level 3 (SA3) regions. The number of SA3 regions contained in a GCCSA varies substantially from one GCCSA to the next, depending on the population density. For instance, the Greater Sydney area contains 47 individual SA3 regions while the Greater Darwin area contains only 4 (See Appendix A </w:t>
                </w:r>
                <w:r>
                  <w:rPr>
                    <w:sz w:val="20"/>
                  </w:rPr>
                  <w:t xml:space="preserve">Table A3 </w:t>
                </w:r>
                <w:r w:rsidRPr="00B0078D">
                  <w:rPr>
                    <w:sz w:val="20"/>
                  </w:rPr>
                  <w:t>for full details of the composition of all GCCSAs). To facilitate compari</w:t>
                </w:r>
                <w:r>
                  <w:rPr>
                    <w:sz w:val="20"/>
                  </w:rPr>
                  <w:t>son, results shown in Figures 2.1 to 2.</w:t>
                </w:r>
                <w:r w:rsidRPr="00B0078D">
                  <w:rPr>
                    <w:sz w:val="20"/>
                  </w:rPr>
                  <w:t>4 are reported at the GCCSA level, but in all other figures and tables results are shown at the level of SA3 regions.</w:t>
                </w:r>
              </w:p>
            </w:tc>
          </w:tr>
        </w:tbl>
        <w:p w14:paraId="0B4A0A72" w14:textId="77777777" w:rsidR="00830FDC" w:rsidRDefault="00830FDC" w:rsidP="00830FDC">
          <w:pPr>
            <w:pStyle w:val="Source"/>
          </w:pPr>
        </w:p>
        <w:p w14:paraId="327F7B60" w14:textId="77777777" w:rsidR="00830FDC" w:rsidRDefault="00830FDC" w:rsidP="00830FDC">
          <w:pPr>
            <w:pStyle w:val="BodyText"/>
            <w:ind w:left="0"/>
          </w:pPr>
        </w:p>
        <w:p w14:paraId="5FACE20C" w14:textId="77777777" w:rsidR="00830FDC" w:rsidRDefault="00830FDC" w:rsidP="00830FDC">
          <w:pPr>
            <w:spacing w:after="200" w:line="276" w:lineRule="auto"/>
            <w:ind w:left="0"/>
            <w:jc w:val="left"/>
            <w:rPr>
              <w:rFonts w:asciiTheme="majorHAnsi" w:eastAsia="Times New Roman" w:hAnsiTheme="majorHAnsi" w:cs="Arial"/>
              <w:b/>
              <w:bCs/>
              <w:color w:val="22789A"/>
              <w:kern w:val="32"/>
              <w:sz w:val="32"/>
              <w:szCs w:val="32"/>
            </w:rPr>
          </w:pPr>
          <w:r>
            <w:br w:type="page"/>
          </w:r>
        </w:p>
        <w:p w14:paraId="0668CDD7" w14:textId="77777777" w:rsidR="00830FDC" w:rsidRDefault="00830FDC" w:rsidP="00830FDC">
          <w:pPr>
            <w:pStyle w:val="Heading1"/>
            <w:numPr>
              <w:ilvl w:val="0"/>
              <w:numId w:val="40"/>
            </w:numPr>
            <w:spacing w:before="0"/>
          </w:pPr>
          <w:r w:rsidRPr="00296CB8">
            <w:t>Results</w:t>
          </w:r>
        </w:p>
        <w:p w14:paraId="7DAD5EA9" w14:textId="2DA7DEEA" w:rsidR="00830FDC" w:rsidRPr="00AA430E" w:rsidRDefault="00830FDC" w:rsidP="00185764">
          <w:r>
            <w:t xml:space="preserve">An online tool has been published on </w:t>
          </w:r>
          <w:hyperlink r:id="rId25" w:tooltip="www.industry.gov.au/innovationreport" w:history="1">
            <w:r w:rsidRPr="00832E02">
              <w:rPr>
                <w:rStyle w:val="Hyperlink"/>
              </w:rPr>
              <w:t>www.industry.gov.au/innovationreport</w:t>
            </w:r>
          </w:hyperlink>
          <w:r>
            <w:t xml:space="preserve"> that visually maps all business entry, R&amp;D, patents and trademark application</w:t>
          </w:r>
          <w:r w:rsidR="00AE4D4F">
            <w:t>s</w:t>
          </w:r>
          <w:r>
            <w:t xml:space="preserve"> to SA3 regions of </w:t>
          </w:r>
          <w:r w:rsidRPr="00185764">
            <w:t xml:space="preserve">Australia. This map tool is the basis for the following analyses. The raw data set is also published on </w:t>
          </w:r>
          <w:hyperlink r:id="rId26" w:tooltip="www.data.gov.au" w:history="1">
            <w:r w:rsidRPr="00185764">
              <w:rPr>
                <w:rStyle w:val="Hyperlink"/>
              </w:rPr>
              <w:t>www.data.gov.au</w:t>
            </w:r>
          </w:hyperlink>
          <w:r w:rsidRPr="00185764">
            <w:t xml:space="preserve">. </w:t>
          </w:r>
          <w:r w:rsidR="00185764" w:rsidRPr="00185764">
            <w:t>Over the period 2009 to 2015 there were nearly 77,000 patent applicants and nearly 440,000 trademark applicants across Australia Over the period 2009-2014 over 1.7 million businesses were created.</w:t>
          </w:r>
          <w:r w:rsidR="00185764">
            <w:t xml:space="preserve"> </w:t>
          </w:r>
          <w:r>
            <w:t>All indicators of innovation activity have some degree of skewness in part attributable to the location of companies’ head offices or the location of offices where the IP or R&amp;D is being registered in major cities.</w:t>
          </w:r>
        </w:p>
        <w:p w14:paraId="7F156404" w14:textId="77777777" w:rsidR="00830FDC" w:rsidRDefault="00830FDC" w:rsidP="00830FDC">
          <w:pPr>
            <w:pStyle w:val="Heading2"/>
            <w:numPr>
              <w:ilvl w:val="1"/>
              <w:numId w:val="40"/>
            </w:numPr>
          </w:pPr>
          <w:r>
            <w:t>Business expenditure on Research and Development (R&amp;D)</w:t>
          </w:r>
        </w:p>
        <w:p w14:paraId="72AAD992" w14:textId="77777777" w:rsidR="00830FDC" w:rsidRDefault="00830FDC" w:rsidP="00830FDC">
          <w:pPr>
            <w:pStyle w:val="BodyText"/>
          </w:pPr>
          <w:r>
            <w:t xml:space="preserve">Business expenditure on research and development (BERD) is often linked to the generation of intellectual property (IP) by firms and individuals. The analysis presented here is based on data for the firms that have registered for the R&amp;D Tax Incentive and does not include R&amp;D performing firms that may not be claiming this tax offset. Firms may register for the tax offset if their claim is more than $20,000. Approximately 28 per cent of total active businesses in any given region meet this threshold. </w:t>
          </w:r>
        </w:p>
        <w:p w14:paraId="1F69BA71" w14:textId="77777777" w:rsidR="00830FDC" w:rsidRDefault="00830FDC" w:rsidP="00830FDC">
          <w:pPr>
            <w:pStyle w:val="BodyText"/>
          </w:pPr>
          <w:r>
            <w:t xml:space="preserve">Analysis of the correlation between BERD and IP innovation proxies showed that overall, for every 1 per cent increase in R&amp;D expenditure, a 0.35 per cent increase was observed in the number of patent applications and a 0.40 per cent increase in the number of trademark applications (Table 2.1). Every 1 per cent increase in the number of business entries was accompanied by a 2.3 per cent increase in expenditure on R&amp;D. </w:t>
          </w:r>
          <w:r w:rsidRPr="00602EC3">
            <w:t xml:space="preserve">Appendix </w:t>
          </w:r>
          <w:r>
            <w:t xml:space="preserve">Figure B1 also confirms the positive relationship between time-averaged patent and trademark statistics and median R&amp;D expenditure, with a stronger correlation between trademarks and R&amp;D expenditure compared to patent applications and R&amp;D expenditure. </w:t>
          </w:r>
        </w:p>
        <w:p w14:paraId="36223307" w14:textId="6829C4CA" w:rsidR="00830FDC" w:rsidRDefault="00830FDC" w:rsidP="00830FDC">
          <w:pPr>
            <w:pStyle w:val="BodyText"/>
          </w:pPr>
          <w:r w:rsidRPr="009D19CF">
            <w:t xml:space="preserve">Figure </w:t>
          </w:r>
          <w:r>
            <w:t>2</w:t>
          </w:r>
          <w:r w:rsidRPr="009D19CF">
            <w:t>.1 shows the</w:t>
          </w:r>
          <w:r w:rsidR="008C731D">
            <w:t xml:space="preserve"> mean</w:t>
          </w:r>
          <w:r w:rsidRPr="009D19CF">
            <w:t xml:space="preserve"> annual R&amp;D expenditures between 2008</w:t>
          </w:r>
          <w:r w:rsidRPr="009D19CF">
            <w:rPr>
              <w:rFonts w:cstheme="minorHAnsi"/>
            </w:rPr>
            <w:t>–</w:t>
          </w:r>
          <w:r w:rsidRPr="009D19CF">
            <w:t>09 and 2012</w:t>
          </w:r>
          <w:r w:rsidRPr="009D19CF">
            <w:rPr>
              <w:rFonts w:cstheme="minorHAnsi"/>
            </w:rPr>
            <w:t>–</w:t>
          </w:r>
          <w:r w:rsidRPr="009D19CF">
            <w:t>13 for</w:t>
          </w:r>
          <w:r>
            <w:t xml:space="preserve"> each </w:t>
          </w:r>
          <w:r w:rsidRPr="00BD6EBA">
            <w:rPr>
              <w:szCs w:val="16"/>
            </w:rPr>
            <w:t xml:space="preserve">Greater Capital City </w:t>
          </w:r>
          <w:r>
            <w:rPr>
              <w:szCs w:val="16"/>
            </w:rPr>
            <w:t xml:space="preserve">Statistical Area (GCCSA) </w:t>
          </w:r>
          <w:r>
            <w:t xml:space="preserve">in both absolute dollar terms and in population-adjusted terms. In absolute dollar terms, </w:t>
          </w:r>
          <w:r w:rsidR="008C731D">
            <w:t xml:space="preserve">mean </w:t>
          </w:r>
          <w:r>
            <w:t>R&amp;D expenditures were concentrated in Greater Perth ($</w:t>
          </w:r>
          <w:r w:rsidR="008C731D">
            <w:t>3.0 b</w:t>
          </w:r>
          <w:r>
            <w:t>), Greater Sydney ($</w:t>
          </w:r>
          <w:r w:rsidR="008C731D">
            <w:t>5.8b</w:t>
          </w:r>
          <w:r>
            <w:t>), Greater Melbourne ($</w:t>
          </w:r>
          <w:r w:rsidR="008C731D">
            <w:t>4.8b</w:t>
          </w:r>
          <w:r>
            <w:t>), and to a lesser extent in the Greater Brisbane area ($</w:t>
          </w:r>
          <w:r w:rsidR="008C731D">
            <w:t>2.1b</w:t>
          </w:r>
          <w:r>
            <w:t>).</w:t>
          </w:r>
        </w:p>
        <w:p w14:paraId="590C734D" w14:textId="6F719970" w:rsidR="00830FDC" w:rsidRDefault="00830FDC" w:rsidP="00830FDC">
          <w:pPr>
            <w:pStyle w:val="BodyText"/>
          </w:pPr>
          <w:r>
            <w:t xml:space="preserve">The highest </w:t>
          </w:r>
          <w:r w:rsidR="00580D45">
            <w:t>mean</w:t>
          </w:r>
          <w:r>
            <w:t xml:space="preserve"> annual expenditure per 10,000 inhabitants was observed in </w:t>
          </w:r>
          <w:r w:rsidR="00580D45">
            <w:t>Greater Perth ($16.4m) followed by Greater Sydney ($12.5m), Greater Melbourne ($11.6m), Greater Brisbane ($9.5m)</w:t>
          </w:r>
          <w:r w:rsidR="00AE4D4F">
            <w:t xml:space="preserve"> and</w:t>
          </w:r>
          <w:r w:rsidR="00580D45">
            <w:t xml:space="preserve"> Greater Darwin ($6.0m).</w:t>
          </w:r>
          <w:r>
            <w:t xml:space="preserve"> A percentile map showing the distribution of the annual median R&amp;D expenditure around Australia is shown in Map B1</w:t>
          </w:r>
          <w:r w:rsidRPr="007A1640">
            <w:t>.</w:t>
          </w:r>
          <w:r w:rsidR="007B6A5F">
            <w:t xml:space="preserve"> </w:t>
          </w:r>
        </w:p>
        <w:p w14:paraId="4DB0300E" w14:textId="74185532" w:rsidR="00830FDC" w:rsidRDefault="00830FDC" w:rsidP="00830FDC">
          <w:pPr>
            <w:pStyle w:val="CaptionWide"/>
          </w:pPr>
          <w:r>
            <w:t>Figure</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D55DA4">
            <w:rPr>
              <w:noProof/>
            </w:rPr>
            <w:t>1</w:t>
          </w:r>
          <w:r w:rsidRPr="000618FB">
            <w:fldChar w:fldCharType="end"/>
          </w:r>
          <w:r>
            <w:t xml:space="preserve">: </w:t>
          </w:r>
          <w:r w:rsidR="00BA56CE">
            <w:t>Mean</w:t>
          </w:r>
          <w:r>
            <w:t xml:space="preserve"> annual </w:t>
          </w:r>
          <w:r w:rsidR="000A1EEC">
            <w:t>R&amp;D</w:t>
          </w:r>
          <w:r>
            <w:t xml:space="preserve"> expenditure per 10,000 inhabitants averaged between financial years ending in June 200</w:t>
          </w:r>
          <w:r w:rsidR="002C465C">
            <w:t>8</w:t>
          </w:r>
          <w:r>
            <w:t xml:space="preserve"> and June 201</w:t>
          </w:r>
          <w:r w:rsidR="002C465C">
            <w:t>4</w:t>
          </w:r>
          <w:r>
            <w:t xml:space="preserve"> for Greater Capital City Statistical Areas</w:t>
          </w:r>
        </w:p>
        <w:p w14:paraId="7B30762E" w14:textId="60A07CCD" w:rsidR="000D227A" w:rsidRDefault="000D227A" w:rsidP="000D227A">
          <w:pPr>
            <w:pStyle w:val="PlaceholderWide"/>
          </w:pPr>
        </w:p>
        <w:p w14:paraId="0D32AE89" w14:textId="4F6DBF7A" w:rsidR="00580D45" w:rsidRDefault="00C100E0" w:rsidP="000D227A">
          <w:pPr>
            <w:pStyle w:val="PlaceholderWide"/>
          </w:pPr>
          <w:r>
            <w:rPr>
              <w:noProof/>
              <w:lang w:eastAsia="en-AU"/>
            </w:rPr>
            <w:drawing>
              <wp:inline distT="0" distB="0" distL="0" distR="0" wp14:anchorId="315E7365" wp14:editId="068251AB">
                <wp:extent cx="5736590" cy="3474720"/>
                <wp:effectExtent l="0" t="0" r="0" b="0"/>
                <wp:docPr id="2" name="Picture 2" descr="Figure 2.1 is a bivariate chart. On the x-axis are the 15 Greater City Capital Areas, as defined by the ABS. On the left-hand y-axis is the mean annual R&amp;D expenditure in millions of dollars per ten thousand inhabitants, over the period from the year ending in June 2008 to June 2014. On the right-hand y-axis is the absolute value of mean annual R&amp;D expenditure in millions of dollars over the same period.&#10;The ACT is shown to have the highest mean annual R&amp;D expenditure per ten thousand inhabitants over the period at 16.4 million dollars. This is followed by Greater Sydney, Greater Melbourne, Greater Brisbane and Greater Darwin, where the mean annual R&amp;D expenditure per ten thousand inhabitants is 12.5, 11.6, 9.5 and 6.0 million dollars, respectively. The lowest expenditure over the period, 0.6 million dollars per year per ten thousand inhabitants, is shown for the Rest of Northern Territory.&#10;In absolute terms, Greater Sydney is shown to have the highest mean annual R&amp;D expenditure over the period at 5.8 billion dollars. This is followed by Greater Melbourne, Greater Perth and Greater Brisbane, where the mean annual R&amp;D expenditure is 4.8, 3.0 and 2.1 billion dollars, respectively. The lowest expenditure over the period, 6 million dollars per year, is shown for the Rest of Northern Territory.&#10;" title="Figure 2.1: Mean annual R&amp;D expenditure per 10,000 inhabitants averaged between financial years ending in June 2008 and June 2014 for Greater Capital City Statistic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6590" cy="3474720"/>
                        </a:xfrm>
                        <a:prstGeom prst="rect">
                          <a:avLst/>
                        </a:prstGeom>
                        <a:noFill/>
                      </pic:spPr>
                    </pic:pic>
                  </a:graphicData>
                </a:graphic>
              </wp:inline>
            </w:drawing>
          </w:r>
        </w:p>
        <w:p w14:paraId="6C5E7FEE" w14:textId="77777777" w:rsidR="00580D45" w:rsidRPr="000D227A" w:rsidRDefault="00580D45" w:rsidP="000D227A">
          <w:pPr>
            <w:pStyle w:val="PlaceholderWide"/>
          </w:pPr>
        </w:p>
        <w:p w14:paraId="4C810D0F" w14:textId="0E21A733" w:rsidR="00830FDC" w:rsidRDefault="00B171CA" w:rsidP="00DA37D8">
          <w:pPr>
            <w:pStyle w:val="NoteWide"/>
          </w:pPr>
          <w:r>
            <w:t>Sources</w:t>
          </w:r>
          <w:r w:rsidR="00830FDC">
            <w:t>:</w:t>
          </w:r>
          <w:r w:rsidR="00830FDC" w:rsidRPr="00E94ECF">
            <w:t xml:space="preserve"> </w:t>
          </w:r>
          <w:r w:rsidR="00830FDC">
            <w:t>Australian Bureau of Statistics (201</w:t>
          </w:r>
          <w:r w:rsidR="00A5438B">
            <w:t>6</w:t>
          </w:r>
          <w:r w:rsidR="00830FDC">
            <w:t xml:space="preserve">) </w:t>
          </w:r>
          <w:r w:rsidR="00A5438B">
            <w:rPr>
              <w:i/>
            </w:rPr>
            <w:t>Estimated Resident Population by Region</w:t>
          </w:r>
          <w:r w:rsidR="00830FDC">
            <w:rPr>
              <w:i/>
            </w:rPr>
            <w:t xml:space="preserve">, </w:t>
          </w:r>
          <w:r w:rsidR="00A5438B">
            <w:t>ABS.Stat</w:t>
          </w:r>
          <w:r w:rsidR="00830FDC">
            <w:t>,</w:t>
          </w:r>
          <w:r w:rsidR="00830FDC" w:rsidRPr="004A78E1">
            <w:rPr>
              <w:noProof/>
              <w:lang w:eastAsia="en-AU"/>
            </w:rPr>
            <w:t xml:space="preserve"> </w:t>
          </w:r>
          <w:r w:rsidR="00830FDC">
            <w:t xml:space="preserve">viewed </w:t>
          </w:r>
          <w:r w:rsidR="00A5438B">
            <w:t>11</w:t>
          </w:r>
          <w:r w:rsidR="00830FDC" w:rsidRPr="003B74B4">
            <w:rPr>
              <w:vertAlign w:val="superscript"/>
            </w:rPr>
            <w:t>th</w:t>
          </w:r>
          <w:r w:rsidR="00830FDC">
            <w:t xml:space="preserve"> </w:t>
          </w:r>
          <w:r w:rsidR="00A5438B">
            <w:t>July 2016</w:t>
          </w:r>
          <w:r w:rsidR="00830FDC">
            <w:t xml:space="preserve">, </w:t>
          </w:r>
          <w:hyperlink r:id="rId28" w:tooltip="http://stat.abs.gov.au/" w:history="1">
            <w:r w:rsidR="00A0242D" w:rsidRPr="00296004">
              <w:rPr>
                <w:rStyle w:val="Hyperlink"/>
              </w:rPr>
              <w:t>http://stat.abs.gov.au/</w:t>
            </w:r>
          </w:hyperlink>
          <w:r w:rsidR="00830FDC" w:rsidRPr="00F944E6">
            <w:rPr>
              <w:rStyle w:val="Hyperlink"/>
              <w:u w:val="none"/>
            </w:rPr>
            <w:t>,</w:t>
          </w:r>
          <w:r w:rsidR="00A0242D">
            <w:rPr>
              <w:rStyle w:val="Hyperlink"/>
              <w:u w:val="none"/>
            </w:rPr>
            <w:t xml:space="preserve"> </w:t>
          </w:r>
          <w:r w:rsidR="00830FDC">
            <w:rPr>
              <w:rStyle w:val="Hyperlink"/>
              <w:u w:val="none"/>
            </w:rPr>
            <w:t xml:space="preserve">Selected examples of regions aggregated in </w:t>
          </w:r>
          <w:r w:rsidR="00FE4E3E">
            <w:rPr>
              <w:rStyle w:val="Hyperlink"/>
              <w:u w:val="none"/>
            </w:rPr>
            <w:t>g</w:t>
          </w:r>
          <w:r w:rsidR="00830FDC">
            <w:rPr>
              <w:rStyle w:val="Hyperlink"/>
              <w:u w:val="none"/>
            </w:rPr>
            <w:t xml:space="preserve">reater </w:t>
          </w:r>
          <w:r w:rsidR="00FE4E3E">
            <w:rPr>
              <w:rStyle w:val="Hyperlink"/>
              <w:u w:val="none"/>
            </w:rPr>
            <w:t>s</w:t>
          </w:r>
          <w:r w:rsidR="00830FDC">
            <w:rPr>
              <w:rStyle w:val="Hyperlink"/>
              <w:u w:val="none"/>
            </w:rPr>
            <w:t xml:space="preserve">tate or </w:t>
          </w:r>
          <w:r w:rsidR="00FE4E3E">
            <w:rPr>
              <w:rStyle w:val="Hyperlink"/>
              <w:u w:val="none"/>
            </w:rPr>
            <w:t>t</w:t>
          </w:r>
          <w:r w:rsidR="00830FDC">
            <w:rPr>
              <w:rStyle w:val="Hyperlink"/>
              <w:u w:val="none"/>
            </w:rPr>
            <w:t>erritory areas have been shown</w:t>
          </w:r>
          <w:r>
            <w:rPr>
              <w:rStyle w:val="Hyperlink"/>
              <w:u w:val="none"/>
            </w:rPr>
            <w:t xml:space="preserve">; </w:t>
          </w:r>
          <w:r w:rsidR="00830FDC">
            <w:t xml:space="preserve">R&amp;D Tax Incentive Programme. Viewed </w:t>
          </w:r>
          <w:r w:rsidR="00A5438B">
            <w:t>7 January 2016</w:t>
          </w:r>
        </w:p>
        <w:p w14:paraId="0DDED152" w14:textId="6C874E41" w:rsidR="00830FDC" w:rsidRDefault="00830FDC" w:rsidP="00830FDC">
          <w:pPr>
            <w:pStyle w:val="CaptionWide"/>
          </w:pPr>
          <w:r w:rsidRPr="000618FB">
            <w:t xml:space="preserve">Table </w:t>
          </w:r>
          <w:fldSimple w:instr=" STYLEREF 1 \s ">
            <w:r w:rsidR="00D55DA4">
              <w:rPr>
                <w:noProof/>
              </w:rPr>
              <w:t>2</w:t>
            </w:r>
          </w:fldSimple>
          <w:r w:rsidRPr="000618FB">
            <w:t>.</w:t>
          </w:r>
          <w:fldSimple w:instr=" SEQ Table \* ARABIC \s 1 ">
            <w:r w:rsidR="00D55DA4">
              <w:rPr>
                <w:noProof/>
              </w:rPr>
              <w:t>1</w:t>
            </w:r>
          </w:fldSimple>
          <w:r>
            <w:t>: Effects of expenditures in R&amp;D on Patent and Trademark application counts; and Business entries,</w:t>
          </w:r>
          <w:r w:rsidR="007B6A5F">
            <w:t xml:space="preserve"> </w:t>
          </w:r>
          <w:r>
            <w:t>per</w:t>
          </w:r>
          <w:r w:rsidR="007B6A5F">
            <w:t> </w:t>
          </w:r>
          <w:r>
            <w:t>10,000 inhabitants</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2.1: Effects of expenditures in R&amp;D on Patent and Trademark application counts; and Business entries,"/>
            <w:tblDescription w:val="Examines models, coeff. between estimators, constant and R2 (overall)"/>
          </w:tblPr>
          <w:tblGrid>
            <w:gridCol w:w="3693"/>
            <w:gridCol w:w="2699"/>
            <w:gridCol w:w="1421"/>
            <w:gridCol w:w="1428"/>
          </w:tblGrid>
          <w:tr w:rsidR="00830FDC" w:rsidRPr="00E94ECF" w14:paraId="5AD1FC72" w14:textId="77777777" w:rsidTr="000D227A">
            <w:trPr>
              <w:trHeight w:val="295"/>
              <w:tblHeader/>
            </w:trPr>
            <w:tc>
              <w:tcPr>
                <w:tcW w:w="3686" w:type="dxa"/>
                <w:shd w:val="clear" w:color="auto" w:fill="22789A" w:themeFill="accent1"/>
              </w:tcPr>
              <w:p w14:paraId="3810E29F" w14:textId="77777777" w:rsidR="00830FDC" w:rsidRPr="00E94ECF" w:rsidRDefault="00830FDC" w:rsidP="00D0090A">
                <w:pPr>
                  <w:pStyle w:val="Tableheader"/>
                </w:pPr>
                <w:r w:rsidRPr="00E94ECF">
                  <w:t>Models</w:t>
                </w:r>
              </w:p>
            </w:tc>
            <w:tc>
              <w:tcPr>
                <w:tcW w:w="2693" w:type="dxa"/>
                <w:shd w:val="clear" w:color="auto" w:fill="22789A" w:themeFill="accent1"/>
              </w:tcPr>
              <w:p w14:paraId="7AD2D190" w14:textId="77777777" w:rsidR="00830FDC" w:rsidRPr="00E94ECF" w:rsidRDefault="00830FDC" w:rsidP="00D0090A">
                <w:pPr>
                  <w:pStyle w:val="Tableheader"/>
                  <w:jc w:val="right"/>
                </w:pPr>
                <w:r w:rsidRPr="00E94ECF">
                  <w:t xml:space="preserve">Coeff. between estimators </w:t>
                </w:r>
              </w:p>
            </w:tc>
            <w:tc>
              <w:tcPr>
                <w:tcW w:w="1418" w:type="dxa"/>
                <w:shd w:val="clear" w:color="auto" w:fill="22789A" w:themeFill="accent1"/>
              </w:tcPr>
              <w:p w14:paraId="04BE7F6C" w14:textId="77777777" w:rsidR="00830FDC" w:rsidRPr="00E94ECF" w:rsidRDefault="00830FDC" w:rsidP="00D0090A">
                <w:pPr>
                  <w:pStyle w:val="Tableheader"/>
                  <w:jc w:val="right"/>
                </w:pPr>
                <w:r w:rsidRPr="00E94ECF">
                  <w:t>Constant</w:t>
                </w:r>
              </w:p>
            </w:tc>
            <w:tc>
              <w:tcPr>
                <w:tcW w:w="1425" w:type="dxa"/>
                <w:shd w:val="clear" w:color="auto" w:fill="22789A" w:themeFill="accent1"/>
              </w:tcPr>
              <w:p w14:paraId="1B2AFA53" w14:textId="77777777" w:rsidR="00830FDC" w:rsidRPr="00E94ECF" w:rsidRDefault="00830FDC" w:rsidP="00D0090A">
                <w:pPr>
                  <w:pStyle w:val="Tableheader"/>
                  <w:jc w:val="right"/>
                </w:pPr>
                <w:r w:rsidRPr="00E94ECF">
                  <w:t>R</w:t>
                </w:r>
                <w:r w:rsidRPr="00E94ECF">
                  <w:rPr>
                    <w:vertAlign w:val="superscript"/>
                  </w:rPr>
                  <w:t xml:space="preserve">2 </w:t>
                </w:r>
                <w:r w:rsidRPr="00E94ECF">
                  <w:t>(overall)</w:t>
                </w:r>
              </w:p>
            </w:tc>
          </w:tr>
          <w:tr w:rsidR="00830FDC" w:rsidRPr="00E94ECF" w14:paraId="32E65F8B" w14:textId="77777777" w:rsidTr="00D0090A">
            <w:tc>
              <w:tcPr>
                <w:tcW w:w="3686" w:type="dxa"/>
                <w:shd w:val="clear" w:color="auto" w:fill="CAE7F3" w:themeFill="accent1" w:themeFillTint="33"/>
                <w:vAlign w:val="center"/>
              </w:tcPr>
              <w:p w14:paraId="44CE8764" w14:textId="77777777" w:rsidR="00830FDC" w:rsidRPr="00E94ECF" w:rsidRDefault="00830FDC" w:rsidP="00D0090A">
                <w:pPr>
                  <w:pStyle w:val="Tabletext"/>
                </w:pPr>
                <w:r w:rsidRPr="00E94ECF">
                  <w:t>Ln (Patents) = β Ln(R&amp;DExpenditure)</w:t>
                </w:r>
              </w:p>
            </w:tc>
            <w:tc>
              <w:tcPr>
                <w:tcW w:w="2693" w:type="dxa"/>
                <w:shd w:val="clear" w:color="auto" w:fill="CAE7F3" w:themeFill="accent1" w:themeFillTint="33"/>
              </w:tcPr>
              <w:p w14:paraId="422CE956" w14:textId="77777777" w:rsidR="00830FDC" w:rsidRPr="00E94ECF" w:rsidRDefault="00830FDC" w:rsidP="00D0090A">
                <w:pPr>
                  <w:pStyle w:val="Tabletext"/>
                  <w:jc w:val="right"/>
                </w:pPr>
                <w:r w:rsidRPr="00E94ECF">
                  <w:t>0.350</w:t>
                </w:r>
                <w:r w:rsidRPr="00E94ECF" w:rsidDel="004656CE">
                  <w:t xml:space="preserve"> </w:t>
                </w:r>
                <w:r w:rsidRPr="00E94ECF">
                  <w:t>(0.019)***</w:t>
                </w:r>
              </w:p>
            </w:tc>
            <w:tc>
              <w:tcPr>
                <w:tcW w:w="1418" w:type="dxa"/>
                <w:shd w:val="clear" w:color="auto" w:fill="CAE7F3" w:themeFill="accent1" w:themeFillTint="33"/>
              </w:tcPr>
              <w:p w14:paraId="50005232" w14:textId="77777777" w:rsidR="00830FDC" w:rsidRPr="00E94ECF" w:rsidRDefault="00830FDC" w:rsidP="00D0090A">
                <w:pPr>
                  <w:pStyle w:val="Tabletext"/>
                  <w:jc w:val="right"/>
                </w:pPr>
                <w:r w:rsidRPr="00E94ECF">
                  <w:t>-3.953</w:t>
                </w:r>
              </w:p>
            </w:tc>
            <w:tc>
              <w:tcPr>
                <w:tcW w:w="1425" w:type="dxa"/>
                <w:shd w:val="clear" w:color="auto" w:fill="CAE7F3" w:themeFill="accent1" w:themeFillTint="33"/>
              </w:tcPr>
              <w:p w14:paraId="375E2CB8" w14:textId="77777777" w:rsidR="00830FDC" w:rsidRPr="00E94ECF" w:rsidRDefault="00830FDC" w:rsidP="00D0090A">
                <w:pPr>
                  <w:pStyle w:val="Tabletext"/>
                  <w:jc w:val="right"/>
                </w:pPr>
                <w:r w:rsidRPr="00E94ECF">
                  <w:t>0.396</w:t>
                </w:r>
              </w:p>
            </w:tc>
          </w:tr>
          <w:tr w:rsidR="00830FDC" w:rsidRPr="00E94ECF" w14:paraId="46C1806E" w14:textId="77777777" w:rsidTr="00D0090A">
            <w:tc>
              <w:tcPr>
                <w:tcW w:w="3686" w:type="dxa"/>
                <w:shd w:val="clear" w:color="auto" w:fill="CAE7F3" w:themeFill="accent1" w:themeFillTint="33"/>
                <w:vAlign w:val="center"/>
              </w:tcPr>
              <w:p w14:paraId="4AEC2306" w14:textId="77777777" w:rsidR="00830FDC" w:rsidRPr="00E94ECF" w:rsidRDefault="00830FDC" w:rsidP="00D0090A">
                <w:pPr>
                  <w:pStyle w:val="Tabletext"/>
                </w:pPr>
                <w:r w:rsidRPr="00E94ECF">
                  <w:t>Ln (Trademarks) = β Ln(R&amp;DExpenditure)</w:t>
                </w:r>
              </w:p>
            </w:tc>
            <w:tc>
              <w:tcPr>
                <w:tcW w:w="2693" w:type="dxa"/>
                <w:shd w:val="clear" w:color="auto" w:fill="CAE7F3" w:themeFill="accent1" w:themeFillTint="33"/>
              </w:tcPr>
              <w:p w14:paraId="60087A9D" w14:textId="77777777" w:rsidR="00830FDC" w:rsidRPr="00E94ECF" w:rsidRDefault="00830FDC" w:rsidP="00D0090A">
                <w:pPr>
                  <w:pStyle w:val="Tabletext"/>
                  <w:jc w:val="right"/>
                </w:pPr>
                <w:r w:rsidRPr="00E94ECF">
                  <w:t>0.403</w:t>
                </w:r>
                <w:r w:rsidRPr="00E94ECF" w:rsidDel="005751E2">
                  <w:t xml:space="preserve"> </w:t>
                </w:r>
                <w:r w:rsidRPr="00E94ECF">
                  <w:t>(0.023)***</w:t>
                </w:r>
              </w:p>
            </w:tc>
            <w:tc>
              <w:tcPr>
                <w:tcW w:w="1418" w:type="dxa"/>
                <w:shd w:val="clear" w:color="auto" w:fill="CAE7F3" w:themeFill="accent1" w:themeFillTint="33"/>
              </w:tcPr>
              <w:p w14:paraId="4054C648" w14:textId="77777777" w:rsidR="00830FDC" w:rsidRPr="00E94ECF" w:rsidRDefault="00830FDC" w:rsidP="00D0090A">
                <w:pPr>
                  <w:pStyle w:val="Tabletext"/>
                  <w:jc w:val="right"/>
                </w:pPr>
                <w:r w:rsidRPr="00E94ECF">
                  <w:t>-3.366</w:t>
                </w:r>
              </w:p>
            </w:tc>
            <w:tc>
              <w:tcPr>
                <w:tcW w:w="1425" w:type="dxa"/>
                <w:shd w:val="clear" w:color="auto" w:fill="CAE7F3" w:themeFill="accent1" w:themeFillTint="33"/>
              </w:tcPr>
              <w:p w14:paraId="0F478B8E" w14:textId="77777777" w:rsidR="00830FDC" w:rsidRPr="00E94ECF" w:rsidRDefault="00830FDC" w:rsidP="00D0090A">
                <w:pPr>
                  <w:pStyle w:val="Tabletext"/>
                  <w:jc w:val="right"/>
                </w:pPr>
                <w:r w:rsidRPr="00E94ECF">
                  <w:t>0.434</w:t>
                </w:r>
              </w:p>
            </w:tc>
          </w:tr>
          <w:tr w:rsidR="00830FDC" w:rsidRPr="00E94ECF" w14:paraId="04F1ECDE" w14:textId="77777777" w:rsidTr="00D0090A">
            <w:tc>
              <w:tcPr>
                <w:tcW w:w="3686" w:type="dxa"/>
                <w:shd w:val="clear" w:color="auto" w:fill="CAE7F3" w:themeFill="accent1" w:themeFillTint="33"/>
                <w:vAlign w:val="center"/>
              </w:tcPr>
              <w:p w14:paraId="0868DE7F" w14:textId="77777777" w:rsidR="00830FDC" w:rsidRPr="00E94ECF" w:rsidRDefault="00830FDC" w:rsidP="00D0090A">
                <w:pPr>
                  <w:pStyle w:val="Tabletext"/>
                </w:pPr>
                <w:r w:rsidRPr="00E94ECF">
                  <w:t>Ln (R&amp;DExpenditure) = β Ln(Business Entries)</w:t>
                </w:r>
              </w:p>
            </w:tc>
            <w:tc>
              <w:tcPr>
                <w:tcW w:w="2693" w:type="dxa"/>
                <w:shd w:val="clear" w:color="auto" w:fill="CAE7F3" w:themeFill="accent1" w:themeFillTint="33"/>
              </w:tcPr>
              <w:p w14:paraId="3A2C5C25" w14:textId="77777777" w:rsidR="00830FDC" w:rsidRPr="00E94ECF" w:rsidRDefault="00830FDC" w:rsidP="00D0090A">
                <w:pPr>
                  <w:pStyle w:val="Tabletext"/>
                  <w:jc w:val="right"/>
                </w:pPr>
                <w:r w:rsidRPr="00E94ECF">
                  <w:t>2.332 (0.205)***</w:t>
                </w:r>
              </w:p>
            </w:tc>
            <w:tc>
              <w:tcPr>
                <w:tcW w:w="1418" w:type="dxa"/>
                <w:shd w:val="clear" w:color="auto" w:fill="CAE7F3" w:themeFill="accent1" w:themeFillTint="33"/>
              </w:tcPr>
              <w:p w14:paraId="52D7BF26" w14:textId="77777777" w:rsidR="00830FDC" w:rsidRPr="00E94ECF" w:rsidRDefault="00830FDC" w:rsidP="00D0090A">
                <w:pPr>
                  <w:pStyle w:val="Tabletext"/>
                  <w:jc w:val="right"/>
                </w:pPr>
                <w:r w:rsidRPr="00E94ECF">
                  <w:t>2.925</w:t>
                </w:r>
              </w:p>
            </w:tc>
            <w:tc>
              <w:tcPr>
                <w:tcW w:w="1425" w:type="dxa"/>
                <w:shd w:val="clear" w:color="auto" w:fill="CAE7F3" w:themeFill="accent1" w:themeFillTint="33"/>
              </w:tcPr>
              <w:p w14:paraId="39CCE820" w14:textId="77777777" w:rsidR="00830FDC" w:rsidRPr="00E94ECF" w:rsidRDefault="00830FDC" w:rsidP="00D0090A">
                <w:pPr>
                  <w:pStyle w:val="Tabletext"/>
                  <w:jc w:val="right"/>
                </w:pPr>
                <w:r w:rsidRPr="00E94ECF">
                  <w:t>0.248</w:t>
                </w:r>
              </w:p>
            </w:tc>
          </w:tr>
        </w:tbl>
        <w:p w14:paraId="60AE8B2E" w14:textId="31D3589E" w:rsidR="00830FDC" w:rsidRPr="00A30089" w:rsidRDefault="00830FDC" w:rsidP="00830FDC">
          <w:pPr>
            <w:pStyle w:val="NoteWide"/>
          </w:pPr>
          <w:r w:rsidRPr="00A30089">
            <w:t>Note</w:t>
          </w:r>
          <w:r>
            <w:t>s: *** Significant at 0.</w:t>
          </w:r>
          <w:r w:rsidR="00B171CA">
            <w:t>0</w:t>
          </w:r>
          <w:r>
            <w:t>1 per cent level. R&amp;D expenditure was obtained for financial years 2009</w:t>
          </w:r>
          <w:r w:rsidR="00B171CA">
            <w:t>-10</w:t>
          </w:r>
          <w:r>
            <w:t xml:space="preserve"> t</w:t>
          </w:r>
          <w:r w:rsidR="00B171CA">
            <w:t>o</w:t>
          </w:r>
          <w:r>
            <w:t xml:space="preserve"> 2013</w:t>
          </w:r>
          <w:r w:rsidR="00B171CA">
            <w:t>-14</w:t>
          </w:r>
          <w:r>
            <w:t>; patent and trademark applications were obtained for years 2008 to 2014; and average business entries were obtained for 2008–09 to 2013–14.</w:t>
          </w:r>
          <w:r w:rsidRPr="00E94ECF">
            <w:t xml:space="preserve"> </w:t>
          </w:r>
          <w:r>
            <w:t>Log-linear regression on time-series panel data was carried out, as described in Appendix A.</w:t>
          </w:r>
        </w:p>
        <w:p w14:paraId="231E554E" w14:textId="0D9437F5" w:rsidR="00830FDC" w:rsidRDefault="00830FDC" w:rsidP="00830FDC">
          <w:pPr>
            <w:pStyle w:val="SourceWide"/>
          </w:pPr>
          <w:r>
            <w:t>Source</w:t>
          </w:r>
          <w:r w:rsidR="00B171CA">
            <w:t>s</w:t>
          </w:r>
          <w:r>
            <w:t>: Intellectual Property Government Open Data (2015), viewed 1</w:t>
          </w:r>
          <w:r w:rsidRPr="00E92212">
            <w:rPr>
              <w:vertAlign w:val="superscript"/>
            </w:rPr>
            <w:t>st</w:t>
          </w:r>
          <w:r>
            <w:t xml:space="preserve"> May, 2015, </w:t>
          </w:r>
          <w:hyperlink r:id="rId29" w:tooltip="https://data.gov.au/dataset/intellectual-property-government-open-data" w:history="1">
            <w:r w:rsidRPr="00945169">
              <w:rPr>
                <w:rStyle w:val="Hyperlink"/>
              </w:rPr>
              <w:t>https://data.gov.au/dataset/intellectual-property-government-open-data</w:t>
            </w:r>
          </w:hyperlink>
          <w:r>
            <w:rPr>
              <w:rStyle w:val="Hyperlink"/>
            </w:rPr>
            <w:t xml:space="preserve">; </w:t>
          </w:r>
          <w:r>
            <w:t xml:space="preserve"> R&amp;D Tax Incentive Programme, viewed 22</w:t>
          </w:r>
          <w:r w:rsidRPr="00E92212">
            <w:rPr>
              <w:vertAlign w:val="superscript"/>
            </w:rPr>
            <w:t>nd</w:t>
          </w:r>
          <w:r>
            <w:t xml:space="preserve"> June, 2015; Australian Bureau of Statistics (2015) </w:t>
          </w:r>
          <w:r>
            <w:rPr>
              <w:i/>
            </w:rPr>
            <w:t xml:space="preserve">Counts of Australian Businesses 2008–2015, </w:t>
          </w:r>
          <w:r>
            <w:t>data cube: Excel spreadsheet, cat. no. 8165</w:t>
          </w:r>
          <w:r w:rsidRPr="003B74B4">
            <w:t>.0</w:t>
          </w:r>
          <w:r>
            <w:t xml:space="preserve"> (data available on request).</w:t>
          </w:r>
        </w:p>
        <w:p w14:paraId="5DBB52E6" w14:textId="77777777" w:rsidR="00830FDC" w:rsidRDefault="00830FDC" w:rsidP="00830FDC">
          <w:pPr>
            <w:pStyle w:val="Heading2"/>
            <w:numPr>
              <w:ilvl w:val="1"/>
              <w:numId w:val="40"/>
            </w:numPr>
          </w:pPr>
          <w:r>
            <w:t xml:space="preserve">Patenting </w:t>
          </w:r>
        </w:p>
        <w:p w14:paraId="766818EB" w14:textId="13FB835D" w:rsidR="00830FDC" w:rsidRDefault="00830FDC" w:rsidP="00830FDC">
          <w:pPr>
            <w:pStyle w:val="BodyText"/>
          </w:pPr>
          <w:r w:rsidRPr="00380D23">
            <w:t>Patents are a form</w:t>
          </w:r>
          <w:r>
            <w:t xml:space="preserve"> of intellectual property that give owners an exclusive and legally enforceable right to exploit the value of an invention. Due partly to a head office effect (patents filed by the head office rather than where the patent generation activity actually takes place), patent filing activity in Australia is predominantly undertaken by firms and organisations in the major metropolitan areas. Overall patent </w:t>
          </w:r>
          <w:r w:rsidR="004E512F">
            <w:t>applicants</w:t>
          </w:r>
          <w:r>
            <w:t>,</w:t>
          </w:r>
          <w:r>
            <w:rPr>
              <w:rStyle w:val="FootnoteReference"/>
            </w:rPr>
            <w:footnoteReference w:id="19"/>
          </w:r>
          <w:r>
            <w:t xml:space="preserve"> as reported by IP Australia, have declined since 2008. </w:t>
          </w:r>
        </w:p>
        <w:p w14:paraId="1290E7A2" w14:textId="31637894" w:rsidR="00830FDC" w:rsidRDefault="00830FDC" w:rsidP="00830FDC">
          <w:pPr>
            <w:pStyle w:val="BodyText"/>
          </w:pPr>
          <w:r>
            <w:t xml:space="preserve">Figure 2.2 </w:t>
          </w:r>
          <w:r w:rsidRPr="003F4964">
            <w:t xml:space="preserve">shows patent </w:t>
          </w:r>
          <w:r w:rsidR="00A5438B">
            <w:t>applicants</w:t>
          </w:r>
          <w:r w:rsidRPr="003F4964">
            <w:t xml:space="preserve"> between 2008</w:t>
          </w:r>
          <w:r>
            <w:t xml:space="preserve"> and 2014</w:t>
          </w:r>
          <w:r w:rsidRPr="003F4964">
            <w:t xml:space="preserve"> for each GCCSA in both </w:t>
          </w:r>
          <w:r>
            <w:t xml:space="preserve">the </w:t>
          </w:r>
          <w:r w:rsidRPr="003F4964">
            <w:t xml:space="preserve">absolute number of </w:t>
          </w:r>
          <w:r w:rsidR="00A5438B">
            <w:t>applicants</w:t>
          </w:r>
          <w:r w:rsidRPr="003F4964">
            <w:t xml:space="preserve"> </w:t>
          </w:r>
          <w:r>
            <w:t>registered</w:t>
          </w:r>
          <w:r w:rsidRPr="003F4964">
            <w:t xml:space="preserve"> a</w:t>
          </w:r>
          <w:r>
            <w:t xml:space="preserve">s well as </w:t>
          </w:r>
          <w:r w:rsidRPr="008D2D57">
            <w:t>the population adjusted ave</w:t>
          </w:r>
          <w:r>
            <w:t xml:space="preserve">rages of patent </w:t>
          </w:r>
          <w:r w:rsidR="00A5438B">
            <w:t>applicants</w:t>
          </w:r>
          <w:r>
            <w:t xml:space="preserve">. In absolute terms, patent </w:t>
          </w:r>
          <w:r w:rsidR="00A5438B">
            <w:t xml:space="preserve">applicants </w:t>
          </w:r>
          <w:r>
            <w:t xml:space="preserve">were overwhelmingly concentrated in the Greater Sydney and Greater Melbourne areas.  On a population adjusted basis, the highest concentration was found in the Australian Capital Territory area followed by the Greater Sydney and Greater </w:t>
          </w:r>
          <w:r w:rsidR="00A5438B">
            <w:t xml:space="preserve">Melbourne </w:t>
          </w:r>
          <w:r>
            <w:t>areas. The data shows that on a per capita basis the A</w:t>
          </w:r>
          <w:r w:rsidR="00302D6C">
            <w:t xml:space="preserve">ustralian </w:t>
          </w:r>
          <w:r>
            <w:t>C</w:t>
          </w:r>
          <w:r w:rsidR="00302D6C">
            <w:t xml:space="preserve">apital </w:t>
          </w:r>
          <w:r>
            <w:t>T</w:t>
          </w:r>
          <w:r w:rsidR="00302D6C">
            <w:t>erritory</w:t>
          </w:r>
          <w:r>
            <w:t xml:space="preserve"> recorded</w:t>
          </w:r>
          <w:r w:rsidR="00A5438B">
            <w:t xml:space="preserve"> 21 per cent more </w:t>
          </w:r>
          <w:r>
            <w:t>patent</w:t>
          </w:r>
          <w:r w:rsidR="00A5438B">
            <w:t xml:space="preserve"> applicant</w:t>
          </w:r>
          <w:r>
            <w:t xml:space="preserve">s </w:t>
          </w:r>
          <w:r w:rsidR="000A1EEC">
            <w:t xml:space="preserve">than </w:t>
          </w:r>
          <w:r>
            <w:t>any other Greater Capital city.</w:t>
          </w:r>
        </w:p>
        <w:p w14:paraId="5C12F9DB" w14:textId="674B5DFB" w:rsidR="00830FDC" w:rsidRDefault="00830FDC" w:rsidP="00830FDC">
          <w:pPr>
            <w:pStyle w:val="BodyText"/>
          </w:pPr>
          <w:r>
            <w:t xml:space="preserve">With the exception of Tasmania, where patent </w:t>
          </w:r>
          <w:r w:rsidR="004E512F">
            <w:t xml:space="preserve">applicants </w:t>
          </w:r>
          <w:r>
            <w:t>in the rest of Tasmania were 2</w:t>
          </w:r>
          <w:r w:rsidR="00A5438B">
            <w:t>0</w:t>
          </w:r>
          <w:r>
            <w:t xml:space="preserve"> per cent higher than the Greater Hobart area, all other capital cities recorded a higher proportion of patent </w:t>
          </w:r>
          <w:r w:rsidR="004E512F">
            <w:t xml:space="preserve">applicants </w:t>
          </w:r>
          <w:r>
            <w:t xml:space="preserve">compared to the rest of the state or territory. In the Greater Sydney area, the numbers of </w:t>
          </w:r>
          <w:r w:rsidR="00FB45FD">
            <w:t xml:space="preserve">applicants </w:t>
          </w:r>
          <w:r>
            <w:t xml:space="preserve">for patents were </w:t>
          </w:r>
          <w:r w:rsidR="00A5438B">
            <w:t>2.2</w:t>
          </w:r>
          <w:r>
            <w:t xml:space="preserve"> times higher, per head of population, than the rest of N</w:t>
          </w:r>
          <w:r w:rsidR="006C5399">
            <w:t>ew South Wales</w:t>
          </w:r>
          <w:r>
            <w:t xml:space="preserve">. The difference was higher in Victoria where applications in the Greater Melbourne area were approximately </w:t>
          </w:r>
          <w:r w:rsidR="00A5438B">
            <w:t>2.6</w:t>
          </w:r>
          <w:r>
            <w:t xml:space="preserve"> times higher than the rest of Victoria. In Queensland, the difference between Greater Brisbane and the rest of Queensland was only a factor of </w:t>
          </w:r>
          <w:r w:rsidR="00A5438B">
            <w:t>1.4</w:t>
          </w:r>
          <w:r>
            <w:t>, whereas differences in South Australia (Greater Adelaide and rest of S</w:t>
          </w:r>
          <w:r w:rsidR="006C5399">
            <w:t>outh Australia</w:t>
          </w:r>
          <w:r>
            <w:t>), Western Australia (Greater Perth and rest of W</w:t>
          </w:r>
          <w:r w:rsidR="006C5399">
            <w:t xml:space="preserve">estern </w:t>
          </w:r>
          <w:r>
            <w:t>A</w:t>
          </w:r>
          <w:r w:rsidR="006C5399">
            <w:t>ustralia</w:t>
          </w:r>
          <w:r>
            <w:t>) and Northern Territory (Greater Darwin and rest of N</w:t>
          </w:r>
          <w:r w:rsidR="006C5399">
            <w:t xml:space="preserve">orthern </w:t>
          </w:r>
          <w:r>
            <w:t>T</w:t>
          </w:r>
          <w:r w:rsidR="006C5399">
            <w:t>erritory</w:t>
          </w:r>
          <w:r>
            <w:t>) were 3.</w:t>
          </w:r>
          <w:r w:rsidR="003712ED">
            <w:t>0</w:t>
          </w:r>
          <w:r>
            <w:t xml:space="preserve">, </w:t>
          </w:r>
          <w:r w:rsidR="003712ED">
            <w:t>2.5</w:t>
          </w:r>
          <w:r>
            <w:t xml:space="preserve"> and </w:t>
          </w:r>
          <w:r w:rsidR="003712ED">
            <w:t>2.6</w:t>
          </w:r>
          <w:r>
            <w:t xml:space="preserve"> times</w:t>
          </w:r>
          <w:r w:rsidR="000A1EEC">
            <w:t>,</w:t>
          </w:r>
          <w:r>
            <w:t xml:space="preserve"> respectively. A percentile map showing the distribution of annual patent applications around Australia is shown in Map B2.</w:t>
          </w:r>
        </w:p>
        <w:p w14:paraId="5F0835C0" w14:textId="3F42B911" w:rsidR="00830FDC" w:rsidRDefault="00D32FDC" w:rsidP="00830FDC">
          <w:pPr>
            <w:pStyle w:val="CaptionWide"/>
          </w:pPr>
          <w:r>
            <w:rPr>
              <w:noProof/>
              <w:lang w:eastAsia="en-AU"/>
            </w:rPr>
            <w:drawing>
              <wp:anchor distT="0" distB="0" distL="114300" distR="114300" simplePos="0" relativeHeight="251667456" behindDoc="0" locked="0" layoutInCell="1" allowOverlap="1" wp14:anchorId="6C2AE600" wp14:editId="60D8BE2C">
                <wp:simplePos x="0" y="0"/>
                <wp:positionH relativeFrom="margin">
                  <wp:align>right</wp:align>
                </wp:positionH>
                <wp:positionV relativeFrom="paragraph">
                  <wp:posOffset>400441</wp:posOffset>
                </wp:positionV>
                <wp:extent cx="5736590" cy="3657600"/>
                <wp:effectExtent l="0" t="0" r="0" b="0"/>
                <wp:wrapTopAndBottom/>
                <wp:docPr id="3" name="Picture 3" descr="Figure 2.2 is a bivariate chart. On the x-axis are the 15 Greater City Capital Areas, as defined by the ABS. On the left-hand y-axis is the annual average number of patent applicants per ten thousand inhabitants, over the calendar years from 2008 to 2015. On the right-hand y-axis is the annual average number of patent applicants over the same period.&#10;The Australian Capital Territory is in the lead with 7.0 patent applicants per year per ten thousand inhabitants over the period. This is followed by Greater Sydney, Greater Melbourne, Greater Perth and Greater Brisbane, where the annual number of patent applicants per ten thousand inhabitants is 5.8, 5.1, 5.0 and 4.7, respectively. The lowest estimate, 0.5 patent applicants per year per ten thousand inhabitants, is shown for the Rest of Northern Territory.&#10;In absolute terms, Greater Sydney is shown to have the highest annual average number of patent applicants over the period, at around 2690. This is followed by Greater Melbourne, Greater Brisbane and Greater Perth, where the annual average number of patent applicants over the period is around 2130, 1010 and 940, respectively. The lowest average number of patent applicants over the period, fewer than 10 per year, is shown for the Rest of Northern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6590" cy="3657600"/>
                        </a:xfrm>
                        <a:prstGeom prst="rect">
                          <a:avLst/>
                        </a:prstGeom>
                        <a:noFill/>
                      </pic:spPr>
                    </pic:pic>
                  </a:graphicData>
                </a:graphic>
                <wp14:sizeRelH relativeFrom="page">
                  <wp14:pctWidth>0</wp14:pctWidth>
                </wp14:sizeRelH>
                <wp14:sizeRelV relativeFrom="page">
                  <wp14:pctHeight>0</wp14:pctHeight>
                </wp14:sizeRelV>
              </wp:anchor>
            </w:drawing>
          </w:r>
          <w:r w:rsidR="00830FDC">
            <w:t>Figure</w:t>
          </w:r>
          <w:r w:rsidR="00830FDC" w:rsidRPr="000618FB">
            <w:t xml:space="preserve"> </w:t>
          </w:r>
          <w:fldSimple w:instr=" STYLEREF 1 \s ">
            <w:r w:rsidR="00D55DA4">
              <w:rPr>
                <w:noProof/>
              </w:rPr>
              <w:t>2</w:t>
            </w:r>
          </w:fldSimple>
          <w:r w:rsidR="00830FDC" w:rsidRPr="000618FB">
            <w:t>.</w:t>
          </w:r>
          <w:r w:rsidR="00830FDC" w:rsidRPr="000618FB">
            <w:fldChar w:fldCharType="begin"/>
          </w:r>
          <w:r w:rsidR="00830FDC" w:rsidRPr="000618FB">
            <w:instrText xml:space="preserve"> SEQ </w:instrText>
          </w:r>
          <w:r w:rsidR="00830FDC">
            <w:instrText>Figure</w:instrText>
          </w:r>
          <w:r w:rsidR="00830FDC" w:rsidRPr="000618FB">
            <w:instrText xml:space="preserve"> \* ARABIC \s 1 </w:instrText>
          </w:r>
          <w:r w:rsidR="00830FDC" w:rsidRPr="000618FB">
            <w:fldChar w:fldCharType="separate"/>
          </w:r>
          <w:r w:rsidR="00D55DA4">
            <w:rPr>
              <w:noProof/>
            </w:rPr>
            <w:t>2</w:t>
          </w:r>
          <w:r w:rsidR="00830FDC" w:rsidRPr="000618FB">
            <w:fldChar w:fldCharType="end"/>
          </w:r>
          <w:r w:rsidR="00830FDC">
            <w:t xml:space="preserve">: Annual number of patent </w:t>
          </w:r>
          <w:r w:rsidR="0032333A">
            <w:t xml:space="preserve">applicants </w:t>
          </w:r>
          <w:r w:rsidR="00830FDC">
            <w:t>per 10,000 inhabitants averaged between 2008</w:t>
          </w:r>
          <w:r w:rsidR="00830FDC">
            <w:rPr>
              <w:rFonts w:cs="Arial"/>
            </w:rPr>
            <w:t>–</w:t>
          </w:r>
          <w:r w:rsidR="00830FDC">
            <w:t>201</w:t>
          </w:r>
          <w:r w:rsidR="0032333A">
            <w:t>5</w:t>
          </w:r>
          <w:r w:rsidR="00830FDC">
            <w:t xml:space="preserve"> for </w:t>
          </w:r>
          <w:r w:rsidR="00830FDC" w:rsidRPr="0016631B">
            <w:t xml:space="preserve">Greater </w:t>
          </w:r>
          <w:r>
            <w:t xml:space="preserve">CITY </w:t>
          </w:r>
          <w:r w:rsidR="00830FDC" w:rsidRPr="0016631B">
            <w:t>Capital City Statistical Area</w:t>
          </w:r>
        </w:p>
        <w:p w14:paraId="2BCF9023" w14:textId="5ED98549" w:rsidR="00830FDC" w:rsidRPr="008963FA" w:rsidRDefault="00830FDC" w:rsidP="00DA37D8">
          <w:pPr>
            <w:pStyle w:val="SourceWide"/>
            <w:spacing w:before="0" w:after="0" w:line="240" w:lineRule="auto"/>
            <w:rPr>
              <w:u w:val="single"/>
            </w:rPr>
          </w:pPr>
          <w:r>
            <w:t>Source</w:t>
          </w:r>
          <w:r w:rsidR="00B171CA">
            <w:t>s</w:t>
          </w:r>
          <w:r>
            <w:t>: Intellectual Property Government Open Data (201</w:t>
          </w:r>
          <w:r w:rsidR="0032333A">
            <w:t>6</w:t>
          </w:r>
          <w:r>
            <w:t xml:space="preserve">), viewed </w:t>
          </w:r>
          <w:r w:rsidR="0032333A">
            <w:t>24</w:t>
          </w:r>
          <w:r w:rsidR="0032333A" w:rsidRPr="00DA37D8">
            <w:rPr>
              <w:vertAlign w:val="superscript"/>
            </w:rPr>
            <w:t>th</w:t>
          </w:r>
          <w:r>
            <w:t xml:space="preserve"> May 201</w:t>
          </w:r>
          <w:r w:rsidR="0032333A">
            <w:t>6</w:t>
          </w:r>
          <w:r>
            <w:t xml:space="preserve">, </w:t>
          </w:r>
          <w:hyperlink r:id="rId31" w:tooltip="https://data.gov.au/dataset/intellectual-property-government-open-data" w:history="1">
            <w:r w:rsidRPr="00945169">
              <w:rPr>
                <w:rStyle w:val="Hyperlink"/>
              </w:rPr>
              <w:t>https://data.gov.au/dataset/intellectual-property-government-open-data</w:t>
            </w:r>
          </w:hyperlink>
          <w:r w:rsidR="00B171CA">
            <w:t xml:space="preserve">; </w:t>
          </w:r>
          <w:r w:rsidR="0032333A" w:rsidRPr="0032333A">
            <w:t>Australian Bureau of Statistics (2016) Estimated Resident Population by Region, ABS.Stat, viewed 11th July 2016, http://stat.abs.gov.au/</w:t>
          </w:r>
        </w:p>
        <w:p w14:paraId="54D957C5" w14:textId="77777777" w:rsidR="00830FDC" w:rsidRDefault="00830FDC" w:rsidP="00DA37D8">
          <w:pPr>
            <w:pStyle w:val="Heading2"/>
            <w:numPr>
              <w:ilvl w:val="1"/>
              <w:numId w:val="40"/>
            </w:numPr>
            <w:spacing w:line="240" w:lineRule="auto"/>
          </w:pPr>
          <w:r>
            <w:t xml:space="preserve">Trademarking </w:t>
          </w:r>
        </w:p>
        <w:p w14:paraId="3108FE3A" w14:textId="17E861DC" w:rsidR="00830FDC" w:rsidRDefault="00830FDC" w:rsidP="00830FDC">
          <w:pPr>
            <w:pStyle w:val="BodyText"/>
          </w:pPr>
          <w:r>
            <w:t xml:space="preserve">Trademark </w:t>
          </w:r>
          <w:r w:rsidR="0032333A">
            <w:t xml:space="preserve">applicants </w:t>
          </w:r>
          <w:r>
            <w:t xml:space="preserve">in Australia have a similar regional distribution to patent applications. </w:t>
          </w:r>
        </w:p>
        <w:p w14:paraId="410DD2DC" w14:textId="14F13CA2" w:rsidR="00830FDC" w:rsidRDefault="00830FDC" w:rsidP="00830FDC">
          <w:pPr>
            <w:pStyle w:val="BodyText"/>
          </w:pPr>
          <w:r>
            <w:t xml:space="preserve">Trademarks serve to reinforce businesses’ IP strategies and can constitute a complementary indicator of innovation performance. Figure 2.3 </w:t>
          </w:r>
          <w:r w:rsidRPr="003F4964">
            <w:t xml:space="preserve">shows </w:t>
          </w:r>
          <w:r>
            <w:t>trademark</w:t>
          </w:r>
          <w:r w:rsidRPr="003F4964">
            <w:t xml:space="preserve"> </w:t>
          </w:r>
          <w:r w:rsidR="0032333A">
            <w:t>applicants</w:t>
          </w:r>
          <w:r w:rsidR="0032333A" w:rsidRPr="003F4964">
            <w:t xml:space="preserve"> </w:t>
          </w:r>
          <w:r w:rsidRPr="003F4964">
            <w:t>between 2008</w:t>
          </w:r>
          <w:r>
            <w:t xml:space="preserve"> and </w:t>
          </w:r>
          <w:r w:rsidR="0032333A">
            <w:t>2015</w:t>
          </w:r>
          <w:r w:rsidR="0032333A" w:rsidRPr="003F4964">
            <w:t xml:space="preserve"> </w:t>
          </w:r>
          <w:r w:rsidRPr="003F4964">
            <w:t xml:space="preserve">for each GCCSA in both </w:t>
          </w:r>
          <w:r>
            <w:t xml:space="preserve">the </w:t>
          </w:r>
          <w:r w:rsidRPr="003F4964">
            <w:t xml:space="preserve">absolute number of </w:t>
          </w:r>
          <w:r w:rsidR="0032333A">
            <w:t>applicants</w:t>
          </w:r>
          <w:r w:rsidR="0032333A" w:rsidRPr="003F4964">
            <w:t xml:space="preserve"> </w:t>
          </w:r>
          <w:r>
            <w:t>lodged</w:t>
          </w:r>
          <w:r w:rsidRPr="003F4964">
            <w:t xml:space="preserve"> </w:t>
          </w:r>
          <w:r>
            <w:t xml:space="preserve">as well as the population adjusted averages of trademark </w:t>
          </w:r>
          <w:r w:rsidR="0032333A">
            <w:t>applicants</w:t>
          </w:r>
          <w:r>
            <w:t xml:space="preserve">. In absolute terms, trademark </w:t>
          </w:r>
          <w:r w:rsidR="0032333A">
            <w:t xml:space="preserve">applicants </w:t>
          </w:r>
          <w:r>
            <w:t xml:space="preserve">were again overwhelmingly concentrated in the Greater Sydney and Greater Melbourne areas, similar to patents. On a population adjusted basis, </w:t>
          </w:r>
          <w:r w:rsidR="0032333A">
            <w:t xml:space="preserve">Greater Sydney </w:t>
          </w:r>
          <w:r>
            <w:t xml:space="preserve">had the highest concentration of trademark </w:t>
          </w:r>
          <w:r w:rsidR="0032333A">
            <w:t xml:space="preserve">applicants </w:t>
          </w:r>
          <w:r>
            <w:t xml:space="preserve">per 10,000 inhabitants. All other capital cities also registered a higher number of trademark </w:t>
          </w:r>
          <w:r w:rsidR="0032333A">
            <w:t xml:space="preserve">applicants </w:t>
          </w:r>
          <w:r>
            <w:t xml:space="preserve">per 10,000 inhabitants compared to the surrounding areas in the respective </w:t>
          </w:r>
          <w:r w:rsidR="00FE4E3E">
            <w:t>s</w:t>
          </w:r>
          <w:r>
            <w:t>t</w:t>
          </w:r>
          <w:r w:rsidR="00FE4E3E">
            <w:t>ate or t</w:t>
          </w:r>
          <w:r>
            <w:t xml:space="preserve">erritory. Trademark </w:t>
          </w:r>
          <w:r w:rsidR="0032333A">
            <w:t xml:space="preserve">applicants </w:t>
          </w:r>
          <w:r>
            <w:t xml:space="preserve">originating in the Greater Sydney </w:t>
          </w:r>
          <w:r w:rsidR="00FB45FD">
            <w:t xml:space="preserve">and Greater Melbourne area </w:t>
          </w:r>
          <w:r>
            <w:t xml:space="preserve">were </w:t>
          </w:r>
          <w:r w:rsidR="00FB45FD">
            <w:t>3.3</w:t>
          </w:r>
          <w:r>
            <w:t xml:space="preserve"> times higher than the rest of N</w:t>
          </w:r>
          <w:r w:rsidR="006C5399">
            <w:t xml:space="preserve">ew </w:t>
          </w:r>
          <w:r>
            <w:t>S</w:t>
          </w:r>
          <w:r w:rsidR="006C5399">
            <w:t xml:space="preserve">outh </w:t>
          </w:r>
          <w:r>
            <w:t>W</w:t>
          </w:r>
          <w:r w:rsidR="006C5399">
            <w:t>ales</w:t>
          </w:r>
          <w:r w:rsidR="00FB45FD">
            <w:t xml:space="preserve"> and the rest of Victoria</w:t>
          </w:r>
          <w:r>
            <w:t xml:space="preserve">. The Greater Brisbane area’s trademark </w:t>
          </w:r>
          <w:r w:rsidR="00F82AB3">
            <w:t xml:space="preserve">applicants </w:t>
          </w:r>
          <w:r>
            <w:t xml:space="preserve">were, on average, only 1.4 times greater than for the rest of Queensland. Trademark </w:t>
          </w:r>
          <w:r w:rsidR="00F82AB3">
            <w:t xml:space="preserve">applicants </w:t>
          </w:r>
          <w:r>
            <w:t xml:space="preserve">originating in Greater Adelaide area were </w:t>
          </w:r>
          <w:r w:rsidR="00FB45FD">
            <w:t>2.1</w:t>
          </w:r>
          <w:r>
            <w:t xml:space="preserve"> times higher than the rest of S</w:t>
          </w:r>
          <w:r w:rsidR="006C5399">
            <w:t xml:space="preserve">outh </w:t>
          </w:r>
          <w:r>
            <w:t>A</w:t>
          </w:r>
          <w:r w:rsidR="006C5399">
            <w:t>ustralia</w:t>
          </w:r>
          <w:r>
            <w:t xml:space="preserve"> and Greater Perth had </w:t>
          </w:r>
          <w:r w:rsidR="00FB45FD">
            <w:t>2.5</w:t>
          </w:r>
          <w:r>
            <w:t xml:space="preserve"> times more </w:t>
          </w:r>
          <w:r w:rsidR="00F82AB3">
            <w:t xml:space="preserve">applicants </w:t>
          </w:r>
          <w:r>
            <w:t>filed compared to the rest of W</w:t>
          </w:r>
          <w:r w:rsidR="006C5399">
            <w:t xml:space="preserve">estern </w:t>
          </w:r>
          <w:r>
            <w:t>A</w:t>
          </w:r>
          <w:r w:rsidR="006C5399">
            <w:t>ustralia</w:t>
          </w:r>
          <w:r>
            <w:t xml:space="preserve">. </w:t>
          </w:r>
          <w:r w:rsidR="00FB45FD">
            <w:t>The Greater Hobart</w:t>
          </w:r>
          <w:r w:rsidR="00546E72">
            <w:t xml:space="preserve"> area’s trademark applicants were on average 1.6 times greater </w:t>
          </w:r>
          <w:r>
            <w:t xml:space="preserve">compared to rest of Tasmania, however in the Northern Territory, </w:t>
          </w:r>
          <w:r w:rsidR="00F82AB3">
            <w:t>applicants</w:t>
          </w:r>
          <w:r>
            <w:t xml:space="preserve"> in Greater Darwin area were </w:t>
          </w:r>
          <w:r w:rsidR="00546E72">
            <w:t>3.4</w:t>
          </w:r>
          <w:r>
            <w:t xml:space="preserve"> times more than in the rest of the N</w:t>
          </w:r>
          <w:r w:rsidR="006C5399">
            <w:t xml:space="preserve">orthern </w:t>
          </w:r>
          <w:r>
            <w:t>T</w:t>
          </w:r>
          <w:r w:rsidR="006C5399">
            <w:t>erritory</w:t>
          </w:r>
          <w:r>
            <w:t>.</w:t>
          </w:r>
          <w:r w:rsidRPr="00E37BDB">
            <w:t xml:space="preserve"> </w:t>
          </w:r>
          <w:r>
            <w:t>A map showing the distribution of the annual trademark applications around Australia is shown in Map B3.</w:t>
          </w:r>
        </w:p>
        <w:p w14:paraId="4A5F08F4" w14:textId="6A5F6D31" w:rsidR="00830FDC" w:rsidRDefault="00830FDC" w:rsidP="00830FDC">
          <w:pPr>
            <w:pStyle w:val="CaptionWide"/>
          </w:pPr>
          <w:r>
            <w:t>Figure</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D55DA4">
            <w:rPr>
              <w:noProof/>
            </w:rPr>
            <w:t>3</w:t>
          </w:r>
          <w:r w:rsidRPr="000618FB">
            <w:fldChar w:fldCharType="end"/>
          </w:r>
          <w:r>
            <w:t xml:space="preserve">: Annual number of trademark </w:t>
          </w:r>
          <w:r w:rsidR="00F82AB3">
            <w:t xml:space="preserve">applicants </w:t>
          </w:r>
          <w:r>
            <w:t>per 10,000 inhabitants averaged 2008</w:t>
          </w:r>
          <w:r>
            <w:rPr>
              <w:rFonts w:cs="Arial"/>
            </w:rPr>
            <w:t>–</w:t>
          </w:r>
          <w:r w:rsidR="00F82AB3">
            <w:t>2015</w:t>
          </w:r>
          <w:r>
            <w:t>, by Greater Capital City Statistical Area (GCCSA)</w:t>
          </w:r>
        </w:p>
        <w:p w14:paraId="3AE759F9" w14:textId="01413641" w:rsidR="000D227A" w:rsidRPr="000D227A" w:rsidRDefault="00C100E0" w:rsidP="000D227A">
          <w:pPr>
            <w:pStyle w:val="PlaceholderWide"/>
          </w:pPr>
          <w:r>
            <w:rPr>
              <w:noProof/>
              <w:lang w:eastAsia="en-AU"/>
            </w:rPr>
            <w:drawing>
              <wp:inline distT="0" distB="0" distL="0" distR="0" wp14:anchorId="0D35B4CE" wp14:editId="6E9EAD0A">
                <wp:extent cx="5736590" cy="3444240"/>
                <wp:effectExtent l="0" t="0" r="0" b="3810"/>
                <wp:docPr id="19" name="Picture 19" descr="Figure 2.3 is a bivariate chart. On the x-axis are the 15 Greater City Capital Areas, as defined by the ABS. On the left-hand y-axis is the annual average number of trademark applicants per ten thousand inhabitants, over the calendar years from 2008 to 2015. On the right-hand y-axis is the annual average number of trademark applicants over the same period.&#10;Greater Sydney is in the lead with 37.0 trademark applicants per year per ten thousand inhabitants over the period. This is followed by Greater Melbourne, Greater Brisbane, Greater Adelaide and the Australian Capital Territory, where the annual number of trademark applicants per ten thousand inhabitants is 34.0, 25.9, 24.1, and 22.2, respectively. The lowest estimate, 2.5 trademark applicants per year per ten thousand inhabitants, is shown for the Rest of Northern Territory.&#10;In absolute terms, Greater Sydney is shown to have the highest annual average number of trademark applicants over the period, at around 17220. This is followed by Greater Melbourne, Greater Brisbane and the Rest of Queensland, where the annual average number of trademark applicants over the period is around 14360, 5620 and 4330, respectively. The lowest average number of trademark applicants over the period, fewer than 30 per year, is shown for the Rest of Northern Territory.&#10;" title="Figure 2.3: Annual number of trademark applicants per 10,000 inhabitants averaged 2008–2015, by Greater Capital City Statistical Area (GC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590" cy="3444240"/>
                        </a:xfrm>
                        <a:prstGeom prst="rect">
                          <a:avLst/>
                        </a:prstGeom>
                        <a:noFill/>
                      </pic:spPr>
                    </pic:pic>
                  </a:graphicData>
                </a:graphic>
              </wp:inline>
            </w:drawing>
          </w:r>
        </w:p>
        <w:p w14:paraId="75124303" w14:textId="1DDB17F3" w:rsidR="00830FDC" w:rsidRDefault="00830FDC" w:rsidP="00F82AB3">
          <w:pPr>
            <w:pStyle w:val="SourceWide"/>
            <w:spacing w:line="240" w:lineRule="auto"/>
          </w:pPr>
          <w:r>
            <w:t>Source</w:t>
          </w:r>
          <w:r w:rsidR="00B171CA">
            <w:t>s</w:t>
          </w:r>
          <w:r>
            <w:t>: Intellectual Property Government Open Data (2015), viewed</w:t>
          </w:r>
          <w:r w:rsidR="00F82AB3">
            <w:t xml:space="preserve"> 24</w:t>
          </w:r>
          <w:r w:rsidR="00F82AB3" w:rsidRPr="00DA37D8">
            <w:rPr>
              <w:vertAlign w:val="superscript"/>
            </w:rPr>
            <w:t>th</w:t>
          </w:r>
          <w:r w:rsidR="00F82AB3">
            <w:t xml:space="preserve"> </w:t>
          </w:r>
          <w:r>
            <w:t>May 201</w:t>
          </w:r>
          <w:r w:rsidR="00F82AB3">
            <w:t>6</w:t>
          </w:r>
          <w:r>
            <w:t xml:space="preserve">, </w:t>
          </w:r>
          <w:hyperlink r:id="rId33" w:tooltip="https://data.gov.au/dataset/intellectual-property-government-open-data" w:history="1">
            <w:r w:rsidRPr="00945169">
              <w:rPr>
                <w:rStyle w:val="Hyperlink"/>
              </w:rPr>
              <w:t>https://data.gov.au/dataset/intellectual-property-government-open-data</w:t>
            </w:r>
          </w:hyperlink>
          <w:r w:rsidR="00B171CA">
            <w:t xml:space="preserve">; </w:t>
          </w:r>
          <w:r w:rsidR="00F82AB3" w:rsidRPr="0032333A">
            <w:t>Australian Bureau of Statistics (2016) Estimated Resident Population by Region, ABS.Stat, viewed 11th July 2016, http://stat.abs.gov.au/</w:t>
          </w:r>
        </w:p>
        <w:p w14:paraId="58A1C785" w14:textId="77777777" w:rsidR="00830FDC" w:rsidRDefault="00830FDC" w:rsidP="00830FDC">
          <w:pPr>
            <w:pStyle w:val="Heading2"/>
            <w:numPr>
              <w:ilvl w:val="1"/>
              <w:numId w:val="40"/>
            </w:numPr>
          </w:pPr>
          <w:r>
            <w:t>Entrepreneurship</w:t>
          </w:r>
        </w:p>
        <w:p w14:paraId="517015DA" w14:textId="1E580A9E" w:rsidR="00830FDC" w:rsidRDefault="00830FDC" w:rsidP="00830FDC">
          <w:pPr>
            <w:pStyle w:val="BodyText"/>
          </w:pPr>
          <w:r>
            <w:t>For the purpose of this study, new business entry is used as a proxy measure of entrepreneurial activity.</w:t>
          </w:r>
          <w:r>
            <w:rPr>
              <w:rStyle w:val="FootnoteReference"/>
            </w:rPr>
            <w:footnoteReference w:id="20"/>
          </w:r>
          <w:r>
            <w:t xml:space="preserve"> A geographical distribution of new business entries around Australia is shown in Figure 2.4 and Map 2.1. In absolute terms, business entries were highest in the Greater Sydney and Greater Melbourne areas, with the Rest of Queensland and Greater Brisbane areas not far behind. The average annual business entries per 10,000 inhabitants were higher in most capital cities compared to the rest of the </w:t>
          </w:r>
          <w:r w:rsidR="00FE4E3E">
            <w:t>s</w:t>
          </w:r>
          <w:r>
            <w:t xml:space="preserve">tates or </w:t>
          </w:r>
          <w:r w:rsidR="00FE4E3E">
            <w:t>t</w:t>
          </w:r>
          <w:r>
            <w:t>erritory with the exception of Queensland. Regions outside of the Greater Darwin area (i.e. the rest of N</w:t>
          </w:r>
          <w:r w:rsidR="00474C11">
            <w:t xml:space="preserve">orthern </w:t>
          </w:r>
          <w:r>
            <w:t>T</w:t>
          </w:r>
          <w:r w:rsidR="00474C11">
            <w:t>erritory</w:t>
          </w:r>
          <w:r>
            <w:t>) recorded the lowest level of entrepreneurship. I</w:t>
          </w:r>
          <w:r w:rsidR="00970932">
            <w:t xml:space="preserve">n absolute terms, both </w:t>
          </w:r>
          <w:r>
            <w:t xml:space="preserve">Queensland </w:t>
          </w:r>
          <w:r w:rsidR="00970932">
            <w:t xml:space="preserve">and Tasmania had </w:t>
          </w:r>
          <w:r>
            <w:t xml:space="preserve">regions outside the </w:t>
          </w:r>
          <w:r w:rsidR="00970932">
            <w:t>g</w:t>
          </w:r>
          <w:r>
            <w:t xml:space="preserve">reater </w:t>
          </w:r>
          <w:r w:rsidR="00970932">
            <w:t xml:space="preserve">capital city </w:t>
          </w:r>
          <w:r>
            <w:t>area</w:t>
          </w:r>
          <w:r w:rsidR="00970932">
            <w:t>s</w:t>
          </w:r>
          <w:r>
            <w:t xml:space="preserve"> (the rest of Queensland</w:t>
          </w:r>
          <w:r w:rsidR="00970932">
            <w:t xml:space="preserve"> and the rest of Tasmania</w:t>
          </w:r>
          <w:r>
            <w:t>)</w:t>
          </w:r>
          <w:r w:rsidR="00970932">
            <w:t xml:space="preserve"> that </w:t>
          </w:r>
          <w:r>
            <w:t>showed a high</w:t>
          </w:r>
          <w:r w:rsidR="00970932">
            <w:t>er</w:t>
          </w:r>
          <w:r>
            <w:t xml:space="preserve"> number of business entries compared to the capital cit</w:t>
          </w:r>
          <w:r w:rsidR="00970932">
            <w:t xml:space="preserve">y </w:t>
          </w:r>
          <w:r>
            <w:t xml:space="preserve">(Figure 2.4). </w:t>
          </w:r>
        </w:p>
        <w:p w14:paraId="5403328C" w14:textId="4EE88CB5" w:rsidR="00830FDC" w:rsidRDefault="00830FDC" w:rsidP="00830FDC">
          <w:pPr>
            <w:pStyle w:val="BodyText"/>
          </w:pPr>
          <w:r>
            <w:t>Average annual business entries per 10,000 inhabitants in N</w:t>
          </w:r>
          <w:r w:rsidR="006C5399">
            <w:t xml:space="preserve">ew </w:t>
          </w:r>
          <w:r>
            <w:t>S</w:t>
          </w:r>
          <w:r w:rsidR="006C5399">
            <w:t xml:space="preserve">outh </w:t>
          </w:r>
          <w:r>
            <w:t>W</w:t>
          </w:r>
          <w:r w:rsidR="006C5399">
            <w:t>ales</w:t>
          </w:r>
          <w:r>
            <w:t xml:space="preserve"> and Victoria were similarly distributed, with Greater Sydney and Greater Melbourne recording </w:t>
          </w:r>
          <w:r w:rsidR="007C42A6">
            <w:t>1.6</w:t>
          </w:r>
          <w:r>
            <w:t xml:space="preserve"> and 1.4 times higher business entries compared to rest of the </w:t>
          </w:r>
          <w:r w:rsidR="00FE4E3E">
            <w:t>s</w:t>
          </w:r>
          <w:r>
            <w:t xml:space="preserve">tate. Business entries in Greater Adelaide, Greater Perth and Greater Darwin were </w:t>
          </w:r>
          <w:r w:rsidR="007C42A6">
            <w:t>1.2</w:t>
          </w:r>
          <w:r>
            <w:t xml:space="preserve">, </w:t>
          </w:r>
          <w:r w:rsidR="007C42A6">
            <w:t>1.3</w:t>
          </w:r>
          <w:r>
            <w:t xml:space="preserve"> and </w:t>
          </w:r>
          <w:r w:rsidR="007C42A6">
            <w:t>2.2</w:t>
          </w:r>
          <w:r>
            <w:t xml:space="preserve"> times higher, resp</w:t>
          </w:r>
          <w:r w:rsidR="00FE4E3E">
            <w:t>ectively, than the rest of the s</w:t>
          </w:r>
          <w:r>
            <w:t xml:space="preserve">tate or </w:t>
          </w:r>
          <w:r w:rsidR="00FE4E3E">
            <w:t>t</w:t>
          </w:r>
          <w:r>
            <w:t>erritory (Figure 2.4). This spatial variation is visualised in Map 2.1.</w:t>
          </w:r>
        </w:p>
        <w:p w14:paraId="19B70359" w14:textId="77777777" w:rsidR="00830FDC" w:rsidRPr="003C2DE8" w:rsidRDefault="00830FDC" w:rsidP="00830FDC">
          <w:pPr>
            <w:pStyle w:val="BodyText"/>
            <w:rPr>
              <w:b/>
            </w:rPr>
          </w:pPr>
          <w:r>
            <w:t xml:space="preserve">Average annual business entries by industry division are shown in Figure B2. Over the period examined </w:t>
          </w:r>
          <w:r w:rsidRPr="00474C11">
            <w:rPr>
              <w:i/>
            </w:rPr>
            <w:t xml:space="preserve">Construction </w:t>
          </w:r>
          <w:r w:rsidRPr="00474C11">
            <w:t>and</w:t>
          </w:r>
          <w:r w:rsidRPr="00474C11">
            <w:rPr>
              <w:i/>
            </w:rPr>
            <w:t xml:space="preserve"> Professional, Scientific and Technical Services</w:t>
          </w:r>
          <w:r>
            <w:t xml:space="preserve"> had the highest entry rates in Australia.</w:t>
          </w:r>
        </w:p>
        <w:p w14:paraId="1D0822AF" w14:textId="2A083B0A" w:rsidR="00830FDC" w:rsidRDefault="00830FDC" w:rsidP="00830FDC">
          <w:pPr>
            <w:pStyle w:val="BodyText"/>
          </w:pPr>
          <w:r>
            <w:t>A business survival analysis using panel data shows an overall three</w:t>
          </w:r>
          <w:r w:rsidR="000A1EEC">
            <w:t>-</w:t>
          </w:r>
          <w:r>
            <w:t xml:space="preserve">year survival rate of 49.3 per cent (Table 2.2). The </w:t>
          </w:r>
          <w:r w:rsidR="00FE4E3E">
            <w:t>s</w:t>
          </w:r>
          <w:r w:rsidR="00302D6C">
            <w:t xml:space="preserve">tates </w:t>
          </w:r>
          <w:r>
            <w:t xml:space="preserve">and </w:t>
          </w:r>
          <w:r w:rsidR="00FE4E3E">
            <w:t>t</w:t>
          </w:r>
          <w:r>
            <w:t xml:space="preserve">erritories were ranked according to their annual survival rates and Tasmania was found to have the highest rates of survival, whereas in Queensland more businesses failed to survive three years after entering the market (Table 2.3). Business survival was also analysed by ANZSIC industry division (Table B1). </w:t>
          </w:r>
          <w:r w:rsidRPr="00006219">
            <w:t>(</w:t>
          </w:r>
          <w:r>
            <w:t>While survival varied by ANZSIC division, no statistically significant difference from the national average was observed for the period under consideration.</w:t>
          </w:r>
        </w:p>
        <w:p w14:paraId="5C2753A3" w14:textId="77777777" w:rsidR="00830FDC" w:rsidRDefault="00830FDC" w:rsidP="00830FDC">
          <w:pPr>
            <w:pStyle w:val="CaptionWide"/>
          </w:pPr>
          <w:r>
            <w:t>Figure</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D55DA4">
            <w:rPr>
              <w:noProof/>
            </w:rPr>
            <w:t>4</w:t>
          </w:r>
          <w:r w:rsidRPr="000618FB">
            <w:fldChar w:fldCharType="end"/>
          </w:r>
          <w:r>
            <w:t>: Annual business entries per 10,000 inhabitants averaged over financial years ending in 2009</w:t>
          </w:r>
          <w:r>
            <w:rPr>
              <w:rFonts w:cs="Arial"/>
            </w:rPr>
            <w:t>–</w:t>
          </w:r>
          <w:r>
            <w:t>2014 for Greater Capital City Statistical Areas</w:t>
          </w:r>
        </w:p>
        <w:p w14:paraId="6BC079AA" w14:textId="1159752A" w:rsidR="000D227A" w:rsidRPr="000D227A" w:rsidRDefault="00C100E0" w:rsidP="000D227A">
          <w:pPr>
            <w:pStyle w:val="PlaceholderWide"/>
          </w:pPr>
          <w:r>
            <w:rPr>
              <w:noProof/>
              <w:lang w:eastAsia="en-AU"/>
            </w:rPr>
            <w:drawing>
              <wp:inline distT="0" distB="0" distL="0" distR="0" wp14:anchorId="5E9A7BDE" wp14:editId="1FCA4106">
                <wp:extent cx="6249035" cy="3347085"/>
                <wp:effectExtent l="0" t="0" r="0" b="5715"/>
                <wp:docPr id="21" name="Picture 21" descr="Figure 2.4 is a bivariate chart. On the x-axis are the 15 Greater City Capital Areas, as defined by the ABS. On the left-hand y-axis is the annual average number of net business entries per ten thousand inhabitants, over the years ending from June 2009 to June 2014. On the right-hand y-axis is the annual average number of net business entries over the same period.&#10;Greater Sydney is in the lead with 153 net business entries per year per ten thousand inhabitants over the period. This is followed by Greater Melbourne, Greater Perth, the Rest of Queensland and Greater Brisbane, where the annual number of net business entries per ten thousand inhabitants is 144, 136, 133 and 132, respectively. The lowest estimate, 56 net business entries per year per ten thousand inhabitants, is shown for the Rest of Northern Territory.&#10;In absolute terms, Greater Sydney is shown to have the highest annual average number of net business entries over the period, at around 71154. This is followed by Greater Melbourne, the Rest of Queensland and Greater Brisbane, where the annual average number of net business entries over the period is around 60903, 31169 and 28508, respectively. The lowest average number of net business entries over the period, around 577 per year, is shown for the Rest of Northern Territory.&#10;" title="Figure 2.4: Annual business entries per 10,000 inhabitants averaged over financial years ending in 2009–2014 for Greater Capital City Statistic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9035" cy="3347085"/>
                        </a:xfrm>
                        <a:prstGeom prst="rect">
                          <a:avLst/>
                        </a:prstGeom>
                        <a:noFill/>
                      </pic:spPr>
                    </pic:pic>
                  </a:graphicData>
                </a:graphic>
              </wp:inline>
            </w:drawing>
          </w:r>
        </w:p>
        <w:p w14:paraId="283F68FF" w14:textId="17BF16F6" w:rsidR="00830FDC" w:rsidRDefault="00830FDC" w:rsidP="00DA37D8">
          <w:pPr>
            <w:pStyle w:val="SourceWide"/>
            <w:spacing w:line="240" w:lineRule="auto"/>
          </w:pPr>
          <w:r>
            <w:t>Source</w:t>
          </w:r>
          <w:r w:rsidR="00B171CA">
            <w:t>s</w:t>
          </w:r>
          <w:r>
            <w:t xml:space="preserve">: Australian Bureau of Statistics (2015) </w:t>
          </w:r>
          <w:r>
            <w:rPr>
              <w:i/>
            </w:rPr>
            <w:t xml:space="preserve">Counts of Australian Businesses 2008–2015, </w:t>
          </w:r>
          <w:r>
            <w:t>data cube: Excel spreadsheet, cat. no. 8165</w:t>
          </w:r>
          <w:r w:rsidRPr="003B74B4">
            <w:t>.0</w:t>
          </w:r>
          <w:r>
            <w:t xml:space="preserve"> (data available on request). </w:t>
          </w:r>
          <w:r w:rsidR="00427685" w:rsidRPr="0032333A">
            <w:t>Australian Bureau of Statistics (2016) Estimated Resident Population by Region, ABS.Stat, viewed 11th July 2016, http://stat.abs.gov.au/</w:t>
          </w:r>
          <w:r>
            <w:t xml:space="preserve">, </w:t>
          </w:r>
          <w:hyperlink r:id="rId35" w:tooltip="http://www.abs.gov.au/AUSSTATS/abs@.nsf/DetailsPage/3235.02011" w:history="1">
            <w:r w:rsidRPr="00945169">
              <w:rPr>
                <w:rStyle w:val="Hyperlink"/>
              </w:rPr>
              <w:t>http://www.abs.gov.au/AUSSTATS/abs@.nsf/DetailsPage/3235.02011</w:t>
            </w:r>
          </w:hyperlink>
        </w:p>
        <w:p w14:paraId="0F1E9A37" w14:textId="2AE8FEF0" w:rsidR="000D227A" w:rsidRDefault="00830FDC" w:rsidP="00DA37D8">
          <w:pPr>
            <w:pStyle w:val="CaptionWide"/>
            <w:rPr>
              <w:b/>
            </w:rPr>
          </w:pPr>
          <w:r>
            <w:t>Map</w:t>
          </w:r>
          <w:r w:rsidRPr="000618FB">
            <w:t xml:space="preserve"> </w:t>
          </w:r>
          <w:r w:rsidR="00F5479E">
            <w:rPr>
              <w:bCs w:val="0"/>
            </w:rPr>
            <w:fldChar w:fldCharType="begin"/>
          </w:r>
          <w:r w:rsidR="00F5479E">
            <w:rPr>
              <w:bCs w:val="0"/>
            </w:rPr>
            <w:instrText xml:space="preserve"> STYLEREF 1 \s </w:instrText>
          </w:r>
          <w:r w:rsidR="00F5479E">
            <w:rPr>
              <w:bCs w:val="0"/>
            </w:rPr>
            <w:fldChar w:fldCharType="separate"/>
          </w:r>
          <w:r w:rsidR="00D55DA4">
            <w:rPr>
              <w:bCs w:val="0"/>
              <w:noProof/>
            </w:rPr>
            <w:t>2</w:t>
          </w:r>
          <w:r w:rsidR="00F5479E">
            <w:rPr>
              <w:bCs w:val="0"/>
              <w:noProof/>
              <w:color w:val="595A5B"/>
              <w:sz w:val="20"/>
              <w:szCs w:val="22"/>
            </w:rPr>
            <w:fldChar w:fldCharType="end"/>
          </w:r>
          <w:r w:rsidRPr="000618FB">
            <w:t>.</w:t>
          </w:r>
          <w:r w:rsidRPr="000618FB">
            <w:rPr>
              <w:bCs w:val="0"/>
            </w:rPr>
            <w:fldChar w:fldCharType="begin"/>
          </w:r>
          <w:r w:rsidRPr="000618FB">
            <w:instrText xml:space="preserve"> SEQ </w:instrText>
          </w:r>
          <w:r>
            <w:instrText>Image</w:instrText>
          </w:r>
          <w:r w:rsidRPr="000618FB">
            <w:instrText xml:space="preserve"> \* ARABIC \s 1 </w:instrText>
          </w:r>
          <w:r w:rsidRPr="000618FB">
            <w:rPr>
              <w:bCs w:val="0"/>
            </w:rPr>
            <w:fldChar w:fldCharType="separate"/>
          </w:r>
          <w:r w:rsidR="00D55DA4">
            <w:rPr>
              <w:noProof/>
            </w:rPr>
            <w:t>1</w:t>
          </w:r>
          <w:r w:rsidRPr="000618FB">
            <w:rPr>
              <w:bCs w:val="0"/>
            </w:rPr>
            <w:fldChar w:fldCharType="end"/>
          </w:r>
          <w:r>
            <w:t>:  Business entries per 10,000 inhabitants averaged 2009</w:t>
          </w:r>
          <w:r>
            <w:rPr>
              <w:rFonts w:cs="Arial"/>
            </w:rPr>
            <w:t>–</w:t>
          </w:r>
          <w:r>
            <w:t>2014, by SA3 region</w:t>
          </w:r>
        </w:p>
        <w:p w14:paraId="0006320D" w14:textId="68E21BDC" w:rsidR="004302F4" w:rsidRPr="000D227A" w:rsidRDefault="00656E51" w:rsidP="000D227A">
          <w:pPr>
            <w:pStyle w:val="PlaceholderWide"/>
            <w:rPr>
              <w:b/>
            </w:rPr>
          </w:pPr>
          <w:r>
            <w:rPr>
              <w:b/>
              <w:noProof/>
              <w:lang w:eastAsia="en-AU"/>
            </w:rPr>
            <w:drawing>
              <wp:inline distT="0" distB="0" distL="0" distR="0" wp14:anchorId="4553A362" wp14:editId="3074B520">
                <wp:extent cx="5731510" cy="4052570"/>
                <wp:effectExtent l="0" t="0" r="2540" b="5080"/>
                <wp:docPr id="13" name="Picture 13" descr="Map 2.1 is a map of Australia, divided into SA3 regions, as defined by the ABS. Business entries per ten thousand inhabitants averaged over the period between 2009 and 2014 are classified into 5 ranges (quintiles), and each range is assigned a different colour. Each SA3 region shown on the map is then shaded according to the colour which corresponds to the relevant range, reflecting the intensity of business entries in that region. The map provides a more disaggregated representation of the results shown previously in Figure 2.4." title="Business entries per 10,000 inhabitants averaged 2009–2014, by SA3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 2.1 Bus Entry per 10k pop - AIS colou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40EF2AB" w14:textId="77777777" w:rsidR="00830FDC" w:rsidRPr="00C62F3A" w:rsidRDefault="00830FDC" w:rsidP="00830FDC">
          <w:pPr>
            <w:pStyle w:val="NoteWide"/>
          </w:pPr>
          <w:r w:rsidRPr="00C62F3A">
            <w:t>Note</w:t>
          </w:r>
          <w:r>
            <w:t>s: Map shows five quintiles with 70–71 SA3 regions each.</w:t>
          </w:r>
        </w:p>
        <w:p w14:paraId="6C8056EC" w14:textId="08F522BC" w:rsidR="00830FDC" w:rsidRDefault="00830FDC" w:rsidP="00830FDC">
          <w:pPr>
            <w:pStyle w:val="SourceWide"/>
            <w:jc w:val="left"/>
          </w:pPr>
          <w:r>
            <w:t>Source</w:t>
          </w:r>
          <w:r w:rsidR="00B171CA">
            <w:t>s</w:t>
          </w:r>
          <w:r>
            <w:t xml:space="preserve">: Australian Bureau of Statistics (2015) </w:t>
          </w:r>
          <w:r>
            <w:rPr>
              <w:i/>
            </w:rPr>
            <w:t xml:space="preserve">Counts of Australian Businesses 2008–2015, </w:t>
          </w:r>
          <w:r>
            <w:t>data cube: Excel spreadsheet, cat. no. 8165</w:t>
          </w:r>
          <w:r w:rsidRPr="003B74B4">
            <w:t>.0</w:t>
          </w:r>
          <w:r>
            <w:t xml:space="preserve"> (data available on request) and Department of Industry</w:t>
          </w:r>
          <w:r w:rsidR="00B171CA">
            <w:t>, Industry</w:t>
          </w:r>
          <w:r>
            <w:t xml:space="preserve"> and Science (</w:t>
          </w:r>
          <w:r w:rsidR="00B171CA">
            <w:t>2016</w:t>
          </w:r>
          <w:r>
            <w:t>) National Innovation Map</w:t>
          </w:r>
        </w:p>
        <w:p w14:paraId="12937C8B" w14:textId="77777777" w:rsidR="00830FDC" w:rsidRDefault="00830FDC" w:rsidP="00830FDC">
          <w:pPr>
            <w:pStyle w:val="BodyText"/>
            <w:ind w:left="0"/>
            <w:sectPr w:rsidR="00830FDC" w:rsidSect="00D0090A">
              <w:headerReference w:type="even" r:id="rId37"/>
              <w:headerReference w:type="default" r:id="rId38"/>
              <w:footerReference w:type="even" r:id="rId39"/>
              <w:footerReference w:type="default" r:id="rId40"/>
              <w:headerReference w:type="first" r:id="rId41"/>
              <w:footerReference w:type="first" r:id="rId42"/>
              <w:endnotePr>
                <w:numFmt w:val="decimal"/>
              </w:endnotePr>
              <w:pgSz w:w="11906" w:h="16838" w:code="9"/>
              <w:pgMar w:top="1440" w:right="1440" w:bottom="1440" w:left="1440" w:header="709" w:footer="709" w:gutter="0"/>
              <w:cols w:space="708"/>
              <w:docGrid w:linePitch="360"/>
            </w:sectPr>
          </w:pPr>
        </w:p>
        <w:p w14:paraId="3F1DAE0C" w14:textId="77777777" w:rsidR="00830FDC" w:rsidRPr="000618FB" w:rsidRDefault="00830FDC" w:rsidP="00830FDC">
          <w:pPr>
            <w:pStyle w:val="CaptionWide"/>
          </w:pPr>
          <w:r w:rsidRPr="000618FB">
            <w:t xml:space="preserve">Table </w:t>
          </w:r>
          <w:fldSimple w:instr=" STYLEREF 1 \s ">
            <w:r w:rsidR="00D55DA4">
              <w:rPr>
                <w:noProof/>
              </w:rPr>
              <w:t>2</w:t>
            </w:r>
          </w:fldSimple>
          <w:r w:rsidRPr="000618FB">
            <w:t>.</w:t>
          </w:r>
          <w:fldSimple w:instr=" SEQ Table \* ARABIC \s 1 ">
            <w:r w:rsidR="00D55DA4">
              <w:rPr>
                <w:noProof/>
              </w:rPr>
              <w:t>2</w:t>
            </w:r>
          </w:fldSimple>
          <w:r>
            <w:t xml:space="preserve">: </w:t>
          </w:r>
          <w:r w:rsidRPr="0092566E">
            <w:t>Survival rates for businesses born between 2009 and 2012</w:t>
          </w:r>
        </w:p>
        <w:tbl>
          <w:tblPr>
            <w:tblStyle w:val="TableGrid"/>
            <w:tblW w:w="49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2.2: Survival rates for businesses born between 2009 and 2012"/>
            <w:tblDescription w:val="Examines survival rates for businesses over 1, 2, 3 years during the period between 2009 and 2012. "/>
          </w:tblPr>
          <w:tblGrid>
            <w:gridCol w:w="2019"/>
            <w:gridCol w:w="2268"/>
            <w:gridCol w:w="2268"/>
            <w:gridCol w:w="2290"/>
          </w:tblGrid>
          <w:tr w:rsidR="00830FDC" w14:paraId="29F02BDC" w14:textId="77777777" w:rsidTr="00DA37D8">
            <w:trPr>
              <w:trHeight w:val="295"/>
              <w:tblHeader/>
            </w:trPr>
            <w:tc>
              <w:tcPr>
                <w:tcW w:w="2019" w:type="dxa"/>
                <w:shd w:val="clear" w:color="auto" w:fill="22789A" w:themeFill="accent1"/>
                <w:vAlign w:val="bottom"/>
              </w:tcPr>
              <w:p w14:paraId="70AADC1F" w14:textId="77777777" w:rsidR="00830FDC" w:rsidRPr="0092566E" w:rsidRDefault="00830FDC" w:rsidP="00D0090A">
                <w:pPr>
                  <w:pStyle w:val="Tableheader"/>
                </w:pPr>
                <w:r w:rsidRPr="0092566E">
                  <w:t>Overall</w:t>
                </w:r>
              </w:p>
            </w:tc>
            <w:tc>
              <w:tcPr>
                <w:tcW w:w="2268" w:type="dxa"/>
                <w:shd w:val="clear" w:color="auto" w:fill="22789A" w:themeFill="accent1"/>
                <w:vAlign w:val="bottom"/>
              </w:tcPr>
              <w:p w14:paraId="136A2913" w14:textId="77777777" w:rsidR="00B171CA" w:rsidRDefault="00830FDC" w:rsidP="00D0090A">
                <w:pPr>
                  <w:pStyle w:val="Tableheader"/>
                  <w:jc w:val="right"/>
                </w:pPr>
                <w:r>
                  <w:t>Births 2009–</w:t>
                </w:r>
                <w:r w:rsidRPr="0092566E">
                  <w:t>10</w:t>
                </w:r>
                <w:r>
                  <w:t xml:space="preserve"> </w:t>
                </w:r>
              </w:p>
              <w:p w14:paraId="65CB8254" w14:textId="6AB66A68" w:rsidR="00830FDC" w:rsidRPr="0092566E" w:rsidRDefault="00830FDC" w:rsidP="00D0090A">
                <w:pPr>
                  <w:pStyle w:val="Tableheader"/>
                  <w:jc w:val="right"/>
                </w:pPr>
                <w:r>
                  <w:t>(per cent)</w:t>
                </w:r>
              </w:p>
            </w:tc>
            <w:tc>
              <w:tcPr>
                <w:tcW w:w="2268" w:type="dxa"/>
                <w:shd w:val="clear" w:color="auto" w:fill="22789A" w:themeFill="accent1"/>
                <w:vAlign w:val="bottom"/>
              </w:tcPr>
              <w:p w14:paraId="169700D4" w14:textId="77777777" w:rsidR="00B171CA" w:rsidRDefault="00830FDC" w:rsidP="00D0090A">
                <w:pPr>
                  <w:pStyle w:val="Tableheader"/>
                  <w:jc w:val="right"/>
                </w:pPr>
                <w:r>
                  <w:t>Births 2010–</w:t>
                </w:r>
                <w:r w:rsidRPr="0092566E">
                  <w:t>11</w:t>
                </w:r>
              </w:p>
              <w:p w14:paraId="4B53AE1A" w14:textId="3A07890D" w:rsidR="00830FDC" w:rsidRPr="0092566E" w:rsidRDefault="00830FDC" w:rsidP="00D0090A">
                <w:pPr>
                  <w:pStyle w:val="Tableheader"/>
                  <w:jc w:val="right"/>
                </w:pPr>
                <w:r>
                  <w:t>(per cent)</w:t>
                </w:r>
              </w:p>
            </w:tc>
            <w:tc>
              <w:tcPr>
                <w:tcW w:w="2290" w:type="dxa"/>
                <w:shd w:val="clear" w:color="auto" w:fill="22789A" w:themeFill="accent1"/>
                <w:vAlign w:val="bottom"/>
              </w:tcPr>
              <w:p w14:paraId="38A52C10" w14:textId="77777777" w:rsidR="00B171CA" w:rsidRDefault="00830FDC" w:rsidP="00D0090A">
                <w:pPr>
                  <w:pStyle w:val="Tableheader"/>
                  <w:jc w:val="right"/>
                </w:pPr>
                <w:r>
                  <w:t>Births 2011–</w:t>
                </w:r>
                <w:r w:rsidRPr="0092566E">
                  <w:t>12</w:t>
                </w:r>
                <w:r>
                  <w:t xml:space="preserve"> </w:t>
                </w:r>
              </w:p>
              <w:p w14:paraId="644AF043" w14:textId="3398374F" w:rsidR="00830FDC" w:rsidRPr="0092566E" w:rsidRDefault="00830FDC" w:rsidP="00D0090A">
                <w:pPr>
                  <w:pStyle w:val="Tableheader"/>
                  <w:jc w:val="right"/>
                </w:pPr>
                <w:r>
                  <w:t>(per cent)</w:t>
                </w:r>
              </w:p>
            </w:tc>
          </w:tr>
          <w:tr w:rsidR="00830FDC" w14:paraId="31356BEB" w14:textId="77777777" w:rsidTr="00DA37D8">
            <w:tc>
              <w:tcPr>
                <w:tcW w:w="2019" w:type="dxa"/>
                <w:shd w:val="clear" w:color="auto" w:fill="CAE7F3" w:themeFill="accent1" w:themeFillTint="33"/>
                <w:vAlign w:val="bottom"/>
              </w:tcPr>
              <w:p w14:paraId="7DCF5183" w14:textId="77777777" w:rsidR="00830FDC" w:rsidRPr="0092566E" w:rsidRDefault="00830FDC" w:rsidP="00D0090A">
                <w:pPr>
                  <w:pStyle w:val="Tabletext"/>
                </w:pPr>
                <w:r w:rsidRPr="0092566E">
                  <w:t>1 year survival</w:t>
                </w:r>
              </w:p>
            </w:tc>
            <w:tc>
              <w:tcPr>
                <w:tcW w:w="2268" w:type="dxa"/>
                <w:shd w:val="clear" w:color="auto" w:fill="CAE7F3" w:themeFill="accent1" w:themeFillTint="33"/>
                <w:vAlign w:val="bottom"/>
              </w:tcPr>
              <w:p w14:paraId="15771072" w14:textId="77777777" w:rsidR="00830FDC" w:rsidRPr="0092566E" w:rsidRDefault="00830FDC" w:rsidP="00D0090A">
                <w:pPr>
                  <w:pStyle w:val="Tabletext"/>
                  <w:jc w:val="right"/>
                </w:pPr>
                <w:r>
                  <w:t xml:space="preserve">73.54 </w:t>
                </w:r>
              </w:p>
            </w:tc>
            <w:tc>
              <w:tcPr>
                <w:tcW w:w="2268" w:type="dxa"/>
                <w:shd w:val="clear" w:color="auto" w:fill="CAE7F3" w:themeFill="accent1" w:themeFillTint="33"/>
                <w:vAlign w:val="bottom"/>
              </w:tcPr>
              <w:p w14:paraId="13BE90A7" w14:textId="77777777" w:rsidR="00830FDC" w:rsidRPr="0092566E" w:rsidRDefault="00830FDC" w:rsidP="00D0090A">
                <w:pPr>
                  <w:pStyle w:val="Tabletext"/>
                  <w:jc w:val="right"/>
                </w:pPr>
                <w:r>
                  <w:t>75.50</w:t>
                </w:r>
              </w:p>
            </w:tc>
            <w:tc>
              <w:tcPr>
                <w:tcW w:w="2290" w:type="dxa"/>
                <w:shd w:val="clear" w:color="auto" w:fill="CAE7F3" w:themeFill="accent1" w:themeFillTint="33"/>
                <w:vAlign w:val="bottom"/>
              </w:tcPr>
              <w:p w14:paraId="10C002BB" w14:textId="77777777" w:rsidR="00830FDC" w:rsidRPr="0092566E" w:rsidRDefault="00830FDC" w:rsidP="00D0090A">
                <w:pPr>
                  <w:pStyle w:val="Tabletext"/>
                  <w:jc w:val="right"/>
                </w:pPr>
                <w:r>
                  <w:t>74.26</w:t>
                </w:r>
              </w:p>
            </w:tc>
          </w:tr>
          <w:tr w:rsidR="00830FDC" w14:paraId="7F04C690" w14:textId="77777777" w:rsidTr="00DA37D8">
            <w:tc>
              <w:tcPr>
                <w:tcW w:w="2019" w:type="dxa"/>
                <w:shd w:val="clear" w:color="auto" w:fill="CAE7F3" w:themeFill="accent1" w:themeFillTint="33"/>
                <w:vAlign w:val="bottom"/>
              </w:tcPr>
              <w:p w14:paraId="6979E1BF" w14:textId="77777777" w:rsidR="00830FDC" w:rsidRPr="0092566E" w:rsidRDefault="00830FDC" w:rsidP="00D0090A">
                <w:pPr>
                  <w:pStyle w:val="Tabletext"/>
                </w:pPr>
                <w:r w:rsidRPr="0092566E">
                  <w:t>2 year survival</w:t>
                </w:r>
              </w:p>
            </w:tc>
            <w:tc>
              <w:tcPr>
                <w:tcW w:w="2268" w:type="dxa"/>
                <w:shd w:val="clear" w:color="auto" w:fill="CAE7F3" w:themeFill="accent1" w:themeFillTint="33"/>
                <w:vAlign w:val="bottom"/>
              </w:tcPr>
              <w:p w14:paraId="03D65241" w14:textId="77777777" w:rsidR="00830FDC" w:rsidRPr="0092566E" w:rsidRDefault="00830FDC" w:rsidP="00D0090A">
                <w:pPr>
                  <w:pStyle w:val="Tabletext"/>
                  <w:jc w:val="right"/>
                </w:pPr>
                <w:r>
                  <w:t>59.15</w:t>
                </w:r>
              </w:p>
            </w:tc>
            <w:tc>
              <w:tcPr>
                <w:tcW w:w="2268" w:type="dxa"/>
                <w:shd w:val="clear" w:color="auto" w:fill="CAE7F3" w:themeFill="accent1" w:themeFillTint="33"/>
                <w:vAlign w:val="bottom"/>
              </w:tcPr>
              <w:p w14:paraId="501E3060" w14:textId="77777777" w:rsidR="00830FDC" w:rsidRPr="0092566E" w:rsidRDefault="00830FDC" w:rsidP="00D0090A">
                <w:pPr>
                  <w:pStyle w:val="Tabletext"/>
                  <w:jc w:val="right"/>
                </w:pPr>
                <w:r>
                  <w:t>60.19</w:t>
                </w:r>
              </w:p>
            </w:tc>
            <w:tc>
              <w:tcPr>
                <w:tcW w:w="2290" w:type="dxa"/>
                <w:shd w:val="clear" w:color="auto" w:fill="CAE7F3" w:themeFill="accent1" w:themeFillTint="33"/>
                <w:vAlign w:val="bottom"/>
              </w:tcPr>
              <w:p w14:paraId="3132A586" w14:textId="77777777" w:rsidR="00830FDC" w:rsidRPr="0092566E" w:rsidRDefault="00830FDC" w:rsidP="00D0090A">
                <w:pPr>
                  <w:pStyle w:val="Tabletext"/>
                  <w:jc w:val="right"/>
                </w:pPr>
                <w:r w:rsidRPr="0092566E">
                  <w:t>..</w:t>
                </w:r>
              </w:p>
            </w:tc>
          </w:tr>
          <w:tr w:rsidR="00830FDC" w14:paraId="7EF84161" w14:textId="77777777" w:rsidTr="00DA37D8">
            <w:tc>
              <w:tcPr>
                <w:tcW w:w="2019" w:type="dxa"/>
                <w:shd w:val="clear" w:color="auto" w:fill="CAE7F3" w:themeFill="accent1" w:themeFillTint="33"/>
                <w:vAlign w:val="bottom"/>
              </w:tcPr>
              <w:p w14:paraId="75428E0D" w14:textId="77777777" w:rsidR="00830FDC" w:rsidRPr="0092566E" w:rsidRDefault="00830FDC" w:rsidP="00D0090A">
                <w:pPr>
                  <w:pStyle w:val="Tabletext"/>
                </w:pPr>
                <w:r w:rsidRPr="0092566E">
                  <w:t>3 year survival</w:t>
                </w:r>
              </w:p>
            </w:tc>
            <w:tc>
              <w:tcPr>
                <w:tcW w:w="2268" w:type="dxa"/>
                <w:shd w:val="clear" w:color="auto" w:fill="CAE7F3" w:themeFill="accent1" w:themeFillTint="33"/>
                <w:vAlign w:val="bottom"/>
              </w:tcPr>
              <w:p w14:paraId="15507FC9" w14:textId="77777777" w:rsidR="00830FDC" w:rsidRPr="0092566E" w:rsidRDefault="00830FDC" w:rsidP="00D0090A">
                <w:pPr>
                  <w:pStyle w:val="Tabletext"/>
                  <w:jc w:val="right"/>
                </w:pPr>
                <w:r>
                  <w:t>49.34</w:t>
                </w:r>
              </w:p>
            </w:tc>
            <w:tc>
              <w:tcPr>
                <w:tcW w:w="2268" w:type="dxa"/>
                <w:shd w:val="clear" w:color="auto" w:fill="CAE7F3" w:themeFill="accent1" w:themeFillTint="33"/>
                <w:vAlign w:val="bottom"/>
              </w:tcPr>
              <w:p w14:paraId="4C430D9F" w14:textId="77777777" w:rsidR="00830FDC" w:rsidRPr="0092566E" w:rsidRDefault="00830FDC" w:rsidP="00D0090A">
                <w:pPr>
                  <w:pStyle w:val="Tabletext"/>
                  <w:jc w:val="right"/>
                </w:pPr>
                <w:r w:rsidRPr="0092566E">
                  <w:t>..</w:t>
                </w:r>
              </w:p>
            </w:tc>
            <w:tc>
              <w:tcPr>
                <w:tcW w:w="2290" w:type="dxa"/>
                <w:shd w:val="clear" w:color="auto" w:fill="CAE7F3" w:themeFill="accent1" w:themeFillTint="33"/>
                <w:vAlign w:val="bottom"/>
              </w:tcPr>
              <w:p w14:paraId="436E712A" w14:textId="77777777" w:rsidR="00830FDC" w:rsidRPr="0092566E" w:rsidRDefault="00830FDC" w:rsidP="00D0090A">
                <w:pPr>
                  <w:pStyle w:val="Tabletext"/>
                  <w:jc w:val="right"/>
                </w:pPr>
                <w:r w:rsidRPr="0092566E">
                  <w:t>..</w:t>
                </w:r>
              </w:p>
            </w:tc>
          </w:tr>
        </w:tbl>
        <w:p w14:paraId="14F12060" w14:textId="77777777" w:rsidR="00830FDC" w:rsidRPr="00A30089" w:rsidRDefault="00830FDC" w:rsidP="00DA37D8">
          <w:pPr>
            <w:pStyle w:val="SourceWide"/>
            <w:spacing w:after="0" w:line="240" w:lineRule="auto"/>
          </w:pPr>
          <w:r w:rsidRPr="00A30089">
            <w:t>Note</w:t>
          </w:r>
          <w:r>
            <w:t xml:space="preserve">s: Slope is calculated with 100 per cent survival for the year of business entry. </w:t>
          </w:r>
        </w:p>
        <w:p w14:paraId="0173B95A" w14:textId="77777777" w:rsidR="00830FDC" w:rsidRPr="00A30089" w:rsidRDefault="00830FDC" w:rsidP="00830FDC">
          <w:pPr>
            <w:pStyle w:val="SourceWide"/>
          </w:pPr>
          <w:r>
            <w:t xml:space="preserve">Source: Australian Bureau of Statistics (2015) </w:t>
          </w:r>
          <w:r>
            <w:rPr>
              <w:i/>
            </w:rPr>
            <w:t xml:space="preserve">Counts of Australian Businesses 2008–2015, </w:t>
          </w:r>
          <w:r>
            <w:t>data cube: Excel spreadsheet, cat. no. 8165</w:t>
          </w:r>
          <w:r w:rsidRPr="003B74B4">
            <w:t>.0</w:t>
          </w:r>
          <w:r>
            <w:t xml:space="preserve"> (data available on request)</w:t>
          </w:r>
        </w:p>
        <w:p w14:paraId="4F9A6732" w14:textId="2F1A6284" w:rsidR="00830FDC" w:rsidRPr="000618FB" w:rsidRDefault="00830FDC" w:rsidP="00830FDC">
          <w:pPr>
            <w:pStyle w:val="CaptionWide"/>
          </w:pPr>
          <w:r w:rsidRPr="000618FB">
            <w:t xml:space="preserve">Table </w:t>
          </w:r>
          <w:fldSimple w:instr=" STYLEREF 1 \s ">
            <w:r w:rsidR="00D55DA4">
              <w:rPr>
                <w:noProof/>
              </w:rPr>
              <w:t>2</w:t>
            </w:r>
          </w:fldSimple>
          <w:r w:rsidRPr="000618FB">
            <w:t>.</w:t>
          </w:r>
          <w:fldSimple w:instr=" SEQ Table \* ARABIC \s 1 ">
            <w:r w:rsidR="00D55DA4">
              <w:rPr>
                <w:noProof/>
              </w:rPr>
              <w:t>3</w:t>
            </w:r>
          </w:fldSimple>
          <w:r>
            <w:t xml:space="preserve">: Business survival rates (per cent) by </w:t>
          </w:r>
          <w:r w:rsidR="00FE4E3E">
            <w:t>s</w:t>
          </w:r>
          <w:r>
            <w:t xml:space="preserve">tate or </w:t>
          </w:r>
          <w:r w:rsidR="00FE4E3E">
            <w:t>t</w:t>
          </w:r>
          <w:r>
            <w:t>erritory for businesses that entered in 2009</w:t>
          </w:r>
          <w:r>
            <w:rPr>
              <w:rFonts w:cs="Arial"/>
            </w:rPr>
            <w:t>–</w:t>
          </w:r>
          <w:r>
            <w:t>10 financial year</w:t>
          </w:r>
        </w:p>
        <w:tbl>
          <w:tblPr>
            <w:tblW w:w="9072" w:type="dxa"/>
            <w:tblInd w:w="108" w:type="dxa"/>
            <w:shd w:val="clear" w:color="auto" w:fill="CAE7F3" w:themeFill="accent1" w:themeFillTint="33"/>
            <w:tblLayout w:type="fixed"/>
            <w:tblLook w:val="0020" w:firstRow="1" w:lastRow="0" w:firstColumn="0" w:lastColumn="0" w:noHBand="0" w:noVBand="0"/>
          </w:tblPr>
          <w:tblGrid>
            <w:gridCol w:w="2273"/>
            <w:gridCol w:w="1393"/>
            <w:gridCol w:w="1394"/>
            <w:gridCol w:w="1393"/>
            <w:gridCol w:w="1394"/>
            <w:gridCol w:w="1225"/>
          </w:tblGrid>
          <w:tr w:rsidR="00830FDC" w:rsidRPr="00F639BA" w14:paraId="5F391F24" w14:textId="77777777" w:rsidTr="00866271">
            <w:trPr>
              <w:trHeight w:val="300"/>
            </w:trPr>
            <w:tc>
              <w:tcPr>
                <w:tcW w:w="2273" w:type="dxa"/>
                <w:shd w:val="clear" w:color="auto" w:fill="22789A" w:themeFill="accent1"/>
                <w:noWrap/>
                <w:vAlign w:val="bottom"/>
                <w:hideMark/>
              </w:tcPr>
              <w:p w14:paraId="7175B72A" w14:textId="77777777" w:rsidR="00830FDC" w:rsidRPr="00F639BA" w:rsidRDefault="00830FDC" w:rsidP="00D0090A">
                <w:pPr>
                  <w:pStyle w:val="Tableheader"/>
                  <w:rPr>
                    <w:sz w:val="16"/>
                  </w:rPr>
                </w:pPr>
                <w:r w:rsidRPr="00F639BA">
                  <w:rPr>
                    <w:sz w:val="16"/>
                  </w:rPr>
                  <w:t>State</w:t>
                </w:r>
              </w:p>
            </w:tc>
            <w:tc>
              <w:tcPr>
                <w:tcW w:w="1393" w:type="dxa"/>
                <w:shd w:val="clear" w:color="auto" w:fill="22789A" w:themeFill="accent1"/>
                <w:noWrap/>
                <w:vAlign w:val="bottom"/>
                <w:hideMark/>
              </w:tcPr>
              <w:p w14:paraId="4C00AEEF" w14:textId="77777777" w:rsidR="00830FDC" w:rsidRPr="00F639BA" w:rsidRDefault="00830FDC" w:rsidP="00D0090A">
                <w:pPr>
                  <w:pStyle w:val="Tableheader"/>
                  <w:jc w:val="right"/>
                  <w:rPr>
                    <w:sz w:val="16"/>
                  </w:rPr>
                </w:pPr>
                <w:r w:rsidRPr="00F639BA">
                  <w:rPr>
                    <w:sz w:val="16"/>
                  </w:rPr>
                  <w:t>1 year survival (per cent)</w:t>
                </w:r>
              </w:p>
            </w:tc>
            <w:tc>
              <w:tcPr>
                <w:tcW w:w="1394" w:type="dxa"/>
                <w:shd w:val="clear" w:color="auto" w:fill="22789A" w:themeFill="accent1"/>
                <w:noWrap/>
                <w:vAlign w:val="bottom"/>
                <w:hideMark/>
              </w:tcPr>
              <w:p w14:paraId="5143D739" w14:textId="77777777" w:rsidR="00830FDC" w:rsidRPr="00F639BA" w:rsidRDefault="00830FDC" w:rsidP="00D0090A">
                <w:pPr>
                  <w:pStyle w:val="Tableheader"/>
                  <w:jc w:val="right"/>
                  <w:rPr>
                    <w:sz w:val="16"/>
                  </w:rPr>
                </w:pPr>
                <w:r w:rsidRPr="00F639BA">
                  <w:rPr>
                    <w:sz w:val="16"/>
                  </w:rPr>
                  <w:t>2 year survival (per cent)</w:t>
                </w:r>
              </w:p>
            </w:tc>
            <w:tc>
              <w:tcPr>
                <w:tcW w:w="1393" w:type="dxa"/>
                <w:shd w:val="clear" w:color="auto" w:fill="22789A" w:themeFill="accent1"/>
                <w:noWrap/>
                <w:vAlign w:val="bottom"/>
                <w:hideMark/>
              </w:tcPr>
              <w:p w14:paraId="32A47BBA" w14:textId="77777777" w:rsidR="00830FDC" w:rsidRPr="00F639BA" w:rsidRDefault="00830FDC" w:rsidP="00D0090A">
                <w:pPr>
                  <w:pStyle w:val="Tableheader"/>
                  <w:jc w:val="right"/>
                  <w:rPr>
                    <w:sz w:val="16"/>
                  </w:rPr>
                </w:pPr>
                <w:r w:rsidRPr="00F639BA">
                  <w:rPr>
                    <w:sz w:val="16"/>
                  </w:rPr>
                  <w:t>3 year survival (per cent)</w:t>
                </w:r>
              </w:p>
            </w:tc>
            <w:tc>
              <w:tcPr>
                <w:tcW w:w="1394" w:type="dxa"/>
                <w:shd w:val="clear" w:color="auto" w:fill="22789A" w:themeFill="accent1"/>
                <w:noWrap/>
                <w:vAlign w:val="bottom"/>
                <w:hideMark/>
              </w:tcPr>
              <w:p w14:paraId="6B2B5620" w14:textId="77777777" w:rsidR="00830FDC" w:rsidRPr="00F639BA" w:rsidRDefault="00830FDC" w:rsidP="00D0090A">
                <w:pPr>
                  <w:pStyle w:val="Tableheader"/>
                  <w:jc w:val="right"/>
                  <w:rPr>
                    <w:sz w:val="16"/>
                  </w:rPr>
                </w:pPr>
                <w:r w:rsidRPr="00F639BA">
                  <w:rPr>
                    <w:sz w:val="16"/>
                  </w:rPr>
                  <w:t>Rate of change (per cent</w:t>
                </w:r>
                <w:r>
                  <w:rPr>
                    <w:sz w:val="16"/>
                  </w:rPr>
                  <w:br/>
                </w:r>
                <w:r w:rsidRPr="00F639BA">
                  <w:rPr>
                    <w:sz w:val="16"/>
                  </w:rPr>
                  <w:t>per year)</w:t>
                </w:r>
              </w:p>
            </w:tc>
            <w:tc>
              <w:tcPr>
                <w:tcW w:w="1225" w:type="dxa"/>
                <w:shd w:val="clear" w:color="auto" w:fill="22789A" w:themeFill="accent1"/>
                <w:noWrap/>
                <w:vAlign w:val="bottom"/>
                <w:hideMark/>
              </w:tcPr>
              <w:p w14:paraId="7893F55E" w14:textId="77777777" w:rsidR="00830FDC" w:rsidRPr="00F639BA" w:rsidRDefault="00830FDC" w:rsidP="00D0090A">
                <w:pPr>
                  <w:pStyle w:val="Tableheader"/>
                  <w:jc w:val="right"/>
                  <w:rPr>
                    <w:sz w:val="16"/>
                  </w:rPr>
                </w:pPr>
                <w:r w:rsidRPr="00F639BA">
                  <w:rPr>
                    <w:sz w:val="16"/>
                  </w:rPr>
                  <w:t>R</w:t>
                </w:r>
                <w:r w:rsidRPr="00F639BA">
                  <w:rPr>
                    <w:sz w:val="16"/>
                    <w:vertAlign w:val="superscript"/>
                  </w:rPr>
                  <w:t>2</w:t>
                </w:r>
              </w:p>
            </w:tc>
          </w:tr>
          <w:tr w:rsidR="00830FDC" w:rsidRPr="00F639BA" w14:paraId="5846DDF2" w14:textId="77777777" w:rsidTr="00866271">
            <w:trPr>
              <w:trHeight w:val="300"/>
            </w:trPr>
            <w:tc>
              <w:tcPr>
                <w:tcW w:w="2273" w:type="dxa"/>
                <w:shd w:val="clear" w:color="auto" w:fill="CAE7F3" w:themeFill="accent1" w:themeFillTint="33"/>
                <w:noWrap/>
                <w:vAlign w:val="bottom"/>
                <w:hideMark/>
              </w:tcPr>
              <w:p w14:paraId="2D6C9BFE" w14:textId="77777777" w:rsidR="00830FDC" w:rsidRPr="00F639BA" w:rsidRDefault="00830FDC" w:rsidP="00D0090A">
                <w:pPr>
                  <w:pStyle w:val="Tabletext"/>
                  <w:rPr>
                    <w:sz w:val="16"/>
                  </w:rPr>
                </w:pPr>
                <w:r w:rsidRPr="00F639BA">
                  <w:rPr>
                    <w:sz w:val="16"/>
                  </w:rPr>
                  <w:t>Tasmania</w:t>
                </w:r>
              </w:p>
            </w:tc>
            <w:tc>
              <w:tcPr>
                <w:tcW w:w="1393" w:type="dxa"/>
                <w:shd w:val="clear" w:color="auto" w:fill="CAE7F3" w:themeFill="accent1" w:themeFillTint="33"/>
                <w:noWrap/>
                <w:vAlign w:val="bottom"/>
                <w:hideMark/>
              </w:tcPr>
              <w:p w14:paraId="3AA9390A" w14:textId="77777777" w:rsidR="00830FDC" w:rsidRPr="00F639BA" w:rsidRDefault="00830FDC" w:rsidP="00D0090A">
                <w:pPr>
                  <w:pStyle w:val="Tabletext"/>
                  <w:jc w:val="right"/>
                  <w:rPr>
                    <w:sz w:val="16"/>
                  </w:rPr>
                </w:pPr>
                <w:r w:rsidRPr="00F639BA">
                  <w:rPr>
                    <w:sz w:val="16"/>
                  </w:rPr>
                  <w:t>78.0</w:t>
                </w:r>
              </w:p>
            </w:tc>
            <w:tc>
              <w:tcPr>
                <w:tcW w:w="1394" w:type="dxa"/>
                <w:shd w:val="clear" w:color="auto" w:fill="CAE7F3" w:themeFill="accent1" w:themeFillTint="33"/>
                <w:noWrap/>
                <w:vAlign w:val="bottom"/>
                <w:hideMark/>
              </w:tcPr>
              <w:p w14:paraId="08FDFF57" w14:textId="77777777" w:rsidR="00830FDC" w:rsidRPr="00F639BA" w:rsidRDefault="00830FDC" w:rsidP="00D0090A">
                <w:pPr>
                  <w:pStyle w:val="Tabletext"/>
                  <w:jc w:val="right"/>
                  <w:rPr>
                    <w:sz w:val="16"/>
                  </w:rPr>
                </w:pPr>
                <w:r w:rsidRPr="00F639BA">
                  <w:rPr>
                    <w:sz w:val="16"/>
                  </w:rPr>
                  <w:t>66.4</w:t>
                </w:r>
              </w:p>
            </w:tc>
            <w:tc>
              <w:tcPr>
                <w:tcW w:w="1393" w:type="dxa"/>
                <w:shd w:val="clear" w:color="auto" w:fill="CAE7F3" w:themeFill="accent1" w:themeFillTint="33"/>
                <w:noWrap/>
                <w:vAlign w:val="bottom"/>
                <w:hideMark/>
              </w:tcPr>
              <w:p w14:paraId="133963C1" w14:textId="77777777" w:rsidR="00830FDC" w:rsidRPr="00F639BA" w:rsidRDefault="00830FDC" w:rsidP="00D0090A">
                <w:pPr>
                  <w:pStyle w:val="Tabletext"/>
                  <w:jc w:val="right"/>
                  <w:rPr>
                    <w:sz w:val="16"/>
                  </w:rPr>
                </w:pPr>
                <w:r w:rsidRPr="00F639BA">
                  <w:rPr>
                    <w:sz w:val="16"/>
                  </w:rPr>
                  <w:t>57.3</w:t>
                </w:r>
              </w:p>
            </w:tc>
            <w:tc>
              <w:tcPr>
                <w:tcW w:w="1394" w:type="dxa"/>
                <w:shd w:val="clear" w:color="auto" w:fill="CAE7F3" w:themeFill="accent1" w:themeFillTint="33"/>
                <w:noWrap/>
                <w:vAlign w:val="bottom"/>
                <w:hideMark/>
              </w:tcPr>
              <w:p w14:paraId="1BB4B0F7" w14:textId="77777777" w:rsidR="00830FDC" w:rsidRPr="00F639BA" w:rsidRDefault="00830FDC" w:rsidP="00D0090A">
                <w:pPr>
                  <w:pStyle w:val="Tabletext"/>
                  <w:jc w:val="right"/>
                  <w:rPr>
                    <w:sz w:val="16"/>
                  </w:rPr>
                </w:pPr>
                <w:r w:rsidRPr="00F639BA">
                  <w:rPr>
                    <w:sz w:val="16"/>
                  </w:rPr>
                  <w:t>-14.0</w:t>
                </w:r>
              </w:p>
            </w:tc>
            <w:tc>
              <w:tcPr>
                <w:tcW w:w="1225" w:type="dxa"/>
                <w:shd w:val="clear" w:color="auto" w:fill="CAE7F3" w:themeFill="accent1" w:themeFillTint="33"/>
                <w:noWrap/>
                <w:vAlign w:val="bottom"/>
                <w:hideMark/>
              </w:tcPr>
              <w:p w14:paraId="7DF5C300" w14:textId="77777777" w:rsidR="00830FDC" w:rsidRPr="00F639BA" w:rsidRDefault="00830FDC" w:rsidP="00D0090A">
                <w:pPr>
                  <w:pStyle w:val="Tabletext"/>
                  <w:jc w:val="right"/>
                  <w:rPr>
                    <w:sz w:val="16"/>
                  </w:rPr>
                </w:pPr>
                <w:r w:rsidRPr="00F639BA">
                  <w:rPr>
                    <w:sz w:val="16"/>
                  </w:rPr>
                  <w:t>0.956</w:t>
                </w:r>
              </w:p>
            </w:tc>
          </w:tr>
          <w:tr w:rsidR="00830FDC" w:rsidRPr="00F639BA" w14:paraId="40C34BC7" w14:textId="77777777" w:rsidTr="00866271">
            <w:trPr>
              <w:trHeight w:val="300"/>
            </w:trPr>
            <w:tc>
              <w:tcPr>
                <w:tcW w:w="2273" w:type="dxa"/>
                <w:shd w:val="clear" w:color="auto" w:fill="CAE7F3" w:themeFill="accent1" w:themeFillTint="33"/>
                <w:noWrap/>
                <w:vAlign w:val="bottom"/>
                <w:hideMark/>
              </w:tcPr>
              <w:p w14:paraId="31BD6C00" w14:textId="77777777" w:rsidR="00830FDC" w:rsidRPr="00F639BA" w:rsidRDefault="00830FDC" w:rsidP="00D0090A">
                <w:pPr>
                  <w:pStyle w:val="Tabletext"/>
                  <w:rPr>
                    <w:sz w:val="16"/>
                  </w:rPr>
                </w:pPr>
                <w:r w:rsidRPr="00F639BA">
                  <w:rPr>
                    <w:sz w:val="16"/>
                  </w:rPr>
                  <w:t>Australian Capital Territory</w:t>
                </w:r>
              </w:p>
            </w:tc>
            <w:tc>
              <w:tcPr>
                <w:tcW w:w="1393" w:type="dxa"/>
                <w:shd w:val="clear" w:color="auto" w:fill="CAE7F3" w:themeFill="accent1" w:themeFillTint="33"/>
                <w:noWrap/>
                <w:vAlign w:val="bottom"/>
                <w:hideMark/>
              </w:tcPr>
              <w:p w14:paraId="4AE502BB" w14:textId="77777777" w:rsidR="00830FDC" w:rsidRPr="00F639BA" w:rsidRDefault="00830FDC" w:rsidP="00D0090A">
                <w:pPr>
                  <w:pStyle w:val="Tabletext"/>
                  <w:jc w:val="right"/>
                  <w:rPr>
                    <w:sz w:val="16"/>
                  </w:rPr>
                </w:pPr>
                <w:r w:rsidRPr="00F639BA">
                  <w:rPr>
                    <w:sz w:val="16"/>
                  </w:rPr>
                  <w:t>76.8</w:t>
                </w:r>
              </w:p>
            </w:tc>
            <w:tc>
              <w:tcPr>
                <w:tcW w:w="1394" w:type="dxa"/>
                <w:shd w:val="clear" w:color="auto" w:fill="CAE7F3" w:themeFill="accent1" w:themeFillTint="33"/>
                <w:noWrap/>
                <w:vAlign w:val="bottom"/>
                <w:hideMark/>
              </w:tcPr>
              <w:p w14:paraId="4EA6ABC1" w14:textId="77777777" w:rsidR="00830FDC" w:rsidRPr="00F639BA" w:rsidRDefault="00830FDC" w:rsidP="00D0090A">
                <w:pPr>
                  <w:pStyle w:val="Tabletext"/>
                  <w:jc w:val="right"/>
                  <w:rPr>
                    <w:sz w:val="16"/>
                  </w:rPr>
                </w:pPr>
                <w:r w:rsidRPr="00F639BA">
                  <w:rPr>
                    <w:sz w:val="16"/>
                  </w:rPr>
                  <w:t>64.3</w:t>
                </w:r>
              </w:p>
            </w:tc>
            <w:tc>
              <w:tcPr>
                <w:tcW w:w="1393" w:type="dxa"/>
                <w:shd w:val="clear" w:color="auto" w:fill="CAE7F3" w:themeFill="accent1" w:themeFillTint="33"/>
                <w:noWrap/>
                <w:vAlign w:val="bottom"/>
                <w:hideMark/>
              </w:tcPr>
              <w:p w14:paraId="6B17F390" w14:textId="77777777" w:rsidR="00830FDC" w:rsidRPr="00F639BA" w:rsidRDefault="00830FDC" w:rsidP="00D0090A">
                <w:pPr>
                  <w:pStyle w:val="Tabletext"/>
                  <w:jc w:val="right"/>
                  <w:rPr>
                    <w:sz w:val="16"/>
                  </w:rPr>
                </w:pPr>
                <w:r w:rsidRPr="00F639BA">
                  <w:rPr>
                    <w:sz w:val="16"/>
                  </w:rPr>
                  <w:t>54.9</w:t>
                </w:r>
              </w:p>
            </w:tc>
            <w:tc>
              <w:tcPr>
                <w:tcW w:w="1394" w:type="dxa"/>
                <w:shd w:val="clear" w:color="auto" w:fill="CAE7F3" w:themeFill="accent1" w:themeFillTint="33"/>
                <w:noWrap/>
                <w:vAlign w:val="bottom"/>
                <w:hideMark/>
              </w:tcPr>
              <w:p w14:paraId="10E7BD19" w14:textId="77777777" w:rsidR="00830FDC" w:rsidRPr="00F639BA" w:rsidRDefault="00830FDC" w:rsidP="00D0090A">
                <w:pPr>
                  <w:pStyle w:val="Tabletext"/>
                  <w:jc w:val="right"/>
                  <w:rPr>
                    <w:sz w:val="16"/>
                  </w:rPr>
                </w:pPr>
                <w:r w:rsidRPr="00F639BA">
                  <w:rPr>
                    <w:sz w:val="16"/>
                  </w:rPr>
                  <w:t>-14.8</w:t>
                </w:r>
              </w:p>
            </w:tc>
            <w:tc>
              <w:tcPr>
                <w:tcW w:w="1225" w:type="dxa"/>
                <w:shd w:val="clear" w:color="auto" w:fill="CAE7F3" w:themeFill="accent1" w:themeFillTint="33"/>
                <w:noWrap/>
                <w:vAlign w:val="bottom"/>
                <w:hideMark/>
              </w:tcPr>
              <w:p w14:paraId="254E1D35" w14:textId="77777777" w:rsidR="00830FDC" w:rsidRPr="00F639BA" w:rsidRDefault="00830FDC" w:rsidP="00D0090A">
                <w:pPr>
                  <w:pStyle w:val="Tabletext"/>
                  <w:jc w:val="right"/>
                  <w:rPr>
                    <w:sz w:val="16"/>
                  </w:rPr>
                </w:pPr>
                <w:r w:rsidRPr="00F639BA">
                  <w:rPr>
                    <w:sz w:val="16"/>
                  </w:rPr>
                  <w:t>0.956</w:t>
                </w:r>
              </w:p>
            </w:tc>
          </w:tr>
          <w:tr w:rsidR="00830FDC" w:rsidRPr="00F639BA" w14:paraId="491D80E9" w14:textId="77777777" w:rsidTr="00866271">
            <w:trPr>
              <w:trHeight w:val="300"/>
            </w:trPr>
            <w:tc>
              <w:tcPr>
                <w:tcW w:w="2273" w:type="dxa"/>
                <w:shd w:val="clear" w:color="auto" w:fill="CAE7F3" w:themeFill="accent1" w:themeFillTint="33"/>
                <w:noWrap/>
                <w:vAlign w:val="bottom"/>
                <w:hideMark/>
              </w:tcPr>
              <w:p w14:paraId="1F3EDCC0" w14:textId="77777777" w:rsidR="00830FDC" w:rsidRPr="00F639BA" w:rsidRDefault="00830FDC" w:rsidP="00D0090A">
                <w:pPr>
                  <w:pStyle w:val="Tabletext"/>
                  <w:rPr>
                    <w:sz w:val="16"/>
                  </w:rPr>
                </w:pPr>
                <w:r w:rsidRPr="00F639BA">
                  <w:rPr>
                    <w:sz w:val="16"/>
                  </w:rPr>
                  <w:t>South Australia</w:t>
                </w:r>
              </w:p>
            </w:tc>
            <w:tc>
              <w:tcPr>
                <w:tcW w:w="1393" w:type="dxa"/>
                <w:shd w:val="clear" w:color="auto" w:fill="CAE7F3" w:themeFill="accent1" w:themeFillTint="33"/>
                <w:noWrap/>
                <w:vAlign w:val="bottom"/>
                <w:hideMark/>
              </w:tcPr>
              <w:p w14:paraId="49A761DB" w14:textId="77777777" w:rsidR="00830FDC" w:rsidRPr="00F639BA" w:rsidRDefault="00830FDC" w:rsidP="00D0090A">
                <w:pPr>
                  <w:pStyle w:val="Tabletext"/>
                  <w:jc w:val="right"/>
                  <w:rPr>
                    <w:sz w:val="16"/>
                  </w:rPr>
                </w:pPr>
                <w:r w:rsidRPr="00F639BA">
                  <w:rPr>
                    <w:sz w:val="16"/>
                  </w:rPr>
                  <w:t>75.7</w:t>
                </w:r>
              </w:p>
            </w:tc>
            <w:tc>
              <w:tcPr>
                <w:tcW w:w="1394" w:type="dxa"/>
                <w:shd w:val="clear" w:color="auto" w:fill="CAE7F3" w:themeFill="accent1" w:themeFillTint="33"/>
                <w:noWrap/>
                <w:vAlign w:val="bottom"/>
                <w:hideMark/>
              </w:tcPr>
              <w:p w14:paraId="3561D990" w14:textId="77777777" w:rsidR="00830FDC" w:rsidRPr="00F639BA" w:rsidRDefault="00830FDC" w:rsidP="00D0090A">
                <w:pPr>
                  <w:pStyle w:val="Tabletext"/>
                  <w:jc w:val="right"/>
                  <w:rPr>
                    <w:sz w:val="16"/>
                  </w:rPr>
                </w:pPr>
                <w:r w:rsidRPr="00F639BA">
                  <w:rPr>
                    <w:sz w:val="16"/>
                  </w:rPr>
                  <w:t>62.2</w:t>
                </w:r>
              </w:p>
            </w:tc>
            <w:tc>
              <w:tcPr>
                <w:tcW w:w="1393" w:type="dxa"/>
                <w:shd w:val="clear" w:color="auto" w:fill="CAE7F3" w:themeFill="accent1" w:themeFillTint="33"/>
                <w:noWrap/>
                <w:vAlign w:val="bottom"/>
                <w:hideMark/>
              </w:tcPr>
              <w:p w14:paraId="05E43C56" w14:textId="77777777" w:rsidR="00830FDC" w:rsidRPr="00F639BA" w:rsidRDefault="00830FDC" w:rsidP="00D0090A">
                <w:pPr>
                  <w:pStyle w:val="Tabletext"/>
                  <w:jc w:val="right"/>
                  <w:rPr>
                    <w:sz w:val="16"/>
                  </w:rPr>
                </w:pPr>
                <w:r w:rsidRPr="00F639BA">
                  <w:rPr>
                    <w:sz w:val="16"/>
                  </w:rPr>
                  <w:t>52.7</w:t>
                </w:r>
              </w:p>
            </w:tc>
            <w:tc>
              <w:tcPr>
                <w:tcW w:w="1394" w:type="dxa"/>
                <w:shd w:val="clear" w:color="auto" w:fill="CAE7F3" w:themeFill="accent1" w:themeFillTint="33"/>
                <w:noWrap/>
                <w:vAlign w:val="bottom"/>
                <w:hideMark/>
              </w:tcPr>
              <w:p w14:paraId="1FEB6C9C" w14:textId="77777777" w:rsidR="00830FDC" w:rsidRPr="00F639BA" w:rsidRDefault="00830FDC" w:rsidP="00D0090A">
                <w:pPr>
                  <w:pStyle w:val="Tabletext"/>
                  <w:jc w:val="right"/>
                  <w:rPr>
                    <w:sz w:val="16"/>
                  </w:rPr>
                </w:pPr>
                <w:r w:rsidRPr="00F639BA">
                  <w:rPr>
                    <w:sz w:val="16"/>
                  </w:rPr>
                  <w:t>-15.5</w:t>
                </w:r>
              </w:p>
            </w:tc>
            <w:tc>
              <w:tcPr>
                <w:tcW w:w="1225" w:type="dxa"/>
                <w:shd w:val="clear" w:color="auto" w:fill="CAE7F3" w:themeFill="accent1" w:themeFillTint="33"/>
                <w:noWrap/>
                <w:vAlign w:val="bottom"/>
                <w:hideMark/>
              </w:tcPr>
              <w:p w14:paraId="25B26D72" w14:textId="77777777" w:rsidR="00830FDC" w:rsidRPr="00F639BA" w:rsidRDefault="00830FDC" w:rsidP="00D0090A">
                <w:pPr>
                  <w:pStyle w:val="Tabletext"/>
                  <w:jc w:val="right"/>
                  <w:rPr>
                    <w:sz w:val="16"/>
                  </w:rPr>
                </w:pPr>
                <w:r w:rsidRPr="00F639BA">
                  <w:rPr>
                    <w:sz w:val="16"/>
                  </w:rPr>
                  <w:t>0.955</w:t>
                </w:r>
              </w:p>
            </w:tc>
          </w:tr>
          <w:tr w:rsidR="00830FDC" w:rsidRPr="00F639BA" w14:paraId="322EA12A" w14:textId="77777777" w:rsidTr="00866271">
            <w:trPr>
              <w:trHeight w:val="300"/>
            </w:trPr>
            <w:tc>
              <w:tcPr>
                <w:tcW w:w="2273" w:type="dxa"/>
                <w:shd w:val="clear" w:color="auto" w:fill="CAE7F3" w:themeFill="accent1" w:themeFillTint="33"/>
                <w:noWrap/>
                <w:vAlign w:val="bottom"/>
                <w:hideMark/>
              </w:tcPr>
              <w:p w14:paraId="0BE743F6" w14:textId="77777777" w:rsidR="00830FDC" w:rsidRPr="00F639BA" w:rsidRDefault="00830FDC" w:rsidP="00D0090A">
                <w:pPr>
                  <w:pStyle w:val="Tabletext"/>
                  <w:rPr>
                    <w:sz w:val="16"/>
                  </w:rPr>
                </w:pPr>
                <w:r w:rsidRPr="00F639BA">
                  <w:rPr>
                    <w:sz w:val="16"/>
                  </w:rPr>
                  <w:t>Victoria</w:t>
                </w:r>
              </w:p>
            </w:tc>
            <w:tc>
              <w:tcPr>
                <w:tcW w:w="1393" w:type="dxa"/>
                <w:shd w:val="clear" w:color="auto" w:fill="CAE7F3" w:themeFill="accent1" w:themeFillTint="33"/>
                <w:noWrap/>
                <w:vAlign w:val="bottom"/>
                <w:hideMark/>
              </w:tcPr>
              <w:p w14:paraId="4226FBA0" w14:textId="77777777" w:rsidR="00830FDC" w:rsidRPr="00F639BA" w:rsidRDefault="00830FDC" w:rsidP="00D0090A">
                <w:pPr>
                  <w:pStyle w:val="Tabletext"/>
                  <w:jc w:val="right"/>
                  <w:rPr>
                    <w:sz w:val="16"/>
                  </w:rPr>
                </w:pPr>
                <w:r w:rsidRPr="00F639BA">
                  <w:rPr>
                    <w:sz w:val="16"/>
                  </w:rPr>
                  <w:t>75.3</w:t>
                </w:r>
              </w:p>
            </w:tc>
            <w:tc>
              <w:tcPr>
                <w:tcW w:w="1394" w:type="dxa"/>
                <w:shd w:val="clear" w:color="auto" w:fill="CAE7F3" w:themeFill="accent1" w:themeFillTint="33"/>
                <w:noWrap/>
                <w:vAlign w:val="bottom"/>
                <w:hideMark/>
              </w:tcPr>
              <w:p w14:paraId="6C8FF8FF" w14:textId="77777777" w:rsidR="00830FDC" w:rsidRPr="00F639BA" w:rsidRDefault="00830FDC" w:rsidP="00D0090A">
                <w:pPr>
                  <w:pStyle w:val="Tabletext"/>
                  <w:jc w:val="right"/>
                  <w:rPr>
                    <w:sz w:val="16"/>
                  </w:rPr>
                </w:pPr>
                <w:r w:rsidRPr="00F639BA">
                  <w:rPr>
                    <w:sz w:val="16"/>
                  </w:rPr>
                  <w:t>61.0</w:t>
                </w:r>
              </w:p>
            </w:tc>
            <w:tc>
              <w:tcPr>
                <w:tcW w:w="1393" w:type="dxa"/>
                <w:shd w:val="clear" w:color="auto" w:fill="CAE7F3" w:themeFill="accent1" w:themeFillTint="33"/>
                <w:noWrap/>
                <w:vAlign w:val="bottom"/>
                <w:hideMark/>
              </w:tcPr>
              <w:p w14:paraId="6A50409A" w14:textId="77777777" w:rsidR="00830FDC" w:rsidRPr="00F639BA" w:rsidRDefault="00830FDC" w:rsidP="00D0090A">
                <w:pPr>
                  <w:pStyle w:val="Tabletext"/>
                  <w:jc w:val="right"/>
                  <w:rPr>
                    <w:sz w:val="16"/>
                  </w:rPr>
                </w:pPr>
                <w:r w:rsidRPr="00F639BA">
                  <w:rPr>
                    <w:sz w:val="16"/>
                  </w:rPr>
                  <w:t>51.2</w:t>
                </w:r>
              </w:p>
            </w:tc>
            <w:tc>
              <w:tcPr>
                <w:tcW w:w="1394" w:type="dxa"/>
                <w:shd w:val="clear" w:color="auto" w:fill="CAE7F3" w:themeFill="accent1" w:themeFillTint="33"/>
                <w:noWrap/>
                <w:vAlign w:val="bottom"/>
                <w:hideMark/>
              </w:tcPr>
              <w:p w14:paraId="23CB386D" w14:textId="77777777" w:rsidR="00830FDC" w:rsidRPr="00F639BA" w:rsidRDefault="00830FDC" w:rsidP="00D0090A">
                <w:pPr>
                  <w:pStyle w:val="Tabletext"/>
                  <w:jc w:val="right"/>
                  <w:rPr>
                    <w:sz w:val="16"/>
                  </w:rPr>
                </w:pPr>
                <w:r w:rsidRPr="00F639BA">
                  <w:rPr>
                    <w:sz w:val="16"/>
                  </w:rPr>
                  <w:t>-16.1</w:t>
                </w:r>
              </w:p>
            </w:tc>
            <w:tc>
              <w:tcPr>
                <w:tcW w:w="1225" w:type="dxa"/>
                <w:shd w:val="clear" w:color="auto" w:fill="CAE7F3" w:themeFill="accent1" w:themeFillTint="33"/>
                <w:noWrap/>
                <w:vAlign w:val="bottom"/>
                <w:hideMark/>
              </w:tcPr>
              <w:p w14:paraId="46407754" w14:textId="77777777" w:rsidR="00830FDC" w:rsidRPr="00F639BA" w:rsidRDefault="00830FDC" w:rsidP="00D0090A">
                <w:pPr>
                  <w:pStyle w:val="Tabletext"/>
                  <w:jc w:val="right"/>
                  <w:rPr>
                    <w:sz w:val="16"/>
                  </w:rPr>
                </w:pPr>
                <w:r w:rsidRPr="00F639BA">
                  <w:rPr>
                    <w:sz w:val="16"/>
                  </w:rPr>
                  <w:t>0.957</w:t>
                </w:r>
              </w:p>
            </w:tc>
          </w:tr>
          <w:tr w:rsidR="00830FDC" w:rsidRPr="00F639BA" w14:paraId="3ED73312" w14:textId="77777777" w:rsidTr="00866271">
            <w:trPr>
              <w:trHeight w:val="300"/>
            </w:trPr>
            <w:tc>
              <w:tcPr>
                <w:tcW w:w="2273" w:type="dxa"/>
                <w:shd w:val="clear" w:color="auto" w:fill="CAE7F3" w:themeFill="accent1" w:themeFillTint="33"/>
                <w:noWrap/>
                <w:vAlign w:val="bottom"/>
                <w:hideMark/>
              </w:tcPr>
              <w:p w14:paraId="41E9A552" w14:textId="77777777" w:rsidR="00830FDC" w:rsidRPr="00F639BA" w:rsidRDefault="00830FDC" w:rsidP="00D0090A">
                <w:pPr>
                  <w:pStyle w:val="Tabletext"/>
                  <w:rPr>
                    <w:sz w:val="16"/>
                  </w:rPr>
                </w:pPr>
                <w:r w:rsidRPr="00F639BA">
                  <w:rPr>
                    <w:sz w:val="16"/>
                  </w:rPr>
                  <w:t>Western Australia</w:t>
                </w:r>
              </w:p>
            </w:tc>
            <w:tc>
              <w:tcPr>
                <w:tcW w:w="1393" w:type="dxa"/>
                <w:shd w:val="clear" w:color="auto" w:fill="CAE7F3" w:themeFill="accent1" w:themeFillTint="33"/>
                <w:noWrap/>
                <w:vAlign w:val="bottom"/>
                <w:hideMark/>
              </w:tcPr>
              <w:p w14:paraId="3B780532" w14:textId="77777777" w:rsidR="00830FDC" w:rsidRPr="00F639BA" w:rsidRDefault="00830FDC" w:rsidP="00D0090A">
                <w:pPr>
                  <w:pStyle w:val="Tabletext"/>
                  <w:jc w:val="right"/>
                  <w:rPr>
                    <w:sz w:val="16"/>
                  </w:rPr>
                </w:pPr>
                <w:r w:rsidRPr="00F639BA">
                  <w:rPr>
                    <w:sz w:val="16"/>
                  </w:rPr>
                  <w:t>75.1</w:t>
                </w:r>
              </w:p>
            </w:tc>
            <w:tc>
              <w:tcPr>
                <w:tcW w:w="1394" w:type="dxa"/>
                <w:shd w:val="clear" w:color="auto" w:fill="CAE7F3" w:themeFill="accent1" w:themeFillTint="33"/>
                <w:noWrap/>
                <w:vAlign w:val="bottom"/>
                <w:hideMark/>
              </w:tcPr>
              <w:p w14:paraId="066C10CE" w14:textId="77777777" w:rsidR="00830FDC" w:rsidRPr="00F639BA" w:rsidRDefault="00830FDC" w:rsidP="00D0090A">
                <w:pPr>
                  <w:pStyle w:val="Tabletext"/>
                  <w:jc w:val="right"/>
                  <w:rPr>
                    <w:sz w:val="16"/>
                  </w:rPr>
                </w:pPr>
                <w:r w:rsidRPr="00F639BA">
                  <w:rPr>
                    <w:sz w:val="16"/>
                  </w:rPr>
                  <w:t>59.3</w:t>
                </w:r>
              </w:p>
            </w:tc>
            <w:tc>
              <w:tcPr>
                <w:tcW w:w="1393" w:type="dxa"/>
                <w:shd w:val="clear" w:color="auto" w:fill="CAE7F3" w:themeFill="accent1" w:themeFillTint="33"/>
                <w:noWrap/>
                <w:vAlign w:val="bottom"/>
                <w:hideMark/>
              </w:tcPr>
              <w:p w14:paraId="7ACD66CE" w14:textId="77777777" w:rsidR="00830FDC" w:rsidRPr="00F639BA" w:rsidRDefault="00830FDC" w:rsidP="00D0090A">
                <w:pPr>
                  <w:pStyle w:val="Tabletext"/>
                  <w:jc w:val="right"/>
                  <w:rPr>
                    <w:sz w:val="16"/>
                  </w:rPr>
                </w:pPr>
                <w:r w:rsidRPr="00F639BA">
                  <w:rPr>
                    <w:sz w:val="16"/>
                  </w:rPr>
                  <w:t>49.3</w:t>
                </w:r>
              </w:p>
            </w:tc>
            <w:tc>
              <w:tcPr>
                <w:tcW w:w="1394" w:type="dxa"/>
                <w:shd w:val="clear" w:color="auto" w:fill="CAE7F3" w:themeFill="accent1" w:themeFillTint="33"/>
                <w:noWrap/>
                <w:vAlign w:val="bottom"/>
                <w:hideMark/>
              </w:tcPr>
              <w:p w14:paraId="34EDE0FA" w14:textId="77777777" w:rsidR="00830FDC" w:rsidRPr="00F639BA" w:rsidRDefault="00830FDC" w:rsidP="00D0090A">
                <w:pPr>
                  <w:pStyle w:val="Tabletext"/>
                  <w:jc w:val="right"/>
                  <w:rPr>
                    <w:sz w:val="16"/>
                  </w:rPr>
                </w:pPr>
                <w:r w:rsidRPr="00F639BA">
                  <w:rPr>
                    <w:sz w:val="16"/>
                  </w:rPr>
                  <w:t>-16.8</w:t>
                </w:r>
              </w:p>
            </w:tc>
            <w:tc>
              <w:tcPr>
                <w:tcW w:w="1225" w:type="dxa"/>
                <w:shd w:val="clear" w:color="auto" w:fill="CAE7F3" w:themeFill="accent1" w:themeFillTint="33"/>
                <w:noWrap/>
                <w:vAlign w:val="bottom"/>
                <w:hideMark/>
              </w:tcPr>
              <w:p w14:paraId="24DC9F47" w14:textId="77777777" w:rsidR="00830FDC" w:rsidRPr="00F639BA" w:rsidRDefault="00830FDC" w:rsidP="00D0090A">
                <w:pPr>
                  <w:pStyle w:val="Tabletext"/>
                  <w:jc w:val="right"/>
                  <w:rPr>
                    <w:sz w:val="16"/>
                  </w:rPr>
                </w:pPr>
                <w:r w:rsidRPr="00F639BA">
                  <w:rPr>
                    <w:sz w:val="16"/>
                  </w:rPr>
                  <w:t>0.962</w:t>
                </w:r>
              </w:p>
            </w:tc>
          </w:tr>
          <w:tr w:rsidR="00830FDC" w:rsidRPr="00F639BA" w14:paraId="5DE6321F" w14:textId="77777777" w:rsidTr="00866271">
            <w:trPr>
              <w:trHeight w:val="300"/>
            </w:trPr>
            <w:tc>
              <w:tcPr>
                <w:tcW w:w="2273" w:type="dxa"/>
                <w:shd w:val="clear" w:color="auto" w:fill="CAE7F3" w:themeFill="accent1" w:themeFillTint="33"/>
                <w:noWrap/>
                <w:vAlign w:val="bottom"/>
                <w:hideMark/>
              </w:tcPr>
              <w:p w14:paraId="60CF0FEE" w14:textId="77777777" w:rsidR="00830FDC" w:rsidRPr="00F639BA" w:rsidRDefault="00830FDC" w:rsidP="00D0090A">
                <w:pPr>
                  <w:pStyle w:val="Tabletext"/>
                  <w:rPr>
                    <w:sz w:val="16"/>
                  </w:rPr>
                </w:pPr>
                <w:r w:rsidRPr="00F639BA">
                  <w:rPr>
                    <w:sz w:val="16"/>
                  </w:rPr>
                  <w:t>New South Wales</w:t>
                </w:r>
              </w:p>
            </w:tc>
            <w:tc>
              <w:tcPr>
                <w:tcW w:w="1393" w:type="dxa"/>
                <w:shd w:val="clear" w:color="auto" w:fill="CAE7F3" w:themeFill="accent1" w:themeFillTint="33"/>
                <w:noWrap/>
                <w:vAlign w:val="bottom"/>
                <w:hideMark/>
              </w:tcPr>
              <w:p w14:paraId="02A307DD" w14:textId="77777777" w:rsidR="00830FDC" w:rsidRPr="00F639BA" w:rsidRDefault="00830FDC" w:rsidP="00D0090A">
                <w:pPr>
                  <w:pStyle w:val="Tabletext"/>
                  <w:jc w:val="right"/>
                  <w:rPr>
                    <w:sz w:val="16"/>
                  </w:rPr>
                </w:pPr>
                <w:r w:rsidRPr="00F639BA">
                  <w:rPr>
                    <w:sz w:val="16"/>
                  </w:rPr>
                  <w:t>73.4</w:t>
                </w:r>
              </w:p>
            </w:tc>
            <w:tc>
              <w:tcPr>
                <w:tcW w:w="1394" w:type="dxa"/>
                <w:shd w:val="clear" w:color="auto" w:fill="CAE7F3" w:themeFill="accent1" w:themeFillTint="33"/>
                <w:noWrap/>
                <w:vAlign w:val="bottom"/>
                <w:hideMark/>
              </w:tcPr>
              <w:p w14:paraId="43715A10" w14:textId="77777777" w:rsidR="00830FDC" w:rsidRPr="00F639BA" w:rsidRDefault="00830FDC" w:rsidP="00D0090A">
                <w:pPr>
                  <w:pStyle w:val="Tabletext"/>
                  <w:jc w:val="right"/>
                  <w:rPr>
                    <w:sz w:val="16"/>
                  </w:rPr>
                </w:pPr>
                <w:r w:rsidRPr="00F639BA">
                  <w:rPr>
                    <w:sz w:val="16"/>
                  </w:rPr>
                  <w:t>58.3</w:t>
                </w:r>
              </w:p>
            </w:tc>
            <w:tc>
              <w:tcPr>
                <w:tcW w:w="1393" w:type="dxa"/>
                <w:shd w:val="clear" w:color="auto" w:fill="CAE7F3" w:themeFill="accent1" w:themeFillTint="33"/>
                <w:noWrap/>
                <w:vAlign w:val="bottom"/>
                <w:hideMark/>
              </w:tcPr>
              <w:p w14:paraId="6E98FB2B" w14:textId="77777777" w:rsidR="00830FDC" w:rsidRPr="00F639BA" w:rsidRDefault="00830FDC" w:rsidP="00D0090A">
                <w:pPr>
                  <w:pStyle w:val="Tabletext"/>
                  <w:jc w:val="right"/>
                  <w:rPr>
                    <w:sz w:val="16"/>
                  </w:rPr>
                </w:pPr>
                <w:r w:rsidRPr="00F639BA">
                  <w:rPr>
                    <w:sz w:val="16"/>
                  </w:rPr>
                  <w:t>48.2</w:t>
                </w:r>
              </w:p>
            </w:tc>
            <w:tc>
              <w:tcPr>
                <w:tcW w:w="1394" w:type="dxa"/>
                <w:shd w:val="clear" w:color="auto" w:fill="CAE7F3" w:themeFill="accent1" w:themeFillTint="33"/>
                <w:noWrap/>
                <w:vAlign w:val="bottom"/>
                <w:hideMark/>
              </w:tcPr>
              <w:p w14:paraId="7DE88BEA" w14:textId="77777777" w:rsidR="00830FDC" w:rsidRPr="00F639BA" w:rsidRDefault="00830FDC" w:rsidP="00D0090A">
                <w:pPr>
                  <w:pStyle w:val="Tabletext"/>
                  <w:jc w:val="right"/>
                  <w:rPr>
                    <w:sz w:val="16"/>
                  </w:rPr>
                </w:pPr>
                <w:r w:rsidRPr="00F639BA">
                  <w:rPr>
                    <w:sz w:val="16"/>
                  </w:rPr>
                  <w:t>-17.1</w:t>
                </w:r>
              </w:p>
            </w:tc>
            <w:tc>
              <w:tcPr>
                <w:tcW w:w="1225" w:type="dxa"/>
                <w:shd w:val="clear" w:color="auto" w:fill="CAE7F3" w:themeFill="accent1" w:themeFillTint="33"/>
                <w:noWrap/>
                <w:vAlign w:val="bottom"/>
                <w:hideMark/>
              </w:tcPr>
              <w:p w14:paraId="5D4C9468" w14:textId="77777777" w:rsidR="00830FDC" w:rsidRPr="00F639BA" w:rsidRDefault="00830FDC" w:rsidP="00D0090A">
                <w:pPr>
                  <w:pStyle w:val="Tabletext"/>
                  <w:jc w:val="right"/>
                  <w:rPr>
                    <w:sz w:val="16"/>
                  </w:rPr>
                </w:pPr>
                <w:r w:rsidRPr="00F639BA">
                  <w:rPr>
                    <w:sz w:val="16"/>
                  </w:rPr>
                  <w:t>0.954</w:t>
                </w:r>
              </w:p>
            </w:tc>
          </w:tr>
          <w:tr w:rsidR="00830FDC" w:rsidRPr="00F639BA" w14:paraId="0106F7FE" w14:textId="77777777" w:rsidTr="00866271">
            <w:trPr>
              <w:trHeight w:val="300"/>
            </w:trPr>
            <w:tc>
              <w:tcPr>
                <w:tcW w:w="2273" w:type="dxa"/>
                <w:shd w:val="clear" w:color="auto" w:fill="CAE7F3" w:themeFill="accent1" w:themeFillTint="33"/>
                <w:noWrap/>
                <w:vAlign w:val="bottom"/>
                <w:hideMark/>
              </w:tcPr>
              <w:p w14:paraId="631DAF05" w14:textId="77777777" w:rsidR="00830FDC" w:rsidRPr="00F639BA" w:rsidRDefault="00830FDC" w:rsidP="00D0090A">
                <w:pPr>
                  <w:pStyle w:val="Tabletext"/>
                  <w:rPr>
                    <w:sz w:val="16"/>
                  </w:rPr>
                </w:pPr>
                <w:r w:rsidRPr="00F639BA">
                  <w:rPr>
                    <w:sz w:val="16"/>
                  </w:rPr>
                  <w:t>Northern Territory</w:t>
                </w:r>
              </w:p>
            </w:tc>
            <w:tc>
              <w:tcPr>
                <w:tcW w:w="1393" w:type="dxa"/>
                <w:shd w:val="clear" w:color="auto" w:fill="CAE7F3" w:themeFill="accent1" w:themeFillTint="33"/>
                <w:noWrap/>
                <w:vAlign w:val="bottom"/>
                <w:hideMark/>
              </w:tcPr>
              <w:p w14:paraId="04D031E8" w14:textId="77777777" w:rsidR="00830FDC" w:rsidRPr="00F639BA" w:rsidRDefault="00830FDC" w:rsidP="00D0090A">
                <w:pPr>
                  <w:pStyle w:val="Tabletext"/>
                  <w:jc w:val="right"/>
                  <w:rPr>
                    <w:sz w:val="16"/>
                  </w:rPr>
                </w:pPr>
                <w:r w:rsidRPr="00F639BA">
                  <w:rPr>
                    <w:sz w:val="16"/>
                  </w:rPr>
                  <w:t>72.3</w:t>
                </w:r>
              </w:p>
            </w:tc>
            <w:tc>
              <w:tcPr>
                <w:tcW w:w="1394" w:type="dxa"/>
                <w:shd w:val="clear" w:color="auto" w:fill="CAE7F3" w:themeFill="accent1" w:themeFillTint="33"/>
                <w:noWrap/>
                <w:vAlign w:val="bottom"/>
                <w:hideMark/>
              </w:tcPr>
              <w:p w14:paraId="421731A7" w14:textId="77777777" w:rsidR="00830FDC" w:rsidRPr="00F639BA" w:rsidRDefault="00830FDC" w:rsidP="00D0090A">
                <w:pPr>
                  <w:pStyle w:val="Tabletext"/>
                  <w:jc w:val="right"/>
                  <w:rPr>
                    <w:sz w:val="16"/>
                  </w:rPr>
                </w:pPr>
                <w:r w:rsidRPr="00F639BA">
                  <w:rPr>
                    <w:sz w:val="16"/>
                  </w:rPr>
                  <w:t>57.9</w:t>
                </w:r>
              </w:p>
            </w:tc>
            <w:tc>
              <w:tcPr>
                <w:tcW w:w="1393" w:type="dxa"/>
                <w:shd w:val="clear" w:color="auto" w:fill="CAE7F3" w:themeFill="accent1" w:themeFillTint="33"/>
                <w:noWrap/>
                <w:vAlign w:val="bottom"/>
                <w:hideMark/>
              </w:tcPr>
              <w:p w14:paraId="0ED89921" w14:textId="77777777" w:rsidR="00830FDC" w:rsidRPr="00F639BA" w:rsidRDefault="00830FDC" w:rsidP="00D0090A">
                <w:pPr>
                  <w:pStyle w:val="Tabletext"/>
                  <w:jc w:val="right"/>
                  <w:rPr>
                    <w:sz w:val="16"/>
                  </w:rPr>
                </w:pPr>
                <w:r w:rsidRPr="00F639BA">
                  <w:rPr>
                    <w:sz w:val="16"/>
                  </w:rPr>
                  <w:t>46.6</w:t>
                </w:r>
              </w:p>
            </w:tc>
            <w:tc>
              <w:tcPr>
                <w:tcW w:w="1394" w:type="dxa"/>
                <w:shd w:val="clear" w:color="auto" w:fill="CAE7F3" w:themeFill="accent1" w:themeFillTint="33"/>
                <w:noWrap/>
                <w:vAlign w:val="bottom"/>
                <w:hideMark/>
              </w:tcPr>
              <w:p w14:paraId="26774914" w14:textId="77777777" w:rsidR="00830FDC" w:rsidRPr="00F639BA" w:rsidRDefault="00830FDC" w:rsidP="00D0090A">
                <w:pPr>
                  <w:pStyle w:val="Tabletext"/>
                  <w:jc w:val="right"/>
                  <w:rPr>
                    <w:sz w:val="16"/>
                  </w:rPr>
                </w:pPr>
                <w:r w:rsidRPr="00F639BA">
                  <w:rPr>
                    <w:sz w:val="16"/>
                  </w:rPr>
                  <w:t>-17.5</w:t>
                </w:r>
              </w:p>
            </w:tc>
            <w:tc>
              <w:tcPr>
                <w:tcW w:w="1225" w:type="dxa"/>
                <w:shd w:val="clear" w:color="auto" w:fill="CAE7F3" w:themeFill="accent1" w:themeFillTint="33"/>
                <w:noWrap/>
                <w:vAlign w:val="bottom"/>
                <w:hideMark/>
              </w:tcPr>
              <w:p w14:paraId="493B3FAF" w14:textId="77777777" w:rsidR="00830FDC" w:rsidRPr="00F639BA" w:rsidRDefault="00830FDC" w:rsidP="00D0090A">
                <w:pPr>
                  <w:pStyle w:val="Tabletext"/>
                  <w:jc w:val="right"/>
                  <w:rPr>
                    <w:sz w:val="16"/>
                  </w:rPr>
                </w:pPr>
                <w:r w:rsidRPr="00F639BA">
                  <w:rPr>
                    <w:sz w:val="16"/>
                  </w:rPr>
                  <w:t>0.955</w:t>
                </w:r>
              </w:p>
            </w:tc>
          </w:tr>
          <w:tr w:rsidR="00830FDC" w:rsidRPr="00F639BA" w14:paraId="3EE5383B" w14:textId="77777777" w:rsidTr="00866271">
            <w:trPr>
              <w:trHeight w:val="300"/>
            </w:trPr>
            <w:tc>
              <w:tcPr>
                <w:tcW w:w="2273" w:type="dxa"/>
                <w:shd w:val="clear" w:color="auto" w:fill="CAE7F3" w:themeFill="accent1" w:themeFillTint="33"/>
                <w:noWrap/>
                <w:vAlign w:val="bottom"/>
                <w:hideMark/>
              </w:tcPr>
              <w:p w14:paraId="03646F78" w14:textId="77777777" w:rsidR="00830FDC" w:rsidRPr="00F639BA" w:rsidRDefault="00830FDC" w:rsidP="00D0090A">
                <w:pPr>
                  <w:pStyle w:val="Tabletext"/>
                  <w:rPr>
                    <w:sz w:val="16"/>
                  </w:rPr>
                </w:pPr>
                <w:r w:rsidRPr="00F639BA">
                  <w:rPr>
                    <w:sz w:val="16"/>
                  </w:rPr>
                  <w:t>Queensland</w:t>
                </w:r>
              </w:p>
            </w:tc>
            <w:tc>
              <w:tcPr>
                <w:tcW w:w="1393" w:type="dxa"/>
                <w:shd w:val="clear" w:color="auto" w:fill="CAE7F3" w:themeFill="accent1" w:themeFillTint="33"/>
                <w:noWrap/>
                <w:vAlign w:val="bottom"/>
                <w:hideMark/>
              </w:tcPr>
              <w:p w14:paraId="3F14F7CE" w14:textId="77777777" w:rsidR="00830FDC" w:rsidRPr="00F639BA" w:rsidRDefault="00830FDC" w:rsidP="00D0090A">
                <w:pPr>
                  <w:pStyle w:val="Tabletext"/>
                  <w:jc w:val="right"/>
                  <w:rPr>
                    <w:sz w:val="16"/>
                  </w:rPr>
                </w:pPr>
                <w:r w:rsidRPr="00F639BA">
                  <w:rPr>
                    <w:sz w:val="16"/>
                  </w:rPr>
                  <w:t>73.4</w:t>
                </w:r>
              </w:p>
            </w:tc>
            <w:tc>
              <w:tcPr>
                <w:tcW w:w="1394" w:type="dxa"/>
                <w:shd w:val="clear" w:color="auto" w:fill="CAE7F3" w:themeFill="accent1" w:themeFillTint="33"/>
                <w:noWrap/>
                <w:vAlign w:val="bottom"/>
                <w:hideMark/>
              </w:tcPr>
              <w:p w14:paraId="22737B6D" w14:textId="77777777" w:rsidR="00830FDC" w:rsidRPr="00F639BA" w:rsidRDefault="00830FDC" w:rsidP="00D0090A">
                <w:pPr>
                  <w:pStyle w:val="Tabletext"/>
                  <w:jc w:val="right"/>
                  <w:rPr>
                    <w:sz w:val="16"/>
                  </w:rPr>
                </w:pPr>
                <w:r w:rsidRPr="00F639BA">
                  <w:rPr>
                    <w:sz w:val="16"/>
                  </w:rPr>
                  <w:t>57.4</w:t>
                </w:r>
              </w:p>
            </w:tc>
            <w:tc>
              <w:tcPr>
                <w:tcW w:w="1393" w:type="dxa"/>
                <w:shd w:val="clear" w:color="auto" w:fill="CAE7F3" w:themeFill="accent1" w:themeFillTint="33"/>
                <w:noWrap/>
                <w:vAlign w:val="bottom"/>
                <w:hideMark/>
              </w:tcPr>
              <w:p w14:paraId="4352DA2A" w14:textId="77777777" w:rsidR="00830FDC" w:rsidRPr="00F639BA" w:rsidRDefault="00830FDC" w:rsidP="00D0090A">
                <w:pPr>
                  <w:pStyle w:val="Tabletext"/>
                  <w:jc w:val="right"/>
                  <w:rPr>
                    <w:sz w:val="16"/>
                  </w:rPr>
                </w:pPr>
                <w:r w:rsidRPr="00F639BA">
                  <w:rPr>
                    <w:sz w:val="16"/>
                  </w:rPr>
                  <w:t>47.1</w:t>
                </w:r>
              </w:p>
            </w:tc>
            <w:tc>
              <w:tcPr>
                <w:tcW w:w="1394" w:type="dxa"/>
                <w:shd w:val="clear" w:color="auto" w:fill="CAE7F3" w:themeFill="accent1" w:themeFillTint="33"/>
                <w:noWrap/>
                <w:vAlign w:val="bottom"/>
                <w:hideMark/>
              </w:tcPr>
              <w:p w14:paraId="5C8867BB" w14:textId="77777777" w:rsidR="00830FDC" w:rsidRPr="00F639BA" w:rsidRDefault="00830FDC" w:rsidP="00D0090A">
                <w:pPr>
                  <w:pStyle w:val="Tabletext"/>
                  <w:jc w:val="right"/>
                  <w:rPr>
                    <w:sz w:val="16"/>
                  </w:rPr>
                </w:pPr>
                <w:r w:rsidRPr="00F639BA">
                  <w:rPr>
                    <w:sz w:val="16"/>
                  </w:rPr>
                  <w:t>-17.5</w:t>
                </w:r>
              </w:p>
            </w:tc>
            <w:tc>
              <w:tcPr>
                <w:tcW w:w="1225" w:type="dxa"/>
                <w:shd w:val="clear" w:color="auto" w:fill="CAE7F3" w:themeFill="accent1" w:themeFillTint="33"/>
                <w:noWrap/>
                <w:vAlign w:val="bottom"/>
                <w:hideMark/>
              </w:tcPr>
              <w:p w14:paraId="78004F0A" w14:textId="77777777" w:rsidR="00830FDC" w:rsidRPr="00F639BA" w:rsidRDefault="00830FDC" w:rsidP="00D0090A">
                <w:pPr>
                  <w:pStyle w:val="Tabletext"/>
                  <w:jc w:val="right"/>
                  <w:rPr>
                    <w:sz w:val="16"/>
                  </w:rPr>
                </w:pPr>
                <w:r w:rsidRPr="00F639BA">
                  <w:rPr>
                    <w:sz w:val="16"/>
                  </w:rPr>
                  <w:t>0.958</w:t>
                </w:r>
              </w:p>
            </w:tc>
          </w:tr>
        </w:tbl>
        <w:p w14:paraId="7AAB042D" w14:textId="77777777" w:rsidR="00830FDC" w:rsidRPr="00A30089" w:rsidRDefault="00830FDC" w:rsidP="00830FDC">
          <w:pPr>
            <w:pStyle w:val="NoteWide"/>
          </w:pPr>
          <w:r w:rsidRPr="00A30089">
            <w:t>Note</w:t>
          </w:r>
          <w:r>
            <w:t>s: Slope is calculated with 100 per cent survival for the year of business entry. R</w:t>
          </w:r>
          <w:r w:rsidRPr="00A270CA">
            <w:rPr>
              <w:vertAlign w:val="superscript"/>
            </w:rPr>
            <w:t>2</w:t>
          </w:r>
          <w:r>
            <w:t xml:space="preserve"> values indicate how well the data fits the statistical model i.e. slope of regression.</w:t>
          </w:r>
        </w:p>
        <w:p w14:paraId="0DCC1CE6" w14:textId="77777777" w:rsidR="00830FDC" w:rsidRDefault="00830FDC" w:rsidP="00830FDC">
          <w:pPr>
            <w:pStyle w:val="SourceWide"/>
          </w:pPr>
          <w:r>
            <w:t xml:space="preserve">Source: Australian Bureau of Statistics (2015) </w:t>
          </w:r>
          <w:r>
            <w:rPr>
              <w:i/>
            </w:rPr>
            <w:t xml:space="preserve">Counts of Australian Businesses 2008–2015, </w:t>
          </w:r>
          <w:r>
            <w:t>data cube: Excel spreadsheet, cat. no. 8165</w:t>
          </w:r>
          <w:r w:rsidRPr="003B74B4">
            <w:t>.0</w:t>
          </w:r>
          <w:r>
            <w:t xml:space="preserve"> (data available on request)</w:t>
          </w:r>
        </w:p>
        <w:p w14:paraId="6A7D626B" w14:textId="77777777" w:rsidR="00830FDC" w:rsidRDefault="00830FDC" w:rsidP="0053524D">
          <w:pPr>
            <w:pStyle w:val="Heading2"/>
            <w:numPr>
              <w:ilvl w:val="1"/>
              <w:numId w:val="40"/>
            </w:numPr>
          </w:pPr>
          <w:r>
            <w:t xml:space="preserve">Business creation and R&amp;D by sector </w:t>
          </w:r>
        </w:p>
        <w:p w14:paraId="67358BEB" w14:textId="57DB0D03" w:rsidR="00830FDC" w:rsidRDefault="00830FDC" w:rsidP="00830FDC">
          <w:pPr>
            <w:pStyle w:val="BodyText"/>
          </w:pPr>
          <w:r>
            <w:t>The distribution of Australia’s Business Expenditure on R&amp;D (BERD) since 2008 (ABS 2013) across industry divisions was compared with the distribution of new business entries in the same industries (Figure 2.5).  The highest proportion of BERD occurred in the Manufacturing and Mining sectors</w:t>
          </w:r>
          <w:r w:rsidRPr="00F73ECE">
            <w:t xml:space="preserve">. </w:t>
          </w:r>
          <w:r w:rsidRPr="00602EC3">
            <w:t xml:space="preserve">However, these relatively high BERD shares were not accompanied by correspondingly high proportions of business </w:t>
          </w:r>
          <w:r>
            <w:t>entry</w:t>
          </w:r>
          <w:r w:rsidRPr="00602EC3">
            <w:t>.</w:t>
          </w:r>
          <w:r>
            <w:t xml:space="preserve"> No </w:t>
          </w:r>
          <w:r w:rsidR="000A1EEC">
            <w:t xml:space="preserve">statistical </w:t>
          </w:r>
          <w:r>
            <w:t xml:space="preserve">significant relationship was found between R&amp;D expenditure and business entries (see section 2.5).  </w:t>
          </w:r>
        </w:p>
        <w:p w14:paraId="0C45A98A" w14:textId="77777777" w:rsidR="00830FDC" w:rsidRDefault="00830FDC" w:rsidP="00830FDC">
          <w:pPr>
            <w:pStyle w:val="BodyText"/>
          </w:pPr>
          <w:r>
            <w:t xml:space="preserve">The highest proportion of business entries was observed in Construction, however less than 5 per cent of national BERD occurred in this industry, as it does not have a high propensity to undertake R&amp;D. The industries with both high BERD and high business entry shares in the national economy were found to be </w:t>
          </w:r>
          <w:r w:rsidRPr="00474C11">
            <w:rPr>
              <w:i/>
            </w:rPr>
            <w:t>Professional, Scientific and Technical Services</w:t>
          </w:r>
          <w:r>
            <w:t xml:space="preserve"> and </w:t>
          </w:r>
          <w:r w:rsidRPr="00474C11">
            <w:rPr>
              <w:i/>
            </w:rPr>
            <w:t>Wholesale Trade</w:t>
          </w:r>
          <w:r>
            <w:t xml:space="preserve">. </w:t>
          </w:r>
        </w:p>
        <w:p w14:paraId="6785CD93" w14:textId="098F2268" w:rsidR="00830FDC" w:rsidRDefault="00830FDC" w:rsidP="00830FDC">
          <w:pPr>
            <w:pStyle w:val="BodyText"/>
          </w:pPr>
          <w:r>
            <w:t>A regional summary according to SA4</w:t>
          </w:r>
          <w:r>
            <w:rPr>
              <w:rStyle w:val="FootnoteReference"/>
            </w:rPr>
            <w:footnoteReference w:id="21"/>
          </w:r>
          <w:r>
            <w:t xml:space="preserve"> boundaries is shown in </w:t>
          </w:r>
          <w:r>
            <w:fldChar w:fldCharType="begin"/>
          </w:r>
          <w:r>
            <w:instrText xml:space="preserve"> REF _Ref421866164 \h </w:instrText>
          </w:r>
          <w:r>
            <w:fldChar w:fldCharType="separate"/>
          </w:r>
          <w:r w:rsidR="00D55DA4" w:rsidRPr="000618FB">
            <w:t xml:space="preserve">Table </w:t>
          </w:r>
          <w:r>
            <w:fldChar w:fldCharType="end"/>
          </w:r>
          <w:r>
            <w:t xml:space="preserve">B2. The industries most likely to generate IP, such as </w:t>
          </w:r>
          <w:r w:rsidRPr="00474C11">
            <w:rPr>
              <w:i/>
            </w:rPr>
            <w:t>Professional, Scientific and Technical Services</w:t>
          </w:r>
          <w:r>
            <w:t xml:space="preserve"> were generally located in major cities. New business entries were high in regions in close proximity to or within the major metropolitan cities where the majority of Australia’s population resides. </w:t>
          </w:r>
          <w:r w:rsidRPr="00474C11">
            <w:rPr>
              <w:i/>
            </w:rPr>
            <w:t>Agriculture, Forestry and Fishing-related</w:t>
          </w:r>
          <w:r>
            <w:t xml:space="preserve"> businesses are located primarily in the regional areas where farming lands exist. </w:t>
          </w:r>
          <w:r w:rsidRPr="00474C11">
            <w:rPr>
              <w:i/>
            </w:rPr>
            <w:t>Mining-related</w:t>
          </w:r>
          <w:r>
            <w:t xml:space="preserve"> businesses are mostly based in Perth</w:t>
          </w:r>
          <w:r w:rsidR="000A1EEC">
            <w:t>,</w:t>
          </w:r>
          <w:r>
            <w:t xml:space="preserve"> but this most likely represents head offices located in the city closest to the regions where mining activity takes place. Business entries in the </w:t>
          </w:r>
          <w:r w:rsidRPr="00474C11">
            <w:rPr>
              <w:i/>
            </w:rPr>
            <w:t xml:space="preserve">Manufacturing </w:t>
          </w:r>
          <w:r>
            <w:t xml:space="preserve">sector were also concentrated in the major cities, although </w:t>
          </w:r>
          <w:r w:rsidRPr="00474C11">
            <w:rPr>
              <w:i/>
            </w:rPr>
            <w:t>Manufacturing</w:t>
          </w:r>
          <w:r>
            <w:t xml:space="preserve"> entries on the Gold Coast were the highest of any other SA4 region in Australia (See Table B2). </w:t>
          </w:r>
        </w:p>
        <w:p w14:paraId="132C7452" w14:textId="0CF0F713" w:rsidR="00830FDC" w:rsidRDefault="00830FDC" w:rsidP="00C100E0">
          <w:pPr>
            <w:pStyle w:val="CaptionWide"/>
            <w:jc w:val="left"/>
          </w:pPr>
          <w:r>
            <w:t>Figure</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D55DA4">
            <w:rPr>
              <w:noProof/>
            </w:rPr>
            <w:t>5</w:t>
          </w:r>
          <w:r w:rsidRPr="000618FB">
            <w:fldChar w:fldCharType="end"/>
          </w:r>
          <w:r>
            <w:t xml:space="preserve">: </w:t>
          </w:r>
          <w:r w:rsidR="00BB2141">
            <w:t>Average a</w:t>
          </w:r>
          <w:r>
            <w:t>nnual share</w:t>
          </w:r>
          <w:r w:rsidR="00B171CA">
            <w:t>s</w:t>
          </w:r>
          <w:r>
            <w:t xml:space="preserve"> of </w:t>
          </w:r>
          <w:r w:rsidR="00B171CA">
            <w:t xml:space="preserve">both </w:t>
          </w:r>
          <w:r>
            <w:t>business expenditure on R&amp;D (BERD) and new business entries, by ANZSIC industry division</w:t>
          </w:r>
          <w:r w:rsidR="00C100E0">
            <w:rPr>
              <w:noProof/>
              <w:lang w:eastAsia="en-AU"/>
            </w:rPr>
            <w:drawing>
              <wp:inline distT="0" distB="0" distL="0" distR="0" wp14:anchorId="6629EA07" wp14:editId="0380EA7C">
                <wp:extent cx="5736590" cy="4115435"/>
                <wp:effectExtent l="0" t="0" r="0" b="0"/>
                <wp:docPr id="22" name="Picture 22" descr="Figure 2.5 is a bi-variate bar chart. On the x-axis are ANZSIC industry divisions, as defined by the ABS. The y-axis shows the annual share of business expenditure on R&amp;D and of new business entries, averaged 2009-2014.&#10;&#10;The Manufacturing industry had the highest average share of expenditure on R&amp;D over the period at 25.5 per cent or 4.48 billion dollars per year. This was followed by Mining at 22.7 per cent 4.0 billion dollars, Professional, Scientific and Technical Services at 15.2 per cent or 2.67 billion dollars, and Financial and Insurance Services at 14.9 per cent or 2.6 billion dollars per year on average. The two lowest shares of expenditure on R&amp;D were found in Education and Training at 0.1 per cent or 12 million dollars, and Public Administration and Safety 0.1 per cent or 11.5 million dollars per year on average over the period. In terms of new business entries, Construction had the highest share at 16.8 per cent or 7214 entries, and Professional, Scientific and Technical Services at 11.2 per cent or 4819 entries per year on average over the period. The lowest shares of new business entries were found in Public Administration and Safety 0.5 per cent or 233 entries, Mining 0.5 per cent or 215 entries, and Electricity, Gas, Water and Waste Services 0.4 per cent or 177 entries per year on average over the period.&#10;" title="Figure 2.5: Average annual shares of both business expenditure on R&amp;D (BERD) and new business entries, by ANZSIC industry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590" cy="4115435"/>
                        </a:xfrm>
                        <a:prstGeom prst="rect">
                          <a:avLst/>
                        </a:prstGeom>
                        <a:noFill/>
                      </pic:spPr>
                    </pic:pic>
                  </a:graphicData>
                </a:graphic>
              </wp:inline>
            </w:drawing>
          </w:r>
        </w:p>
        <w:p w14:paraId="14411F82" w14:textId="77777777" w:rsidR="00830FDC" w:rsidRPr="00C62F3A" w:rsidRDefault="00830FDC" w:rsidP="00830FDC">
          <w:pPr>
            <w:pStyle w:val="NoteWide"/>
          </w:pPr>
          <w:r>
            <w:t>Notes: BERD data was averaged for financial years ending in 2009–2012, Business entries was averaged for financial years ending in 2009–2014</w:t>
          </w:r>
        </w:p>
        <w:p w14:paraId="21627560" w14:textId="1EF24D94" w:rsidR="00830FDC" w:rsidRDefault="00830FDC" w:rsidP="00830FDC">
          <w:pPr>
            <w:pStyle w:val="SourceWide"/>
            <w:spacing w:line="240" w:lineRule="auto"/>
            <w:rPr>
              <w:lang w:eastAsia="en-AU"/>
            </w:rPr>
          </w:pPr>
          <w:r>
            <w:t>Source</w:t>
          </w:r>
          <w:r w:rsidR="00B171CA">
            <w:t>s</w:t>
          </w:r>
          <w:r>
            <w:t xml:space="preserve">: Australian Bureau of Statistics (2013) </w:t>
          </w:r>
          <w:r w:rsidRPr="00BE2DC4">
            <w:rPr>
              <w:i/>
            </w:rPr>
            <w:t>Research and Experimental Developme</w:t>
          </w:r>
          <w:r>
            <w:rPr>
              <w:i/>
            </w:rPr>
            <w:t>nt, Businesses, Australia, 2011–</w:t>
          </w:r>
          <w:r w:rsidRPr="00BE2DC4">
            <w:rPr>
              <w:i/>
            </w:rPr>
            <w:t>12</w:t>
          </w:r>
          <w:r>
            <w:rPr>
              <w:i/>
            </w:rPr>
            <w:t xml:space="preserve">, </w:t>
          </w:r>
          <w:r>
            <w:t>data cube: Excel spreadsheet, cat. no. 8104</w:t>
          </w:r>
          <w:r w:rsidRPr="003B74B4">
            <w:t>.0</w:t>
          </w:r>
          <w:r>
            <w:t xml:space="preserve"> and Australian Bureau of Statistics (2015) </w:t>
          </w:r>
          <w:r>
            <w:rPr>
              <w:i/>
            </w:rPr>
            <w:t xml:space="preserve">Counts of Australian Businesses 2008–2015, </w:t>
          </w:r>
          <w:r>
            <w:t>data cube: Excel spreadsheet, cat. no. 8165</w:t>
          </w:r>
          <w:r w:rsidRPr="003B74B4">
            <w:t>.0</w:t>
          </w:r>
          <w:r>
            <w:t xml:space="preserve"> (data available on request)</w:t>
          </w:r>
        </w:p>
        <w:p w14:paraId="593DB1B9" w14:textId="77777777" w:rsidR="00830FDC" w:rsidRDefault="00830FDC" w:rsidP="00830FDC">
          <w:pPr>
            <w:pStyle w:val="Heading2"/>
            <w:numPr>
              <w:ilvl w:val="1"/>
              <w:numId w:val="40"/>
            </w:numPr>
          </w:pPr>
          <w:r>
            <w:t>Innovation and creative destruction</w:t>
          </w:r>
        </w:p>
        <w:p w14:paraId="537FCF5B" w14:textId="3D01C2F6" w:rsidR="00491275" w:rsidRPr="00866271" w:rsidRDefault="00491275" w:rsidP="00866271">
          <w:pPr>
            <w:pStyle w:val="BodyText"/>
          </w:pPr>
          <w:r w:rsidRPr="00866271">
            <w:t xml:space="preserve">Innovation activities such as patenting and trademarking announce the market arrival of new technologies and products. In this study, we investigated whether such innovation is correlated with the number of businesses created in the different regions (at SA3 level) around Australia. </w:t>
          </w:r>
        </w:p>
        <w:p w14:paraId="2EE56E0D" w14:textId="77777777" w:rsidR="00830FDC" w:rsidRDefault="00830FDC" w:rsidP="00830FDC">
          <w:r>
            <w:t xml:space="preserve">Figure 2.6 </w:t>
          </w:r>
          <w:r w:rsidRPr="00F94F8F">
            <w:t>compare</w:t>
          </w:r>
          <w:r>
            <w:t>s</w:t>
          </w:r>
          <w:r w:rsidRPr="00F94F8F">
            <w:t xml:space="preserve"> the incidence of patents, trademarks and business entries in regions where research </w:t>
          </w:r>
          <w:r>
            <w:t>organisations</w:t>
          </w:r>
          <w:r w:rsidRPr="00F94F8F">
            <w:t xml:space="preserve"> were present with the general incidence of patents, trademarks and business entries for regions across Australia as a whole. </w:t>
          </w:r>
          <w:r>
            <w:t>It finds that</w:t>
          </w:r>
          <w:r w:rsidRPr="00F94F8F">
            <w:t xml:space="preserve"> the presence of research </w:t>
          </w:r>
          <w:r>
            <w:t xml:space="preserve">organisations </w:t>
          </w:r>
          <w:r w:rsidRPr="00F94F8F">
            <w:t>in a given SA3 region is generally correlated with a significant</w:t>
          </w:r>
          <w:r>
            <w:t xml:space="preserve">ly higher incidence of </w:t>
          </w:r>
          <w:r w:rsidRPr="00F94F8F">
            <w:t>in</w:t>
          </w:r>
          <w:r>
            <w:t>novative activities above all other regions</w:t>
          </w:r>
          <w:r w:rsidRPr="00F94F8F">
            <w:t xml:space="preserve">. </w:t>
          </w:r>
          <w:r>
            <w:t>D</w:t>
          </w:r>
          <w:r w:rsidRPr="00F94F8F">
            <w:t xml:space="preserve">ifferent types of research </w:t>
          </w:r>
          <w:r>
            <w:t>organisations</w:t>
          </w:r>
          <w:r w:rsidRPr="00F94F8F">
            <w:t xml:space="preserve"> had different degrees of correlation. </w:t>
          </w:r>
          <w:r>
            <w:t xml:space="preserve">Most notably, universities hosting the Centres of Excellence funded by the Australian Research Council or the National Health and Medical Research Council had the strongest positive association with the number of patent and trademark applications within each region, 3.5 times above the national average. </w:t>
          </w:r>
        </w:p>
        <w:p w14:paraId="32BBC7BC" w14:textId="5ADA01DA" w:rsidR="00830FDC" w:rsidRDefault="00830FDC" w:rsidP="00830FDC">
          <w:pPr>
            <w:pStyle w:val="CaptionWide"/>
          </w:pPr>
          <w:r>
            <w:t>Figure</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D55DA4">
            <w:rPr>
              <w:noProof/>
            </w:rPr>
            <w:t>6</w:t>
          </w:r>
          <w:r w:rsidRPr="000618FB">
            <w:fldChar w:fldCharType="end"/>
          </w:r>
          <w:r>
            <w:t xml:space="preserve">: </w:t>
          </w:r>
          <w:r w:rsidR="00BB2141">
            <w:t>Average an</w:t>
          </w:r>
          <w:r>
            <w:t>nual patent, trademark and business entry counts in SA3 regions with</w:t>
          </w:r>
          <w:r w:rsidR="00BB2141">
            <w:t xml:space="preserve"> or without</w:t>
          </w:r>
          <w:r>
            <w:t xml:space="preserve"> research </w:t>
          </w:r>
          <w:r w:rsidR="00BB2141">
            <w:t>organisations</w:t>
          </w:r>
          <w:r>
            <w:t>, per 10,000 inhabitants, averaged for 2009</w:t>
          </w:r>
          <w:r>
            <w:rPr>
              <w:rFonts w:cs="Arial"/>
            </w:rPr>
            <w:t>–</w:t>
          </w:r>
          <w:r>
            <w:t>2014</w:t>
          </w:r>
        </w:p>
        <w:p w14:paraId="68EA370F" w14:textId="77777777" w:rsidR="000D227A" w:rsidRPr="000D227A" w:rsidRDefault="000D227A" w:rsidP="000D227A">
          <w:pPr>
            <w:pStyle w:val="PlaceholderWide"/>
          </w:pPr>
          <w:r>
            <w:rPr>
              <w:noProof/>
              <w:lang w:eastAsia="en-AU"/>
            </w:rPr>
            <w:drawing>
              <wp:inline distT="0" distB="0" distL="0" distR="0" wp14:anchorId="11B9DB50" wp14:editId="221F4366">
                <wp:extent cx="5661025" cy="4420870"/>
                <wp:effectExtent l="0" t="0" r="0" b="0"/>
                <wp:docPr id="231" name="Picture 231" descr="Figure 2.6 is a horizontal bar chart. On the vertical axis are listed the 5 research institutions for which results are shown, as well as an aggregated category for all of Australia. On the horizontal axis is a scale from zero to 250 from which the results can be read. The results summarise the annual patent, trademark and business entry counts in each SA3 regions with research institutions, per ten thousand inhabitants, averaged for the period between 2009 and 2014. Also shown are the standard deviations for each result, as well as the statistical significance level (p value threshold).&#10;&#10;In terms of patents, regions with Centres of Excellence had the highest annual average reading at 14 patent applications, significant at the 0.1 per cent level. This was followed by regions with Cooperative Research Centres at more than 9 patent applications (significant at the 1 per cent level), Research Service Providers at nearly 8 patent applications (significant at the 1 per cent level), CSIROs at around 7 patent applications and Universities at around 5 patent applications per year on average over the period. These results can be compared to the annual average of 4 patent applications estimated for all Australia. In terms of trademarks, regions with Centres of Excellence had the highest annual average reading at 55 trademark applications, significant at the 0.1 per cent level. This was followed by regions with Cooperative Research Centres at 43 trademark applications (significant at the 0.1 per cent level), Research Service Providers at 34  trademark applications, CSIROs 25 trademark applications and Universities at 20 trademark applications per year on average over the period. These results can be compared to the annual average of 16 trademark applications estimated for all Australia. In terms of business entries, Centres of Excellence had the highest annual average reading at 193 entries. This was followed by regions with Cooperative Research Centres at 172 entries, Research Service Providers at 156 entries, Universities at 144 entries and CSIROs at 138 entries. These results can be compared to the annual average of 133 business entries estimated for all Australia.&#10;"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7.png"/>
                        <pic:cNvPicPr/>
                      </pic:nvPicPr>
                      <pic:blipFill>
                        <a:blip r:embed="rId44">
                          <a:extLst>
                            <a:ext uri="{28A0092B-C50C-407E-A947-70E740481C1C}">
                              <a14:useLocalDpi xmlns:a14="http://schemas.microsoft.com/office/drawing/2010/main" val="0"/>
                            </a:ext>
                          </a:extLst>
                        </a:blip>
                        <a:stretch>
                          <a:fillRect/>
                        </a:stretch>
                      </pic:blipFill>
                      <pic:spPr>
                        <a:xfrm>
                          <a:off x="0" y="0"/>
                          <a:ext cx="5661025" cy="4420870"/>
                        </a:xfrm>
                        <a:prstGeom prst="rect">
                          <a:avLst/>
                        </a:prstGeom>
                      </pic:spPr>
                    </pic:pic>
                  </a:graphicData>
                </a:graphic>
              </wp:inline>
            </w:drawing>
          </w:r>
        </w:p>
        <w:p w14:paraId="7C4F2A64" w14:textId="5D102C73" w:rsidR="00830FDC" w:rsidRPr="00C62F3A" w:rsidRDefault="00830FDC" w:rsidP="00830FDC">
          <w:pPr>
            <w:pStyle w:val="NoteWide"/>
          </w:pPr>
          <w:r>
            <w:t xml:space="preserve">Notes: </w:t>
          </w:r>
          <w:r w:rsidR="00BB2141">
            <w:t xml:space="preserve">Bars are standard errors </w:t>
          </w:r>
          <w:r w:rsidR="00BB2141" w:rsidRPr="005C1C40">
            <w:rPr>
              <w:i/>
            </w:rPr>
            <w:t>[for SA3 regions]</w:t>
          </w:r>
          <w:r w:rsidR="00BB2141">
            <w:t xml:space="preserve">. </w:t>
          </w:r>
          <w:r w:rsidR="00BB2141" w:rsidRPr="00F5479E">
            <w:t xml:space="preserve">Numbers in parentheses are the </w:t>
          </w:r>
          <w:r w:rsidR="00F5479E" w:rsidRPr="00DA37D8">
            <w:t>count of qualifying SA3s</w:t>
          </w:r>
          <w:r w:rsidR="00BB2141" w:rsidRPr="00177984">
            <w:t>.</w:t>
          </w:r>
          <w:r w:rsidR="00BB2141">
            <w:t xml:space="preserve"> One-way ANOVA with Tukey-Kramer Multiple comparison test between all of Australian regions and regions with research organisations was performed. ** Significant at </w:t>
          </w:r>
          <w:r w:rsidR="00634DF0">
            <w:t>one</w:t>
          </w:r>
          <w:r w:rsidR="00BB2141">
            <w:t xml:space="preserve"> per cent level, *** Significant at 0.1 per cent level. </w:t>
          </w:r>
          <w:r>
            <w:t>Research organisations</w:t>
          </w:r>
          <w:r w:rsidR="00BB2141">
            <w:t xml:space="preserve"> include</w:t>
          </w:r>
          <w:r>
            <w:t xml:space="preserve"> Universit</w:t>
          </w:r>
          <w:r w:rsidR="00BB2141">
            <w:t>y campuses</w:t>
          </w:r>
          <w:r>
            <w:t xml:space="preserve">, </w:t>
          </w:r>
          <w:r w:rsidR="00BB2141">
            <w:t xml:space="preserve">the </w:t>
          </w:r>
          <w:r w:rsidRPr="00083A4B">
            <w:t>Commonwealth Scientific and Industrial Research Organisation</w:t>
          </w:r>
          <w:r w:rsidR="00BB2141">
            <w:t xml:space="preserve"> (CSIRO</w:t>
          </w:r>
          <w:r>
            <w:t xml:space="preserve">), </w:t>
          </w:r>
          <w:r w:rsidR="00BB2141">
            <w:t xml:space="preserve">private </w:t>
          </w:r>
          <w:r>
            <w:t xml:space="preserve">Research Service Providers </w:t>
          </w:r>
          <w:r w:rsidR="00BB2141">
            <w:t>(RSPs)</w:t>
          </w:r>
          <w:r>
            <w:t xml:space="preserve">, </w:t>
          </w:r>
          <w:r w:rsidRPr="000A0A2D">
            <w:t>Cooperative</w:t>
          </w:r>
          <w:r>
            <w:t xml:space="preserve"> Research Centres</w:t>
          </w:r>
          <w:r w:rsidR="00BB2141">
            <w:t xml:space="preserve"> (CRCs</w:t>
          </w:r>
          <w:r>
            <w:t xml:space="preserve">) and </w:t>
          </w:r>
          <w:r w:rsidR="00BB2141">
            <w:t xml:space="preserve">currently active </w:t>
          </w:r>
          <w:r>
            <w:t xml:space="preserve">Centres of Excellence </w:t>
          </w:r>
          <w:r w:rsidR="00BB2141">
            <w:t xml:space="preserve">(CoEs) </w:t>
          </w:r>
          <w:r>
            <w:t xml:space="preserve">funded by the Australian Research Council or the National Health and Medical Research Council. CRCs and CoEs are subsets of </w:t>
          </w:r>
          <w:r w:rsidR="00BB2141">
            <w:t xml:space="preserve">their host institutions which are </w:t>
          </w:r>
          <w:r>
            <w:t xml:space="preserve">Universities and </w:t>
          </w:r>
          <w:r w:rsidR="00BB2141">
            <w:t xml:space="preserve">the </w:t>
          </w:r>
          <w:r>
            <w:t xml:space="preserve">CSIRO. </w:t>
          </w:r>
        </w:p>
        <w:p w14:paraId="041A2668" w14:textId="67B4C232" w:rsidR="00830FDC" w:rsidRDefault="00830FDC" w:rsidP="00830FDC">
          <w:pPr>
            <w:pStyle w:val="SourceWide"/>
          </w:pPr>
          <w:r>
            <w:t>Source</w:t>
          </w:r>
          <w:r w:rsidR="00BB2141">
            <w:t>s</w:t>
          </w:r>
          <w:r>
            <w:t xml:space="preserve">: Australian Bureau of Statistics (2011) </w:t>
          </w:r>
          <w:r w:rsidRPr="003B74B4">
            <w:rPr>
              <w:i/>
            </w:rPr>
            <w:t>Population by Age and Sex, Regions of Australia, 2011</w:t>
          </w:r>
          <w:r>
            <w:t xml:space="preserve">cat. no. </w:t>
          </w:r>
          <w:r w:rsidRPr="003B74B4">
            <w:t>3235.0</w:t>
          </w:r>
          <w:r>
            <w:t>, viewed 8</w:t>
          </w:r>
          <w:r w:rsidRPr="003B74B4">
            <w:rPr>
              <w:vertAlign w:val="superscript"/>
            </w:rPr>
            <w:t>th</w:t>
          </w:r>
          <w:r>
            <w:t xml:space="preserve"> May 2015, </w:t>
          </w:r>
          <w:hyperlink r:id="rId45" w:tooltip="http://www.abs.gov.au/AUSSTATS/abs@.nsf/DetailsPage/3235.02011" w:history="1">
            <w:r w:rsidRPr="00945169">
              <w:rPr>
                <w:rStyle w:val="Hyperlink"/>
              </w:rPr>
              <w:t>http://www.abs.gov.au/AUSSTATS/abs@.nsf/DetailsPage/3235.02011</w:t>
            </w:r>
          </w:hyperlink>
          <w:r>
            <w:t xml:space="preserve">; </w:t>
          </w:r>
          <w:r w:rsidR="00BB2141">
            <w:t xml:space="preserve">business.gov.au; </w:t>
          </w:r>
          <w:r>
            <w:t>Intellectual Property Government Open Data (2015), viewed 1</w:t>
          </w:r>
          <w:r w:rsidRPr="0016631B">
            <w:rPr>
              <w:vertAlign w:val="superscript"/>
            </w:rPr>
            <w:t>st</w:t>
          </w:r>
          <w:r>
            <w:t xml:space="preserve"> May 2015, </w:t>
          </w:r>
          <w:hyperlink r:id="rId46" w:tooltip="https://data.gov.au/dataset/intellectual-property-government-open-data" w:history="1">
            <w:r w:rsidRPr="00945169">
              <w:rPr>
                <w:rStyle w:val="Hyperlink"/>
              </w:rPr>
              <w:t>https://data.gov.au/dataset/intellectual-property-government-open-data</w:t>
            </w:r>
          </w:hyperlink>
          <w:r>
            <w:t xml:space="preserve">; Australian Bureau of Statistics (2015) </w:t>
          </w:r>
          <w:r>
            <w:rPr>
              <w:i/>
            </w:rPr>
            <w:t>Counts of Australian Businesses 2008–2015</w:t>
          </w:r>
          <w:r w:rsidR="00634DF0">
            <w:rPr>
              <w:i/>
            </w:rPr>
            <w:t xml:space="preserve">, </w:t>
          </w:r>
          <w:r>
            <w:t xml:space="preserve"> cat. no. 8165</w:t>
          </w:r>
          <w:r w:rsidRPr="003B74B4">
            <w:t>.0</w:t>
          </w:r>
          <w:r>
            <w:t xml:space="preserve"> (data available on request)</w:t>
          </w:r>
          <w:r w:rsidR="00BB2141">
            <w:t>; Universities Australia.</w:t>
          </w:r>
        </w:p>
        <w:p w14:paraId="7A4022CB" w14:textId="56CE2849" w:rsidR="00830FDC" w:rsidRDefault="000F077C" w:rsidP="00830FDC">
          <w:pPr>
            <w:pStyle w:val="BodyText"/>
          </w:pPr>
          <w:r>
            <w:t xml:space="preserve">Figure B3 </w:t>
          </w:r>
          <w:r w:rsidR="00830FDC">
            <w:t xml:space="preserve">further investigates the impact of research organisations on entrepreneurship in selected sectors. The results show that the strength of the correlation varies by industry sector. Regions with a research organisation actually contain fewer new entries in </w:t>
          </w:r>
          <w:r w:rsidR="00830FDC" w:rsidRPr="00374C9B">
            <w:rPr>
              <w:i/>
            </w:rPr>
            <w:t>Agriculture, Forestry and Fishing</w:t>
          </w:r>
          <w:r w:rsidR="00830FDC">
            <w:t xml:space="preserve">. There was virtually no relationship with new entries in </w:t>
          </w:r>
          <w:r w:rsidR="00830FDC" w:rsidRPr="00374C9B">
            <w:rPr>
              <w:i/>
            </w:rPr>
            <w:t>Mining</w:t>
          </w:r>
          <w:r w:rsidR="00830FDC">
            <w:t xml:space="preserve"> or </w:t>
          </w:r>
          <w:r w:rsidR="00830FDC" w:rsidRPr="00374C9B">
            <w:rPr>
              <w:i/>
            </w:rPr>
            <w:t>Manufacturing</w:t>
          </w:r>
          <w:r w:rsidR="00830FDC">
            <w:t xml:space="preserve">. But regions with research organisations were more likely to be correlated with the presence of new entries in </w:t>
          </w:r>
          <w:r w:rsidR="00830FDC" w:rsidRPr="00B271CC">
            <w:rPr>
              <w:i/>
            </w:rPr>
            <w:t>Information</w:t>
          </w:r>
          <w:r w:rsidR="000A1EEC">
            <w:rPr>
              <w:i/>
            </w:rPr>
            <w:t>,</w:t>
          </w:r>
          <w:r w:rsidR="000A1EEC" w:rsidRPr="00B271CC">
            <w:rPr>
              <w:i/>
            </w:rPr>
            <w:t xml:space="preserve"> </w:t>
          </w:r>
          <w:r w:rsidR="00830FDC" w:rsidRPr="00B271CC">
            <w:rPr>
              <w:i/>
            </w:rPr>
            <w:t>Media and Telecommunications</w:t>
          </w:r>
          <w:r w:rsidR="00830FDC">
            <w:t xml:space="preserve">, </w:t>
          </w:r>
          <w:r w:rsidR="00830FDC" w:rsidRPr="00B271CC">
            <w:rPr>
              <w:i/>
            </w:rPr>
            <w:t>Healthcare and Social Assistance</w:t>
          </w:r>
          <w:r w:rsidR="00830FDC">
            <w:t xml:space="preserve"> </w:t>
          </w:r>
          <w:r w:rsidR="00830FDC" w:rsidRPr="00B271CC">
            <w:rPr>
              <w:i/>
            </w:rPr>
            <w:t>services</w:t>
          </w:r>
          <w:r w:rsidR="00830FDC">
            <w:t xml:space="preserve">, and </w:t>
          </w:r>
          <w:r w:rsidR="00830FDC" w:rsidRPr="00B271CC">
            <w:rPr>
              <w:i/>
            </w:rPr>
            <w:t xml:space="preserve">Professional, Scientific and Technical </w:t>
          </w:r>
          <w:r w:rsidR="00830FDC">
            <w:rPr>
              <w:i/>
            </w:rPr>
            <w:t>s</w:t>
          </w:r>
          <w:r w:rsidR="00830FDC" w:rsidRPr="00B271CC">
            <w:rPr>
              <w:i/>
            </w:rPr>
            <w:t>ervices</w:t>
          </w:r>
          <w:r w:rsidR="00830FDC">
            <w:t xml:space="preserve">. The relationship with the latter was particularly pronounced and, as for all new entries, was accentuated in the case of universities with CRCs and Centres of Excellence. Business entries within the </w:t>
          </w:r>
          <w:r w:rsidR="00830FDC" w:rsidRPr="00374C9B">
            <w:rPr>
              <w:i/>
            </w:rPr>
            <w:t>Professional, Scientific and Technical Services</w:t>
          </w:r>
          <w:r w:rsidR="00830FDC">
            <w:t xml:space="preserve"> industry were found to increase by 250 per cent in regions where a Centre of Excellence was present and 233 per cent in a region where a Cooperative Research Centre was present</w:t>
          </w:r>
          <w:r w:rsidR="00830FDC" w:rsidRPr="00374C9B">
            <w:t xml:space="preserve">. It is also worth noting here that many Research Service Providers are firms in the </w:t>
          </w:r>
          <w:r w:rsidR="00830FDC" w:rsidRPr="00374C9B">
            <w:rPr>
              <w:i/>
            </w:rPr>
            <w:t>Professional, Scientific and Technical Services</w:t>
          </w:r>
          <w:r w:rsidR="00830FDC" w:rsidRPr="00374C9B">
            <w:t xml:space="preserve"> industry</w:t>
          </w:r>
          <w:r w:rsidR="00830FDC">
            <w:t xml:space="preserve"> and that they consume a large fraction (more than $27 billion) of their own intermediate services in production</w:t>
          </w:r>
          <w:r w:rsidR="00830FDC" w:rsidRPr="00374C9B">
            <w:t>.</w:t>
          </w:r>
          <w:r w:rsidR="00830FDC">
            <w:rPr>
              <w:rStyle w:val="FootnoteReference"/>
            </w:rPr>
            <w:footnoteReference w:id="22"/>
          </w:r>
        </w:p>
        <w:p w14:paraId="0983BCBC" w14:textId="77777777" w:rsidR="00830FDC" w:rsidRPr="00340BA4" w:rsidRDefault="00830FDC" w:rsidP="00830FDC">
          <w:pPr>
            <w:pStyle w:val="BodyText"/>
          </w:pPr>
          <w:r w:rsidRPr="00707722">
            <w:t>When modelling the changes in business entries against innovation proxies, the data indicates</w:t>
          </w:r>
          <w:r>
            <w:t xml:space="preserve"> that every 1 per cent</w:t>
          </w:r>
          <w:r w:rsidRPr="00707722">
            <w:t xml:space="preserve"> increase in the number of business entries for a region was associated with an increase in numbers of</w:t>
          </w:r>
          <w:r>
            <w:t xml:space="preserve"> both patent applications (0.12 per cent</w:t>
          </w:r>
          <w:r w:rsidRPr="00707722">
            <w:t>) a</w:t>
          </w:r>
          <w:r>
            <w:t>nd trademark applications (0.21 per cent</w:t>
          </w:r>
          <w:r w:rsidRPr="00707722">
            <w:t xml:space="preserve">) (Table B3). In contrast to Table </w:t>
          </w:r>
          <w:r>
            <w:t>2.</w:t>
          </w:r>
          <w:r w:rsidRPr="00707722">
            <w:t xml:space="preserve">1, </w:t>
          </w:r>
          <w:r>
            <w:t xml:space="preserve">Table B3 shows that once the variance of patenting and trademarking are taken into account the correlation between R&amp;D and business entry is not significant. The Table 2.1 correlation ignores the influence of other innovation output activities such as patenting or trademarking. </w:t>
          </w:r>
        </w:p>
        <w:p w14:paraId="1DEC3CDC" w14:textId="30C20BB9" w:rsidR="00830FDC" w:rsidRDefault="00830FDC" w:rsidP="00830FDC">
          <w:pPr>
            <w:pStyle w:val="BodyText"/>
          </w:pPr>
          <w:r w:rsidRPr="00340BA4">
            <w:t xml:space="preserve">For comparison, a fixed effects </w:t>
          </w:r>
          <w:r>
            <w:t xml:space="preserve">regression </w:t>
          </w:r>
          <w:r w:rsidRPr="00340BA4">
            <w:t xml:space="preserve">model was </w:t>
          </w:r>
          <w:r>
            <w:t xml:space="preserve">also </w:t>
          </w:r>
          <w:r w:rsidRPr="00340BA4">
            <w:t>tested on the data</w:t>
          </w:r>
          <w:r>
            <w:t xml:space="preserve"> (Table B3)</w:t>
          </w:r>
          <w:r w:rsidRPr="00340BA4">
            <w:t>. It assumes that there are significant geographical differences across Australia</w:t>
          </w:r>
          <w:r w:rsidR="000A1EEC">
            <w:t>,</w:t>
          </w:r>
          <w:r w:rsidRPr="00340BA4">
            <w:t xml:space="preserve"> but that the</w:t>
          </w:r>
          <w:r>
            <w:t>se</w:t>
          </w:r>
          <w:r w:rsidRPr="00340BA4">
            <w:t xml:space="preserve"> are constant over the six</w:t>
          </w:r>
          <w:r w:rsidR="000A1EEC">
            <w:t>-</w:t>
          </w:r>
          <w:r w:rsidRPr="00340BA4">
            <w:t xml:space="preserve">year time period investigated in this study. Analysis using this model also confirms that patents </w:t>
          </w:r>
          <w:r>
            <w:t>are</w:t>
          </w:r>
          <w:r w:rsidRPr="00340BA4">
            <w:t xml:space="preserve"> </w:t>
          </w:r>
          <w:r>
            <w:t xml:space="preserve">significantly </w:t>
          </w:r>
          <w:r w:rsidRPr="00340BA4">
            <w:t>positive</w:t>
          </w:r>
          <w:r>
            <w:t>ly</w:t>
          </w:r>
          <w:r w:rsidRPr="00340BA4">
            <w:t xml:space="preserve"> </w:t>
          </w:r>
          <w:r>
            <w:t>associated with</w:t>
          </w:r>
          <w:r w:rsidRPr="00340BA4">
            <w:t xml:space="preserve"> the number of business entries. However, the fixed effects model has a lower level of precision, as </w:t>
          </w:r>
          <w:r>
            <w:t>has</w:t>
          </w:r>
          <w:r w:rsidRPr="00340BA4">
            <w:t xml:space="preserve"> the first difference model</w:t>
          </w:r>
          <w:r>
            <w:t>.</w:t>
          </w:r>
          <w:r w:rsidRPr="00340BA4">
            <w:t xml:space="preserve">  The first difference model is an estimation of the year</w:t>
          </w:r>
          <w:r>
            <w:t xml:space="preserve">-on-year </w:t>
          </w:r>
          <w:r w:rsidRPr="00340BA4">
            <w:t>change</w:t>
          </w:r>
          <w:r>
            <w:t xml:space="preserve">s in business entries on the one-year changes in patenting and trademarking. Given the relatively short time span of the data, it was no surprise that this model did not yield any significant results (Table B3). </w:t>
          </w:r>
        </w:p>
        <w:p w14:paraId="0AE77F1E" w14:textId="1F489352" w:rsidR="00830FDC" w:rsidRDefault="00830FDC" w:rsidP="00830FDC">
          <w:pPr>
            <w:pStyle w:val="BodyText"/>
          </w:pPr>
          <w:r>
            <w:t>Regression analysis also showed (Table B4) that every 1 per cent</w:t>
          </w:r>
          <w:r w:rsidRPr="00340BA4">
            <w:t xml:space="preserve"> increase in the number of business </w:t>
          </w:r>
          <w:r>
            <w:t>exits</w:t>
          </w:r>
          <w:r w:rsidRPr="00340BA4">
            <w:t xml:space="preserve"> for </w:t>
          </w:r>
          <w:r>
            <w:t>a</w:t>
          </w:r>
          <w:r w:rsidRPr="00340BA4">
            <w:t xml:space="preserve"> region </w:t>
          </w:r>
          <w:r>
            <w:t xml:space="preserve">was associated with an increase in </w:t>
          </w:r>
          <w:r w:rsidRPr="00340BA4">
            <w:t>both patent applications (0.1</w:t>
          </w:r>
          <w:r>
            <w:t>3 per cent</w:t>
          </w:r>
          <w:r w:rsidRPr="00340BA4">
            <w:t>) and trademark applications (0.</w:t>
          </w:r>
          <w:r>
            <w:t xml:space="preserve">17 per cent). </w:t>
          </w:r>
          <w:r w:rsidRPr="00284D34">
            <w:t>Of course regions with higher exit rates are also likely to have higher entry rates. As long as the net entry rate is positive we would expect to find a positive relationship with patents and trademarks</w:t>
          </w:r>
          <w:r w:rsidR="00474C11">
            <w:t>.</w:t>
          </w:r>
          <w:r>
            <w:t xml:space="preserve"> Expenditure on R&amp;D was not significantly correlated with business exit. Not surprisingly, business churn (entry </w:t>
          </w:r>
          <w:r w:rsidR="00D521B7">
            <w:t xml:space="preserve">and </w:t>
          </w:r>
          <w:r>
            <w:t xml:space="preserve">exit) activity was also </w:t>
          </w:r>
          <w:r w:rsidR="001F2D8A">
            <w:t xml:space="preserve">statistically </w:t>
          </w:r>
          <w:r>
            <w:t>significantly and positively associated with regions of high innovation activity (Table B5).</w:t>
          </w:r>
        </w:p>
        <w:p w14:paraId="6E046867" w14:textId="77777777" w:rsidR="00830FDC" w:rsidRDefault="00830FDC" w:rsidP="00830FDC">
          <w:pPr>
            <w:pStyle w:val="Heading3"/>
            <w:numPr>
              <w:ilvl w:val="2"/>
              <w:numId w:val="40"/>
            </w:numPr>
          </w:pPr>
          <w:r>
            <w:t>Spatial analysis of IP generation and business entries</w:t>
          </w:r>
        </w:p>
        <w:p w14:paraId="3A2634B3" w14:textId="48A6AD32" w:rsidR="00830FDC" w:rsidRDefault="00830FDC" w:rsidP="00830FDC">
          <w:pPr>
            <w:pStyle w:val="BodyText"/>
          </w:pPr>
          <w:r>
            <w:t xml:space="preserve">Each region was assessed to see if its entrepreneurship activity (i.e. business entries) and innovation activities (patents and trademarks) were higher than the average of its neighbouring regions. We used spatial autocorrelation analysis. Spatial autocorrelation </w:t>
          </w:r>
          <w:r w:rsidR="00595001">
            <w:t>tests</w:t>
          </w:r>
          <w:r>
            <w:t xml:space="preserve"> </w:t>
          </w:r>
          <w:r w:rsidRPr="003D4B6D">
            <w:t xml:space="preserve">the relationship between </w:t>
          </w:r>
          <w:r>
            <w:t>the</w:t>
          </w:r>
          <w:r w:rsidRPr="003D4B6D">
            <w:t xml:space="preserve"> value of </w:t>
          </w:r>
          <w:r>
            <w:t>a</w:t>
          </w:r>
          <w:r w:rsidRPr="003D4B6D">
            <w:t xml:space="preserve"> variable at one location in space and nearby values of the same</w:t>
          </w:r>
          <w:r>
            <w:t xml:space="preserve"> variable. It is the geographic version of conventional serial correlation.</w:t>
          </w:r>
          <w:r>
            <w:rPr>
              <w:rStyle w:val="FootnoteReference"/>
            </w:rPr>
            <w:footnoteReference w:id="23"/>
          </w:r>
          <w:r>
            <w:t xml:space="preserve"> Maps 2.2 and 2.3 show similar patterns between patent and trademark applications</w:t>
          </w:r>
          <w:r w:rsidRPr="006A479E">
            <w:t xml:space="preserve"> </w:t>
          </w:r>
          <w:r>
            <w:t xml:space="preserve">correlated with business entries. Significant overlaps were found in areas around Sydney, Canberra, Brisbane, Gold Coast and Sunshine Coast. More detailed charts of the Brisbane and Sydney regions are provided at Maps B4 and B5 respectively. A sectoral analysis of business entries showed that the increases in Sydney, Canberra, Brisbane, Gold Coast and the Sunshine Coast were mainly attributable to </w:t>
          </w:r>
          <w:r w:rsidRPr="003D7132">
            <w:rPr>
              <w:i/>
            </w:rPr>
            <w:t>Professional, Scientific and Technical Services</w:t>
          </w:r>
          <w:r>
            <w:t xml:space="preserve">. Figure 2.7 shows weighted average business entry rates by industry division in the regions of high innovative entrepreneurship identified in Maps 2.2 and 2.3. Business entry is significantly higher for manufacturing and business services divisions, except </w:t>
          </w:r>
          <w:r w:rsidRPr="002F1E6C">
            <w:rPr>
              <w:i/>
            </w:rPr>
            <w:t>Transport, Postal and Warehousing</w:t>
          </w:r>
          <w:r>
            <w:t xml:space="preserve"> in regions of high innovation activity. </w:t>
          </w:r>
          <w:r w:rsidRPr="002F1E6C">
            <w:rPr>
              <w:i/>
            </w:rPr>
            <w:t>Healthcare and Social Assistance</w:t>
          </w:r>
          <w:r>
            <w:t xml:space="preserve"> and </w:t>
          </w:r>
          <w:r w:rsidRPr="002F1E6C">
            <w:rPr>
              <w:i/>
            </w:rPr>
            <w:t>Arts and Recreation Services</w:t>
          </w:r>
          <w:r>
            <w:t xml:space="preserve"> were similarly affected. The positive association between firm entry and innovation activity was strongest in the </w:t>
          </w:r>
          <w:r w:rsidRPr="002F1E6C">
            <w:rPr>
              <w:i/>
            </w:rPr>
            <w:t>Information, Media and Telecommunications</w:t>
          </w:r>
          <w:r>
            <w:t xml:space="preserve"> and </w:t>
          </w:r>
          <w:r w:rsidRPr="002F1E6C">
            <w:rPr>
              <w:i/>
            </w:rPr>
            <w:t>Professional, Scientific and Technical Services</w:t>
          </w:r>
          <w:r>
            <w:rPr>
              <w:i/>
            </w:rPr>
            <w:t xml:space="preserve"> </w:t>
          </w:r>
          <w:r>
            <w:t>industries.</w:t>
          </w:r>
        </w:p>
        <w:p w14:paraId="66C0857A" w14:textId="55A59BDB" w:rsidR="00830FDC" w:rsidRDefault="00830FDC" w:rsidP="00830FDC">
          <w:pPr>
            <w:pStyle w:val="BodyText"/>
          </w:pPr>
          <w:r>
            <w:t>Many regions of N</w:t>
          </w:r>
          <w:r w:rsidR="006C5399">
            <w:t xml:space="preserve">ew </w:t>
          </w:r>
          <w:r>
            <w:t>S</w:t>
          </w:r>
          <w:r w:rsidR="006C5399">
            <w:t xml:space="preserve">outh </w:t>
          </w:r>
          <w:r>
            <w:t>W</w:t>
          </w:r>
          <w:r w:rsidR="006C5399">
            <w:t>ales</w:t>
          </w:r>
          <w:r>
            <w:t xml:space="preserve"> and southern Queensland showed significant spatial autocorrelation where new businesses were created in the absence of patents and trademarks (Maps 2.2 and 2.3). These may be areas where firms are acquiring technology from cluster centres, or more likely industries that are not IP-intensive. Many of these businesses are found in </w:t>
          </w:r>
          <w:r w:rsidRPr="003D7132">
            <w:rPr>
              <w:i/>
            </w:rPr>
            <w:t>Agriculture, Forestry and Fishing</w:t>
          </w:r>
          <w:r>
            <w:t xml:space="preserve"> or </w:t>
          </w:r>
          <w:r w:rsidRPr="003D7132">
            <w:rPr>
              <w:i/>
            </w:rPr>
            <w:t>Construction</w:t>
          </w:r>
          <w:r>
            <w:t xml:space="preserve">, </w:t>
          </w:r>
          <w:r w:rsidRPr="00602EC3">
            <w:t xml:space="preserve">industries which </w:t>
          </w:r>
          <w:r>
            <w:t>invest a disproportionately low amount of R&amp;D compared to its rate of business entry (Figure 2.5)</w:t>
          </w:r>
          <w:r w:rsidRPr="00602EC3">
            <w:t>.</w:t>
          </w:r>
          <w:r>
            <w:t xml:space="preserve"> </w:t>
          </w:r>
        </w:p>
        <w:p w14:paraId="02CD79FB" w14:textId="77777777" w:rsidR="00830FDC" w:rsidRDefault="00830FDC" w:rsidP="00830FDC">
          <w:pPr>
            <w:pStyle w:val="CaptionWide"/>
          </w:pPr>
          <w:r>
            <w:t>Map</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Image</w:instrText>
          </w:r>
          <w:r w:rsidRPr="000618FB">
            <w:instrText xml:space="preserve"> \* ARABIC \s 1 </w:instrText>
          </w:r>
          <w:r w:rsidRPr="000618FB">
            <w:fldChar w:fldCharType="separate"/>
          </w:r>
          <w:r w:rsidR="00D55DA4">
            <w:rPr>
              <w:noProof/>
            </w:rPr>
            <w:t>2</w:t>
          </w:r>
          <w:r w:rsidRPr="000618FB">
            <w:fldChar w:fldCharType="end"/>
          </w:r>
          <w:r>
            <w:t>:  Spatial autocorrelation analysis with average patenting per 10,000 inhabitants and average business entries per 10,000 inhabitants</w:t>
          </w:r>
        </w:p>
        <w:p w14:paraId="1FCD51CD" w14:textId="77777777" w:rsidR="000D227A" w:rsidRPr="000D227A" w:rsidRDefault="000D227A" w:rsidP="000D227A">
          <w:pPr>
            <w:pStyle w:val="PlaceholderWide"/>
          </w:pPr>
          <w:r>
            <w:rPr>
              <w:noProof/>
              <w:lang w:eastAsia="en-AU"/>
            </w:rPr>
            <w:drawing>
              <wp:inline distT="0" distB="0" distL="0" distR="0" wp14:anchorId="24696C25" wp14:editId="7B669F97">
                <wp:extent cx="5731510" cy="5504189"/>
                <wp:effectExtent l="0" t="0" r="2540" b="1270"/>
                <wp:docPr id="199" name="Picture 199" descr="Map 2.2 shows a map of Australia and two other maps, one is of SA3 regions around south-east Queensland and the other of SA3 regions on the New South Wales coast around Sydney. Spatial autocorrelation analysis reveals several hot spots on both maps, where average patenting per ten thousand inhabitants and average business entries per ten thousand inhabitants were high. The Moran's I measure of spatial autocorrelation is equal to .0547 and the standard deviation is estimated at .0095." title="Ma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394425\Desktop\BiLISA\AvgPt vs Avg BizEn.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5504189"/>
                        </a:xfrm>
                        <a:prstGeom prst="rect">
                          <a:avLst/>
                        </a:prstGeom>
                        <a:noFill/>
                        <a:ln>
                          <a:noFill/>
                        </a:ln>
                      </pic:spPr>
                    </pic:pic>
                  </a:graphicData>
                </a:graphic>
              </wp:inline>
            </w:drawing>
          </w:r>
        </w:p>
        <w:p w14:paraId="22C7E11F" w14:textId="5C1961FA" w:rsidR="00830FDC" w:rsidRPr="00C62F3A" w:rsidRDefault="00830FDC" w:rsidP="00830FDC">
          <w:pPr>
            <w:pStyle w:val="NoteWide"/>
          </w:pPr>
          <w:r w:rsidRPr="00C62F3A">
            <w:t>Note</w:t>
          </w:r>
          <w:r>
            <w:t xml:space="preserve">s: Significance calculated at </w:t>
          </w:r>
          <w:r w:rsidR="00595001">
            <w:t xml:space="preserve">five </w:t>
          </w:r>
          <w:r>
            <w:t>per cent</w:t>
          </w:r>
          <w:r w:rsidR="001F2D8A">
            <w:t xml:space="preserve"> level</w:t>
          </w:r>
          <w:r>
            <w:t xml:space="preserve"> or less</w:t>
          </w:r>
          <w:r w:rsidR="00595001">
            <w:t>.</w:t>
          </w:r>
        </w:p>
        <w:p w14:paraId="69141CDA" w14:textId="69FEA1ED" w:rsidR="00830FDC" w:rsidRDefault="00830FDC" w:rsidP="00830FDC">
          <w:pPr>
            <w:pStyle w:val="SourceWide"/>
          </w:pPr>
          <w:r>
            <w:t>Source</w:t>
          </w:r>
          <w:r w:rsidR="00595001">
            <w:t>s</w:t>
          </w:r>
          <w:r>
            <w:t>:</w:t>
          </w:r>
          <w:r w:rsidRPr="000A23AD">
            <w:t xml:space="preserve"> </w:t>
          </w:r>
          <w:r>
            <w:t xml:space="preserve">Australian Bureau of Statistics (2015) </w:t>
          </w:r>
          <w:r>
            <w:rPr>
              <w:i/>
            </w:rPr>
            <w:t>Counts of Australian Businesses 2008–2015</w:t>
          </w:r>
          <w:r>
            <w:t>, cat. no. 8165</w:t>
          </w:r>
          <w:r w:rsidRPr="003B74B4">
            <w:t>.0</w:t>
          </w:r>
          <w:r>
            <w:t xml:space="preserve"> (data available on request) and </w:t>
          </w:r>
          <w:r w:rsidRPr="00C869FB">
            <w:t xml:space="preserve">Intellectual Property Government Open </w:t>
          </w:r>
          <w:r>
            <w:t>Data 2015 (IP Australia)</w:t>
          </w:r>
        </w:p>
        <w:p w14:paraId="43A3D90C" w14:textId="77777777" w:rsidR="00830FDC" w:rsidRDefault="00830FDC" w:rsidP="00830FDC">
          <w:pPr>
            <w:pStyle w:val="CaptionWide"/>
          </w:pPr>
          <w:r>
            <w:t>Map</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Image</w:instrText>
          </w:r>
          <w:r w:rsidRPr="000618FB">
            <w:instrText xml:space="preserve"> \* ARABIC \s 1 </w:instrText>
          </w:r>
          <w:r w:rsidRPr="000618FB">
            <w:fldChar w:fldCharType="separate"/>
          </w:r>
          <w:r w:rsidR="00D55DA4">
            <w:rPr>
              <w:noProof/>
            </w:rPr>
            <w:t>3</w:t>
          </w:r>
          <w:r w:rsidRPr="000618FB">
            <w:fldChar w:fldCharType="end"/>
          </w:r>
          <w:r>
            <w:t>:  Spatial autocorrelation analysis with average trademark applications per 10,000 inhabitants and average business entries per 10,000 inhabitants</w:t>
          </w:r>
        </w:p>
        <w:p w14:paraId="7FCA72E1" w14:textId="77777777" w:rsidR="000D227A" w:rsidRPr="000D227A" w:rsidRDefault="000D227A" w:rsidP="000D227A">
          <w:pPr>
            <w:pStyle w:val="PlaceholderWide"/>
          </w:pPr>
          <w:r>
            <w:rPr>
              <w:noProof/>
              <w:lang w:eastAsia="en-AU"/>
            </w:rPr>
            <w:drawing>
              <wp:inline distT="0" distB="0" distL="0" distR="0" wp14:anchorId="2B056BBD" wp14:editId="0A0307E8">
                <wp:extent cx="5731510" cy="5615583"/>
                <wp:effectExtent l="0" t="0" r="2540" b="4445"/>
                <wp:docPr id="200" name="Picture 200" descr="Map 2.3 shows a map of Australia and two other maps, one is of SA3 regions around south-east Queensland and the other of SA3 regions on the New South Wales coast around Sydney. Spatial autocorrelation analysis reveals several hot spots on both maps, where average trademark applications per ten thousand inhabitants and average business entries per ten thousand inhabitants were high. The Moran's I measure of spatial autocorrelation is equal to .0456 and the standard deviation is estimated at .0105." title="Ma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394425\Desktop\BiLISA\AvgTm vs Avg BizEn.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5615583"/>
                        </a:xfrm>
                        <a:prstGeom prst="rect">
                          <a:avLst/>
                        </a:prstGeom>
                        <a:noFill/>
                        <a:ln>
                          <a:noFill/>
                        </a:ln>
                      </pic:spPr>
                    </pic:pic>
                  </a:graphicData>
                </a:graphic>
              </wp:inline>
            </w:drawing>
          </w:r>
        </w:p>
        <w:p w14:paraId="14A6138F" w14:textId="46EC0933" w:rsidR="00830FDC" w:rsidRPr="00C62F3A" w:rsidRDefault="00830FDC" w:rsidP="00830FDC">
          <w:pPr>
            <w:pStyle w:val="NoteWide"/>
          </w:pPr>
          <w:r w:rsidRPr="00C62F3A">
            <w:t>Note</w:t>
          </w:r>
          <w:r>
            <w:t xml:space="preserve">: Significance calculated at </w:t>
          </w:r>
          <w:r w:rsidR="00DF0A5A">
            <w:t>five</w:t>
          </w:r>
          <w:r>
            <w:t xml:space="preserve"> per cent or less</w:t>
          </w:r>
          <w:r w:rsidR="00595001">
            <w:t>.</w:t>
          </w:r>
        </w:p>
        <w:p w14:paraId="42490521" w14:textId="02286F06" w:rsidR="00830FDC" w:rsidRDefault="00830FDC" w:rsidP="00830FDC">
          <w:pPr>
            <w:pStyle w:val="SourceWide"/>
          </w:pPr>
          <w:r>
            <w:t>Source</w:t>
          </w:r>
          <w:r w:rsidR="00595001">
            <w:t>s</w:t>
          </w:r>
          <w:r>
            <w:t xml:space="preserve">: Australian Bureau of Statistics (2015) </w:t>
          </w:r>
          <w:r>
            <w:rPr>
              <w:i/>
            </w:rPr>
            <w:t xml:space="preserve">Counts of Australian Businesses 2008–2015, </w:t>
          </w:r>
          <w:r>
            <w:t>cat. no. 8165</w:t>
          </w:r>
          <w:r w:rsidRPr="003B74B4">
            <w:t>.0</w:t>
          </w:r>
          <w:r>
            <w:t xml:space="preserve"> (data available on request) and </w:t>
          </w:r>
          <w:r w:rsidRPr="00C869FB">
            <w:t xml:space="preserve">Intellectual Property Government Open </w:t>
          </w:r>
          <w:r>
            <w:t>Data 2015 (IP Australia)</w:t>
          </w:r>
          <w:r w:rsidR="00595001">
            <w:t>.</w:t>
          </w:r>
        </w:p>
        <w:p w14:paraId="065694F7" w14:textId="77777777" w:rsidR="00830FDC" w:rsidRDefault="00830FDC" w:rsidP="00830FDC">
          <w:pPr>
            <w:pStyle w:val="BodyText"/>
          </w:pPr>
        </w:p>
        <w:p w14:paraId="429D7044" w14:textId="77777777" w:rsidR="00830FDC" w:rsidRDefault="00830FDC" w:rsidP="00830FDC">
          <w:pPr>
            <w:pStyle w:val="BodyText"/>
          </w:pPr>
        </w:p>
        <w:p w14:paraId="2CE8C4CF" w14:textId="52F05B32" w:rsidR="00830FDC" w:rsidRDefault="00830FDC" w:rsidP="00830FDC">
          <w:pPr>
            <w:pStyle w:val="CaptionWide"/>
          </w:pPr>
          <w:r>
            <w:t>Figure</w:t>
          </w:r>
          <w:r w:rsidRPr="000618FB">
            <w:t xml:space="preserve"> </w:t>
          </w:r>
          <w:fldSimple w:instr=" STYLEREF 1 \s ">
            <w:r w:rsidR="00D55DA4">
              <w:rPr>
                <w:noProof/>
              </w:rPr>
              <w:t>2</w:t>
            </w:r>
          </w:fldSimple>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D55DA4">
            <w:rPr>
              <w:noProof/>
            </w:rPr>
            <w:t>7</w:t>
          </w:r>
          <w:r w:rsidRPr="000618FB">
            <w:fldChar w:fldCharType="end"/>
          </w:r>
          <w:r>
            <w:t>: Population-weighted average business entr</w:t>
          </w:r>
          <w:r w:rsidR="009118CA">
            <w:t>ies</w:t>
          </w:r>
          <w:r>
            <w:t>, by industry, by selected region, 2008</w:t>
          </w:r>
          <w:r>
            <w:rPr>
              <w:rFonts w:cs="Arial"/>
            </w:rPr>
            <w:t>–</w:t>
          </w:r>
          <w:r>
            <w:t>2015</w:t>
          </w:r>
        </w:p>
        <w:p w14:paraId="78D30672" w14:textId="77777777" w:rsidR="000D227A" w:rsidRPr="000D227A" w:rsidRDefault="000D227A" w:rsidP="000D227A">
          <w:pPr>
            <w:pStyle w:val="PlaceholderWide"/>
          </w:pPr>
          <w:r>
            <w:rPr>
              <w:noProof/>
              <w:lang w:eastAsia="en-AU"/>
            </w:rPr>
            <w:drawing>
              <wp:inline distT="0" distB="0" distL="0" distR="0" wp14:anchorId="31530561" wp14:editId="5902399F">
                <wp:extent cx="5504233" cy="6284457"/>
                <wp:effectExtent l="0" t="0" r="1270" b="2540"/>
                <wp:docPr id="232" name="Picture 232" descr="Figure 2.7 is a horizontal bar chart. On the vertical axis are listed the 19 ANZSIC industry divisions plus an extra category titled Unknown. On the horizontal axis is a scale from zero to 100 from which the results can be read. The results summarise the average number of business entries per ten thousand inhabitants in each ANZSIC industry division, for three different types of regions: regions with both high patenting and high rate of business entry; regions with high trademarking and high rate of business entry; and all other regions.&#10;&#10;Compared to all other regions, the rates of business entry were consistently higher in regions with either high patenting or high trademarking activity. This was found to be the case across all industries except in the Agriculture, Forestry and Fishing industry, although some of the results including Agriculture, Forestry and Fishing were not found to be statistically different from the all other regions group at the 5 per cent level of significance. In regions with high patenting, the Professional, Scientific and Technical Services industry had the highest average rate of business entry at 57 per ten thousand inhabitants, followed by the Construction industry at 53 per ten thousand inhabitants. Other industries with a high reading included the Financial and Insurance Services industry and the Rental, Hiring and Real Estate Services industry, with an average of 36 and 34 business entries per ten thousand inhabitants, respectively. In high patenting regions, the lowest rates of business entry were in the Mining industry and in the Electricity, Gas, Water and Waste Services industry, both with an average reading of less than 2 entries per ten thousand inhabitants. A very similar pattern was found for regions with relatively high trademark applications with the same industries showing the highest and lowest readings."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8.png"/>
                        <pic:cNvPicPr/>
                      </pic:nvPicPr>
                      <pic:blipFill>
                        <a:blip r:embed="rId49">
                          <a:extLst>
                            <a:ext uri="{28A0092B-C50C-407E-A947-70E740481C1C}">
                              <a14:useLocalDpi xmlns:a14="http://schemas.microsoft.com/office/drawing/2010/main" val="0"/>
                            </a:ext>
                          </a:extLst>
                        </a:blip>
                        <a:stretch>
                          <a:fillRect/>
                        </a:stretch>
                      </pic:blipFill>
                      <pic:spPr>
                        <a:xfrm>
                          <a:off x="0" y="0"/>
                          <a:ext cx="5504233" cy="6284457"/>
                        </a:xfrm>
                        <a:prstGeom prst="rect">
                          <a:avLst/>
                        </a:prstGeom>
                      </pic:spPr>
                    </pic:pic>
                  </a:graphicData>
                </a:graphic>
              </wp:inline>
            </w:drawing>
          </w:r>
        </w:p>
        <w:p w14:paraId="52AB4E08" w14:textId="4EAE22FD" w:rsidR="00830FDC" w:rsidRPr="00C62F3A" w:rsidRDefault="00830FDC" w:rsidP="00830FDC">
          <w:pPr>
            <w:pStyle w:val="NoteWide"/>
          </w:pPr>
          <w:r>
            <w:t>Notes: Each column represents the average business entr</w:t>
          </w:r>
          <w:r w:rsidR="009118CA">
            <w:t>ies</w:t>
          </w:r>
          <w:r>
            <w:t xml:space="preserve"> for a specific industry division per 10,000 population. Regions were selected from Map 2.2 (regions identified as having both high patenting</w:t>
          </w:r>
          <w:r w:rsidR="00595001">
            <w:t xml:space="preserve"> and </w:t>
          </w:r>
          <w:r>
            <w:t>high firm entry) and Map 2.3 (regions identified as having both high trademarking</w:t>
          </w:r>
          <w:r w:rsidR="00595001">
            <w:t xml:space="preserve"> and </w:t>
          </w:r>
          <w:r>
            <w:t xml:space="preserve">high firm entry). Asterisks indicate a significant difference from the </w:t>
          </w:r>
          <w:r w:rsidRPr="002F1E6C">
            <w:rPr>
              <w:i/>
            </w:rPr>
            <w:t>All other regions</w:t>
          </w:r>
          <w:r>
            <w:t xml:space="preserve"> category using One Way ANOVA Tukey-Kramer multiple</w:t>
          </w:r>
          <w:r w:rsidRPr="00CF331D">
            <w:t xml:space="preserve"> comparisons test</w:t>
          </w:r>
          <w:r>
            <w:t>.</w:t>
          </w:r>
          <w:r w:rsidR="00595001">
            <w:t xml:space="preserve"> ** Significant at five per cent level, *** Significant at one per cent level.</w:t>
          </w:r>
        </w:p>
        <w:p w14:paraId="10DD643F" w14:textId="35BC41F8" w:rsidR="00830FDC" w:rsidRDefault="00830FDC" w:rsidP="00830FDC">
          <w:pPr>
            <w:pStyle w:val="SourceWide"/>
          </w:pPr>
          <w:r>
            <w:t>Source</w:t>
          </w:r>
          <w:r w:rsidR="00595001">
            <w:t>s</w:t>
          </w:r>
          <w:r>
            <w:t xml:space="preserve">: Australian Bureau of Statistics (2015) </w:t>
          </w:r>
          <w:r>
            <w:rPr>
              <w:i/>
            </w:rPr>
            <w:t xml:space="preserve">Counts of Australian Businesses 2008–2015, </w:t>
          </w:r>
          <w:r>
            <w:t>data cube: Excel spreadsheet,</w:t>
          </w:r>
          <w:r>
            <w:br/>
            <w:t>cat. no. 8165</w:t>
          </w:r>
          <w:r w:rsidRPr="003B74B4">
            <w:t>.0</w:t>
          </w:r>
          <w:r>
            <w:t xml:space="preserve"> (data available on request) and </w:t>
          </w:r>
          <w:r w:rsidRPr="00C869FB">
            <w:t xml:space="preserve">Intellectual Property Government Open </w:t>
          </w:r>
          <w:r>
            <w:t>Data 2015 (IP Australia)</w:t>
          </w:r>
        </w:p>
        <w:p w14:paraId="185B887A" w14:textId="77777777" w:rsidR="00830FDC" w:rsidRDefault="00830FDC" w:rsidP="00830FDC">
          <w:pPr>
            <w:spacing w:after="200" w:line="276" w:lineRule="auto"/>
            <w:ind w:left="0"/>
            <w:jc w:val="left"/>
            <w:rPr>
              <w:rFonts w:asciiTheme="minorHAnsi" w:hAnsiTheme="minorHAnsi"/>
            </w:rPr>
          </w:pPr>
          <w:r>
            <w:br w:type="page"/>
          </w:r>
        </w:p>
        <w:p w14:paraId="0A8F5DA8" w14:textId="77777777" w:rsidR="00830FDC" w:rsidRDefault="00830FDC" w:rsidP="00830FDC">
          <w:pPr>
            <w:pStyle w:val="Heading1"/>
            <w:numPr>
              <w:ilvl w:val="0"/>
              <w:numId w:val="40"/>
            </w:numPr>
          </w:pPr>
          <w:r>
            <w:t>Discussion</w:t>
          </w:r>
        </w:p>
        <w:p w14:paraId="3908A563" w14:textId="3E4885D5" w:rsidR="00830FDC" w:rsidRPr="00491275" w:rsidRDefault="00830FDC" w:rsidP="00491275">
          <w:pPr>
            <w:pStyle w:val="BodyText"/>
          </w:pPr>
          <w:r w:rsidRPr="00491275">
            <w:t>This empirical study aimed to identify the geographical location of innovation activity in Australia and its links with entrepreneur</w:t>
          </w:r>
          <w:r w:rsidR="00F57092" w:rsidRPr="00491275">
            <w:t>ship</w:t>
          </w:r>
          <w:r w:rsidRPr="00491275">
            <w:t xml:space="preserve">. </w:t>
          </w:r>
          <w:r w:rsidR="00F74066" w:rsidRPr="00491275">
            <w:t xml:space="preserve">We </w:t>
          </w:r>
          <w:r w:rsidRPr="00491275">
            <w:t xml:space="preserve">found that </w:t>
          </w:r>
          <w:r w:rsidR="00F74066" w:rsidRPr="00491275">
            <w:t xml:space="preserve">across all regions of </w:t>
          </w:r>
          <w:r w:rsidRPr="00491275">
            <w:t>Australia</w:t>
          </w:r>
          <w:r w:rsidR="00F74066" w:rsidRPr="00491275">
            <w:t>,</w:t>
          </w:r>
          <w:r w:rsidRPr="00491275">
            <w:t xml:space="preserve"> IP generation </w:t>
          </w:r>
          <w:r w:rsidR="00F74066" w:rsidRPr="00491275">
            <w:t xml:space="preserve">is </w:t>
          </w:r>
          <w:r w:rsidR="00D80D73" w:rsidRPr="00491275">
            <w:t xml:space="preserve">statistically </w:t>
          </w:r>
          <w:r w:rsidR="00F74066" w:rsidRPr="00491275">
            <w:t xml:space="preserve">significantly correlated </w:t>
          </w:r>
          <w:r w:rsidRPr="00491275">
            <w:t>with entrepreneur</w:t>
          </w:r>
          <w:r w:rsidR="00F57092" w:rsidRPr="00491275">
            <w:t>ial churn, which in turn would be expected to lead to economic and wage growth</w:t>
          </w:r>
          <w:r w:rsidR="000B0579" w:rsidRPr="00491275">
            <w:t>.</w:t>
          </w:r>
          <w:r w:rsidR="000B0579" w:rsidRPr="00491275">
            <w:rPr>
              <w:rStyle w:val="FootnoteReference"/>
              <w:vertAlign w:val="baseline"/>
            </w:rPr>
            <w:footnoteReference w:id="24"/>
          </w:r>
          <w:r w:rsidR="000B0579" w:rsidRPr="00491275">
            <w:t xml:space="preserve"> </w:t>
          </w:r>
          <w:r w:rsidRPr="00491275">
            <w:t xml:space="preserve">The </w:t>
          </w:r>
          <w:r w:rsidR="00D80D73" w:rsidRPr="00491275">
            <w:t>results show that</w:t>
          </w:r>
          <w:r w:rsidRPr="00491275">
            <w:t xml:space="preserve"> there was a 0.35 per cent increase in patent applications and a 0.40 per cent increase in trademark applications for every </w:t>
          </w:r>
          <w:r w:rsidR="00F57092" w:rsidRPr="00491275">
            <w:t>1</w:t>
          </w:r>
          <w:r w:rsidRPr="00491275">
            <w:t xml:space="preserve"> per cent increase in R&amp;D expenditure nationally. </w:t>
          </w:r>
          <w:r w:rsidR="00F74066" w:rsidRPr="00491275">
            <w:t>These findings confirm industry-specific studies showing that firms with greater R&amp;D expenditure apply for more IP.</w:t>
          </w:r>
          <w:r w:rsidR="000B0579" w:rsidRPr="00491275">
            <w:rPr>
              <w:rStyle w:val="FootnoteReference"/>
              <w:vertAlign w:val="baseline"/>
            </w:rPr>
            <w:footnoteReference w:id="25"/>
          </w:r>
          <w:r w:rsidR="00F74066" w:rsidRPr="00491275">
            <w:t xml:space="preserve"> </w:t>
          </w:r>
          <w:r w:rsidRPr="00491275">
            <w:t xml:space="preserve">Further to this there is a </w:t>
          </w:r>
          <w:r w:rsidR="00D80D73" w:rsidRPr="00491275">
            <w:t xml:space="preserve">statistically </w:t>
          </w:r>
          <w:r w:rsidR="00F74066" w:rsidRPr="00491275">
            <w:t xml:space="preserve">significant </w:t>
          </w:r>
          <w:r w:rsidRPr="00491275">
            <w:t>positive association between innovation activity and business creation, although the strength of the association between R&amp;D and business creation depends on whether innovation output activities are included in the analysis. The</w:t>
          </w:r>
          <w:r w:rsidR="00F74066" w:rsidRPr="00491275">
            <w:t>se</w:t>
          </w:r>
          <w:r w:rsidRPr="00491275">
            <w:t xml:space="preserve"> results support the findings of other </w:t>
          </w:r>
          <w:r w:rsidR="00F74066" w:rsidRPr="00491275">
            <w:t xml:space="preserve">smaller scale </w:t>
          </w:r>
          <w:r w:rsidRPr="00491275">
            <w:t xml:space="preserve">studies where such relationships were </w:t>
          </w:r>
          <w:r w:rsidR="00F74066" w:rsidRPr="00491275">
            <w:t>found</w:t>
          </w:r>
          <w:r w:rsidR="000B0579" w:rsidRPr="00491275">
            <w:t>.</w:t>
          </w:r>
          <w:r w:rsidR="000B0579" w:rsidRPr="00491275">
            <w:rPr>
              <w:rStyle w:val="FootnoteReference"/>
              <w:vertAlign w:val="baseline"/>
            </w:rPr>
            <w:footnoteReference w:id="26"/>
          </w:r>
          <w:r w:rsidRPr="00491275">
            <w:t xml:space="preserve"> The literature on economic geography shows that spatial proximity encourages firm interactions and knowledge exchange within industrial clusters. Flows of local knowledge and the networks they sustain support a region’s capacity to innovate and boost its economic growth</w:t>
          </w:r>
          <w:r w:rsidR="000B0579" w:rsidRPr="00491275">
            <w:t>.</w:t>
          </w:r>
          <w:r w:rsidR="000B0579" w:rsidRPr="00491275">
            <w:rPr>
              <w:rStyle w:val="FootnoteReference"/>
              <w:vertAlign w:val="baseline"/>
            </w:rPr>
            <w:footnoteReference w:id="27"/>
          </w:r>
          <w:r w:rsidR="000B0579" w:rsidRPr="00491275">
            <w:t xml:space="preserve"> </w:t>
          </w:r>
          <w:r w:rsidRPr="00491275">
            <w:t>The geographical concentration of industries also generates markets for skilled labour and specialised inputs.</w:t>
          </w:r>
          <w:r w:rsidR="000B0579" w:rsidRPr="00491275">
            <w:rPr>
              <w:rStyle w:val="FootnoteReference"/>
              <w:vertAlign w:val="baseline"/>
            </w:rPr>
            <w:footnoteReference w:id="28"/>
          </w:r>
          <w:r w:rsidRPr="00491275">
            <w:t xml:space="preserve"> A recent study even found that firms may be eight times more innovative when located in clusters.</w:t>
          </w:r>
          <w:r w:rsidR="000B0579" w:rsidRPr="00491275">
            <w:rPr>
              <w:rStyle w:val="FootnoteReference"/>
              <w:vertAlign w:val="baseline"/>
            </w:rPr>
            <w:footnoteReference w:id="29"/>
          </w:r>
          <w:r w:rsidRPr="00491275">
            <w:t xml:space="preserve"> Our paper identifies a number of regions where the degree of innovative entrepreneurship is significantly higher than surrounding regions. Interestingly these regions do not always occur in areas where high absolute rates of innovation activity exist, such as Greater Melbourne. </w:t>
          </w:r>
        </w:p>
        <w:p w14:paraId="1BBD9904" w14:textId="0EB03C6D" w:rsidR="00830FDC" w:rsidRDefault="00830FDC" w:rsidP="00830FDC">
          <w:pPr>
            <w:pStyle w:val="BodyText"/>
          </w:pPr>
          <w:r>
            <w:t>Innovation drives creative destruction as innovative firms enter markets and compete with incumbents, forcing out less productive firms</w:t>
          </w:r>
          <w:r w:rsidR="00E232B4">
            <w:t>.</w:t>
          </w:r>
          <w:r w:rsidR="00E232B4">
            <w:rPr>
              <w:rStyle w:val="FootnoteReference"/>
            </w:rPr>
            <w:footnoteReference w:id="30"/>
          </w:r>
          <w:r w:rsidR="00E232B4">
            <w:t xml:space="preserve"> </w:t>
          </w:r>
          <w:r>
            <w:t>This reallocation of resources causes higher levels of business churn through an industry with the new, innovative firms an important new source of economic growth.</w:t>
          </w:r>
          <w:r>
            <w:rPr>
              <w:rStyle w:val="FootnoteReference"/>
            </w:rPr>
            <w:footnoteReference w:id="31"/>
          </w:r>
          <w:r>
            <w:t xml:space="preserve"> The data presented in this paper are consistent with this theory. Churn rates are </w:t>
          </w:r>
          <w:r w:rsidR="00D80D73">
            <w:t>statis</w:t>
          </w:r>
          <w:r w:rsidR="003929EF">
            <w:t>ti</w:t>
          </w:r>
          <w:r w:rsidR="00D80D73">
            <w:t xml:space="preserve">cally </w:t>
          </w:r>
          <w:r>
            <w:t xml:space="preserve">significantly and positively associated with innovation activity. Many regions where there is high business churn (high firm entry </w:t>
          </w:r>
          <w:r w:rsidRPr="00B031C1">
            <w:rPr>
              <w:u w:val="single"/>
            </w:rPr>
            <w:t>and</w:t>
          </w:r>
          <w:r>
            <w:t xml:space="preserve"> exit) also exhibit high innovation activity </w:t>
          </w:r>
          <w:r w:rsidRPr="00AD12E9">
            <w:t>and vice versa. The</w:t>
          </w:r>
          <w:r>
            <w:t xml:space="preserve"> strength of these effects may be underestimated in this study. Firms with a similar technological focus are likely to benefit disproportionately from clustering. The data for innovation indicators (R&amp;D expenditure, patent and trademark application counts) are not collected according to ANZSIC divisions, so sectoral analysis harmonised with business creation could not be performed. </w:t>
          </w:r>
        </w:p>
        <w:p w14:paraId="53A3DDF5" w14:textId="73D97EBB" w:rsidR="00830FDC" w:rsidRDefault="00830FDC" w:rsidP="00830FDC">
          <w:pPr>
            <w:pStyle w:val="BodyText"/>
          </w:pPr>
          <w:r w:rsidRPr="003D7132">
            <w:rPr>
              <w:i/>
            </w:rPr>
            <w:t>Healthcare and social assistance</w:t>
          </w:r>
          <w:r>
            <w:t xml:space="preserve"> is the largest employing industry in Australia and </w:t>
          </w:r>
          <w:r w:rsidR="009118CA">
            <w:t xml:space="preserve">the number of businesses </w:t>
          </w:r>
          <w:r>
            <w:t xml:space="preserve">has grown strongly </w:t>
          </w:r>
          <w:r w:rsidR="009118CA">
            <w:t>i</w:t>
          </w:r>
          <w:r>
            <w:t>n recent years, as</w:t>
          </w:r>
          <w:r w:rsidRPr="00331381">
            <w:t xml:space="preserve"> Australia’s ageing population </w:t>
          </w:r>
          <w:r>
            <w:t>has been reflected in</w:t>
          </w:r>
          <w:r w:rsidRPr="00331381">
            <w:t xml:space="preserve"> increasing demand for health services, aged care and disability suppo</w:t>
          </w:r>
          <w:r w:rsidR="00F57092">
            <w:t>rt</w:t>
          </w:r>
          <w:r>
            <w:t>.</w:t>
          </w:r>
          <w:r w:rsidR="00F57092">
            <w:rPr>
              <w:rStyle w:val="FootnoteReference"/>
            </w:rPr>
            <w:footnoteReference w:id="32"/>
          </w:r>
          <w:r>
            <w:t xml:space="preserve"> Our analysis also showed that </w:t>
          </w:r>
          <w:r w:rsidRPr="003D7132">
            <w:rPr>
              <w:i/>
            </w:rPr>
            <w:t>Healthcare and social assistance</w:t>
          </w:r>
          <w:r>
            <w:t xml:space="preserve"> had the highest start-up survival rate, consistent with the start-up survival rates reported nationally by Hendrickson </w:t>
          </w:r>
          <w:r>
            <w:rPr>
              <w:i/>
            </w:rPr>
            <w:t>et al.</w:t>
          </w:r>
          <w:r w:rsidR="00E232B4">
            <w:rPr>
              <w:rStyle w:val="FootnoteReference"/>
              <w:i/>
            </w:rPr>
            <w:footnoteReference w:id="33"/>
          </w:r>
          <w:r>
            <w:rPr>
              <w:i/>
            </w:rPr>
            <w:t xml:space="preserve"> </w:t>
          </w:r>
          <w:r>
            <w:t xml:space="preserve">The </w:t>
          </w:r>
          <w:r w:rsidRPr="003D7132">
            <w:rPr>
              <w:i/>
            </w:rPr>
            <w:t>Healthcare and social assistance</w:t>
          </w:r>
          <w:r>
            <w:t xml:space="preserve"> industry has not shown a high propensity for undertaking R&amp;D itself. However, the industry has a high degree of sustained collaboration with universities, hospitals and medical research institutes. It was therefore not surprising to see a remarkably consistent correlation between high business entry in this sector in regions where research </w:t>
          </w:r>
          <w:r w:rsidRPr="00656421">
            <w:t>organisations</w:t>
          </w:r>
          <w:r>
            <w:t xml:space="preserve"> are present</w:t>
          </w:r>
          <w:r w:rsidRPr="00656421">
            <w:t xml:space="preserve">, although future research </w:t>
          </w:r>
          <w:r>
            <w:t>sh</w:t>
          </w:r>
          <w:r w:rsidRPr="00656421">
            <w:t>ould assess the influence of hospitals and medical research institutes</w:t>
          </w:r>
          <w:r>
            <w:t xml:space="preserve"> on activity of this sector</w:t>
          </w:r>
          <w:r w:rsidRPr="00656421">
            <w:t>.</w:t>
          </w:r>
          <w:r>
            <w:t xml:space="preserve"> </w:t>
          </w:r>
        </w:p>
        <w:p w14:paraId="5086DFFD" w14:textId="1AC47450" w:rsidR="00830FDC" w:rsidRDefault="00830FDC" w:rsidP="00830FDC">
          <w:pPr>
            <w:pStyle w:val="BodyText"/>
          </w:pPr>
          <w:r>
            <w:t xml:space="preserve">The </w:t>
          </w:r>
          <w:r w:rsidRPr="003D7132">
            <w:rPr>
              <w:i/>
            </w:rPr>
            <w:t>Mining</w:t>
          </w:r>
          <w:r>
            <w:t xml:space="preserve"> industry recorded the strongest employment growth during the years 2009</w:t>
          </w:r>
          <w:r>
            <w:rPr>
              <w:rFonts w:cstheme="minorHAnsi"/>
            </w:rPr>
            <w:t>–</w:t>
          </w:r>
          <w:r>
            <w:t>2013</w:t>
          </w:r>
          <w:r w:rsidR="00E232B4">
            <w:rPr>
              <w:rStyle w:val="FootnoteReference"/>
            </w:rPr>
            <w:footnoteReference w:id="34"/>
          </w:r>
          <w:r>
            <w:t xml:space="preserve"> and has superior post survival start-up growth outcomes.</w:t>
          </w:r>
          <w:r w:rsidR="00E232B4">
            <w:rPr>
              <w:rStyle w:val="FootnoteReference"/>
            </w:rPr>
            <w:footnoteReference w:id="35"/>
          </w:r>
          <w:r>
            <w:t xml:space="preserve"> </w:t>
          </w:r>
          <w:r w:rsidRPr="003D7132">
            <w:rPr>
              <w:i/>
            </w:rPr>
            <w:t>Mining</w:t>
          </w:r>
          <w:r>
            <w:t xml:space="preserve"> is an export-oriented industry which makes much higher investments in R&amp;D than most other Australian industries. The higher survival rate of businesses in this industry confirms previous findings showing that many new firms thrive in innovative industries.</w:t>
          </w:r>
          <w:r w:rsidR="00E232B4">
            <w:rPr>
              <w:rStyle w:val="FootnoteReference"/>
            </w:rPr>
            <w:footnoteReference w:id="36"/>
          </w:r>
        </w:p>
        <w:p w14:paraId="614BBA89" w14:textId="40A416AB" w:rsidR="00830FDC" w:rsidRDefault="00830FDC" w:rsidP="00830FDC">
          <w:pPr>
            <w:pStyle w:val="BodyText"/>
          </w:pPr>
          <w:r>
            <w:t>Our results show that innovative entrepreneurship is typically a city phenomenon</w:t>
          </w:r>
          <w:r w:rsidRPr="00D90D0E">
            <w:t xml:space="preserve"> </w:t>
          </w:r>
          <w:r>
            <w:t xml:space="preserve">consistent with other recent </w:t>
          </w:r>
          <w:r w:rsidR="0053524D">
            <w:t>US research</w:t>
          </w:r>
          <w:r>
            <w:t>.</w:t>
          </w:r>
          <w:r w:rsidR="0053524D">
            <w:rPr>
              <w:rStyle w:val="FootnoteReference"/>
            </w:rPr>
            <w:footnoteReference w:id="37"/>
          </w:r>
          <w:r>
            <w:t xml:space="preserve"> There is a significant clustering of R&amp;D expenditure, IP generation and entrepreneurship in metropolitan Australia</w:t>
          </w:r>
          <w:r w:rsidRPr="00044F5E">
            <w:t xml:space="preserve"> </w:t>
          </w:r>
          <w:r>
            <w:t>with some notable exceptions such as the Sunshine Coast of Queensland and the Southern Highlands in N</w:t>
          </w:r>
          <w:r w:rsidR="006C5399">
            <w:t xml:space="preserve">ew </w:t>
          </w:r>
          <w:r>
            <w:t>S</w:t>
          </w:r>
          <w:r w:rsidR="006C5399">
            <w:t xml:space="preserve">outh </w:t>
          </w:r>
          <w:r>
            <w:t>W</w:t>
          </w:r>
          <w:r w:rsidR="006C5399">
            <w:t>ales</w:t>
          </w:r>
          <w:r>
            <w:t xml:space="preserve">. In regional and remote centres where agriculture is the dominant industry, innovative entrepreneurship is not apparent. However, the way in which R&amp;D and IP generation is undertaken in many agricultural industries (through levy generated Rural Research and Development Corporations) combined with a strong head/registration office effect may understate the way in which innovative entrepreneurship occurs in this industry division. </w:t>
          </w:r>
        </w:p>
        <w:p w14:paraId="313FFA81" w14:textId="7E5D35BF" w:rsidR="00830FDC" w:rsidRDefault="00830FDC" w:rsidP="00830FDC">
          <w:pPr>
            <w:pStyle w:val="BodyText"/>
          </w:pPr>
          <w:r>
            <w:t xml:space="preserve">The corridor of industries stretching from the Sunshine Coast, through Brisbane to the Gold Coast results in Queensland having a more even spread of innovative entrepreneurship than any other </w:t>
          </w:r>
          <w:r w:rsidR="00FE4E3E">
            <w:t>s</w:t>
          </w:r>
          <w:r>
            <w:t xml:space="preserve">tate in Australia. Along with the high per capita business entries in less populous central and western Queensland (Map 2.1) and the lowest business survival rate of any </w:t>
          </w:r>
          <w:r w:rsidR="00FE4E3E">
            <w:t>s</w:t>
          </w:r>
          <w:r>
            <w:t xml:space="preserve">tate or territory (Table 2.3), it might be said that Queensland is the most ‘entrepreneurial’ </w:t>
          </w:r>
          <w:r w:rsidR="00FE4E3E">
            <w:t>s</w:t>
          </w:r>
          <w:r>
            <w:t xml:space="preserve">tate in Australia. </w:t>
          </w:r>
        </w:p>
        <w:p w14:paraId="7E79ED71" w14:textId="2775098E" w:rsidR="00830FDC" w:rsidRDefault="00830FDC" w:rsidP="00830FDC">
          <w:pPr>
            <w:pStyle w:val="BodyText"/>
          </w:pPr>
          <w:r>
            <w:t>The results of this work show that in absolute terms the majority of innovation activity is occurring in Greater Sydney and Melbourne areas. Once adjusted for population, however, areas such as Greater Adelaide and the A</w:t>
          </w:r>
          <w:r w:rsidR="00302D6C">
            <w:t>ustralian Capital Territory</w:t>
          </w:r>
          <w:r>
            <w:t xml:space="preserve"> emerge as areas of high innovation activity. </w:t>
          </w:r>
          <w:r w:rsidRPr="004D5270">
            <w:t>An interesting result of our analysis is the finding that on a population-adjusted basis the A</w:t>
          </w:r>
          <w:r w:rsidR="00302D6C">
            <w:t xml:space="preserve">ustralian </w:t>
          </w:r>
          <w:r w:rsidRPr="004D5270">
            <w:t>C</w:t>
          </w:r>
          <w:r w:rsidR="00302D6C">
            <w:t xml:space="preserve">apital </w:t>
          </w:r>
          <w:r w:rsidRPr="004D5270">
            <w:t>T</w:t>
          </w:r>
          <w:r w:rsidR="00302D6C">
            <w:t>erritory</w:t>
          </w:r>
          <w:r w:rsidRPr="004D5270">
            <w:t xml:space="preserve"> is </w:t>
          </w:r>
          <w:r>
            <w:t xml:space="preserve">performing </w:t>
          </w:r>
          <w:r w:rsidR="00495952">
            <w:t xml:space="preserve">well on </w:t>
          </w:r>
          <w:r w:rsidR="0053524D">
            <w:t>patenting</w:t>
          </w:r>
          <w:r w:rsidR="00495952">
            <w:t xml:space="preserve"> and trademarking</w:t>
          </w:r>
          <w:r>
            <w:t>. The high levels of R&amp;D expenditure cannot be attributed directly to the presence in the A</w:t>
          </w:r>
          <w:r w:rsidR="00272093">
            <w:t xml:space="preserve">ustralian </w:t>
          </w:r>
          <w:r>
            <w:t>C</w:t>
          </w:r>
          <w:r w:rsidR="00272093">
            <w:t xml:space="preserve">apital </w:t>
          </w:r>
          <w:r>
            <w:t>T</w:t>
          </w:r>
          <w:r w:rsidR="00272093">
            <w:t>erritory</w:t>
          </w:r>
          <w:r>
            <w:t xml:space="preserve"> of research organisations such as universities and CSIRO, since these institutions are not registered for the R&amp;D Tax Incentive, a programme for promoting business innovation, from which the data is sourced. The A</w:t>
          </w:r>
          <w:r w:rsidR="00272093">
            <w:t xml:space="preserve">ustralian </w:t>
          </w:r>
          <w:r>
            <w:t>C</w:t>
          </w:r>
          <w:r w:rsidR="00272093">
            <w:t xml:space="preserve">apital </w:t>
          </w:r>
          <w:r>
            <w:t>T</w:t>
          </w:r>
          <w:r w:rsidR="00272093">
            <w:t>erritory</w:t>
          </w:r>
          <w:r>
            <w:t xml:space="preserve"> has the highest Higher Education R&amp;D expenditure intensity in Australia. The A</w:t>
          </w:r>
          <w:r w:rsidR="00183DC9">
            <w:t>ustralian Capital Territory’s</w:t>
          </w:r>
          <w:r>
            <w:t xml:space="preserve"> performance may also be attributable to the presence of a significant number of companies, such as </w:t>
          </w:r>
          <w:r w:rsidRPr="004D5270">
            <w:t xml:space="preserve">Boeing, </w:t>
          </w:r>
          <w:r>
            <w:t xml:space="preserve">BAE and </w:t>
          </w:r>
          <w:r w:rsidRPr="004D5270">
            <w:t>Electro Optic Systems</w:t>
          </w:r>
          <w:r>
            <w:t xml:space="preserve"> among others, selling R&amp;D-intensive</w:t>
          </w:r>
          <w:r w:rsidRPr="004D5270">
            <w:t xml:space="preserve"> </w:t>
          </w:r>
          <w:r>
            <w:t xml:space="preserve">services to Australia’s </w:t>
          </w:r>
          <w:r w:rsidRPr="004D5270">
            <w:t>defence</w:t>
          </w:r>
          <w:r>
            <w:t xml:space="preserve"> industry (Grill 2014).</w:t>
          </w:r>
          <w:r w:rsidRPr="004D5270">
            <w:t xml:space="preserve"> </w:t>
          </w:r>
          <w:r>
            <w:t>Future research would benefit from incorporating private non-profit R&amp;D, government R&amp;D and higher education R&amp;D data by region to develop an intensity measure of public sector research.</w:t>
          </w:r>
          <w:r w:rsidR="0053524D">
            <w:t xml:space="preserve"> </w:t>
          </w:r>
        </w:p>
        <w:p w14:paraId="26970C4D" w14:textId="77777777" w:rsidR="00830FDC" w:rsidRDefault="00830FDC" w:rsidP="00830FDC">
          <w:pPr>
            <w:pStyle w:val="BodyText"/>
          </w:pPr>
          <w:r>
            <w:t xml:space="preserve">All indicators of innovation activity also had some degree of skewness in part attributable to the location of companies’ head offices or the location of offices where the IP or R&amp;D is being registered in major cities. This effect was most pronounced for the R&amp;D expenditure data where R&amp;D is highly skewed towards large firms. Current data reporting practices limit our ability to analyse clustering of innovative entrepreneurship. </w:t>
          </w:r>
          <w:r w:rsidRPr="00AE4F29">
            <w:t xml:space="preserve">While </w:t>
          </w:r>
          <w:r>
            <w:t xml:space="preserve">weighting the results by </w:t>
          </w:r>
          <w:r w:rsidRPr="00AE4F29">
            <w:t>population removes some of the bias</w:t>
          </w:r>
          <w:r>
            <w:t xml:space="preserve"> associated with the indicators</w:t>
          </w:r>
          <w:r w:rsidRPr="00AE4F29">
            <w:t>, it does not address the characteristics of different regions such as socio-economic status of the population, access to labour, geographic features and cultural differences.</w:t>
          </w:r>
          <w:r>
            <w:t xml:space="preserve"> Future research should account for these factors where possible. </w:t>
          </w:r>
        </w:p>
        <w:p w14:paraId="0BBFB061" w14:textId="3633AE48" w:rsidR="00830FDC" w:rsidRDefault="00830FDC" w:rsidP="00830FDC">
          <w:pPr>
            <w:pStyle w:val="BodyText"/>
          </w:pPr>
          <w:r>
            <w:t xml:space="preserve">Universities and other research organisations are frequently the source of knowledge that underpins new frontier technologies which is then protected by intellectual property. They can also be a source of educated entrepreneurs (in the case of universities) and spin off their own firms. Es-Sadki </w:t>
          </w:r>
          <w:r w:rsidR="00DC5E7E">
            <w:t xml:space="preserve">&amp; </w:t>
          </w:r>
          <w:r>
            <w:t>Arundel</w:t>
          </w:r>
          <w:r w:rsidR="00DC5E7E">
            <w:rPr>
              <w:rStyle w:val="FootnoteReference"/>
            </w:rPr>
            <w:footnoteReference w:id="38"/>
          </w:r>
          <w:r>
            <w:t xml:space="preserve"> show that in Europe the clustering of research organisations with higher shares of technology-intensive manufacturing and knowledge-intensive services has a positive effect on knowledge diffusion and start-ups in a region. Our data suggests that Australian research organisations, particularly those that emphasise formal industry collaborations such as CRCs, have a strong effect on a region’s entrepreneurial activity. The </w:t>
          </w:r>
          <w:r w:rsidRPr="00183DC9">
            <w:rPr>
              <w:i/>
            </w:rPr>
            <w:t>National Survey of Research Commercialisation</w:t>
          </w:r>
          <w:r>
            <w:t xml:space="preserve"> shows that CRCs have a relatively high degree of commercialisation outcomes per dollar of R&amp;D investment.</w:t>
          </w:r>
          <w:r>
            <w:rPr>
              <w:rStyle w:val="FootnoteReference"/>
            </w:rPr>
            <w:footnoteReference w:id="39"/>
          </w:r>
          <w:r>
            <w:t xml:space="preserve"> Further research is needed to disentangle any possible causal mechanisms driving such activity. A good start would be to assess the sectoral effect by research organisations that have a specific industry focus.</w:t>
          </w:r>
        </w:p>
        <w:p w14:paraId="53DE3AE0" w14:textId="2373A61C" w:rsidR="00830FDC" w:rsidRDefault="00830FDC" w:rsidP="00830FDC">
          <w:pPr>
            <w:pStyle w:val="BodyText"/>
          </w:pPr>
          <w:r>
            <w:t xml:space="preserve">The data suggests that these research hubs have specific industry effects rather than stimulating a general lift in entrepreneurship. For instance, business entries in the </w:t>
          </w:r>
          <w:r w:rsidRPr="00045894">
            <w:rPr>
              <w:i/>
            </w:rPr>
            <w:t>Professional, Scientific and Technical Services</w:t>
          </w:r>
          <w:r>
            <w:t xml:space="preserve"> industry was </w:t>
          </w:r>
          <w:r w:rsidR="001A107C">
            <w:t xml:space="preserve">statistically </w:t>
          </w:r>
          <w:r>
            <w:t xml:space="preserve">significantly and positively correlated with the presence of these research centres, but the </w:t>
          </w:r>
          <w:r w:rsidRPr="00045894">
            <w:rPr>
              <w:i/>
            </w:rPr>
            <w:t>Agricultural, Forestry and Fishery</w:t>
          </w:r>
          <w:r>
            <w:t xml:space="preserve"> and </w:t>
          </w:r>
          <w:r w:rsidRPr="00045894">
            <w:rPr>
              <w:i/>
            </w:rPr>
            <w:t>Mining</w:t>
          </w:r>
          <w:r>
            <w:t xml:space="preserve"> sectors (activity predominantly occurring in regional and remote areas of Australia) was</w:t>
          </w:r>
          <w:r w:rsidRPr="00014E3A">
            <w:t xml:space="preserve"> </w:t>
          </w:r>
          <w:r>
            <w:t>negatively correlated. Future research needs to assess these industry specific effects against the focus of the research and the reach of the centres, i.e. does CRC for Mining drive up innovative entrepreneurship in the mining sector across Australia or does it have specific and local regional influence? Future research should also be extended to include vocational education and training organisations which are an important source of knowledge for entrepreneurs.</w:t>
          </w:r>
          <w:r w:rsidR="00DC5E7E">
            <w:rPr>
              <w:rStyle w:val="FootnoteReference"/>
            </w:rPr>
            <w:footnoteReference w:id="40"/>
          </w:r>
        </w:p>
        <w:p w14:paraId="0F8581B7" w14:textId="305DFA6D" w:rsidR="00830FDC" w:rsidRDefault="00830FDC" w:rsidP="00830FDC">
          <w:pPr>
            <w:pStyle w:val="BodyText"/>
          </w:pPr>
          <w:r>
            <w:t>Our results also show that the presence of research organisations particularly those with specific industry collaborations e.g. Cooperative Research Centres, also lifted the degree of innovative entrepreneurship in a region. Research organisations themselves will be influencing the IP results as they make a substantial contribution to total patent applications in Australia. In the period 1990-2013 CRCs, medical research institutes, publicly funded research organisations and universities accounted for 9</w:t>
          </w:r>
          <w:r w:rsidR="009F7ABB">
            <w:t xml:space="preserve"> per cent </w:t>
          </w:r>
          <w:r>
            <w:t>of firm standard and innovation patent applications in Australia.</w:t>
          </w:r>
          <w:r>
            <w:rPr>
              <w:rStyle w:val="FootnoteReference"/>
            </w:rPr>
            <w:footnoteReference w:id="41"/>
          </w:r>
          <w:r>
            <w:t xml:space="preserve"> </w:t>
          </w:r>
        </w:p>
        <w:p w14:paraId="5851BBB8" w14:textId="77777777" w:rsidR="00866271" w:rsidRDefault="00830FDC" w:rsidP="00830FDC">
          <w:pPr>
            <w:pStyle w:val="BodyText"/>
            <w:sectPr w:rsidR="00866271" w:rsidSect="00354EA2">
              <w:endnotePr>
                <w:numFmt w:val="decimal"/>
              </w:endnotePr>
              <w:pgSz w:w="11906" w:h="16838" w:code="9"/>
              <w:pgMar w:top="1440" w:right="1440" w:bottom="1440" w:left="1440" w:header="709" w:footer="709" w:gutter="0"/>
              <w:cols w:space="708"/>
              <w:docGrid w:linePitch="360"/>
            </w:sectPr>
          </w:pPr>
          <w:r>
            <w:t xml:space="preserve">Our analysis suggests that the presence of </w:t>
          </w:r>
          <w:r w:rsidRPr="0003625E">
            <w:rPr>
              <w:i/>
            </w:rPr>
            <w:t>Professional, Scientific and Technical Services</w:t>
          </w:r>
          <w:r>
            <w:t xml:space="preserve"> is an important industry for a region’s innovative entrepreneurship</w:t>
          </w:r>
          <w:r w:rsidR="00253B22">
            <w:t xml:space="preserve"> (see Figure 2.6)</w:t>
          </w:r>
          <w:r>
            <w:t>. High business entry for this sector coincides with high R&amp;D or high IP generation. This sector has the highest concentration of researchers and engineers in the private sector.</w:t>
          </w:r>
          <w:r w:rsidR="00DC5E7E">
            <w:rPr>
              <w:rStyle w:val="FootnoteReference"/>
            </w:rPr>
            <w:footnoteReference w:id="42"/>
          </w:r>
          <w:r>
            <w:t xml:space="preserve"> The sector is widely distributed throughout the economy with almost 20 other subdivisions consuming</w:t>
          </w:r>
          <w:r w:rsidR="00272093">
            <w:t xml:space="preserve"> more than $1 billion worth of </w:t>
          </w:r>
          <w:r w:rsidR="00272093" w:rsidRPr="00272093">
            <w:rPr>
              <w:i/>
            </w:rPr>
            <w:t>P</w:t>
          </w:r>
          <w:r w:rsidRPr="00272093">
            <w:rPr>
              <w:i/>
            </w:rPr>
            <w:t xml:space="preserve">rofessional, </w:t>
          </w:r>
          <w:r w:rsidR="00272093" w:rsidRPr="00272093">
            <w:rPr>
              <w:i/>
            </w:rPr>
            <w:t>S</w:t>
          </w:r>
          <w:r w:rsidRPr="00272093">
            <w:rPr>
              <w:i/>
            </w:rPr>
            <w:t xml:space="preserve">cientific and </w:t>
          </w:r>
          <w:r w:rsidR="00272093" w:rsidRPr="00272093">
            <w:rPr>
              <w:i/>
            </w:rPr>
            <w:t>T</w:t>
          </w:r>
          <w:r w:rsidRPr="00272093">
            <w:rPr>
              <w:i/>
            </w:rPr>
            <w:t xml:space="preserve">echnical </w:t>
          </w:r>
          <w:r w:rsidR="00272093" w:rsidRPr="00272093">
            <w:rPr>
              <w:i/>
            </w:rPr>
            <w:t>S</w:t>
          </w:r>
          <w:r w:rsidRPr="00272093">
            <w:rPr>
              <w:i/>
            </w:rPr>
            <w:t>ervices</w:t>
          </w:r>
          <w:r>
            <w:t xml:space="preserve"> in 2009</w:t>
          </w:r>
          <w:r>
            <w:rPr>
              <w:rFonts w:cstheme="minorHAnsi"/>
            </w:rPr>
            <w:t>–</w:t>
          </w:r>
          <w:r w:rsidRPr="0003625E">
            <w:t>10</w:t>
          </w:r>
          <w:r>
            <w:rPr>
              <w:i/>
            </w:rPr>
            <w:t>.</w:t>
          </w:r>
          <w:r>
            <w:t xml:space="preserve"> Businesses seeking ideas for innovation are more likely to approach consultants in the </w:t>
          </w:r>
          <w:r w:rsidRPr="003D7132">
            <w:rPr>
              <w:i/>
            </w:rPr>
            <w:t>Professional, Scientific and Technical Services</w:t>
          </w:r>
          <w:r w:rsidRPr="004D5270">
            <w:t xml:space="preserve"> industry than they are to seek ideas from research organisations</w:t>
          </w:r>
          <w:r w:rsidR="00DC5E7E">
            <w:t>.</w:t>
          </w:r>
          <w:r w:rsidR="00DC5E7E">
            <w:rPr>
              <w:rStyle w:val="FootnoteReference"/>
            </w:rPr>
            <w:footnoteReference w:id="43"/>
          </w:r>
          <w:r w:rsidR="00DC5E7E">
            <w:t xml:space="preserve"> </w:t>
          </w:r>
          <w:r>
            <w:t xml:space="preserve">R&amp;D in this sector is also less concentrated in large firms. In this context we suggest that </w:t>
          </w:r>
          <w:r w:rsidRPr="006D27FC">
            <w:rPr>
              <w:i/>
            </w:rPr>
            <w:t>Professional, Scientific and Technical Services</w:t>
          </w:r>
          <w:r>
            <w:t xml:space="preserve"> acts as a transformative service industry for innovative entrepreneurship</w:t>
          </w:r>
          <w:r w:rsidR="00253B22">
            <w:t xml:space="preserve"> across regions of Australia</w:t>
          </w:r>
          <w:r>
            <w:t xml:space="preserve">. </w:t>
          </w:r>
        </w:p>
        <w:p w14:paraId="7BD371D6" w14:textId="47022BF8" w:rsidR="00830FDC" w:rsidRPr="00866271" w:rsidRDefault="00866271" w:rsidP="00866271">
          <w:pPr>
            <w:pStyle w:val="Heading1"/>
            <w:numPr>
              <w:ilvl w:val="0"/>
              <w:numId w:val="0"/>
            </w:numPr>
            <w:ind w:left="2160"/>
          </w:pPr>
          <w:r>
            <w:t>Appendix A</w:t>
          </w:r>
          <w:r>
            <w:tab/>
          </w:r>
          <w:r w:rsidR="00830FDC" w:rsidRPr="00866271">
            <w:t>Definitions and methodology</w:t>
          </w:r>
        </w:p>
        <w:p w14:paraId="79C323BD" w14:textId="58CA4A8C" w:rsidR="00830FDC" w:rsidRPr="00AE4F29" w:rsidRDefault="00830FDC" w:rsidP="00866271">
          <w:pPr>
            <w:pStyle w:val="Heading7"/>
            <w:numPr>
              <w:ilvl w:val="6"/>
              <w:numId w:val="40"/>
            </w:numPr>
            <w:rPr>
              <w:rFonts w:eastAsia="Times New Roman"/>
            </w:rPr>
          </w:pPr>
          <w:r w:rsidRPr="00AE4F29">
            <w:rPr>
              <w:rFonts w:eastAsia="Times New Roman"/>
            </w:rPr>
            <w:t>Data sources and definitions</w:t>
          </w:r>
        </w:p>
        <w:p w14:paraId="31286D42" w14:textId="68A016D3" w:rsidR="00491275" w:rsidRPr="00491275" w:rsidRDefault="00491275" w:rsidP="00491275">
          <w:pPr>
            <w:pStyle w:val="BodyText"/>
          </w:pPr>
          <w:r w:rsidRPr="00491275">
            <w:t>The paper examines trends in R&amp;D expenditure, patent and trademark activity, taking these measures as proxies for innovation, while new business entries are considered to represent entrepreneurial activity. Expenditure on R&amp;D is considered an input indicator for innovation while patents and trademarks are intermediate output indicators of innovation (Medonca et al.  2004). For the purpose of this study, the expenditure in R&amp;D was captured through the R&amp;D Tax Incentive (formerly the R&amp;D Tax Concession), which is the Australian Government’s major programme for promoting innovation. It is jointly administered by AusIndustry (on behalf of Innovation Australia) and the Australian Tax Office and provides targeted tax offsets to encourage more firms to engage in R&amp;D.</w:t>
          </w:r>
        </w:p>
        <w:p w14:paraId="41FD3D11" w14:textId="77777777" w:rsidR="00830FDC" w:rsidRDefault="00830FDC" w:rsidP="00830FDC">
          <w:pPr>
            <w:spacing w:line="270" w:lineRule="exact"/>
          </w:pPr>
          <w:r>
            <w:t xml:space="preserve">Although care was taken to check for accuracy, there may be discrepancies due to the year of reporting by firms claiming this tax benefit. To minimise these effects, the median expenditure spanning financial years ending in June 2009 till June 2013 was taken for each SA3 region for mapping purposes. With the transition from the R&amp;D Tax Concession to the R&amp;D Tax Incentive programme in 2011, companies are no longer required to report where their R&amp;D activity takes place and this has biased reporting of R&amp;D as taking place in head office locations. </w:t>
          </w:r>
        </w:p>
        <w:p w14:paraId="2B1C81FB" w14:textId="77777777" w:rsidR="00830FDC" w:rsidRDefault="00830FDC" w:rsidP="00830FDC">
          <w:pPr>
            <w:spacing w:line="270" w:lineRule="exact"/>
            <w:rPr>
              <w:rFonts w:asciiTheme="minorHAnsi" w:hAnsiTheme="minorHAnsi"/>
            </w:rPr>
          </w:pPr>
          <w:r w:rsidRPr="00AE4F29">
            <w:rPr>
              <w:rFonts w:asciiTheme="minorHAnsi" w:hAnsiTheme="minorHAnsi"/>
            </w:rPr>
            <w:t xml:space="preserve">A patent is a codified form of knowledge that is a legally enforceable right to exploit an invention and to protect any potential loss of its value from other users, such as rival businesses copying the distinctive features of the invention. </w:t>
          </w:r>
          <w:r>
            <w:rPr>
              <w:rFonts w:asciiTheme="minorHAnsi" w:hAnsiTheme="minorHAnsi"/>
            </w:rPr>
            <w:t xml:space="preserve">National phase patent applications allow the applicant protection nationally. </w:t>
          </w:r>
          <w:r>
            <w:rPr>
              <w:szCs w:val="20"/>
              <w:lang w:val="en"/>
            </w:rPr>
            <w:t>Patent Cooperation Treaty (PCT) applications are administered by the World Intellectual Property Organization. These types of applications take automatic effect in 148 countries and allows the applicant further time to decide whether they want to pursue patent protection and in which countries</w:t>
          </w:r>
        </w:p>
        <w:p w14:paraId="7FB334A0" w14:textId="77777777" w:rsidR="00830FDC" w:rsidRDefault="00830FDC" w:rsidP="00830FDC">
          <w:pPr>
            <w:spacing w:line="270" w:lineRule="exact"/>
            <w:rPr>
              <w:rFonts w:asciiTheme="minorHAnsi" w:hAnsiTheme="minorHAnsi"/>
            </w:rPr>
          </w:pPr>
          <w:r w:rsidRPr="00AE4F29">
            <w:rPr>
              <w:rFonts w:asciiTheme="minorHAnsi" w:hAnsiTheme="minorHAnsi"/>
            </w:rPr>
            <w:t xml:space="preserve">Patents have a number of significant economic effects. They effectively confer a monopoly on an invention for a finite period, in Australia for twenty years. Patents therefore shield their owners from competition for the life of the patent, or the economic life of the products that are developed from the patent. The promise of monopoly rights to exploit knowledge then encourages further innovation which can lift economic growth. </w:t>
          </w:r>
        </w:p>
        <w:p w14:paraId="18F6D20B" w14:textId="2F535E91" w:rsidR="00830FDC" w:rsidRDefault="00830FDC" w:rsidP="00830FDC">
          <w:pPr>
            <w:rPr>
              <w:lang w:eastAsia="en-AU"/>
            </w:rPr>
          </w:pPr>
          <w:r>
            <w:rPr>
              <w:lang w:eastAsia="en-AU"/>
            </w:rPr>
            <w:t>Patent counts included in this analysis comprised of standard, innovation, and provisional</w:t>
          </w:r>
          <w:r w:rsidR="00AE5708">
            <w:rPr>
              <w:lang w:eastAsia="en-AU"/>
            </w:rPr>
            <w:t>, non-practicing entity</w:t>
          </w:r>
          <w:r>
            <w:rPr>
              <w:lang w:eastAsia="en-AU"/>
            </w:rPr>
            <w:t xml:space="preserve"> patent applications. All patent types were aggregated to study the geography of innovation in Australia (See Tables A1 and A2).  </w:t>
          </w:r>
        </w:p>
        <w:p w14:paraId="4FE4A379" w14:textId="77777777" w:rsidR="00830FDC" w:rsidRDefault="00830FDC" w:rsidP="00830FDC">
          <w:pPr>
            <w:rPr>
              <w:lang w:eastAsia="en-AU"/>
            </w:rPr>
          </w:pPr>
          <w:r>
            <w:rPr>
              <w:lang w:eastAsia="en-AU"/>
            </w:rPr>
            <w:t>A standard patent gives long-term protection and control over an invention. This invention has a high novelty threshold and is significantly different from existing technology. Standard patents accounts for approximately 27 per cent of the total patent application counts in this analysis. Conversely, innovation patents have a ‘lower inventive threshold’ and lasts for a shorter period of time. These are easily granted if the applicant shows innovative incremental advances in an existing technology. Approximately 12 per cent of the total patent application counts comprised of innovation patents. Finally, the provisional patents account for approximately 60 per cent of the cumulative patent application counts in our analysis. Provisional patents are not enforceable, but allow the applicants in a competitive industry to establish a priority date. A standard or innovation patent is filed within 12 months to acquire enforceable IP protection.</w:t>
          </w:r>
        </w:p>
        <w:p w14:paraId="11602AA2" w14:textId="3299AAD1" w:rsidR="00830FDC" w:rsidRDefault="00830FDC" w:rsidP="00830FDC">
          <w:pPr>
            <w:spacing w:line="270" w:lineRule="exact"/>
            <w:rPr>
              <w:rFonts w:asciiTheme="minorHAnsi" w:hAnsiTheme="minorHAnsi"/>
            </w:rPr>
          </w:pPr>
          <w:r w:rsidRPr="00AE4F29">
            <w:rPr>
              <w:rFonts w:asciiTheme="minorHAnsi" w:hAnsiTheme="minorHAnsi"/>
            </w:rPr>
            <w:t>Patent records cover a long time span and their comprehensive nature allows for a detailed overview of technical knowledge over long periods. The regional segregation of this data also permits geographical comparisons; however this can be difficult to assess for very large firms. Patent counts are one of the preferred ways of measuring innovation, however it should be noted that patenting propensity varies across industry depending on its technology intensity and the relative cost of patenting versus imitation of the technology. Firms that collaborate on research and development (R&amp;D) also patent more intensively to protect their IP rights.</w:t>
          </w:r>
          <w:r w:rsidR="00810142">
            <w:rPr>
              <w:rStyle w:val="FootnoteReference"/>
              <w:rFonts w:asciiTheme="minorHAnsi" w:hAnsiTheme="minorHAnsi"/>
            </w:rPr>
            <w:footnoteReference w:id="44"/>
          </w:r>
        </w:p>
        <w:p w14:paraId="31503BE1" w14:textId="1743BDCA" w:rsidR="00830FDC" w:rsidRPr="000618FB" w:rsidRDefault="00830FDC" w:rsidP="00830FDC">
          <w:pPr>
            <w:pStyle w:val="CaptionWide"/>
          </w:pPr>
          <w:r w:rsidRPr="000618FB">
            <w:t xml:space="preserve">Table </w:t>
          </w:r>
          <w:fldSimple w:instr=" STYLEREF 6 \s ">
            <w:r w:rsidR="00D55DA4">
              <w:rPr>
                <w:noProof/>
              </w:rPr>
              <w:t>B</w:t>
            </w:r>
          </w:fldSimple>
          <w:fldSimple w:instr=" SEQ Table \* ARABIC \s 6 ">
            <w:r w:rsidR="00D55DA4">
              <w:rPr>
                <w:noProof/>
              </w:rPr>
              <w:t>1</w:t>
            </w:r>
          </w:fldSimple>
          <w:r>
            <w:t>: B</w:t>
          </w:r>
          <w:r w:rsidRPr="007219DC">
            <w:t>reakdown of the subcomponents of total domestic patent application counts used in the analysis</w:t>
          </w:r>
        </w:p>
        <w:tbl>
          <w:tblPr>
            <w:tblW w:w="5001" w:type="pct"/>
            <w:shd w:val="clear" w:color="auto" w:fill="CAE7F3" w:themeFill="accent1" w:themeFillTint="33"/>
            <w:tblLook w:val="0400" w:firstRow="0" w:lastRow="0" w:firstColumn="0" w:lastColumn="0" w:noHBand="0" w:noVBand="1"/>
          </w:tblPr>
          <w:tblGrid>
            <w:gridCol w:w="618"/>
            <w:gridCol w:w="1784"/>
            <w:gridCol w:w="1656"/>
            <w:gridCol w:w="1656"/>
            <w:gridCol w:w="1656"/>
            <w:gridCol w:w="1658"/>
          </w:tblGrid>
          <w:tr w:rsidR="00AE5708" w:rsidRPr="0090525C" w14:paraId="1620FBBA" w14:textId="0FE253BF" w:rsidTr="00866271">
            <w:trPr>
              <w:trHeight w:val="805"/>
            </w:trPr>
            <w:tc>
              <w:tcPr>
                <w:tcW w:w="342" w:type="pct"/>
                <w:shd w:val="clear" w:color="auto" w:fill="22789A" w:themeFill="accent1"/>
                <w:vAlign w:val="center"/>
                <w:hideMark/>
              </w:tcPr>
              <w:p w14:paraId="6E15F4F6" w14:textId="77777777" w:rsidR="00AE5708" w:rsidRPr="0090525C" w:rsidRDefault="00AE5708" w:rsidP="00AE5708">
                <w:pPr>
                  <w:pStyle w:val="Tableheader"/>
                </w:pPr>
                <w:r w:rsidRPr="0090525C">
                  <w:t>Year</w:t>
                </w:r>
              </w:p>
            </w:tc>
            <w:tc>
              <w:tcPr>
                <w:tcW w:w="988" w:type="pct"/>
                <w:shd w:val="clear" w:color="auto" w:fill="22789A" w:themeFill="accent1"/>
                <w:vAlign w:val="center"/>
                <w:hideMark/>
              </w:tcPr>
              <w:p w14:paraId="5B63737B" w14:textId="77777777" w:rsidR="00AE5708" w:rsidRPr="0090525C" w:rsidRDefault="00AE5708" w:rsidP="00AE5708">
                <w:pPr>
                  <w:pStyle w:val="Tableheader"/>
                  <w:jc w:val="right"/>
                </w:pPr>
                <w:r w:rsidRPr="0090525C">
                  <w:t>Australian Patent applications, total</w:t>
                </w:r>
              </w:p>
            </w:tc>
            <w:tc>
              <w:tcPr>
                <w:tcW w:w="917" w:type="pct"/>
                <w:shd w:val="clear" w:color="auto" w:fill="22789A" w:themeFill="accent1"/>
                <w:vAlign w:val="center"/>
                <w:hideMark/>
              </w:tcPr>
              <w:p w14:paraId="1152281A" w14:textId="77777777" w:rsidR="00AE5708" w:rsidRPr="0090525C" w:rsidRDefault="00AE5708" w:rsidP="00AE5708">
                <w:pPr>
                  <w:pStyle w:val="Tableheader"/>
                  <w:jc w:val="right"/>
                </w:pPr>
                <w:r w:rsidRPr="0090525C">
                  <w:t>Standard Patent share (per cent)</w:t>
                </w:r>
              </w:p>
            </w:tc>
            <w:tc>
              <w:tcPr>
                <w:tcW w:w="917" w:type="pct"/>
                <w:shd w:val="clear" w:color="auto" w:fill="22789A" w:themeFill="accent1"/>
                <w:vAlign w:val="center"/>
                <w:hideMark/>
              </w:tcPr>
              <w:p w14:paraId="17D92EEF" w14:textId="77777777" w:rsidR="00AE5708" w:rsidRPr="0090525C" w:rsidRDefault="00AE5708" w:rsidP="00AE5708">
                <w:pPr>
                  <w:pStyle w:val="Tableheader"/>
                  <w:jc w:val="right"/>
                </w:pPr>
                <w:r w:rsidRPr="0090525C">
                  <w:t>Innovation patent share (per cent)</w:t>
                </w:r>
              </w:p>
            </w:tc>
            <w:tc>
              <w:tcPr>
                <w:tcW w:w="917" w:type="pct"/>
                <w:shd w:val="clear" w:color="auto" w:fill="22789A" w:themeFill="accent1"/>
                <w:vAlign w:val="center"/>
                <w:hideMark/>
              </w:tcPr>
              <w:p w14:paraId="01EA573A" w14:textId="77777777" w:rsidR="00AE5708" w:rsidRPr="0090525C" w:rsidRDefault="00AE5708" w:rsidP="00AE5708">
                <w:pPr>
                  <w:pStyle w:val="Tableheader"/>
                  <w:jc w:val="right"/>
                </w:pPr>
                <w:r w:rsidRPr="0090525C">
                  <w:t>Provisional patent share (per cent)</w:t>
                </w:r>
              </w:p>
            </w:tc>
            <w:tc>
              <w:tcPr>
                <w:tcW w:w="918" w:type="pct"/>
                <w:shd w:val="clear" w:color="auto" w:fill="22789A" w:themeFill="accent1"/>
                <w:vAlign w:val="center"/>
              </w:tcPr>
              <w:p w14:paraId="726CF72A" w14:textId="69F46F59" w:rsidR="00AE5708" w:rsidRPr="0090525C" w:rsidRDefault="00AE5708" w:rsidP="00AE5708">
                <w:pPr>
                  <w:pStyle w:val="Tableheader"/>
                  <w:jc w:val="right"/>
                </w:pPr>
                <w:r>
                  <w:t xml:space="preserve">NPE </w:t>
                </w:r>
                <w:r w:rsidRPr="0090525C">
                  <w:t>patent share (per cent)</w:t>
                </w:r>
              </w:p>
            </w:tc>
          </w:tr>
          <w:tr w:rsidR="008C2A59" w:rsidRPr="0090525C" w14:paraId="6629BB52" w14:textId="1B87403B" w:rsidTr="00866271">
            <w:trPr>
              <w:trHeight w:val="373"/>
            </w:trPr>
            <w:tc>
              <w:tcPr>
                <w:tcW w:w="342" w:type="pct"/>
                <w:shd w:val="clear" w:color="auto" w:fill="CAE7F3" w:themeFill="accent1" w:themeFillTint="33"/>
                <w:vAlign w:val="center"/>
                <w:hideMark/>
              </w:tcPr>
              <w:p w14:paraId="0A65D622" w14:textId="77777777" w:rsidR="008C2A59" w:rsidRPr="0090525C" w:rsidRDefault="008C2A59" w:rsidP="008C2A59">
                <w:pPr>
                  <w:pStyle w:val="Tabletext"/>
                </w:pPr>
                <w:r w:rsidRPr="0090525C">
                  <w:t>2008</w:t>
                </w:r>
              </w:p>
            </w:tc>
            <w:tc>
              <w:tcPr>
                <w:tcW w:w="988" w:type="pct"/>
                <w:shd w:val="clear" w:color="auto" w:fill="CAE7F3" w:themeFill="accent1" w:themeFillTint="33"/>
                <w:vAlign w:val="center"/>
              </w:tcPr>
              <w:p w14:paraId="7FD48C5F" w14:textId="04E73DA8" w:rsidR="008C2A59" w:rsidRPr="0090525C" w:rsidRDefault="008C2A59" w:rsidP="008C2A59">
                <w:pPr>
                  <w:pStyle w:val="Tabletext"/>
                  <w:jc w:val="right"/>
                </w:pPr>
                <w:r>
                  <w:t>9,884</w:t>
                </w:r>
              </w:p>
            </w:tc>
            <w:tc>
              <w:tcPr>
                <w:tcW w:w="917" w:type="pct"/>
                <w:shd w:val="clear" w:color="auto" w:fill="CAE7F3" w:themeFill="accent1" w:themeFillTint="33"/>
                <w:noWrap/>
                <w:vAlign w:val="bottom"/>
              </w:tcPr>
              <w:p w14:paraId="181A174B" w14:textId="2E107700" w:rsidR="008C2A59" w:rsidRPr="0090525C" w:rsidRDefault="008C2A59" w:rsidP="008C2A59">
                <w:pPr>
                  <w:pStyle w:val="Tabletext"/>
                  <w:jc w:val="right"/>
                </w:pPr>
                <w:r>
                  <w:t>13.2</w:t>
                </w:r>
              </w:p>
            </w:tc>
            <w:tc>
              <w:tcPr>
                <w:tcW w:w="917" w:type="pct"/>
                <w:shd w:val="clear" w:color="auto" w:fill="CAE7F3" w:themeFill="accent1" w:themeFillTint="33"/>
                <w:noWrap/>
                <w:vAlign w:val="bottom"/>
              </w:tcPr>
              <w:p w14:paraId="3BFC589C" w14:textId="70CB2550" w:rsidR="008C2A59" w:rsidRPr="0090525C" w:rsidRDefault="008C2A59" w:rsidP="008C2A59">
                <w:pPr>
                  <w:pStyle w:val="Tabletext"/>
                  <w:jc w:val="right"/>
                </w:pPr>
                <w:r>
                  <w:t>9.3</w:t>
                </w:r>
              </w:p>
            </w:tc>
            <w:tc>
              <w:tcPr>
                <w:tcW w:w="917" w:type="pct"/>
                <w:shd w:val="clear" w:color="auto" w:fill="CAE7F3" w:themeFill="accent1" w:themeFillTint="33"/>
                <w:noWrap/>
                <w:vAlign w:val="bottom"/>
              </w:tcPr>
              <w:p w14:paraId="5AE033A2" w14:textId="4AE396F8" w:rsidR="008C2A59" w:rsidRPr="0090525C" w:rsidRDefault="008C2A59" w:rsidP="008C2A59">
                <w:pPr>
                  <w:pStyle w:val="Tabletext"/>
                  <w:jc w:val="right"/>
                </w:pPr>
                <w:r>
                  <w:t>65.1</w:t>
                </w:r>
              </w:p>
            </w:tc>
            <w:tc>
              <w:tcPr>
                <w:tcW w:w="918" w:type="pct"/>
                <w:shd w:val="clear" w:color="auto" w:fill="CAE7F3" w:themeFill="accent1" w:themeFillTint="33"/>
                <w:vAlign w:val="bottom"/>
              </w:tcPr>
              <w:p w14:paraId="6056F82F" w14:textId="283BFCF8" w:rsidR="008C2A59" w:rsidRPr="0090525C" w:rsidRDefault="008C2A59" w:rsidP="008C2A59">
                <w:pPr>
                  <w:pStyle w:val="Tabletext"/>
                  <w:jc w:val="right"/>
                </w:pPr>
                <w:r>
                  <w:t>12.4</w:t>
                </w:r>
              </w:p>
            </w:tc>
          </w:tr>
          <w:tr w:rsidR="008C2A59" w:rsidRPr="0090525C" w14:paraId="2055E100" w14:textId="5EB8FE3E" w:rsidTr="00866271">
            <w:trPr>
              <w:trHeight w:val="300"/>
            </w:trPr>
            <w:tc>
              <w:tcPr>
                <w:tcW w:w="342" w:type="pct"/>
                <w:shd w:val="clear" w:color="auto" w:fill="CAE7F3" w:themeFill="accent1" w:themeFillTint="33"/>
                <w:vAlign w:val="center"/>
                <w:hideMark/>
              </w:tcPr>
              <w:p w14:paraId="6A042116" w14:textId="77777777" w:rsidR="008C2A59" w:rsidRPr="0090525C" w:rsidRDefault="008C2A59" w:rsidP="008C2A59">
                <w:pPr>
                  <w:pStyle w:val="Tabletext"/>
                </w:pPr>
                <w:r w:rsidRPr="0090525C">
                  <w:t>2009</w:t>
                </w:r>
              </w:p>
            </w:tc>
            <w:tc>
              <w:tcPr>
                <w:tcW w:w="988" w:type="pct"/>
                <w:shd w:val="clear" w:color="auto" w:fill="CAE7F3" w:themeFill="accent1" w:themeFillTint="33"/>
                <w:vAlign w:val="center"/>
              </w:tcPr>
              <w:p w14:paraId="3B764333" w14:textId="48F62368" w:rsidR="008C2A59" w:rsidRPr="0090525C" w:rsidRDefault="008C2A59" w:rsidP="008C2A59">
                <w:pPr>
                  <w:pStyle w:val="Tabletext"/>
                  <w:jc w:val="right"/>
                </w:pPr>
                <w:r>
                  <w:t>9,472</w:t>
                </w:r>
              </w:p>
            </w:tc>
            <w:tc>
              <w:tcPr>
                <w:tcW w:w="917" w:type="pct"/>
                <w:shd w:val="clear" w:color="auto" w:fill="CAE7F3" w:themeFill="accent1" w:themeFillTint="33"/>
                <w:noWrap/>
                <w:vAlign w:val="bottom"/>
              </w:tcPr>
              <w:p w14:paraId="42FCDF2F" w14:textId="4BC08B49" w:rsidR="008C2A59" w:rsidRPr="0090525C" w:rsidRDefault="008C2A59" w:rsidP="008C2A59">
                <w:pPr>
                  <w:pStyle w:val="Tabletext"/>
                  <w:jc w:val="right"/>
                </w:pPr>
                <w:r>
                  <w:t>14.2</w:t>
                </w:r>
              </w:p>
            </w:tc>
            <w:tc>
              <w:tcPr>
                <w:tcW w:w="917" w:type="pct"/>
                <w:shd w:val="clear" w:color="auto" w:fill="CAE7F3" w:themeFill="accent1" w:themeFillTint="33"/>
                <w:noWrap/>
                <w:vAlign w:val="bottom"/>
              </w:tcPr>
              <w:p w14:paraId="7A0AD7E0" w14:textId="51CBF17B" w:rsidR="008C2A59" w:rsidRPr="0090525C" w:rsidRDefault="008C2A59" w:rsidP="008C2A59">
                <w:pPr>
                  <w:pStyle w:val="Tabletext"/>
                  <w:jc w:val="right"/>
                </w:pPr>
                <w:r>
                  <w:t>10.5</w:t>
                </w:r>
              </w:p>
            </w:tc>
            <w:tc>
              <w:tcPr>
                <w:tcW w:w="917" w:type="pct"/>
                <w:shd w:val="clear" w:color="auto" w:fill="CAE7F3" w:themeFill="accent1" w:themeFillTint="33"/>
                <w:noWrap/>
                <w:vAlign w:val="bottom"/>
              </w:tcPr>
              <w:p w14:paraId="0D08A95C" w14:textId="325DF150" w:rsidR="008C2A59" w:rsidRPr="0090525C" w:rsidRDefault="008C2A59" w:rsidP="008C2A59">
                <w:pPr>
                  <w:pStyle w:val="Tabletext"/>
                  <w:jc w:val="right"/>
                </w:pPr>
                <w:r>
                  <w:t>63.6</w:t>
                </w:r>
              </w:p>
            </w:tc>
            <w:tc>
              <w:tcPr>
                <w:tcW w:w="918" w:type="pct"/>
                <w:shd w:val="clear" w:color="auto" w:fill="CAE7F3" w:themeFill="accent1" w:themeFillTint="33"/>
                <w:vAlign w:val="bottom"/>
              </w:tcPr>
              <w:p w14:paraId="4751C6CA" w14:textId="5466F79A" w:rsidR="008C2A59" w:rsidRPr="0090525C" w:rsidRDefault="008C2A59" w:rsidP="008C2A59">
                <w:pPr>
                  <w:pStyle w:val="Tabletext"/>
                  <w:jc w:val="right"/>
                </w:pPr>
                <w:r>
                  <w:t>11.6</w:t>
                </w:r>
              </w:p>
            </w:tc>
          </w:tr>
          <w:tr w:rsidR="008C2A59" w:rsidRPr="0090525C" w14:paraId="7B45F5DA" w14:textId="3242EC70" w:rsidTr="00866271">
            <w:trPr>
              <w:trHeight w:val="300"/>
            </w:trPr>
            <w:tc>
              <w:tcPr>
                <w:tcW w:w="342" w:type="pct"/>
                <w:shd w:val="clear" w:color="auto" w:fill="CAE7F3" w:themeFill="accent1" w:themeFillTint="33"/>
                <w:vAlign w:val="center"/>
                <w:hideMark/>
              </w:tcPr>
              <w:p w14:paraId="19A587C8" w14:textId="77777777" w:rsidR="008C2A59" w:rsidRPr="0090525C" w:rsidRDefault="008C2A59" w:rsidP="008C2A59">
                <w:pPr>
                  <w:pStyle w:val="Tabletext"/>
                </w:pPr>
                <w:r w:rsidRPr="0090525C">
                  <w:t>2010</w:t>
                </w:r>
              </w:p>
            </w:tc>
            <w:tc>
              <w:tcPr>
                <w:tcW w:w="988" w:type="pct"/>
                <w:shd w:val="clear" w:color="auto" w:fill="CAE7F3" w:themeFill="accent1" w:themeFillTint="33"/>
                <w:vAlign w:val="center"/>
              </w:tcPr>
              <w:p w14:paraId="7E56C1C5" w14:textId="62A0EA43" w:rsidR="008C2A59" w:rsidRPr="0090525C" w:rsidRDefault="008C2A59" w:rsidP="008C2A59">
                <w:pPr>
                  <w:pStyle w:val="Tabletext"/>
                  <w:jc w:val="right"/>
                </w:pPr>
                <w:r>
                  <w:t>8,866</w:t>
                </w:r>
              </w:p>
            </w:tc>
            <w:tc>
              <w:tcPr>
                <w:tcW w:w="917" w:type="pct"/>
                <w:shd w:val="clear" w:color="auto" w:fill="CAE7F3" w:themeFill="accent1" w:themeFillTint="33"/>
                <w:noWrap/>
                <w:vAlign w:val="bottom"/>
              </w:tcPr>
              <w:p w14:paraId="615492A8" w14:textId="2DC60852" w:rsidR="008C2A59" w:rsidRPr="0090525C" w:rsidRDefault="008C2A59" w:rsidP="008C2A59">
                <w:pPr>
                  <w:pStyle w:val="Tabletext"/>
                  <w:jc w:val="right"/>
                </w:pPr>
                <w:r>
                  <w:t>14.3</w:t>
                </w:r>
              </w:p>
            </w:tc>
            <w:tc>
              <w:tcPr>
                <w:tcW w:w="917" w:type="pct"/>
                <w:shd w:val="clear" w:color="auto" w:fill="CAE7F3" w:themeFill="accent1" w:themeFillTint="33"/>
                <w:noWrap/>
                <w:vAlign w:val="bottom"/>
              </w:tcPr>
              <w:p w14:paraId="048B2D0C" w14:textId="4902A680" w:rsidR="008C2A59" w:rsidRPr="0090525C" w:rsidRDefault="008C2A59" w:rsidP="008C2A59">
                <w:pPr>
                  <w:pStyle w:val="Tabletext"/>
                  <w:jc w:val="right"/>
                </w:pPr>
                <w:r>
                  <w:t>11.4</w:t>
                </w:r>
              </w:p>
            </w:tc>
            <w:tc>
              <w:tcPr>
                <w:tcW w:w="917" w:type="pct"/>
                <w:shd w:val="clear" w:color="auto" w:fill="CAE7F3" w:themeFill="accent1" w:themeFillTint="33"/>
                <w:noWrap/>
                <w:vAlign w:val="bottom"/>
              </w:tcPr>
              <w:p w14:paraId="6A4BDC0E" w14:textId="56E88C4A" w:rsidR="008C2A59" w:rsidRPr="0090525C" w:rsidRDefault="008C2A59" w:rsidP="008C2A59">
                <w:pPr>
                  <w:pStyle w:val="Tabletext"/>
                  <w:jc w:val="right"/>
                </w:pPr>
                <w:r>
                  <w:t>62.1</w:t>
                </w:r>
              </w:p>
            </w:tc>
            <w:tc>
              <w:tcPr>
                <w:tcW w:w="918" w:type="pct"/>
                <w:shd w:val="clear" w:color="auto" w:fill="CAE7F3" w:themeFill="accent1" w:themeFillTint="33"/>
                <w:vAlign w:val="bottom"/>
              </w:tcPr>
              <w:p w14:paraId="7B3D1889" w14:textId="5F27D57E" w:rsidR="008C2A59" w:rsidRPr="0090525C" w:rsidRDefault="008C2A59" w:rsidP="008C2A59">
                <w:pPr>
                  <w:pStyle w:val="Tabletext"/>
                  <w:jc w:val="right"/>
                </w:pPr>
                <w:r>
                  <w:t>12.1</w:t>
                </w:r>
              </w:p>
            </w:tc>
          </w:tr>
          <w:tr w:rsidR="008C2A59" w:rsidRPr="0090525C" w14:paraId="2341E070" w14:textId="4CF4BB82" w:rsidTr="00866271">
            <w:trPr>
              <w:trHeight w:val="300"/>
            </w:trPr>
            <w:tc>
              <w:tcPr>
                <w:tcW w:w="342" w:type="pct"/>
                <w:shd w:val="clear" w:color="auto" w:fill="CAE7F3" w:themeFill="accent1" w:themeFillTint="33"/>
                <w:vAlign w:val="center"/>
                <w:hideMark/>
              </w:tcPr>
              <w:p w14:paraId="45F59432" w14:textId="77777777" w:rsidR="008C2A59" w:rsidRPr="0090525C" w:rsidRDefault="008C2A59" w:rsidP="008C2A59">
                <w:pPr>
                  <w:pStyle w:val="Tabletext"/>
                </w:pPr>
                <w:r w:rsidRPr="0090525C">
                  <w:t>2011</w:t>
                </w:r>
              </w:p>
            </w:tc>
            <w:tc>
              <w:tcPr>
                <w:tcW w:w="988" w:type="pct"/>
                <w:shd w:val="clear" w:color="auto" w:fill="CAE7F3" w:themeFill="accent1" w:themeFillTint="33"/>
                <w:vAlign w:val="center"/>
              </w:tcPr>
              <w:p w14:paraId="7943207F" w14:textId="35AF5C4D" w:rsidR="008C2A59" w:rsidRPr="0090525C" w:rsidRDefault="008C2A59" w:rsidP="008C2A59">
                <w:pPr>
                  <w:pStyle w:val="Tabletext"/>
                  <w:jc w:val="right"/>
                </w:pPr>
                <w:r>
                  <w:t>8,597</w:t>
                </w:r>
              </w:p>
            </w:tc>
            <w:tc>
              <w:tcPr>
                <w:tcW w:w="917" w:type="pct"/>
                <w:shd w:val="clear" w:color="auto" w:fill="CAE7F3" w:themeFill="accent1" w:themeFillTint="33"/>
                <w:noWrap/>
                <w:vAlign w:val="bottom"/>
              </w:tcPr>
              <w:p w14:paraId="1F429C47" w14:textId="535DCFD8" w:rsidR="008C2A59" w:rsidRPr="0090525C" w:rsidRDefault="008C2A59" w:rsidP="008C2A59">
                <w:pPr>
                  <w:pStyle w:val="Tabletext"/>
                  <w:jc w:val="right"/>
                </w:pPr>
                <w:r>
                  <w:t>14.8</w:t>
                </w:r>
              </w:p>
            </w:tc>
            <w:tc>
              <w:tcPr>
                <w:tcW w:w="917" w:type="pct"/>
                <w:shd w:val="clear" w:color="auto" w:fill="CAE7F3" w:themeFill="accent1" w:themeFillTint="33"/>
                <w:noWrap/>
                <w:vAlign w:val="bottom"/>
              </w:tcPr>
              <w:p w14:paraId="5972183F" w14:textId="5C24BB45" w:rsidR="008C2A59" w:rsidRPr="0090525C" w:rsidRDefault="008C2A59" w:rsidP="008C2A59">
                <w:pPr>
                  <w:pStyle w:val="Tabletext"/>
                  <w:jc w:val="right"/>
                </w:pPr>
                <w:r>
                  <w:t>12.6</w:t>
                </w:r>
              </w:p>
            </w:tc>
            <w:tc>
              <w:tcPr>
                <w:tcW w:w="917" w:type="pct"/>
                <w:shd w:val="clear" w:color="auto" w:fill="CAE7F3" w:themeFill="accent1" w:themeFillTint="33"/>
                <w:noWrap/>
                <w:vAlign w:val="bottom"/>
              </w:tcPr>
              <w:p w14:paraId="09191B88" w14:textId="61AFE149" w:rsidR="008C2A59" w:rsidRPr="0090525C" w:rsidRDefault="008C2A59" w:rsidP="008C2A59">
                <w:pPr>
                  <w:pStyle w:val="Tabletext"/>
                  <w:jc w:val="right"/>
                </w:pPr>
                <w:r>
                  <w:t>60.7</w:t>
                </w:r>
              </w:p>
            </w:tc>
            <w:tc>
              <w:tcPr>
                <w:tcW w:w="918" w:type="pct"/>
                <w:shd w:val="clear" w:color="auto" w:fill="CAE7F3" w:themeFill="accent1" w:themeFillTint="33"/>
                <w:vAlign w:val="bottom"/>
              </w:tcPr>
              <w:p w14:paraId="364AE2EE" w14:textId="67D5703C" w:rsidR="008C2A59" w:rsidRPr="0090525C" w:rsidRDefault="008C2A59" w:rsidP="008C2A59">
                <w:pPr>
                  <w:pStyle w:val="Tabletext"/>
                  <w:jc w:val="right"/>
                </w:pPr>
                <w:r>
                  <w:t>11.9</w:t>
                </w:r>
              </w:p>
            </w:tc>
          </w:tr>
          <w:tr w:rsidR="008C2A59" w:rsidRPr="0090525C" w14:paraId="05196237" w14:textId="63513E72" w:rsidTr="00866271">
            <w:trPr>
              <w:trHeight w:val="300"/>
            </w:trPr>
            <w:tc>
              <w:tcPr>
                <w:tcW w:w="342" w:type="pct"/>
                <w:shd w:val="clear" w:color="auto" w:fill="CAE7F3" w:themeFill="accent1" w:themeFillTint="33"/>
                <w:vAlign w:val="center"/>
                <w:hideMark/>
              </w:tcPr>
              <w:p w14:paraId="314BECB9" w14:textId="77777777" w:rsidR="008C2A59" w:rsidRPr="0090525C" w:rsidRDefault="008C2A59" w:rsidP="008C2A59">
                <w:pPr>
                  <w:pStyle w:val="Tabletext"/>
                </w:pPr>
                <w:r w:rsidRPr="0090525C">
                  <w:t>2012</w:t>
                </w:r>
              </w:p>
            </w:tc>
            <w:tc>
              <w:tcPr>
                <w:tcW w:w="988" w:type="pct"/>
                <w:shd w:val="clear" w:color="auto" w:fill="CAE7F3" w:themeFill="accent1" w:themeFillTint="33"/>
                <w:vAlign w:val="center"/>
              </w:tcPr>
              <w:p w14:paraId="48C54C59" w14:textId="5F0EB2AA" w:rsidR="008C2A59" w:rsidRPr="0090525C" w:rsidRDefault="008C2A59" w:rsidP="008C2A59">
                <w:pPr>
                  <w:pStyle w:val="Tabletext"/>
                  <w:jc w:val="right"/>
                </w:pPr>
                <w:r>
                  <w:t>8,966</w:t>
                </w:r>
              </w:p>
            </w:tc>
            <w:tc>
              <w:tcPr>
                <w:tcW w:w="917" w:type="pct"/>
                <w:shd w:val="clear" w:color="auto" w:fill="CAE7F3" w:themeFill="accent1" w:themeFillTint="33"/>
                <w:noWrap/>
                <w:vAlign w:val="bottom"/>
              </w:tcPr>
              <w:p w14:paraId="540ED5B0" w14:textId="7305175D" w:rsidR="008C2A59" w:rsidRPr="0090525C" w:rsidRDefault="008C2A59" w:rsidP="008C2A59">
                <w:pPr>
                  <w:pStyle w:val="Tabletext"/>
                  <w:jc w:val="right"/>
                </w:pPr>
                <w:r>
                  <w:t>16.4</w:t>
                </w:r>
              </w:p>
            </w:tc>
            <w:tc>
              <w:tcPr>
                <w:tcW w:w="917" w:type="pct"/>
                <w:shd w:val="clear" w:color="auto" w:fill="CAE7F3" w:themeFill="accent1" w:themeFillTint="33"/>
                <w:noWrap/>
                <w:vAlign w:val="bottom"/>
              </w:tcPr>
              <w:p w14:paraId="5828953B" w14:textId="2E94D078" w:rsidR="008C2A59" w:rsidRPr="0090525C" w:rsidRDefault="008C2A59" w:rsidP="008C2A59">
                <w:pPr>
                  <w:pStyle w:val="Tabletext"/>
                  <w:jc w:val="right"/>
                </w:pPr>
                <w:r>
                  <w:t>12.3</w:t>
                </w:r>
              </w:p>
            </w:tc>
            <w:tc>
              <w:tcPr>
                <w:tcW w:w="917" w:type="pct"/>
                <w:shd w:val="clear" w:color="auto" w:fill="CAE7F3" w:themeFill="accent1" w:themeFillTint="33"/>
                <w:noWrap/>
                <w:vAlign w:val="bottom"/>
              </w:tcPr>
              <w:p w14:paraId="27F1DF89" w14:textId="24CFB91E" w:rsidR="008C2A59" w:rsidRPr="0090525C" w:rsidRDefault="008C2A59" w:rsidP="008C2A59">
                <w:pPr>
                  <w:pStyle w:val="Tabletext"/>
                  <w:jc w:val="right"/>
                </w:pPr>
                <w:r>
                  <w:t>59.5</w:t>
                </w:r>
              </w:p>
            </w:tc>
            <w:tc>
              <w:tcPr>
                <w:tcW w:w="918" w:type="pct"/>
                <w:shd w:val="clear" w:color="auto" w:fill="CAE7F3" w:themeFill="accent1" w:themeFillTint="33"/>
                <w:vAlign w:val="bottom"/>
              </w:tcPr>
              <w:p w14:paraId="37E736C8" w14:textId="490EAD0E" w:rsidR="008C2A59" w:rsidRPr="0090525C" w:rsidRDefault="008C2A59" w:rsidP="008C2A59">
                <w:pPr>
                  <w:pStyle w:val="Tabletext"/>
                  <w:jc w:val="right"/>
                </w:pPr>
                <w:r>
                  <w:t>11.8</w:t>
                </w:r>
              </w:p>
            </w:tc>
          </w:tr>
          <w:tr w:rsidR="008C2A59" w:rsidRPr="0090525C" w14:paraId="7F809689" w14:textId="2307D659" w:rsidTr="00866271">
            <w:trPr>
              <w:trHeight w:val="300"/>
            </w:trPr>
            <w:tc>
              <w:tcPr>
                <w:tcW w:w="342" w:type="pct"/>
                <w:shd w:val="clear" w:color="auto" w:fill="CAE7F3" w:themeFill="accent1" w:themeFillTint="33"/>
                <w:vAlign w:val="center"/>
                <w:hideMark/>
              </w:tcPr>
              <w:p w14:paraId="39D98A7C" w14:textId="77777777" w:rsidR="008C2A59" w:rsidRPr="0090525C" w:rsidRDefault="008C2A59" w:rsidP="008C2A59">
                <w:pPr>
                  <w:pStyle w:val="Tabletext"/>
                </w:pPr>
                <w:r w:rsidRPr="0090525C">
                  <w:t>2013</w:t>
                </w:r>
              </w:p>
            </w:tc>
            <w:tc>
              <w:tcPr>
                <w:tcW w:w="988" w:type="pct"/>
                <w:shd w:val="clear" w:color="auto" w:fill="CAE7F3" w:themeFill="accent1" w:themeFillTint="33"/>
                <w:vAlign w:val="center"/>
              </w:tcPr>
              <w:p w14:paraId="69A27ADB" w14:textId="6AA40D78" w:rsidR="008C2A59" w:rsidRPr="0090525C" w:rsidRDefault="008C2A59" w:rsidP="008C2A59">
                <w:pPr>
                  <w:pStyle w:val="Tabletext"/>
                  <w:jc w:val="right"/>
                </w:pPr>
                <w:r>
                  <w:t>8,943</w:t>
                </w:r>
              </w:p>
            </w:tc>
            <w:tc>
              <w:tcPr>
                <w:tcW w:w="917" w:type="pct"/>
                <w:shd w:val="clear" w:color="auto" w:fill="CAE7F3" w:themeFill="accent1" w:themeFillTint="33"/>
                <w:noWrap/>
                <w:vAlign w:val="bottom"/>
              </w:tcPr>
              <w:p w14:paraId="19500C29" w14:textId="173E8881" w:rsidR="008C2A59" w:rsidRPr="0090525C" w:rsidRDefault="008C2A59" w:rsidP="008C2A59">
                <w:pPr>
                  <w:pStyle w:val="Tabletext"/>
                  <w:jc w:val="right"/>
                </w:pPr>
                <w:r>
                  <w:t>19.8</w:t>
                </w:r>
              </w:p>
            </w:tc>
            <w:tc>
              <w:tcPr>
                <w:tcW w:w="917" w:type="pct"/>
                <w:shd w:val="clear" w:color="auto" w:fill="CAE7F3" w:themeFill="accent1" w:themeFillTint="33"/>
                <w:noWrap/>
                <w:vAlign w:val="bottom"/>
              </w:tcPr>
              <w:p w14:paraId="2EEF4A40" w14:textId="1A61E04A" w:rsidR="008C2A59" w:rsidRPr="0090525C" w:rsidRDefault="008C2A59" w:rsidP="008C2A59">
                <w:pPr>
                  <w:pStyle w:val="Tabletext"/>
                  <w:jc w:val="right"/>
                </w:pPr>
                <w:r>
                  <w:t>11.8</w:t>
                </w:r>
              </w:p>
            </w:tc>
            <w:tc>
              <w:tcPr>
                <w:tcW w:w="917" w:type="pct"/>
                <w:shd w:val="clear" w:color="auto" w:fill="CAE7F3" w:themeFill="accent1" w:themeFillTint="33"/>
                <w:noWrap/>
                <w:vAlign w:val="bottom"/>
              </w:tcPr>
              <w:p w14:paraId="2D004C6C" w14:textId="1322068A" w:rsidR="008C2A59" w:rsidRPr="0090525C" w:rsidRDefault="008C2A59" w:rsidP="008C2A59">
                <w:pPr>
                  <w:pStyle w:val="Tabletext"/>
                  <w:jc w:val="right"/>
                </w:pPr>
                <w:r>
                  <w:t>54.1</w:t>
                </w:r>
              </w:p>
            </w:tc>
            <w:tc>
              <w:tcPr>
                <w:tcW w:w="918" w:type="pct"/>
                <w:shd w:val="clear" w:color="auto" w:fill="CAE7F3" w:themeFill="accent1" w:themeFillTint="33"/>
                <w:vAlign w:val="bottom"/>
              </w:tcPr>
              <w:p w14:paraId="36138BE1" w14:textId="07D51099" w:rsidR="008C2A59" w:rsidRPr="0090525C" w:rsidRDefault="008C2A59" w:rsidP="008C2A59">
                <w:pPr>
                  <w:pStyle w:val="Tabletext"/>
                  <w:jc w:val="right"/>
                </w:pPr>
                <w:r>
                  <w:t>14.2</w:t>
                </w:r>
              </w:p>
            </w:tc>
          </w:tr>
          <w:tr w:rsidR="008C2A59" w:rsidRPr="0090525C" w14:paraId="0518F593" w14:textId="4A12A8B5" w:rsidTr="00866271">
            <w:trPr>
              <w:trHeight w:val="300"/>
            </w:trPr>
            <w:tc>
              <w:tcPr>
                <w:tcW w:w="342" w:type="pct"/>
                <w:shd w:val="clear" w:color="auto" w:fill="CAE7F3" w:themeFill="accent1" w:themeFillTint="33"/>
                <w:vAlign w:val="center"/>
                <w:hideMark/>
              </w:tcPr>
              <w:p w14:paraId="031BF4AB" w14:textId="77777777" w:rsidR="008C2A59" w:rsidRPr="0090525C" w:rsidRDefault="008C2A59" w:rsidP="008C2A59">
                <w:pPr>
                  <w:pStyle w:val="Tabletext"/>
                </w:pPr>
                <w:r w:rsidRPr="0090525C">
                  <w:t>2014</w:t>
                </w:r>
              </w:p>
            </w:tc>
            <w:tc>
              <w:tcPr>
                <w:tcW w:w="988" w:type="pct"/>
                <w:shd w:val="clear" w:color="auto" w:fill="CAE7F3" w:themeFill="accent1" w:themeFillTint="33"/>
                <w:vAlign w:val="center"/>
              </w:tcPr>
              <w:p w14:paraId="6285F100" w14:textId="25EBA802" w:rsidR="008C2A59" w:rsidRPr="0090525C" w:rsidRDefault="008C2A59" w:rsidP="008C2A59">
                <w:pPr>
                  <w:pStyle w:val="Tabletext"/>
                  <w:jc w:val="right"/>
                </w:pPr>
                <w:r>
                  <w:t>7,764</w:t>
                </w:r>
              </w:p>
            </w:tc>
            <w:tc>
              <w:tcPr>
                <w:tcW w:w="917" w:type="pct"/>
                <w:shd w:val="clear" w:color="auto" w:fill="CAE7F3" w:themeFill="accent1" w:themeFillTint="33"/>
                <w:noWrap/>
                <w:vAlign w:val="bottom"/>
              </w:tcPr>
              <w:p w14:paraId="477B85A3" w14:textId="796BBB90" w:rsidR="008C2A59" w:rsidRPr="0090525C" w:rsidRDefault="008C2A59" w:rsidP="008C2A59">
                <w:pPr>
                  <w:pStyle w:val="Tabletext"/>
                  <w:jc w:val="right"/>
                </w:pPr>
                <w:r>
                  <w:t>13.1</w:t>
                </w:r>
              </w:p>
            </w:tc>
            <w:tc>
              <w:tcPr>
                <w:tcW w:w="917" w:type="pct"/>
                <w:shd w:val="clear" w:color="auto" w:fill="CAE7F3" w:themeFill="accent1" w:themeFillTint="33"/>
                <w:noWrap/>
                <w:vAlign w:val="bottom"/>
              </w:tcPr>
              <w:p w14:paraId="68C299A0" w14:textId="7BEE550A" w:rsidR="008C2A59" w:rsidRPr="0090525C" w:rsidRDefault="008C2A59" w:rsidP="008C2A59">
                <w:pPr>
                  <w:pStyle w:val="Tabletext"/>
                  <w:jc w:val="right"/>
                </w:pPr>
                <w:r>
                  <w:t>12.0</w:t>
                </w:r>
              </w:p>
            </w:tc>
            <w:tc>
              <w:tcPr>
                <w:tcW w:w="917" w:type="pct"/>
                <w:shd w:val="clear" w:color="auto" w:fill="CAE7F3" w:themeFill="accent1" w:themeFillTint="33"/>
                <w:noWrap/>
                <w:vAlign w:val="bottom"/>
              </w:tcPr>
              <w:p w14:paraId="0C8C800C" w14:textId="43946A6B" w:rsidR="008C2A59" w:rsidRPr="0090525C" w:rsidRDefault="008C2A59" w:rsidP="008C2A59">
                <w:pPr>
                  <w:pStyle w:val="Tabletext"/>
                  <w:jc w:val="right"/>
                </w:pPr>
                <w:r>
                  <w:t>65.1</w:t>
                </w:r>
              </w:p>
            </w:tc>
            <w:tc>
              <w:tcPr>
                <w:tcW w:w="918" w:type="pct"/>
                <w:shd w:val="clear" w:color="auto" w:fill="CAE7F3" w:themeFill="accent1" w:themeFillTint="33"/>
                <w:vAlign w:val="bottom"/>
              </w:tcPr>
              <w:p w14:paraId="7ADBA2D5" w14:textId="763D9447" w:rsidR="008C2A59" w:rsidRPr="0090525C" w:rsidRDefault="008C2A59" w:rsidP="008C2A59">
                <w:pPr>
                  <w:pStyle w:val="Tabletext"/>
                  <w:jc w:val="right"/>
                </w:pPr>
                <w:r>
                  <w:t>9.9</w:t>
                </w:r>
              </w:p>
            </w:tc>
          </w:tr>
          <w:tr w:rsidR="008C2A59" w:rsidRPr="0090525C" w14:paraId="656D6E2B" w14:textId="77777777" w:rsidTr="00866271">
            <w:trPr>
              <w:trHeight w:val="300"/>
            </w:trPr>
            <w:tc>
              <w:tcPr>
                <w:tcW w:w="342" w:type="pct"/>
                <w:shd w:val="clear" w:color="auto" w:fill="CAE7F3" w:themeFill="accent1" w:themeFillTint="33"/>
                <w:vAlign w:val="center"/>
              </w:tcPr>
              <w:p w14:paraId="15CEE9B7" w14:textId="32284A27" w:rsidR="008C2A59" w:rsidRPr="0090525C" w:rsidRDefault="008C2A59" w:rsidP="008C2A59">
                <w:pPr>
                  <w:pStyle w:val="Tabletext"/>
                </w:pPr>
                <w:r>
                  <w:t>2015</w:t>
                </w:r>
              </w:p>
            </w:tc>
            <w:tc>
              <w:tcPr>
                <w:tcW w:w="988" w:type="pct"/>
                <w:shd w:val="clear" w:color="auto" w:fill="CAE7F3" w:themeFill="accent1" w:themeFillTint="33"/>
                <w:vAlign w:val="center"/>
              </w:tcPr>
              <w:p w14:paraId="3DE8DF1B" w14:textId="299EE12B" w:rsidR="008C2A59" w:rsidRPr="0090525C" w:rsidRDefault="008C2A59" w:rsidP="008C2A59">
                <w:pPr>
                  <w:pStyle w:val="Tabletext"/>
                  <w:jc w:val="right"/>
                </w:pPr>
                <w:r>
                  <w:t>7,598</w:t>
                </w:r>
              </w:p>
            </w:tc>
            <w:tc>
              <w:tcPr>
                <w:tcW w:w="917" w:type="pct"/>
                <w:shd w:val="clear" w:color="auto" w:fill="CAE7F3" w:themeFill="accent1" w:themeFillTint="33"/>
                <w:noWrap/>
                <w:vAlign w:val="bottom"/>
              </w:tcPr>
              <w:p w14:paraId="29C3EF8B" w14:textId="2280FDB2" w:rsidR="008C2A59" w:rsidRPr="0090525C" w:rsidRDefault="008C2A59" w:rsidP="008C2A59">
                <w:pPr>
                  <w:pStyle w:val="Tabletext"/>
                  <w:jc w:val="right"/>
                </w:pPr>
                <w:r>
                  <w:t>8.6</w:t>
                </w:r>
              </w:p>
            </w:tc>
            <w:tc>
              <w:tcPr>
                <w:tcW w:w="917" w:type="pct"/>
                <w:shd w:val="clear" w:color="auto" w:fill="CAE7F3" w:themeFill="accent1" w:themeFillTint="33"/>
                <w:noWrap/>
                <w:vAlign w:val="bottom"/>
              </w:tcPr>
              <w:p w14:paraId="5CC96E14" w14:textId="667BD291" w:rsidR="008C2A59" w:rsidRPr="0090525C" w:rsidRDefault="008C2A59" w:rsidP="008C2A59">
                <w:pPr>
                  <w:pStyle w:val="Tabletext"/>
                  <w:jc w:val="right"/>
                </w:pPr>
                <w:r>
                  <w:t>12.1</w:t>
                </w:r>
              </w:p>
            </w:tc>
            <w:tc>
              <w:tcPr>
                <w:tcW w:w="917" w:type="pct"/>
                <w:shd w:val="clear" w:color="auto" w:fill="CAE7F3" w:themeFill="accent1" w:themeFillTint="33"/>
                <w:noWrap/>
                <w:vAlign w:val="bottom"/>
              </w:tcPr>
              <w:p w14:paraId="3690D327" w14:textId="29FE07B4" w:rsidR="008C2A59" w:rsidRPr="0090525C" w:rsidRDefault="008C2A59" w:rsidP="008C2A59">
                <w:pPr>
                  <w:pStyle w:val="Tabletext"/>
                  <w:jc w:val="right"/>
                </w:pPr>
                <w:r>
                  <w:t>67.3</w:t>
                </w:r>
              </w:p>
            </w:tc>
            <w:tc>
              <w:tcPr>
                <w:tcW w:w="918" w:type="pct"/>
                <w:shd w:val="clear" w:color="auto" w:fill="CAE7F3" w:themeFill="accent1" w:themeFillTint="33"/>
                <w:vAlign w:val="bottom"/>
              </w:tcPr>
              <w:p w14:paraId="6D01497F" w14:textId="1967A9B1" w:rsidR="008C2A59" w:rsidRPr="0090525C" w:rsidRDefault="008C2A59" w:rsidP="008C2A59">
                <w:pPr>
                  <w:pStyle w:val="Tabletext"/>
                  <w:jc w:val="right"/>
                </w:pPr>
                <w:r>
                  <w:t>12.0</w:t>
                </w:r>
              </w:p>
            </w:tc>
          </w:tr>
        </w:tbl>
        <w:p w14:paraId="2991B822" w14:textId="749FACA9" w:rsidR="00830FDC" w:rsidRPr="00A30089" w:rsidRDefault="00830FDC" w:rsidP="00830FDC">
          <w:pPr>
            <w:pStyle w:val="SourceWide"/>
          </w:pPr>
          <w:r>
            <w:t xml:space="preserve">Source: Intellectual Property Government Open Data </w:t>
          </w:r>
          <w:r w:rsidR="00407394">
            <w:t>(2016), viewed 24</w:t>
          </w:r>
          <w:r w:rsidR="00407394" w:rsidRPr="009F0EB7">
            <w:rPr>
              <w:vertAlign w:val="superscript"/>
            </w:rPr>
            <w:t>th</w:t>
          </w:r>
          <w:r w:rsidR="00407394">
            <w:t xml:space="preserve"> May 2016</w:t>
          </w:r>
          <w:r>
            <w:t xml:space="preserve">, </w:t>
          </w:r>
          <w:hyperlink r:id="rId50" w:tooltip="https://data.gov.au/dataset/intellectual-property-government-open-data" w:history="1">
            <w:r w:rsidRPr="00945169">
              <w:rPr>
                <w:rStyle w:val="Hyperlink"/>
              </w:rPr>
              <w:t>https://data.gov.au/dataset/intellectual-property-government-open-data</w:t>
            </w:r>
          </w:hyperlink>
        </w:p>
        <w:p w14:paraId="5651BEE0" w14:textId="77777777" w:rsidR="00830FDC" w:rsidRPr="00AE4F29" w:rsidRDefault="00830FDC" w:rsidP="00830FDC">
          <w:pPr>
            <w:pStyle w:val="BodyText"/>
          </w:pPr>
          <w:r w:rsidRPr="00AE4F29">
            <w:t xml:space="preserve">A trademark is a distinctive trade name, design or other expression that serves to reinforce the identity or brand of its owner. As such, trademarks are a more generic form of intellectual property (IP), and are more widely used in the economy than patents. </w:t>
          </w:r>
          <w:r>
            <w:t>Trademarks are considered a broader measure of innovation than patents.</w:t>
          </w:r>
        </w:p>
        <w:p w14:paraId="19147F01" w14:textId="69DE0664" w:rsidR="00830FDC" w:rsidRPr="00AE4F29" w:rsidRDefault="00830FDC" w:rsidP="00830FDC">
          <w:pPr>
            <w:spacing w:line="270" w:lineRule="exact"/>
            <w:rPr>
              <w:rFonts w:asciiTheme="minorHAnsi" w:hAnsiTheme="minorHAnsi"/>
            </w:rPr>
          </w:pPr>
          <w:r w:rsidRPr="00AE4F29">
            <w:rPr>
              <w:rFonts w:asciiTheme="minorHAnsi" w:hAnsiTheme="minorHAnsi"/>
            </w:rPr>
            <w:t>Patents have been described as indicators of a firm’s technical knowledge and a signal of the firm’s intention to protect its inventions. Trademarks, on the other hand, convey information about a firm’s marketing strategy and its willingness to protect its marketing assets.</w:t>
          </w:r>
          <w:r w:rsidR="00810142">
            <w:rPr>
              <w:rStyle w:val="FootnoteReference"/>
              <w:rFonts w:asciiTheme="minorHAnsi" w:hAnsiTheme="minorHAnsi"/>
            </w:rPr>
            <w:footnoteReference w:id="45"/>
          </w:r>
          <w:r w:rsidRPr="00AE4F29">
            <w:rPr>
              <w:rFonts w:asciiTheme="minorHAnsi" w:hAnsiTheme="minorHAnsi"/>
            </w:rPr>
            <w:t xml:space="preserve"> Patents are generally concentrated in technology related industries, whereas trademarks can be registered for the entire product and service space.</w:t>
          </w:r>
          <w:r w:rsidR="00810142">
            <w:rPr>
              <w:rStyle w:val="FootnoteReference"/>
              <w:rFonts w:asciiTheme="minorHAnsi" w:hAnsiTheme="minorHAnsi"/>
            </w:rPr>
            <w:footnoteReference w:id="46"/>
          </w:r>
          <w:r w:rsidRPr="00AE4F29">
            <w:rPr>
              <w:rFonts w:asciiTheme="minorHAnsi" w:hAnsiTheme="minorHAnsi"/>
            </w:rPr>
            <w:t xml:space="preserve"> There are informational overlaps between patents and trademarks which together may signal the firm’s engagement in product innovation or the emergence of businesses in new geographical markets. </w:t>
          </w:r>
        </w:p>
        <w:p w14:paraId="425904DB" w14:textId="4625454E" w:rsidR="00830FDC" w:rsidRPr="00AE4F29" w:rsidRDefault="00830FDC" w:rsidP="00830FDC">
          <w:pPr>
            <w:spacing w:line="270" w:lineRule="exact"/>
            <w:rPr>
              <w:rFonts w:asciiTheme="minorHAnsi" w:hAnsiTheme="minorHAnsi"/>
            </w:rPr>
          </w:pPr>
          <w:r w:rsidRPr="00AE4F29">
            <w:rPr>
              <w:rFonts w:asciiTheme="minorHAnsi" w:hAnsiTheme="minorHAnsi"/>
            </w:rPr>
            <w:t>Trademark-based indicators also carry a number of sources of bias.</w:t>
          </w:r>
          <w:r w:rsidR="00810142">
            <w:rPr>
              <w:rStyle w:val="FootnoteReference"/>
              <w:rFonts w:asciiTheme="minorHAnsi" w:hAnsiTheme="minorHAnsi"/>
            </w:rPr>
            <w:footnoteReference w:id="47"/>
          </w:r>
          <w:r w:rsidRPr="00AE4F29">
            <w:rPr>
              <w:rFonts w:asciiTheme="minorHAnsi" w:hAnsiTheme="minorHAnsi"/>
            </w:rPr>
            <w:t xml:space="preserve"> For example, the existence of multiple trademark protection rights for a single brand can pose difficulties in the consolidation of counts data. International trademark registrations are based on product characteristics rather than industry classification, making sectoral comparisons challenging. There are other weaknesses in international comparability, where differences in export markets and niche targeting by firms from different countries can have a significant difference that may not directly be related to a country’s innovation status. </w:t>
          </w:r>
        </w:p>
        <w:p w14:paraId="6C1C27F0" w14:textId="10D22C64" w:rsidR="00A6081C" w:rsidRDefault="00830FDC" w:rsidP="00830FDC">
          <w:pPr>
            <w:spacing w:line="270" w:lineRule="exact"/>
            <w:rPr>
              <w:rFonts w:asciiTheme="minorHAnsi" w:hAnsiTheme="minorHAnsi"/>
            </w:rPr>
          </w:pPr>
          <w:r w:rsidRPr="00AE4F29">
            <w:rPr>
              <w:rFonts w:asciiTheme="minorHAnsi" w:hAnsiTheme="minorHAnsi"/>
            </w:rPr>
            <w:t xml:space="preserve">While no perfect indicators exist, patents and trademarks are nevertheless considered an effective proxy output </w:t>
          </w:r>
          <w:r>
            <w:rPr>
              <w:rFonts w:asciiTheme="minorHAnsi" w:hAnsiTheme="minorHAnsi"/>
            </w:rPr>
            <w:t xml:space="preserve">indicator of </w:t>
          </w:r>
          <w:r w:rsidRPr="00AE4F29">
            <w:rPr>
              <w:rFonts w:asciiTheme="minorHAnsi" w:hAnsiTheme="minorHAnsi"/>
            </w:rPr>
            <w:t>innovation. For the purpose of this analysis, patent count and trademark counts for each SA3 region was obtained from years 200</w:t>
          </w:r>
          <w:r>
            <w:rPr>
              <w:rFonts w:asciiTheme="minorHAnsi" w:hAnsiTheme="minorHAnsi"/>
            </w:rPr>
            <w:t>9</w:t>
          </w:r>
          <w:r w:rsidRPr="00AE4F29">
            <w:rPr>
              <w:rFonts w:asciiTheme="minorHAnsi" w:hAnsiTheme="minorHAnsi"/>
            </w:rPr>
            <w:t xml:space="preserve"> till 201</w:t>
          </w:r>
          <w:r w:rsidR="00F949DC">
            <w:rPr>
              <w:rFonts w:asciiTheme="minorHAnsi" w:hAnsiTheme="minorHAnsi"/>
            </w:rPr>
            <w:t>5</w:t>
          </w:r>
          <w:r w:rsidRPr="00AE4F29">
            <w:rPr>
              <w:rFonts w:asciiTheme="minorHAnsi" w:hAnsiTheme="minorHAnsi"/>
            </w:rPr>
            <w:t xml:space="preserve"> from IP Australia.</w:t>
          </w:r>
          <w:r w:rsidR="00810142">
            <w:rPr>
              <w:rStyle w:val="FootnoteReference"/>
              <w:rFonts w:asciiTheme="minorHAnsi" w:hAnsiTheme="minorHAnsi"/>
            </w:rPr>
            <w:footnoteReference w:id="48"/>
          </w:r>
          <w:r w:rsidRPr="00AE4F29">
            <w:rPr>
              <w:rFonts w:asciiTheme="minorHAnsi" w:hAnsiTheme="minorHAnsi"/>
            </w:rPr>
            <w:t xml:space="preserve"> The limitations of patents and trademarks should be noted when interpreting the results of this analysis. One advantage these IP indicators offer is </w:t>
          </w:r>
          <w:r>
            <w:rPr>
              <w:rFonts w:asciiTheme="minorHAnsi" w:hAnsiTheme="minorHAnsi"/>
            </w:rPr>
            <w:t xml:space="preserve">that they are </w:t>
          </w:r>
          <w:r w:rsidRPr="00AE4F29">
            <w:rPr>
              <w:rFonts w:asciiTheme="minorHAnsi" w:hAnsiTheme="minorHAnsi"/>
            </w:rPr>
            <w:t>geographically coded</w:t>
          </w:r>
          <w:r>
            <w:rPr>
              <w:rFonts w:asciiTheme="minorHAnsi" w:hAnsiTheme="minorHAnsi"/>
            </w:rPr>
            <w:t xml:space="preserve">, allowing us to identify </w:t>
          </w:r>
          <w:r w:rsidRPr="00AE4F29">
            <w:rPr>
              <w:rFonts w:asciiTheme="minorHAnsi" w:hAnsiTheme="minorHAnsi"/>
            </w:rPr>
            <w:t xml:space="preserve">regions with high innovation activity and </w:t>
          </w:r>
          <w:r>
            <w:rPr>
              <w:rFonts w:asciiTheme="minorHAnsi" w:hAnsiTheme="minorHAnsi"/>
            </w:rPr>
            <w:t>correlate this</w:t>
          </w:r>
          <w:r w:rsidRPr="00AE4F29">
            <w:rPr>
              <w:rFonts w:asciiTheme="minorHAnsi" w:hAnsiTheme="minorHAnsi"/>
            </w:rPr>
            <w:t xml:space="preserve"> with a region’s business entries and exits. </w:t>
          </w:r>
        </w:p>
        <w:p w14:paraId="413B08EC" w14:textId="0B068A63" w:rsidR="00830FDC" w:rsidRDefault="00A6081C" w:rsidP="00A6081C">
          <w:pPr>
            <w:spacing w:after="200" w:line="276" w:lineRule="auto"/>
            <w:ind w:left="0"/>
            <w:jc w:val="left"/>
            <w:rPr>
              <w:rFonts w:asciiTheme="minorHAnsi" w:hAnsiTheme="minorHAnsi"/>
            </w:rPr>
          </w:pPr>
          <w:r>
            <w:rPr>
              <w:rFonts w:asciiTheme="minorHAnsi" w:hAnsiTheme="minorHAnsi"/>
            </w:rPr>
            <w:br w:type="page"/>
          </w:r>
        </w:p>
        <w:p w14:paraId="0F350EFD" w14:textId="77777777" w:rsidR="00830FDC" w:rsidRPr="00E25A21" w:rsidRDefault="00830FDC" w:rsidP="00830FDC">
          <w:pPr>
            <w:pStyle w:val="CaptionWide"/>
          </w:pPr>
          <w:r w:rsidRPr="000618FB">
            <w:t xml:space="preserve">Table </w:t>
          </w:r>
          <w:fldSimple w:instr=" STYLEREF 6 \s ">
            <w:r w:rsidR="00D55DA4">
              <w:rPr>
                <w:noProof/>
              </w:rPr>
              <w:t>B</w:t>
            </w:r>
          </w:fldSimple>
          <w:fldSimple w:instr=" SEQ Table \* ARABIC \s 6 ">
            <w:r w:rsidR="00D55DA4">
              <w:rPr>
                <w:noProof/>
              </w:rPr>
              <w:t>2</w:t>
            </w:r>
          </w:fldSimple>
          <w:r>
            <w:t>: B</w:t>
          </w:r>
          <w:r w:rsidRPr="007219DC">
            <w:t xml:space="preserve">reakdown of </w:t>
          </w:r>
          <w:r>
            <w:t>total</w:t>
          </w:r>
          <w:r w:rsidRPr="007219DC">
            <w:t xml:space="preserve"> </w:t>
          </w:r>
          <w:r>
            <w:t>standard and innovation patents by source, 1990-2014</w:t>
          </w:r>
        </w:p>
        <w:tbl>
          <w:tblPr>
            <w:tblW w:w="9559" w:type="dxa"/>
            <w:tblInd w:w="93" w:type="dxa"/>
            <w:tblLook w:val="0400" w:firstRow="0" w:lastRow="0" w:firstColumn="0" w:lastColumn="0" w:noHBand="0" w:noVBand="1"/>
          </w:tblPr>
          <w:tblGrid>
            <w:gridCol w:w="4265"/>
            <w:gridCol w:w="1316"/>
            <w:gridCol w:w="1294"/>
            <w:gridCol w:w="1294"/>
            <w:gridCol w:w="1390"/>
          </w:tblGrid>
          <w:tr w:rsidR="00830FDC" w:rsidRPr="00E25A21" w14:paraId="7B214A49" w14:textId="77777777" w:rsidTr="00866271">
            <w:trPr>
              <w:trHeight w:val="1452"/>
            </w:trPr>
            <w:tc>
              <w:tcPr>
                <w:tcW w:w="4265" w:type="dxa"/>
                <w:shd w:val="clear" w:color="auto" w:fill="22789A" w:themeFill="accent1"/>
                <w:noWrap/>
                <w:vAlign w:val="center"/>
                <w:hideMark/>
              </w:tcPr>
              <w:p w14:paraId="018CA980" w14:textId="77777777" w:rsidR="00830FDC" w:rsidRPr="002210A7" w:rsidRDefault="00830FDC" w:rsidP="00D0090A">
                <w:pPr>
                  <w:pStyle w:val="Tableheader"/>
                </w:pPr>
                <w:r>
                  <w:t>Source</w:t>
                </w:r>
                <w:r w:rsidRPr="002210A7">
                  <w:t> </w:t>
                </w:r>
              </w:p>
            </w:tc>
            <w:tc>
              <w:tcPr>
                <w:tcW w:w="1316" w:type="dxa"/>
                <w:shd w:val="clear" w:color="auto" w:fill="22789A" w:themeFill="accent1"/>
                <w:vAlign w:val="center"/>
                <w:hideMark/>
              </w:tcPr>
              <w:p w14:paraId="0C4F3FB6" w14:textId="77777777" w:rsidR="00830FDC" w:rsidRPr="002210A7" w:rsidRDefault="00830FDC" w:rsidP="00D0090A">
                <w:pPr>
                  <w:pStyle w:val="Tableheader"/>
                  <w:jc w:val="right"/>
                </w:pPr>
                <w:r w:rsidRPr="002210A7">
                  <w:t>Applications</w:t>
                </w:r>
              </w:p>
            </w:tc>
            <w:tc>
              <w:tcPr>
                <w:tcW w:w="1294" w:type="dxa"/>
                <w:shd w:val="clear" w:color="auto" w:fill="22789A" w:themeFill="accent1"/>
                <w:vAlign w:val="center"/>
                <w:hideMark/>
              </w:tcPr>
              <w:p w14:paraId="574BE309" w14:textId="77777777" w:rsidR="00830FDC" w:rsidRPr="002210A7" w:rsidRDefault="00830FDC" w:rsidP="00D0090A">
                <w:pPr>
                  <w:pStyle w:val="Tableheader"/>
                  <w:jc w:val="right"/>
                </w:pPr>
                <w:r w:rsidRPr="00E25A21">
                  <w:t>Percentage</w:t>
                </w:r>
                <w:r w:rsidRPr="002210A7">
                  <w:t xml:space="preserve"> of Australian firm applications</w:t>
                </w:r>
              </w:p>
            </w:tc>
            <w:tc>
              <w:tcPr>
                <w:tcW w:w="1294" w:type="dxa"/>
                <w:shd w:val="clear" w:color="auto" w:fill="22789A" w:themeFill="accent1"/>
                <w:vAlign w:val="center"/>
                <w:hideMark/>
              </w:tcPr>
              <w:p w14:paraId="1551C546" w14:textId="77777777" w:rsidR="00830FDC" w:rsidRPr="002210A7" w:rsidRDefault="00830FDC" w:rsidP="00D0090A">
                <w:pPr>
                  <w:pStyle w:val="Tableheader"/>
                  <w:jc w:val="right"/>
                </w:pPr>
                <w:r w:rsidRPr="00E25A21">
                  <w:t>Percentage</w:t>
                </w:r>
                <w:r w:rsidRPr="002210A7">
                  <w:t xml:space="preserve"> of Australian applications</w:t>
                </w:r>
              </w:p>
            </w:tc>
            <w:tc>
              <w:tcPr>
                <w:tcW w:w="1390" w:type="dxa"/>
                <w:shd w:val="clear" w:color="auto" w:fill="22789A" w:themeFill="accent1"/>
                <w:vAlign w:val="center"/>
                <w:hideMark/>
              </w:tcPr>
              <w:p w14:paraId="7D09C6EC" w14:textId="77777777" w:rsidR="00830FDC" w:rsidRPr="002210A7" w:rsidRDefault="00830FDC" w:rsidP="00D0090A">
                <w:pPr>
                  <w:pStyle w:val="Tableheader"/>
                  <w:jc w:val="right"/>
                </w:pPr>
                <w:r w:rsidRPr="00E25A21">
                  <w:t>Percentage</w:t>
                </w:r>
                <w:r w:rsidRPr="002210A7">
                  <w:t xml:space="preserve"> of total</w:t>
                </w:r>
              </w:p>
            </w:tc>
          </w:tr>
          <w:tr w:rsidR="00830FDC" w:rsidRPr="002210A7" w14:paraId="2EB50990" w14:textId="77777777" w:rsidTr="00866271">
            <w:trPr>
              <w:trHeight w:val="288"/>
            </w:trPr>
            <w:tc>
              <w:tcPr>
                <w:tcW w:w="4265" w:type="dxa"/>
                <w:shd w:val="clear" w:color="auto" w:fill="CAE7F3" w:themeFill="accent1" w:themeFillTint="33"/>
                <w:noWrap/>
                <w:vAlign w:val="center"/>
                <w:hideMark/>
              </w:tcPr>
              <w:p w14:paraId="472BCAC8" w14:textId="77777777" w:rsidR="00830FDC" w:rsidRPr="002210A7" w:rsidRDefault="00830FDC" w:rsidP="00D0090A">
                <w:pPr>
                  <w:pStyle w:val="Tabletext"/>
                </w:pPr>
                <w:r w:rsidRPr="002210A7">
                  <w:t>Total CRC, MRI, PFRO and University applications</w:t>
                </w:r>
              </w:p>
            </w:tc>
            <w:tc>
              <w:tcPr>
                <w:tcW w:w="1316" w:type="dxa"/>
                <w:shd w:val="clear" w:color="auto" w:fill="CAE7F3" w:themeFill="accent1" w:themeFillTint="33"/>
                <w:noWrap/>
                <w:vAlign w:val="center"/>
                <w:hideMark/>
              </w:tcPr>
              <w:p w14:paraId="760F22A9" w14:textId="77777777" w:rsidR="00830FDC" w:rsidRPr="002210A7" w:rsidRDefault="00830FDC" w:rsidP="00D0090A">
                <w:pPr>
                  <w:pStyle w:val="Tabletext"/>
                  <w:jc w:val="right"/>
                </w:pPr>
                <w:r w:rsidRPr="002210A7">
                  <w:t>3,445</w:t>
                </w:r>
              </w:p>
            </w:tc>
            <w:tc>
              <w:tcPr>
                <w:tcW w:w="1294" w:type="dxa"/>
                <w:shd w:val="clear" w:color="auto" w:fill="CAE7F3" w:themeFill="accent1" w:themeFillTint="33"/>
                <w:noWrap/>
                <w:vAlign w:val="center"/>
                <w:hideMark/>
              </w:tcPr>
              <w:p w14:paraId="3DB19C97" w14:textId="3F8E4732" w:rsidR="00830FDC" w:rsidRPr="002210A7" w:rsidRDefault="00830FDC" w:rsidP="00183DC9">
                <w:pPr>
                  <w:pStyle w:val="Tabletext"/>
                  <w:jc w:val="right"/>
                </w:pPr>
                <w:r w:rsidRPr="002210A7">
                  <w:t>9</w:t>
                </w:r>
              </w:p>
            </w:tc>
            <w:tc>
              <w:tcPr>
                <w:tcW w:w="1294" w:type="dxa"/>
                <w:shd w:val="clear" w:color="auto" w:fill="CAE7F3" w:themeFill="accent1" w:themeFillTint="33"/>
                <w:noWrap/>
                <w:vAlign w:val="center"/>
                <w:hideMark/>
              </w:tcPr>
              <w:p w14:paraId="61D1159C" w14:textId="014B4477" w:rsidR="00830FDC" w:rsidRPr="002210A7" w:rsidRDefault="00830FDC" w:rsidP="00183DC9">
                <w:pPr>
                  <w:pStyle w:val="Tabletext"/>
                  <w:jc w:val="right"/>
                </w:pPr>
                <w:r w:rsidRPr="002210A7">
                  <w:t>5</w:t>
                </w:r>
              </w:p>
            </w:tc>
            <w:tc>
              <w:tcPr>
                <w:tcW w:w="1390" w:type="dxa"/>
                <w:shd w:val="clear" w:color="auto" w:fill="CAE7F3" w:themeFill="accent1" w:themeFillTint="33"/>
                <w:noWrap/>
                <w:vAlign w:val="center"/>
                <w:hideMark/>
              </w:tcPr>
              <w:p w14:paraId="2D36E9D3" w14:textId="6FA80A6E" w:rsidR="00830FDC" w:rsidRPr="002210A7" w:rsidRDefault="00830FDC" w:rsidP="00D0090A">
                <w:pPr>
                  <w:pStyle w:val="Tabletext"/>
                  <w:jc w:val="right"/>
                </w:pPr>
                <w:r w:rsidRPr="002210A7">
                  <w:t>0</w:t>
                </w:r>
                <w:r w:rsidR="00183DC9">
                  <w:t>.70</w:t>
                </w:r>
              </w:p>
            </w:tc>
          </w:tr>
          <w:tr w:rsidR="00830FDC" w:rsidRPr="002210A7" w14:paraId="3DABF0BE" w14:textId="77777777" w:rsidTr="00866271">
            <w:trPr>
              <w:trHeight w:val="288"/>
            </w:trPr>
            <w:tc>
              <w:tcPr>
                <w:tcW w:w="4265" w:type="dxa"/>
                <w:shd w:val="clear" w:color="auto" w:fill="CAE7F3" w:themeFill="accent1" w:themeFillTint="33"/>
                <w:noWrap/>
                <w:vAlign w:val="center"/>
                <w:hideMark/>
              </w:tcPr>
              <w:p w14:paraId="723C9ED8" w14:textId="77777777" w:rsidR="00830FDC" w:rsidRPr="002210A7" w:rsidRDefault="00830FDC" w:rsidP="00D0090A">
                <w:pPr>
                  <w:pStyle w:val="Tabletext"/>
                </w:pPr>
                <w:r w:rsidRPr="002210A7">
                  <w:t>Cooperative Research Center</w:t>
                </w:r>
              </w:p>
            </w:tc>
            <w:tc>
              <w:tcPr>
                <w:tcW w:w="1316" w:type="dxa"/>
                <w:shd w:val="clear" w:color="auto" w:fill="CAE7F3" w:themeFill="accent1" w:themeFillTint="33"/>
                <w:noWrap/>
                <w:vAlign w:val="center"/>
                <w:hideMark/>
              </w:tcPr>
              <w:p w14:paraId="1AA6B3E4" w14:textId="77777777" w:rsidR="00830FDC" w:rsidRPr="002210A7" w:rsidRDefault="00830FDC" w:rsidP="00D0090A">
                <w:pPr>
                  <w:pStyle w:val="Tabletext"/>
                  <w:jc w:val="right"/>
                </w:pPr>
                <w:r w:rsidRPr="002210A7">
                  <w:t>71</w:t>
                </w:r>
              </w:p>
            </w:tc>
            <w:tc>
              <w:tcPr>
                <w:tcW w:w="1294" w:type="dxa"/>
                <w:shd w:val="clear" w:color="auto" w:fill="CAE7F3" w:themeFill="accent1" w:themeFillTint="33"/>
                <w:noWrap/>
                <w:vAlign w:val="center"/>
                <w:hideMark/>
              </w:tcPr>
              <w:p w14:paraId="084FE934" w14:textId="61E0CC24" w:rsidR="00830FDC" w:rsidRPr="002210A7" w:rsidRDefault="00183DC9" w:rsidP="00D0090A">
                <w:pPr>
                  <w:pStyle w:val="Tabletext"/>
                  <w:jc w:val="right"/>
                </w:pPr>
                <w:r>
                  <w:t>0</w:t>
                </w:r>
              </w:p>
            </w:tc>
            <w:tc>
              <w:tcPr>
                <w:tcW w:w="1294" w:type="dxa"/>
                <w:shd w:val="clear" w:color="auto" w:fill="CAE7F3" w:themeFill="accent1" w:themeFillTint="33"/>
                <w:noWrap/>
                <w:vAlign w:val="center"/>
                <w:hideMark/>
              </w:tcPr>
              <w:p w14:paraId="7CB22C48" w14:textId="7FF21C04" w:rsidR="00830FDC" w:rsidRPr="002210A7" w:rsidRDefault="00183DC9" w:rsidP="00D0090A">
                <w:pPr>
                  <w:pStyle w:val="Tabletext"/>
                  <w:jc w:val="right"/>
                </w:pPr>
                <w:r>
                  <w:t>0</w:t>
                </w:r>
              </w:p>
            </w:tc>
            <w:tc>
              <w:tcPr>
                <w:tcW w:w="1390" w:type="dxa"/>
                <w:shd w:val="clear" w:color="auto" w:fill="CAE7F3" w:themeFill="accent1" w:themeFillTint="33"/>
                <w:noWrap/>
                <w:vAlign w:val="center"/>
                <w:hideMark/>
              </w:tcPr>
              <w:p w14:paraId="5A59AF6E" w14:textId="023BA8C6" w:rsidR="00830FDC" w:rsidRPr="002210A7" w:rsidRDefault="00183DC9" w:rsidP="00D0090A">
                <w:pPr>
                  <w:pStyle w:val="Tabletext"/>
                  <w:jc w:val="right"/>
                </w:pPr>
                <w:r>
                  <w:t>0.00</w:t>
                </w:r>
              </w:p>
            </w:tc>
          </w:tr>
          <w:tr w:rsidR="00830FDC" w:rsidRPr="002210A7" w14:paraId="23DBE4A4" w14:textId="77777777" w:rsidTr="00866271">
            <w:trPr>
              <w:trHeight w:val="288"/>
            </w:trPr>
            <w:tc>
              <w:tcPr>
                <w:tcW w:w="4265" w:type="dxa"/>
                <w:shd w:val="clear" w:color="auto" w:fill="CAE7F3" w:themeFill="accent1" w:themeFillTint="33"/>
                <w:noWrap/>
                <w:vAlign w:val="center"/>
                <w:hideMark/>
              </w:tcPr>
              <w:p w14:paraId="083F8471" w14:textId="77777777" w:rsidR="00830FDC" w:rsidRPr="002210A7" w:rsidRDefault="00830FDC" w:rsidP="00D0090A">
                <w:pPr>
                  <w:pStyle w:val="Tabletext"/>
                </w:pPr>
                <w:r w:rsidRPr="002210A7">
                  <w:t>Medical Research Institute</w:t>
                </w:r>
              </w:p>
            </w:tc>
            <w:tc>
              <w:tcPr>
                <w:tcW w:w="1316" w:type="dxa"/>
                <w:shd w:val="clear" w:color="auto" w:fill="CAE7F3" w:themeFill="accent1" w:themeFillTint="33"/>
                <w:noWrap/>
                <w:vAlign w:val="center"/>
                <w:hideMark/>
              </w:tcPr>
              <w:p w14:paraId="07C8873F" w14:textId="77777777" w:rsidR="00830FDC" w:rsidRPr="002210A7" w:rsidRDefault="00830FDC" w:rsidP="00D0090A">
                <w:pPr>
                  <w:pStyle w:val="Tabletext"/>
                  <w:jc w:val="right"/>
                </w:pPr>
                <w:r w:rsidRPr="002210A7">
                  <w:t>398</w:t>
                </w:r>
              </w:p>
            </w:tc>
            <w:tc>
              <w:tcPr>
                <w:tcW w:w="1294" w:type="dxa"/>
                <w:shd w:val="clear" w:color="auto" w:fill="CAE7F3" w:themeFill="accent1" w:themeFillTint="33"/>
                <w:noWrap/>
                <w:vAlign w:val="center"/>
                <w:hideMark/>
              </w:tcPr>
              <w:p w14:paraId="32F92519" w14:textId="2F0BC266" w:rsidR="00830FDC" w:rsidRPr="002210A7" w:rsidRDefault="00183DC9" w:rsidP="00D0090A">
                <w:pPr>
                  <w:pStyle w:val="Tabletext"/>
                  <w:jc w:val="right"/>
                </w:pPr>
                <w:r>
                  <w:t>1</w:t>
                </w:r>
              </w:p>
            </w:tc>
            <w:tc>
              <w:tcPr>
                <w:tcW w:w="1294" w:type="dxa"/>
                <w:shd w:val="clear" w:color="auto" w:fill="CAE7F3" w:themeFill="accent1" w:themeFillTint="33"/>
                <w:noWrap/>
                <w:vAlign w:val="center"/>
                <w:hideMark/>
              </w:tcPr>
              <w:p w14:paraId="1B11062D" w14:textId="0B3D339B" w:rsidR="00830FDC" w:rsidRPr="002210A7" w:rsidRDefault="00183DC9" w:rsidP="00D0090A">
                <w:pPr>
                  <w:pStyle w:val="Tabletext"/>
                  <w:jc w:val="right"/>
                </w:pPr>
                <w:r>
                  <w:t>1</w:t>
                </w:r>
              </w:p>
            </w:tc>
            <w:tc>
              <w:tcPr>
                <w:tcW w:w="1390" w:type="dxa"/>
                <w:shd w:val="clear" w:color="auto" w:fill="CAE7F3" w:themeFill="accent1" w:themeFillTint="33"/>
                <w:noWrap/>
                <w:vAlign w:val="center"/>
                <w:hideMark/>
              </w:tcPr>
              <w:p w14:paraId="7726BADF" w14:textId="64D0911B" w:rsidR="00830FDC" w:rsidRPr="002210A7" w:rsidRDefault="00183DC9" w:rsidP="00D0090A">
                <w:pPr>
                  <w:pStyle w:val="Tabletext"/>
                  <w:jc w:val="right"/>
                </w:pPr>
                <w:r>
                  <w:t>0.10</w:t>
                </w:r>
              </w:p>
            </w:tc>
          </w:tr>
          <w:tr w:rsidR="00830FDC" w:rsidRPr="002210A7" w14:paraId="616E82DC" w14:textId="77777777" w:rsidTr="00866271">
            <w:trPr>
              <w:trHeight w:val="288"/>
            </w:trPr>
            <w:tc>
              <w:tcPr>
                <w:tcW w:w="4265" w:type="dxa"/>
                <w:shd w:val="clear" w:color="auto" w:fill="CAE7F3" w:themeFill="accent1" w:themeFillTint="33"/>
                <w:noWrap/>
                <w:vAlign w:val="center"/>
                <w:hideMark/>
              </w:tcPr>
              <w:p w14:paraId="45DF2325" w14:textId="77777777" w:rsidR="00830FDC" w:rsidRPr="002210A7" w:rsidRDefault="00830FDC" w:rsidP="00D0090A">
                <w:pPr>
                  <w:pStyle w:val="Tabletext"/>
                </w:pPr>
                <w:r w:rsidRPr="002210A7">
                  <w:t>Publically Funded Research Organisation</w:t>
                </w:r>
              </w:p>
            </w:tc>
            <w:tc>
              <w:tcPr>
                <w:tcW w:w="1316" w:type="dxa"/>
                <w:shd w:val="clear" w:color="auto" w:fill="CAE7F3" w:themeFill="accent1" w:themeFillTint="33"/>
                <w:noWrap/>
                <w:vAlign w:val="center"/>
                <w:hideMark/>
              </w:tcPr>
              <w:p w14:paraId="1C542BCB" w14:textId="77777777" w:rsidR="00830FDC" w:rsidRPr="002210A7" w:rsidRDefault="00830FDC" w:rsidP="00D0090A">
                <w:pPr>
                  <w:pStyle w:val="Tabletext"/>
                  <w:jc w:val="right"/>
                </w:pPr>
                <w:r w:rsidRPr="002210A7">
                  <w:t>1,134</w:t>
                </w:r>
              </w:p>
            </w:tc>
            <w:tc>
              <w:tcPr>
                <w:tcW w:w="1294" w:type="dxa"/>
                <w:shd w:val="clear" w:color="auto" w:fill="CAE7F3" w:themeFill="accent1" w:themeFillTint="33"/>
                <w:noWrap/>
                <w:vAlign w:val="center"/>
                <w:hideMark/>
              </w:tcPr>
              <w:p w14:paraId="6420CD0E" w14:textId="7D8CD300" w:rsidR="00830FDC" w:rsidRPr="002210A7" w:rsidRDefault="00183DC9" w:rsidP="00D0090A">
                <w:pPr>
                  <w:pStyle w:val="Tabletext"/>
                  <w:jc w:val="right"/>
                </w:pPr>
                <w:r>
                  <w:t>3</w:t>
                </w:r>
              </w:p>
            </w:tc>
            <w:tc>
              <w:tcPr>
                <w:tcW w:w="1294" w:type="dxa"/>
                <w:shd w:val="clear" w:color="auto" w:fill="CAE7F3" w:themeFill="accent1" w:themeFillTint="33"/>
                <w:noWrap/>
                <w:vAlign w:val="center"/>
                <w:hideMark/>
              </w:tcPr>
              <w:p w14:paraId="596788C5" w14:textId="5DC915C8" w:rsidR="00830FDC" w:rsidRPr="002210A7" w:rsidRDefault="00183DC9" w:rsidP="00D0090A">
                <w:pPr>
                  <w:pStyle w:val="Tabletext"/>
                  <w:jc w:val="right"/>
                </w:pPr>
                <w:r>
                  <w:t>2</w:t>
                </w:r>
              </w:p>
            </w:tc>
            <w:tc>
              <w:tcPr>
                <w:tcW w:w="1390" w:type="dxa"/>
                <w:shd w:val="clear" w:color="auto" w:fill="CAE7F3" w:themeFill="accent1" w:themeFillTint="33"/>
                <w:noWrap/>
                <w:vAlign w:val="center"/>
                <w:hideMark/>
              </w:tcPr>
              <w:p w14:paraId="73F6E2FA" w14:textId="445AB8DF" w:rsidR="00830FDC" w:rsidRPr="002210A7" w:rsidRDefault="00183DC9" w:rsidP="00D0090A">
                <w:pPr>
                  <w:pStyle w:val="Tabletext"/>
                  <w:jc w:val="right"/>
                </w:pPr>
                <w:r>
                  <w:t>0.20</w:t>
                </w:r>
              </w:p>
            </w:tc>
          </w:tr>
          <w:tr w:rsidR="00830FDC" w:rsidRPr="002210A7" w14:paraId="580CBA87" w14:textId="77777777" w:rsidTr="00866271">
            <w:trPr>
              <w:trHeight w:val="300"/>
            </w:trPr>
            <w:tc>
              <w:tcPr>
                <w:tcW w:w="4265" w:type="dxa"/>
                <w:shd w:val="clear" w:color="auto" w:fill="CAE7F3" w:themeFill="accent1" w:themeFillTint="33"/>
                <w:noWrap/>
                <w:vAlign w:val="center"/>
                <w:hideMark/>
              </w:tcPr>
              <w:p w14:paraId="679F1D71" w14:textId="77777777" w:rsidR="00830FDC" w:rsidRPr="002210A7" w:rsidRDefault="00830FDC" w:rsidP="00D0090A">
                <w:pPr>
                  <w:pStyle w:val="Tabletext"/>
                </w:pPr>
                <w:r w:rsidRPr="002210A7">
                  <w:t>University</w:t>
                </w:r>
              </w:p>
            </w:tc>
            <w:tc>
              <w:tcPr>
                <w:tcW w:w="1316" w:type="dxa"/>
                <w:shd w:val="clear" w:color="auto" w:fill="CAE7F3" w:themeFill="accent1" w:themeFillTint="33"/>
                <w:noWrap/>
                <w:vAlign w:val="center"/>
                <w:hideMark/>
              </w:tcPr>
              <w:p w14:paraId="5E396AFD" w14:textId="77777777" w:rsidR="00830FDC" w:rsidRPr="002210A7" w:rsidRDefault="00830FDC" w:rsidP="00D0090A">
                <w:pPr>
                  <w:pStyle w:val="Tabletext"/>
                  <w:jc w:val="right"/>
                </w:pPr>
                <w:r w:rsidRPr="002210A7">
                  <w:t>1,842</w:t>
                </w:r>
              </w:p>
            </w:tc>
            <w:tc>
              <w:tcPr>
                <w:tcW w:w="1294" w:type="dxa"/>
                <w:shd w:val="clear" w:color="auto" w:fill="CAE7F3" w:themeFill="accent1" w:themeFillTint="33"/>
                <w:noWrap/>
                <w:vAlign w:val="center"/>
                <w:hideMark/>
              </w:tcPr>
              <w:p w14:paraId="5BCA5E2D" w14:textId="51DEED66" w:rsidR="00830FDC" w:rsidRPr="002210A7" w:rsidRDefault="00183DC9" w:rsidP="00D0090A">
                <w:pPr>
                  <w:pStyle w:val="Tabletext"/>
                  <w:jc w:val="right"/>
                </w:pPr>
                <w:r>
                  <w:t>5</w:t>
                </w:r>
              </w:p>
            </w:tc>
            <w:tc>
              <w:tcPr>
                <w:tcW w:w="1294" w:type="dxa"/>
                <w:shd w:val="clear" w:color="auto" w:fill="CAE7F3" w:themeFill="accent1" w:themeFillTint="33"/>
                <w:noWrap/>
                <w:vAlign w:val="center"/>
                <w:hideMark/>
              </w:tcPr>
              <w:p w14:paraId="7D8BBE42" w14:textId="190B6BFD" w:rsidR="00830FDC" w:rsidRPr="002210A7" w:rsidRDefault="00183DC9" w:rsidP="00D0090A">
                <w:pPr>
                  <w:pStyle w:val="Tabletext"/>
                  <w:jc w:val="right"/>
                </w:pPr>
                <w:r>
                  <w:t>3</w:t>
                </w:r>
              </w:p>
            </w:tc>
            <w:tc>
              <w:tcPr>
                <w:tcW w:w="1390" w:type="dxa"/>
                <w:shd w:val="clear" w:color="auto" w:fill="CAE7F3" w:themeFill="accent1" w:themeFillTint="33"/>
                <w:noWrap/>
                <w:vAlign w:val="center"/>
                <w:hideMark/>
              </w:tcPr>
              <w:p w14:paraId="750EE8FA" w14:textId="48824DB5" w:rsidR="00830FDC" w:rsidRPr="002210A7" w:rsidRDefault="00183DC9" w:rsidP="00D0090A">
                <w:pPr>
                  <w:pStyle w:val="Tabletext"/>
                  <w:jc w:val="right"/>
                </w:pPr>
                <w:r>
                  <w:t>0.40</w:t>
                </w:r>
              </w:p>
            </w:tc>
          </w:tr>
          <w:tr w:rsidR="00830FDC" w:rsidRPr="002210A7" w14:paraId="1C8669E1" w14:textId="77777777" w:rsidTr="00866271">
            <w:trPr>
              <w:trHeight w:val="300"/>
            </w:trPr>
            <w:tc>
              <w:tcPr>
                <w:tcW w:w="4265" w:type="dxa"/>
                <w:shd w:val="clear" w:color="auto" w:fill="CAE7F3" w:themeFill="accent1" w:themeFillTint="33"/>
                <w:noWrap/>
                <w:vAlign w:val="center"/>
                <w:hideMark/>
              </w:tcPr>
              <w:p w14:paraId="7B5CA2AF" w14:textId="77777777" w:rsidR="00830FDC" w:rsidRPr="002210A7" w:rsidRDefault="00830FDC" w:rsidP="00D0090A">
                <w:pPr>
                  <w:pStyle w:val="Tabletext"/>
                </w:pPr>
                <w:r w:rsidRPr="002210A7">
                  <w:t> </w:t>
                </w:r>
              </w:p>
            </w:tc>
            <w:tc>
              <w:tcPr>
                <w:tcW w:w="1316" w:type="dxa"/>
                <w:shd w:val="clear" w:color="auto" w:fill="CAE7F3" w:themeFill="accent1" w:themeFillTint="33"/>
                <w:noWrap/>
                <w:vAlign w:val="center"/>
                <w:hideMark/>
              </w:tcPr>
              <w:p w14:paraId="2BDA0504"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65FF4497" w14:textId="7046507F" w:rsidR="00830FDC" w:rsidRPr="002210A7" w:rsidRDefault="00830FDC" w:rsidP="00D0090A">
                <w:pPr>
                  <w:pStyle w:val="Tabletext"/>
                  <w:jc w:val="right"/>
                </w:pPr>
              </w:p>
            </w:tc>
            <w:tc>
              <w:tcPr>
                <w:tcW w:w="1294" w:type="dxa"/>
                <w:shd w:val="clear" w:color="auto" w:fill="CAE7F3" w:themeFill="accent1" w:themeFillTint="33"/>
                <w:noWrap/>
                <w:vAlign w:val="center"/>
                <w:hideMark/>
              </w:tcPr>
              <w:p w14:paraId="0CF74267" w14:textId="77777777" w:rsidR="00830FDC" w:rsidRPr="002210A7" w:rsidRDefault="00830FDC" w:rsidP="00D0090A">
                <w:pPr>
                  <w:pStyle w:val="Tabletext"/>
                  <w:jc w:val="right"/>
                </w:pPr>
                <w:r w:rsidRPr="002210A7">
                  <w:t> </w:t>
                </w:r>
              </w:p>
            </w:tc>
            <w:tc>
              <w:tcPr>
                <w:tcW w:w="1390" w:type="dxa"/>
                <w:shd w:val="clear" w:color="auto" w:fill="CAE7F3" w:themeFill="accent1" w:themeFillTint="33"/>
                <w:noWrap/>
                <w:vAlign w:val="center"/>
                <w:hideMark/>
              </w:tcPr>
              <w:p w14:paraId="04BB3254" w14:textId="77777777" w:rsidR="00830FDC" w:rsidRPr="002210A7" w:rsidRDefault="00830FDC" w:rsidP="00D0090A">
                <w:pPr>
                  <w:pStyle w:val="Tabletext"/>
                  <w:jc w:val="right"/>
                </w:pPr>
                <w:r w:rsidRPr="002210A7">
                  <w:t> </w:t>
                </w:r>
              </w:p>
            </w:tc>
          </w:tr>
          <w:tr w:rsidR="00830FDC" w:rsidRPr="002210A7" w14:paraId="7CD0079A" w14:textId="77777777" w:rsidTr="00866271">
            <w:trPr>
              <w:trHeight w:val="288"/>
            </w:trPr>
            <w:tc>
              <w:tcPr>
                <w:tcW w:w="4265" w:type="dxa"/>
                <w:shd w:val="clear" w:color="auto" w:fill="CAE7F3" w:themeFill="accent1" w:themeFillTint="33"/>
                <w:noWrap/>
                <w:vAlign w:val="center"/>
                <w:hideMark/>
              </w:tcPr>
              <w:p w14:paraId="6B989A67" w14:textId="77777777" w:rsidR="00830FDC" w:rsidRPr="002210A7" w:rsidRDefault="00830FDC" w:rsidP="00D0090A">
                <w:pPr>
                  <w:pStyle w:val="Tabletext"/>
                </w:pPr>
                <w:r w:rsidRPr="002210A7">
                  <w:t>Australian Entities</w:t>
                </w:r>
              </w:p>
            </w:tc>
            <w:tc>
              <w:tcPr>
                <w:tcW w:w="1316" w:type="dxa"/>
                <w:shd w:val="clear" w:color="auto" w:fill="CAE7F3" w:themeFill="accent1" w:themeFillTint="33"/>
                <w:noWrap/>
                <w:vAlign w:val="center"/>
                <w:hideMark/>
              </w:tcPr>
              <w:p w14:paraId="58684E10" w14:textId="77777777" w:rsidR="00830FDC" w:rsidRPr="002210A7" w:rsidRDefault="00830FDC" w:rsidP="00D0090A">
                <w:pPr>
                  <w:pStyle w:val="Tabletext"/>
                  <w:jc w:val="right"/>
                </w:pPr>
                <w:r w:rsidRPr="002210A7">
                  <w:t>39,159</w:t>
                </w:r>
              </w:p>
            </w:tc>
            <w:tc>
              <w:tcPr>
                <w:tcW w:w="1294" w:type="dxa"/>
                <w:shd w:val="clear" w:color="auto" w:fill="CAE7F3" w:themeFill="accent1" w:themeFillTint="33"/>
                <w:noWrap/>
                <w:vAlign w:val="center"/>
                <w:hideMark/>
              </w:tcPr>
              <w:p w14:paraId="3487A457" w14:textId="75B064AE" w:rsidR="00830FDC" w:rsidRPr="002210A7" w:rsidRDefault="00183DC9" w:rsidP="00D0090A">
                <w:pPr>
                  <w:pStyle w:val="Tabletext"/>
                  <w:jc w:val="right"/>
                </w:pPr>
                <w:r>
                  <w:t>100</w:t>
                </w:r>
              </w:p>
            </w:tc>
            <w:tc>
              <w:tcPr>
                <w:tcW w:w="1294" w:type="dxa"/>
                <w:shd w:val="clear" w:color="auto" w:fill="CAE7F3" w:themeFill="accent1" w:themeFillTint="33"/>
                <w:noWrap/>
                <w:vAlign w:val="center"/>
                <w:hideMark/>
              </w:tcPr>
              <w:p w14:paraId="52B85FFE" w14:textId="70BF25B9" w:rsidR="00830FDC" w:rsidRPr="002210A7" w:rsidRDefault="00183DC9" w:rsidP="00D0090A">
                <w:pPr>
                  <w:pStyle w:val="Tabletext"/>
                  <w:jc w:val="right"/>
                </w:pPr>
                <w:r>
                  <w:t>62</w:t>
                </w:r>
              </w:p>
            </w:tc>
            <w:tc>
              <w:tcPr>
                <w:tcW w:w="1390" w:type="dxa"/>
                <w:shd w:val="clear" w:color="auto" w:fill="CAE7F3" w:themeFill="accent1" w:themeFillTint="33"/>
                <w:noWrap/>
                <w:vAlign w:val="center"/>
                <w:hideMark/>
              </w:tcPr>
              <w:p w14:paraId="06476A92" w14:textId="7E3EE66F" w:rsidR="00830FDC" w:rsidRPr="002210A7" w:rsidRDefault="00183DC9" w:rsidP="00D0090A">
                <w:pPr>
                  <w:pStyle w:val="Tabletext"/>
                  <w:jc w:val="right"/>
                </w:pPr>
                <w:r>
                  <w:t>8</w:t>
                </w:r>
              </w:p>
            </w:tc>
          </w:tr>
          <w:tr w:rsidR="00830FDC" w:rsidRPr="002210A7" w14:paraId="2A83F3C5" w14:textId="77777777" w:rsidTr="00866271">
            <w:trPr>
              <w:trHeight w:val="300"/>
            </w:trPr>
            <w:tc>
              <w:tcPr>
                <w:tcW w:w="4265" w:type="dxa"/>
                <w:shd w:val="clear" w:color="auto" w:fill="CAE7F3" w:themeFill="accent1" w:themeFillTint="33"/>
                <w:noWrap/>
                <w:vAlign w:val="center"/>
                <w:hideMark/>
              </w:tcPr>
              <w:p w14:paraId="53C0915C" w14:textId="77777777" w:rsidR="00830FDC" w:rsidRPr="002210A7" w:rsidRDefault="00830FDC" w:rsidP="00D0090A">
                <w:pPr>
                  <w:pStyle w:val="Tabletext"/>
                </w:pPr>
                <w:r w:rsidRPr="002210A7">
                  <w:t>Australian Private Inventors</w:t>
                </w:r>
              </w:p>
            </w:tc>
            <w:tc>
              <w:tcPr>
                <w:tcW w:w="1316" w:type="dxa"/>
                <w:shd w:val="clear" w:color="auto" w:fill="CAE7F3" w:themeFill="accent1" w:themeFillTint="33"/>
                <w:noWrap/>
                <w:vAlign w:val="center"/>
                <w:hideMark/>
              </w:tcPr>
              <w:p w14:paraId="1D955E5A" w14:textId="77777777" w:rsidR="00830FDC" w:rsidRPr="002210A7" w:rsidRDefault="00830FDC" w:rsidP="00D0090A">
                <w:pPr>
                  <w:pStyle w:val="Tabletext"/>
                  <w:jc w:val="right"/>
                </w:pPr>
                <w:r w:rsidRPr="002210A7">
                  <w:t>24,046</w:t>
                </w:r>
              </w:p>
            </w:tc>
            <w:tc>
              <w:tcPr>
                <w:tcW w:w="1294" w:type="dxa"/>
                <w:shd w:val="clear" w:color="auto" w:fill="CAE7F3" w:themeFill="accent1" w:themeFillTint="33"/>
                <w:noWrap/>
                <w:vAlign w:val="center"/>
                <w:hideMark/>
              </w:tcPr>
              <w:p w14:paraId="065153B4"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7904CBEC" w14:textId="42EB3984" w:rsidR="00830FDC" w:rsidRPr="002210A7" w:rsidRDefault="00183DC9" w:rsidP="00D0090A">
                <w:pPr>
                  <w:pStyle w:val="Tabletext"/>
                  <w:jc w:val="right"/>
                </w:pPr>
                <w:r>
                  <w:t>38</w:t>
                </w:r>
              </w:p>
            </w:tc>
            <w:tc>
              <w:tcPr>
                <w:tcW w:w="1390" w:type="dxa"/>
                <w:shd w:val="clear" w:color="auto" w:fill="CAE7F3" w:themeFill="accent1" w:themeFillTint="33"/>
                <w:noWrap/>
                <w:vAlign w:val="center"/>
                <w:hideMark/>
              </w:tcPr>
              <w:p w14:paraId="48100B07" w14:textId="062CA542" w:rsidR="00830FDC" w:rsidRPr="002210A7" w:rsidRDefault="00183DC9" w:rsidP="00D0090A">
                <w:pPr>
                  <w:pStyle w:val="Tabletext"/>
                  <w:jc w:val="right"/>
                </w:pPr>
                <w:r>
                  <w:t>5</w:t>
                </w:r>
              </w:p>
            </w:tc>
          </w:tr>
          <w:tr w:rsidR="00830FDC" w:rsidRPr="002210A7" w14:paraId="108E2CA0" w14:textId="77777777" w:rsidTr="00866271">
            <w:trPr>
              <w:trHeight w:val="300"/>
            </w:trPr>
            <w:tc>
              <w:tcPr>
                <w:tcW w:w="4265" w:type="dxa"/>
                <w:shd w:val="clear" w:color="auto" w:fill="CAE7F3" w:themeFill="accent1" w:themeFillTint="33"/>
                <w:noWrap/>
                <w:vAlign w:val="center"/>
                <w:hideMark/>
              </w:tcPr>
              <w:p w14:paraId="232B9972" w14:textId="77777777" w:rsidR="00830FDC" w:rsidRPr="002210A7" w:rsidRDefault="00830FDC" w:rsidP="00D0090A">
                <w:pPr>
                  <w:pStyle w:val="Tabletext"/>
                </w:pPr>
                <w:r w:rsidRPr="002210A7">
                  <w:t> </w:t>
                </w:r>
              </w:p>
            </w:tc>
            <w:tc>
              <w:tcPr>
                <w:tcW w:w="1316" w:type="dxa"/>
                <w:shd w:val="clear" w:color="auto" w:fill="CAE7F3" w:themeFill="accent1" w:themeFillTint="33"/>
                <w:noWrap/>
                <w:vAlign w:val="center"/>
                <w:hideMark/>
              </w:tcPr>
              <w:p w14:paraId="5AAA6BD3"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56F76D72"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6D2E888D" w14:textId="77777777" w:rsidR="00830FDC" w:rsidRPr="002210A7" w:rsidRDefault="00830FDC" w:rsidP="00D0090A">
                <w:pPr>
                  <w:pStyle w:val="Tabletext"/>
                  <w:jc w:val="right"/>
                </w:pPr>
                <w:r w:rsidRPr="002210A7">
                  <w:t> </w:t>
                </w:r>
              </w:p>
            </w:tc>
            <w:tc>
              <w:tcPr>
                <w:tcW w:w="1390" w:type="dxa"/>
                <w:shd w:val="clear" w:color="auto" w:fill="CAE7F3" w:themeFill="accent1" w:themeFillTint="33"/>
                <w:noWrap/>
                <w:vAlign w:val="center"/>
                <w:hideMark/>
              </w:tcPr>
              <w:p w14:paraId="2D3976C5" w14:textId="77777777" w:rsidR="00830FDC" w:rsidRPr="002210A7" w:rsidRDefault="00830FDC" w:rsidP="00D0090A">
                <w:pPr>
                  <w:pStyle w:val="Tabletext"/>
                  <w:jc w:val="right"/>
                </w:pPr>
                <w:r w:rsidRPr="002210A7">
                  <w:t> </w:t>
                </w:r>
              </w:p>
            </w:tc>
          </w:tr>
          <w:tr w:rsidR="00830FDC" w:rsidRPr="002210A7" w14:paraId="707B64CD" w14:textId="77777777" w:rsidTr="00866271">
            <w:trPr>
              <w:trHeight w:val="288"/>
            </w:trPr>
            <w:tc>
              <w:tcPr>
                <w:tcW w:w="4265" w:type="dxa"/>
                <w:shd w:val="clear" w:color="auto" w:fill="CAE7F3" w:themeFill="accent1" w:themeFillTint="33"/>
                <w:noWrap/>
                <w:vAlign w:val="center"/>
                <w:hideMark/>
              </w:tcPr>
              <w:p w14:paraId="3952AD6C" w14:textId="77777777" w:rsidR="00830FDC" w:rsidRPr="002210A7" w:rsidRDefault="00830FDC" w:rsidP="00D0090A">
                <w:pPr>
                  <w:pStyle w:val="Tabletext"/>
                </w:pPr>
                <w:r w:rsidRPr="002210A7">
                  <w:t>Australian filers</w:t>
                </w:r>
              </w:p>
            </w:tc>
            <w:tc>
              <w:tcPr>
                <w:tcW w:w="1316" w:type="dxa"/>
                <w:shd w:val="clear" w:color="auto" w:fill="CAE7F3" w:themeFill="accent1" w:themeFillTint="33"/>
                <w:noWrap/>
                <w:vAlign w:val="center"/>
                <w:hideMark/>
              </w:tcPr>
              <w:p w14:paraId="33D3E406" w14:textId="77777777" w:rsidR="00830FDC" w:rsidRPr="002210A7" w:rsidRDefault="00830FDC" w:rsidP="00D0090A">
                <w:pPr>
                  <w:pStyle w:val="Tabletext"/>
                  <w:jc w:val="right"/>
                </w:pPr>
                <w:r w:rsidRPr="002210A7">
                  <w:t>63,205</w:t>
                </w:r>
              </w:p>
            </w:tc>
            <w:tc>
              <w:tcPr>
                <w:tcW w:w="1294" w:type="dxa"/>
                <w:shd w:val="clear" w:color="auto" w:fill="CAE7F3" w:themeFill="accent1" w:themeFillTint="33"/>
                <w:noWrap/>
                <w:vAlign w:val="center"/>
                <w:hideMark/>
              </w:tcPr>
              <w:p w14:paraId="62DF8136"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336CD5F3" w14:textId="08F57851" w:rsidR="00830FDC" w:rsidRPr="002210A7" w:rsidRDefault="00183DC9" w:rsidP="00D0090A">
                <w:pPr>
                  <w:pStyle w:val="Tabletext"/>
                  <w:jc w:val="right"/>
                </w:pPr>
                <w:r>
                  <w:t>100</w:t>
                </w:r>
              </w:p>
            </w:tc>
            <w:tc>
              <w:tcPr>
                <w:tcW w:w="1390" w:type="dxa"/>
                <w:shd w:val="clear" w:color="auto" w:fill="CAE7F3" w:themeFill="accent1" w:themeFillTint="33"/>
                <w:noWrap/>
                <w:vAlign w:val="center"/>
                <w:hideMark/>
              </w:tcPr>
              <w:p w14:paraId="7158A33E" w14:textId="346B1508" w:rsidR="00830FDC" w:rsidRPr="002210A7" w:rsidRDefault="00183DC9" w:rsidP="00D0090A">
                <w:pPr>
                  <w:pStyle w:val="Tabletext"/>
                  <w:jc w:val="right"/>
                </w:pPr>
                <w:r>
                  <w:t>12</w:t>
                </w:r>
              </w:p>
            </w:tc>
          </w:tr>
          <w:tr w:rsidR="00830FDC" w:rsidRPr="002210A7" w14:paraId="58A93210" w14:textId="77777777" w:rsidTr="00866271">
            <w:trPr>
              <w:trHeight w:val="288"/>
            </w:trPr>
            <w:tc>
              <w:tcPr>
                <w:tcW w:w="4265" w:type="dxa"/>
                <w:shd w:val="clear" w:color="auto" w:fill="CAE7F3" w:themeFill="accent1" w:themeFillTint="33"/>
                <w:noWrap/>
                <w:vAlign w:val="center"/>
                <w:hideMark/>
              </w:tcPr>
              <w:p w14:paraId="48D7003D" w14:textId="77777777" w:rsidR="00830FDC" w:rsidRPr="002210A7" w:rsidRDefault="00830FDC" w:rsidP="00D0090A">
                <w:pPr>
                  <w:pStyle w:val="Tabletext"/>
                </w:pPr>
                <w:r w:rsidRPr="002210A7">
                  <w:t>Non-resident filers</w:t>
                </w:r>
              </w:p>
            </w:tc>
            <w:tc>
              <w:tcPr>
                <w:tcW w:w="1316" w:type="dxa"/>
                <w:shd w:val="clear" w:color="auto" w:fill="CAE7F3" w:themeFill="accent1" w:themeFillTint="33"/>
                <w:noWrap/>
                <w:vAlign w:val="center"/>
                <w:hideMark/>
              </w:tcPr>
              <w:p w14:paraId="7B30F00F" w14:textId="77777777" w:rsidR="00830FDC" w:rsidRPr="002210A7" w:rsidRDefault="00830FDC" w:rsidP="00D0090A">
                <w:pPr>
                  <w:pStyle w:val="Tabletext"/>
                  <w:jc w:val="right"/>
                </w:pPr>
                <w:r w:rsidRPr="002210A7">
                  <w:t>446,081</w:t>
                </w:r>
              </w:p>
            </w:tc>
            <w:tc>
              <w:tcPr>
                <w:tcW w:w="1294" w:type="dxa"/>
                <w:shd w:val="clear" w:color="auto" w:fill="CAE7F3" w:themeFill="accent1" w:themeFillTint="33"/>
                <w:noWrap/>
                <w:vAlign w:val="center"/>
                <w:hideMark/>
              </w:tcPr>
              <w:p w14:paraId="1F766FBB"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1DA90B37" w14:textId="77777777" w:rsidR="00830FDC" w:rsidRPr="002210A7" w:rsidRDefault="00830FDC" w:rsidP="00D0090A">
                <w:pPr>
                  <w:pStyle w:val="Tabletext"/>
                  <w:jc w:val="right"/>
                </w:pPr>
                <w:r w:rsidRPr="002210A7">
                  <w:t> </w:t>
                </w:r>
              </w:p>
            </w:tc>
            <w:tc>
              <w:tcPr>
                <w:tcW w:w="1390" w:type="dxa"/>
                <w:shd w:val="clear" w:color="auto" w:fill="CAE7F3" w:themeFill="accent1" w:themeFillTint="33"/>
                <w:noWrap/>
                <w:vAlign w:val="center"/>
                <w:hideMark/>
              </w:tcPr>
              <w:p w14:paraId="791FEBE2" w14:textId="66444E32" w:rsidR="00830FDC" w:rsidRPr="002210A7" w:rsidRDefault="00183DC9" w:rsidP="00D0090A">
                <w:pPr>
                  <w:pStyle w:val="Tabletext"/>
                  <w:jc w:val="right"/>
                </w:pPr>
                <w:r>
                  <w:t>88</w:t>
                </w:r>
              </w:p>
            </w:tc>
          </w:tr>
          <w:tr w:rsidR="00830FDC" w:rsidRPr="002210A7" w14:paraId="01F2D059" w14:textId="77777777" w:rsidTr="00866271">
            <w:trPr>
              <w:trHeight w:val="300"/>
            </w:trPr>
            <w:tc>
              <w:tcPr>
                <w:tcW w:w="4265" w:type="dxa"/>
                <w:shd w:val="clear" w:color="auto" w:fill="CAE7F3" w:themeFill="accent1" w:themeFillTint="33"/>
                <w:noWrap/>
                <w:vAlign w:val="center"/>
                <w:hideMark/>
              </w:tcPr>
              <w:p w14:paraId="6DF27E7B" w14:textId="77777777" w:rsidR="00830FDC" w:rsidRPr="002210A7" w:rsidRDefault="00830FDC" w:rsidP="00D0090A">
                <w:pPr>
                  <w:pStyle w:val="Tabletext"/>
                </w:pPr>
                <w:r w:rsidRPr="002210A7">
                  <w:t>Total</w:t>
                </w:r>
              </w:p>
            </w:tc>
            <w:tc>
              <w:tcPr>
                <w:tcW w:w="1316" w:type="dxa"/>
                <w:shd w:val="clear" w:color="auto" w:fill="CAE7F3" w:themeFill="accent1" w:themeFillTint="33"/>
                <w:noWrap/>
                <w:vAlign w:val="center"/>
                <w:hideMark/>
              </w:tcPr>
              <w:p w14:paraId="0AEB1964" w14:textId="77777777" w:rsidR="00830FDC" w:rsidRPr="002210A7" w:rsidRDefault="00830FDC" w:rsidP="00D0090A">
                <w:pPr>
                  <w:pStyle w:val="Tabletext"/>
                  <w:jc w:val="right"/>
                </w:pPr>
                <w:r w:rsidRPr="002210A7">
                  <w:t>509,286</w:t>
                </w:r>
              </w:p>
            </w:tc>
            <w:tc>
              <w:tcPr>
                <w:tcW w:w="1294" w:type="dxa"/>
                <w:shd w:val="clear" w:color="auto" w:fill="CAE7F3" w:themeFill="accent1" w:themeFillTint="33"/>
                <w:noWrap/>
                <w:vAlign w:val="center"/>
                <w:hideMark/>
              </w:tcPr>
              <w:p w14:paraId="7839C999" w14:textId="77777777" w:rsidR="00830FDC" w:rsidRPr="002210A7" w:rsidRDefault="00830FDC" w:rsidP="00D0090A">
                <w:pPr>
                  <w:pStyle w:val="Tabletext"/>
                  <w:jc w:val="right"/>
                </w:pPr>
                <w:r w:rsidRPr="002210A7">
                  <w:t> </w:t>
                </w:r>
              </w:p>
            </w:tc>
            <w:tc>
              <w:tcPr>
                <w:tcW w:w="1294" w:type="dxa"/>
                <w:shd w:val="clear" w:color="auto" w:fill="CAE7F3" w:themeFill="accent1" w:themeFillTint="33"/>
                <w:noWrap/>
                <w:vAlign w:val="center"/>
                <w:hideMark/>
              </w:tcPr>
              <w:p w14:paraId="5BF7DC3B" w14:textId="77777777" w:rsidR="00830FDC" w:rsidRPr="002210A7" w:rsidRDefault="00830FDC" w:rsidP="00D0090A">
                <w:pPr>
                  <w:pStyle w:val="Tabletext"/>
                  <w:jc w:val="right"/>
                </w:pPr>
                <w:r w:rsidRPr="002210A7">
                  <w:t> </w:t>
                </w:r>
              </w:p>
            </w:tc>
            <w:tc>
              <w:tcPr>
                <w:tcW w:w="1390" w:type="dxa"/>
                <w:shd w:val="clear" w:color="auto" w:fill="CAE7F3" w:themeFill="accent1" w:themeFillTint="33"/>
                <w:noWrap/>
                <w:vAlign w:val="center"/>
                <w:hideMark/>
              </w:tcPr>
              <w:p w14:paraId="4EC8A1C5" w14:textId="642AD1D7" w:rsidR="00830FDC" w:rsidRPr="002210A7" w:rsidRDefault="00183DC9" w:rsidP="00D0090A">
                <w:pPr>
                  <w:pStyle w:val="Tabletext"/>
                  <w:jc w:val="right"/>
                </w:pPr>
                <w:r>
                  <w:t>100</w:t>
                </w:r>
              </w:p>
            </w:tc>
          </w:tr>
        </w:tbl>
        <w:p w14:paraId="5B2F8846" w14:textId="121B5259" w:rsidR="00830FDC" w:rsidRDefault="00830FDC" w:rsidP="00830FDC">
          <w:pPr>
            <w:pStyle w:val="SourceWide"/>
            <w:spacing w:after="0" w:line="240" w:lineRule="auto"/>
          </w:pPr>
          <w:r>
            <w:t xml:space="preserve">Note: </w:t>
          </w:r>
          <w:r w:rsidRPr="00E25A21">
            <w:t>Applications are assigned to Universities, CRCs, MRIs and PFROs with regard to co-applicants, so if there are two applicants each is assigne</w:t>
          </w:r>
          <w:r>
            <w:t>d</w:t>
          </w:r>
          <w:r w:rsidRPr="00E25A21">
            <w:t xml:space="preserve"> 0.5 applications. Spin-off </w:t>
          </w:r>
          <w:r w:rsidR="0089091D">
            <w:t>firm</w:t>
          </w:r>
          <w:r w:rsidRPr="00E25A21">
            <w:t xml:space="preserve"> applications </w:t>
          </w:r>
          <w:r>
            <w:t xml:space="preserve">are </w:t>
          </w:r>
          <w:r w:rsidRPr="00E25A21">
            <w:t xml:space="preserve">assigned according to ownership. </w:t>
          </w:r>
        </w:p>
        <w:p w14:paraId="47931D7E" w14:textId="44DF88CD" w:rsidR="00830FDC" w:rsidRPr="00491275" w:rsidRDefault="00830FDC" w:rsidP="00491275">
          <w:pPr>
            <w:pStyle w:val="SourceWide"/>
          </w:pPr>
          <w:r>
            <w:t>Source: Intellectual Property Government Open Data (2014), viewed 1</w:t>
          </w:r>
          <w:r w:rsidRPr="00E25A21">
            <w:t>st</w:t>
          </w:r>
          <w:r>
            <w:t xml:space="preserve"> May 2015, </w:t>
          </w:r>
          <w:hyperlink r:id="rId51" w:tooltip="https://data.gov.au/dataset/intellectual-property-government-open-data" w:history="1">
            <w:r w:rsidRPr="00E25A21">
              <w:t>https://data.gov.au/dataset/intellectual-property-government-open-data</w:t>
            </w:r>
          </w:hyperlink>
          <w:r w:rsidRPr="00E25A21">
            <w:t>; National Survey of Research Commercialisation</w:t>
          </w:r>
          <w:r>
            <w:t>;</w:t>
          </w:r>
          <w:r w:rsidRPr="00E25A21">
            <w:t xml:space="preserve"> Department of Health</w:t>
          </w:r>
          <w:r>
            <w:t>;</w:t>
          </w:r>
          <w:r w:rsidRPr="00E25A21">
            <w:t xml:space="preserve"> and Department of Industry and Science</w:t>
          </w:r>
          <w:r>
            <w:t xml:space="preserve"> data.</w:t>
          </w:r>
        </w:p>
        <w:p w14:paraId="71DF49C8" w14:textId="77777777" w:rsidR="00830FDC" w:rsidRPr="00AE4F29" w:rsidRDefault="00830FDC" w:rsidP="00830FDC">
          <w:pPr>
            <w:pStyle w:val="Heading7"/>
            <w:numPr>
              <w:ilvl w:val="6"/>
              <w:numId w:val="3"/>
            </w:numPr>
            <w:rPr>
              <w:rFonts w:eastAsia="Times New Roman" w:cs="Arial"/>
              <w:b w:val="0"/>
              <w:bCs/>
              <w:iCs w:val="0"/>
              <w:szCs w:val="28"/>
            </w:rPr>
          </w:pPr>
          <w:r w:rsidRPr="00AE4F29">
            <w:rPr>
              <w:rFonts w:eastAsia="Times New Roman" w:cs="Arial"/>
              <w:b w:val="0"/>
              <w:bCs/>
              <w:iCs w:val="0"/>
              <w:szCs w:val="28"/>
            </w:rPr>
            <w:t>Methodology</w:t>
          </w:r>
        </w:p>
        <w:p w14:paraId="4D7FB1D1" w14:textId="759F4155" w:rsidR="00491275" w:rsidRDefault="00491275" w:rsidP="00830FDC">
          <w:pPr>
            <w:rPr>
              <w:rFonts w:asciiTheme="minorHAnsi" w:hAnsiTheme="minorHAnsi"/>
            </w:rPr>
          </w:pPr>
          <w:r>
            <w:rPr>
              <w:rFonts w:asciiTheme="minorHAnsi" w:hAnsiTheme="minorHAnsi"/>
            </w:rPr>
            <w:t xml:space="preserve">The </w:t>
          </w:r>
          <w:r w:rsidRPr="00AE4F29">
            <w:rPr>
              <w:rFonts w:asciiTheme="minorHAnsi" w:hAnsiTheme="minorHAnsi"/>
            </w:rPr>
            <w:t>paper uses data from the Counts of Australian Businesses (Australian Bureau of Statistics</w:t>
          </w:r>
          <w:r>
            <w:rPr>
              <w:rFonts w:asciiTheme="minorHAnsi" w:hAnsiTheme="minorHAnsi"/>
            </w:rPr>
            <w:t>, ABS</w:t>
          </w:r>
          <w:r w:rsidRPr="00AE4F29">
            <w:rPr>
              <w:rFonts w:asciiTheme="minorHAnsi" w:hAnsiTheme="minorHAnsi"/>
            </w:rPr>
            <w:t>), Intellectual Property Government</w:t>
          </w:r>
          <w:r>
            <w:rPr>
              <w:rFonts w:asciiTheme="minorHAnsi" w:hAnsiTheme="minorHAnsi"/>
            </w:rPr>
            <w:t xml:space="preserve"> Open Data 2016 (IP Australia) and </w:t>
          </w:r>
          <w:r w:rsidRPr="00AE4F29">
            <w:rPr>
              <w:rFonts w:asciiTheme="minorHAnsi" w:hAnsiTheme="minorHAnsi"/>
            </w:rPr>
            <w:t xml:space="preserve">R&amp;D Tax Incentive Programme and </w:t>
          </w:r>
          <w:r>
            <w:rPr>
              <w:rFonts w:asciiTheme="minorHAnsi" w:hAnsiTheme="minorHAnsi"/>
            </w:rPr>
            <w:t xml:space="preserve">Estimated Resident </w:t>
          </w:r>
          <w:r w:rsidRPr="00AE4F29">
            <w:rPr>
              <w:rFonts w:asciiTheme="minorHAnsi" w:hAnsiTheme="minorHAnsi"/>
            </w:rPr>
            <w:t>Population</w:t>
          </w:r>
          <w:r>
            <w:rPr>
              <w:rFonts w:asciiTheme="minorHAnsi" w:hAnsiTheme="minorHAnsi"/>
            </w:rPr>
            <w:t xml:space="preserve"> </w:t>
          </w:r>
          <w:r w:rsidRPr="00AE4F29">
            <w:rPr>
              <w:rFonts w:asciiTheme="minorHAnsi" w:hAnsiTheme="minorHAnsi"/>
            </w:rPr>
            <w:t>(</w:t>
          </w:r>
          <w:r>
            <w:rPr>
              <w:rFonts w:asciiTheme="minorHAnsi" w:hAnsiTheme="minorHAnsi"/>
            </w:rPr>
            <w:t>ABS.Stat</w:t>
          </w:r>
          <w:r w:rsidRPr="00AE4F29">
            <w:rPr>
              <w:rFonts w:asciiTheme="minorHAnsi" w:hAnsiTheme="minorHAnsi"/>
            </w:rPr>
            <w:t xml:space="preserve"> 201</w:t>
          </w:r>
          <w:r>
            <w:rPr>
              <w:rFonts w:asciiTheme="minorHAnsi" w:hAnsiTheme="minorHAnsi"/>
            </w:rPr>
            <w:t>6</w:t>
          </w:r>
          <w:r w:rsidRPr="00AE4F29">
            <w:rPr>
              <w:rFonts w:asciiTheme="minorHAnsi" w:hAnsiTheme="minorHAnsi"/>
            </w:rPr>
            <w:t xml:space="preserve">, Australian Bureau of Statistics). The counts of patent and trademark applications as well as expenditure on research and development were used as indicators of innovative activities. </w:t>
          </w:r>
          <w:r>
            <w:rPr>
              <w:rFonts w:asciiTheme="minorHAnsi" w:hAnsiTheme="minorHAnsi"/>
            </w:rPr>
            <w:t xml:space="preserve"> </w:t>
          </w:r>
          <w:r w:rsidRPr="00C2323B">
            <w:rPr>
              <w:rFonts w:asciiTheme="minorHAnsi" w:hAnsiTheme="minorHAnsi"/>
            </w:rPr>
            <w:t xml:space="preserve">The regions have been separately examined at the Statistical Area Level 3 (SA3) levels according to the Australian </w:t>
          </w:r>
          <w:r>
            <w:rPr>
              <w:rFonts w:asciiTheme="minorHAnsi" w:hAnsiTheme="minorHAnsi"/>
            </w:rPr>
            <w:t xml:space="preserve">Statistical </w:t>
          </w:r>
          <w:r w:rsidRPr="00C2323B">
            <w:rPr>
              <w:rFonts w:asciiTheme="minorHAnsi" w:hAnsiTheme="minorHAnsi"/>
            </w:rPr>
            <w:t>Geography Standard 2011 (ABS 2011b). However,</w:t>
          </w:r>
          <w:r>
            <w:rPr>
              <w:rFonts w:asciiTheme="minorHAnsi" w:hAnsiTheme="minorHAnsi"/>
            </w:rPr>
            <w:t xml:space="preserve"> the results shown in Figures 2.1–2.</w:t>
          </w:r>
          <w:r w:rsidRPr="00C2323B">
            <w:rPr>
              <w:rFonts w:asciiTheme="minorHAnsi" w:hAnsiTheme="minorHAnsi"/>
            </w:rPr>
            <w:t xml:space="preserve">4 of this paper </w:t>
          </w:r>
          <w:r>
            <w:rPr>
              <w:rFonts w:asciiTheme="minorHAnsi" w:hAnsiTheme="minorHAnsi"/>
            </w:rPr>
            <w:t>are</w:t>
          </w:r>
          <w:r w:rsidRPr="00C2323B">
            <w:rPr>
              <w:rFonts w:asciiTheme="minorHAnsi" w:hAnsiTheme="minorHAnsi"/>
            </w:rPr>
            <w:t xml:space="preserve"> reported at Greater Capital City Statistical Areas (GCCSA), which is a higher level of aggregation as defined by the ASGS. The GCCSA separates major metropolitan city from the rest of state or territory and allows for dispersal effects from the major cities to be identified. SA3 regions aggregate into GC</w:t>
          </w:r>
          <w:r>
            <w:rPr>
              <w:rFonts w:asciiTheme="minorHAnsi" w:hAnsiTheme="minorHAnsi"/>
            </w:rPr>
            <w:t>CSAs as shown in the Table A3.</w:t>
          </w:r>
        </w:p>
        <w:p w14:paraId="0EE6DFAD" w14:textId="77777777" w:rsidR="00830FDC" w:rsidRPr="000618FB" w:rsidRDefault="00830FDC" w:rsidP="00830FDC">
          <w:pPr>
            <w:pStyle w:val="CaptionWide"/>
          </w:pPr>
          <w:r w:rsidRPr="000618FB">
            <w:t xml:space="preserve">Table </w:t>
          </w:r>
          <w:fldSimple w:instr=" STYLEREF 6 \s ">
            <w:r w:rsidR="00D55DA4">
              <w:rPr>
                <w:noProof/>
              </w:rPr>
              <w:t>B</w:t>
            </w:r>
          </w:fldSimple>
          <w:r>
            <w:t xml:space="preserve">3: Australian Statistical Geography Standard </w:t>
          </w:r>
          <w:r>
            <w:rPr>
              <w:rFonts w:cs="Arial"/>
            </w:rPr>
            <w:t>—</w:t>
          </w:r>
          <w:r>
            <w:t xml:space="preserve"> Greater Capital Statistical Area structures</w:t>
          </w:r>
        </w:p>
        <w:tbl>
          <w:tblPr>
            <w:tblStyle w:val="OCETable"/>
            <w:tblW w:w="9133" w:type="dxa"/>
            <w:tblInd w:w="108" w:type="dxa"/>
            <w:shd w:val="clear" w:color="auto" w:fill="CAE7F3" w:themeFill="accent1" w:themeFillTint="33"/>
            <w:tblLook w:val="04A0" w:firstRow="1" w:lastRow="0" w:firstColumn="1" w:lastColumn="0" w:noHBand="0" w:noVBand="1"/>
            <w:tblCaption w:val="Table A3: Australian Statistical Geography Standard — Greater Capital Statistical Area structures"/>
            <w:tblDescription w:val="Examines greater capital statistical area structures acrpss state and number of SA3 regions. "/>
          </w:tblPr>
          <w:tblGrid>
            <w:gridCol w:w="2533"/>
            <w:gridCol w:w="4133"/>
            <w:gridCol w:w="2467"/>
          </w:tblGrid>
          <w:tr w:rsidR="00830FDC" w:rsidRPr="0090525C" w14:paraId="2729ED9B" w14:textId="77777777" w:rsidTr="000D227A">
            <w:trPr>
              <w:cnfStyle w:val="100000000000" w:firstRow="1" w:lastRow="0" w:firstColumn="0" w:lastColumn="0" w:oddVBand="0" w:evenVBand="0" w:oddHBand="0" w:evenHBand="0" w:firstRowFirstColumn="0" w:firstRowLastColumn="0" w:lastRowFirstColumn="0" w:lastRowLastColumn="0"/>
              <w:trHeight w:val="718"/>
              <w:tblHeader/>
            </w:trPr>
            <w:tc>
              <w:tcPr>
                <w:tcW w:w="2533" w:type="dxa"/>
                <w:noWrap/>
                <w:vAlign w:val="center"/>
                <w:hideMark/>
              </w:tcPr>
              <w:p w14:paraId="4A1FB887" w14:textId="77777777" w:rsidR="00830FDC" w:rsidRPr="0090525C" w:rsidRDefault="00830FDC" w:rsidP="00D0090A">
                <w:pPr>
                  <w:pStyle w:val="Tableheader"/>
                </w:pPr>
                <w:r w:rsidRPr="0090525C">
                  <w:t>State</w:t>
                </w:r>
              </w:p>
            </w:tc>
            <w:tc>
              <w:tcPr>
                <w:tcW w:w="4133" w:type="dxa"/>
                <w:noWrap/>
                <w:vAlign w:val="center"/>
                <w:hideMark/>
              </w:tcPr>
              <w:p w14:paraId="3DF6F43A" w14:textId="77777777" w:rsidR="00830FDC" w:rsidRPr="0090525C" w:rsidRDefault="00830FDC" w:rsidP="00D0090A">
                <w:pPr>
                  <w:pStyle w:val="Tableheader"/>
                </w:pPr>
                <w:r w:rsidRPr="0090525C">
                  <w:t>Greater Capital City Statistical Area (GCCSA)</w:t>
                </w:r>
              </w:p>
            </w:tc>
            <w:tc>
              <w:tcPr>
                <w:tcW w:w="2467" w:type="dxa"/>
                <w:noWrap/>
                <w:vAlign w:val="center"/>
                <w:hideMark/>
              </w:tcPr>
              <w:p w14:paraId="46041F19" w14:textId="77777777" w:rsidR="00830FDC" w:rsidRPr="0090525C" w:rsidRDefault="00830FDC" w:rsidP="00D0090A">
                <w:pPr>
                  <w:pStyle w:val="Tableheader"/>
                  <w:jc w:val="right"/>
                </w:pPr>
                <w:r w:rsidRPr="0090525C">
                  <w:t>Number of SA3 regions</w:t>
                </w:r>
              </w:p>
            </w:tc>
          </w:tr>
          <w:tr w:rsidR="00830FDC" w:rsidRPr="0090525C" w14:paraId="20C35974" w14:textId="77777777" w:rsidTr="00D0090A">
            <w:trPr>
              <w:trHeight w:val="300"/>
            </w:trPr>
            <w:tc>
              <w:tcPr>
                <w:tcW w:w="2533" w:type="dxa"/>
                <w:vMerge w:val="restart"/>
                <w:noWrap/>
                <w:vAlign w:val="center"/>
                <w:hideMark/>
              </w:tcPr>
              <w:p w14:paraId="0E8D1FE3" w14:textId="77777777" w:rsidR="00830FDC" w:rsidRPr="0090525C" w:rsidRDefault="00830FDC" w:rsidP="00D0090A">
                <w:pPr>
                  <w:pStyle w:val="Tabletext"/>
                </w:pPr>
                <w:r w:rsidRPr="0090525C">
                  <w:t>New South Wales</w:t>
                </w:r>
              </w:p>
            </w:tc>
            <w:tc>
              <w:tcPr>
                <w:tcW w:w="4133" w:type="dxa"/>
                <w:noWrap/>
                <w:vAlign w:val="center"/>
                <w:hideMark/>
              </w:tcPr>
              <w:p w14:paraId="570D135E" w14:textId="77777777" w:rsidR="00830FDC" w:rsidRPr="0090525C" w:rsidRDefault="00830FDC" w:rsidP="00D0090A">
                <w:pPr>
                  <w:pStyle w:val="Tabletext"/>
                </w:pPr>
                <w:r w:rsidRPr="0090525C">
                  <w:t>Greater Sydney</w:t>
                </w:r>
              </w:p>
            </w:tc>
            <w:tc>
              <w:tcPr>
                <w:tcW w:w="2467" w:type="dxa"/>
                <w:noWrap/>
                <w:vAlign w:val="center"/>
                <w:hideMark/>
              </w:tcPr>
              <w:p w14:paraId="2BACD710" w14:textId="77777777" w:rsidR="00830FDC" w:rsidRPr="0090525C" w:rsidRDefault="00830FDC" w:rsidP="00D0090A">
                <w:pPr>
                  <w:pStyle w:val="Tabletext"/>
                  <w:jc w:val="right"/>
                </w:pPr>
                <w:r w:rsidRPr="0090525C">
                  <w:t>47</w:t>
                </w:r>
              </w:p>
            </w:tc>
          </w:tr>
          <w:tr w:rsidR="00830FDC" w:rsidRPr="0090525C" w14:paraId="5F9D1799" w14:textId="77777777" w:rsidTr="00D0090A">
            <w:trPr>
              <w:trHeight w:val="300"/>
            </w:trPr>
            <w:tc>
              <w:tcPr>
                <w:tcW w:w="2533" w:type="dxa"/>
                <w:vMerge/>
                <w:noWrap/>
                <w:vAlign w:val="center"/>
                <w:hideMark/>
              </w:tcPr>
              <w:p w14:paraId="014B8C6A" w14:textId="77777777" w:rsidR="00830FDC" w:rsidRPr="0090525C" w:rsidRDefault="00830FDC" w:rsidP="00D0090A">
                <w:pPr>
                  <w:pStyle w:val="Tabletext"/>
                </w:pPr>
              </w:p>
            </w:tc>
            <w:tc>
              <w:tcPr>
                <w:tcW w:w="4133" w:type="dxa"/>
                <w:noWrap/>
                <w:vAlign w:val="center"/>
                <w:hideMark/>
              </w:tcPr>
              <w:p w14:paraId="4A5666BE" w14:textId="3C4D0E29" w:rsidR="00830FDC" w:rsidRPr="0090525C" w:rsidRDefault="00830FDC" w:rsidP="00D0090A">
                <w:pPr>
                  <w:pStyle w:val="Tabletext"/>
                </w:pPr>
                <w:r w:rsidRPr="0090525C">
                  <w:t>Rest of N</w:t>
                </w:r>
                <w:r w:rsidR="006C5399">
                  <w:t xml:space="preserve">ew </w:t>
                </w:r>
                <w:r w:rsidRPr="0090525C">
                  <w:t>S</w:t>
                </w:r>
                <w:r w:rsidR="006C5399">
                  <w:t xml:space="preserve">outh </w:t>
                </w:r>
                <w:r w:rsidRPr="0090525C">
                  <w:t>W</w:t>
                </w:r>
                <w:r w:rsidR="006C5399">
                  <w:t>ales</w:t>
                </w:r>
              </w:p>
            </w:tc>
            <w:tc>
              <w:tcPr>
                <w:tcW w:w="2467" w:type="dxa"/>
                <w:noWrap/>
                <w:vAlign w:val="center"/>
                <w:hideMark/>
              </w:tcPr>
              <w:p w14:paraId="6FB0759E" w14:textId="77777777" w:rsidR="00830FDC" w:rsidRPr="0090525C" w:rsidRDefault="00830FDC" w:rsidP="00D0090A">
                <w:pPr>
                  <w:pStyle w:val="Tabletext"/>
                  <w:jc w:val="right"/>
                </w:pPr>
                <w:r w:rsidRPr="0090525C">
                  <w:t>44</w:t>
                </w:r>
              </w:p>
            </w:tc>
          </w:tr>
          <w:tr w:rsidR="00830FDC" w:rsidRPr="0090525C" w14:paraId="0AC50A39" w14:textId="77777777" w:rsidTr="00D0090A">
            <w:trPr>
              <w:trHeight w:val="300"/>
            </w:trPr>
            <w:tc>
              <w:tcPr>
                <w:tcW w:w="2533" w:type="dxa"/>
                <w:vMerge w:val="restart"/>
                <w:noWrap/>
                <w:vAlign w:val="center"/>
                <w:hideMark/>
              </w:tcPr>
              <w:p w14:paraId="289F2352" w14:textId="77777777" w:rsidR="00830FDC" w:rsidRPr="0090525C" w:rsidRDefault="00830FDC" w:rsidP="00D0090A">
                <w:pPr>
                  <w:pStyle w:val="Tabletext"/>
                </w:pPr>
                <w:r w:rsidRPr="0090525C">
                  <w:t>Victoria</w:t>
                </w:r>
              </w:p>
            </w:tc>
            <w:tc>
              <w:tcPr>
                <w:tcW w:w="4133" w:type="dxa"/>
                <w:noWrap/>
                <w:vAlign w:val="center"/>
                <w:hideMark/>
              </w:tcPr>
              <w:p w14:paraId="7C1AD95A" w14:textId="77777777" w:rsidR="00830FDC" w:rsidRPr="0090525C" w:rsidRDefault="00830FDC" w:rsidP="00D0090A">
                <w:pPr>
                  <w:pStyle w:val="Tabletext"/>
                </w:pPr>
                <w:r w:rsidRPr="0090525C">
                  <w:t>Greater Melbourne</w:t>
                </w:r>
              </w:p>
            </w:tc>
            <w:tc>
              <w:tcPr>
                <w:tcW w:w="2467" w:type="dxa"/>
                <w:noWrap/>
                <w:vAlign w:val="center"/>
                <w:hideMark/>
              </w:tcPr>
              <w:p w14:paraId="2D11465C" w14:textId="77777777" w:rsidR="00830FDC" w:rsidRPr="0090525C" w:rsidRDefault="00830FDC" w:rsidP="00D0090A">
                <w:pPr>
                  <w:pStyle w:val="Tabletext"/>
                  <w:jc w:val="right"/>
                </w:pPr>
                <w:r w:rsidRPr="0090525C">
                  <w:t>40</w:t>
                </w:r>
              </w:p>
            </w:tc>
          </w:tr>
          <w:tr w:rsidR="00830FDC" w:rsidRPr="0090525C" w14:paraId="57FA46DC" w14:textId="77777777" w:rsidTr="00D0090A">
            <w:trPr>
              <w:trHeight w:val="300"/>
            </w:trPr>
            <w:tc>
              <w:tcPr>
                <w:tcW w:w="2533" w:type="dxa"/>
                <w:vMerge/>
                <w:noWrap/>
                <w:vAlign w:val="center"/>
                <w:hideMark/>
              </w:tcPr>
              <w:p w14:paraId="4425D52B" w14:textId="77777777" w:rsidR="00830FDC" w:rsidRPr="0090525C" w:rsidRDefault="00830FDC" w:rsidP="00D0090A">
                <w:pPr>
                  <w:pStyle w:val="Tabletext"/>
                </w:pPr>
              </w:p>
            </w:tc>
            <w:tc>
              <w:tcPr>
                <w:tcW w:w="4133" w:type="dxa"/>
                <w:noWrap/>
                <w:vAlign w:val="center"/>
                <w:hideMark/>
              </w:tcPr>
              <w:p w14:paraId="7A6FAFC1" w14:textId="7EC419CD" w:rsidR="00830FDC" w:rsidRPr="0090525C" w:rsidRDefault="00830FDC" w:rsidP="00D0090A">
                <w:pPr>
                  <w:pStyle w:val="Tabletext"/>
                </w:pPr>
                <w:r w:rsidRPr="0090525C">
                  <w:t>Rest of Vic</w:t>
                </w:r>
                <w:r w:rsidR="006C5399">
                  <w:t>toria</w:t>
                </w:r>
              </w:p>
            </w:tc>
            <w:tc>
              <w:tcPr>
                <w:tcW w:w="2467" w:type="dxa"/>
                <w:noWrap/>
                <w:vAlign w:val="center"/>
                <w:hideMark/>
              </w:tcPr>
              <w:p w14:paraId="29B676DA" w14:textId="77777777" w:rsidR="00830FDC" w:rsidRPr="0090525C" w:rsidRDefault="00830FDC" w:rsidP="00D0090A">
                <w:pPr>
                  <w:pStyle w:val="Tabletext"/>
                  <w:jc w:val="right"/>
                </w:pPr>
                <w:r w:rsidRPr="0090525C">
                  <w:t>25</w:t>
                </w:r>
              </w:p>
            </w:tc>
          </w:tr>
          <w:tr w:rsidR="00830FDC" w:rsidRPr="0090525C" w14:paraId="32FB754E" w14:textId="77777777" w:rsidTr="00D0090A">
            <w:trPr>
              <w:trHeight w:val="300"/>
            </w:trPr>
            <w:tc>
              <w:tcPr>
                <w:tcW w:w="2533" w:type="dxa"/>
                <w:noWrap/>
                <w:vAlign w:val="center"/>
                <w:hideMark/>
              </w:tcPr>
              <w:p w14:paraId="377D5292" w14:textId="77777777" w:rsidR="00830FDC" w:rsidRPr="0090525C" w:rsidRDefault="00830FDC" w:rsidP="00D0090A">
                <w:pPr>
                  <w:pStyle w:val="Tabletext"/>
                </w:pPr>
                <w:r w:rsidRPr="0090525C">
                  <w:t>Australian Capital Territory</w:t>
                </w:r>
              </w:p>
            </w:tc>
            <w:tc>
              <w:tcPr>
                <w:tcW w:w="4133" w:type="dxa"/>
                <w:noWrap/>
                <w:vAlign w:val="center"/>
                <w:hideMark/>
              </w:tcPr>
              <w:p w14:paraId="5DD56D0D" w14:textId="08D07812" w:rsidR="00830FDC" w:rsidRPr="0090525C" w:rsidRDefault="00830FDC" w:rsidP="00D0090A">
                <w:pPr>
                  <w:pStyle w:val="Tabletext"/>
                </w:pPr>
                <w:r w:rsidRPr="0090525C">
                  <w:t>A</w:t>
                </w:r>
                <w:r w:rsidR="006C5399">
                  <w:t xml:space="preserve">ustralian </w:t>
                </w:r>
                <w:r w:rsidRPr="0090525C">
                  <w:t>C</w:t>
                </w:r>
                <w:r w:rsidR="006C5399">
                  <w:t xml:space="preserve">apital </w:t>
                </w:r>
                <w:r w:rsidRPr="0090525C">
                  <w:t>T</w:t>
                </w:r>
                <w:r w:rsidR="006C5399">
                  <w:t>erritory</w:t>
                </w:r>
              </w:p>
            </w:tc>
            <w:tc>
              <w:tcPr>
                <w:tcW w:w="2467" w:type="dxa"/>
                <w:noWrap/>
                <w:vAlign w:val="center"/>
                <w:hideMark/>
              </w:tcPr>
              <w:p w14:paraId="5FC56689" w14:textId="77777777" w:rsidR="00830FDC" w:rsidRPr="0090525C" w:rsidRDefault="00830FDC" w:rsidP="00D0090A">
                <w:pPr>
                  <w:pStyle w:val="Tabletext"/>
                  <w:jc w:val="right"/>
                </w:pPr>
                <w:r w:rsidRPr="0090525C">
                  <w:t>9</w:t>
                </w:r>
              </w:p>
            </w:tc>
          </w:tr>
          <w:tr w:rsidR="00830FDC" w:rsidRPr="0090525C" w14:paraId="42C500F9" w14:textId="77777777" w:rsidTr="00D0090A">
            <w:trPr>
              <w:trHeight w:val="300"/>
            </w:trPr>
            <w:tc>
              <w:tcPr>
                <w:tcW w:w="2533" w:type="dxa"/>
                <w:vMerge w:val="restart"/>
                <w:noWrap/>
                <w:vAlign w:val="center"/>
                <w:hideMark/>
              </w:tcPr>
              <w:p w14:paraId="73CFFB83" w14:textId="77777777" w:rsidR="00830FDC" w:rsidRPr="0090525C" w:rsidRDefault="00830FDC" w:rsidP="00D0090A">
                <w:pPr>
                  <w:pStyle w:val="Tabletext"/>
                </w:pPr>
                <w:r w:rsidRPr="0090525C">
                  <w:t>Queensland</w:t>
                </w:r>
              </w:p>
            </w:tc>
            <w:tc>
              <w:tcPr>
                <w:tcW w:w="4133" w:type="dxa"/>
                <w:noWrap/>
                <w:vAlign w:val="center"/>
                <w:hideMark/>
              </w:tcPr>
              <w:p w14:paraId="0CF0CA0D" w14:textId="77777777" w:rsidR="00830FDC" w:rsidRPr="0090525C" w:rsidRDefault="00830FDC" w:rsidP="00D0090A">
                <w:pPr>
                  <w:pStyle w:val="Tabletext"/>
                </w:pPr>
                <w:r w:rsidRPr="0090525C">
                  <w:t>Greater Brisbane</w:t>
                </w:r>
              </w:p>
            </w:tc>
            <w:tc>
              <w:tcPr>
                <w:tcW w:w="2467" w:type="dxa"/>
                <w:noWrap/>
                <w:vAlign w:val="center"/>
                <w:hideMark/>
              </w:tcPr>
              <w:p w14:paraId="0C841923" w14:textId="77777777" w:rsidR="00830FDC" w:rsidRPr="0090525C" w:rsidRDefault="00830FDC" w:rsidP="00D0090A">
                <w:pPr>
                  <w:pStyle w:val="Tabletext"/>
                  <w:jc w:val="right"/>
                </w:pPr>
                <w:r w:rsidRPr="0090525C">
                  <w:t>39</w:t>
                </w:r>
              </w:p>
            </w:tc>
          </w:tr>
          <w:tr w:rsidR="00830FDC" w:rsidRPr="0090525C" w14:paraId="598E1113" w14:textId="77777777" w:rsidTr="00D0090A">
            <w:trPr>
              <w:trHeight w:val="300"/>
            </w:trPr>
            <w:tc>
              <w:tcPr>
                <w:tcW w:w="2533" w:type="dxa"/>
                <w:vMerge/>
                <w:noWrap/>
                <w:vAlign w:val="center"/>
                <w:hideMark/>
              </w:tcPr>
              <w:p w14:paraId="1AC31F36" w14:textId="77777777" w:rsidR="00830FDC" w:rsidRPr="0090525C" w:rsidRDefault="00830FDC" w:rsidP="00D0090A">
                <w:pPr>
                  <w:pStyle w:val="Tabletext"/>
                </w:pPr>
              </w:p>
            </w:tc>
            <w:tc>
              <w:tcPr>
                <w:tcW w:w="4133" w:type="dxa"/>
                <w:noWrap/>
                <w:vAlign w:val="center"/>
                <w:hideMark/>
              </w:tcPr>
              <w:p w14:paraId="4A910A6C" w14:textId="4E4F046D" w:rsidR="00830FDC" w:rsidRPr="0090525C" w:rsidRDefault="00830FDC" w:rsidP="006C5399">
                <w:pPr>
                  <w:pStyle w:val="Tabletext"/>
                </w:pPr>
                <w:r w:rsidRPr="0090525C">
                  <w:t>Rest of Q</w:t>
                </w:r>
                <w:r w:rsidR="006C5399">
                  <w:t>ueensland</w:t>
                </w:r>
              </w:p>
            </w:tc>
            <w:tc>
              <w:tcPr>
                <w:tcW w:w="2467" w:type="dxa"/>
                <w:noWrap/>
                <w:vAlign w:val="center"/>
                <w:hideMark/>
              </w:tcPr>
              <w:p w14:paraId="3949A6BA" w14:textId="77777777" w:rsidR="00830FDC" w:rsidRPr="0090525C" w:rsidRDefault="00830FDC" w:rsidP="00D0090A">
                <w:pPr>
                  <w:pStyle w:val="Tabletext"/>
                  <w:jc w:val="right"/>
                </w:pPr>
                <w:r w:rsidRPr="0090525C">
                  <w:t>41</w:t>
                </w:r>
              </w:p>
            </w:tc>
          </w:tr>
          <w:tr w:rsidR="00830FDC" w:rsidRPr="0090525C" w14:paraId="32F02106" w14:textId="77777777" w:rsidTr="00D0090A">
            <w:trPr>
              <w:trHeight w:val="300"/>
            </w:trPr>
            <w:tc>
              <w:tcPr>
                <w:tcW w:w="2533" w:type="dxa"/>
                <w:vMerge w:val="restart"/>
                <w:noWrap/>
                <w:vAlign w:val="center"/>
                <w:hideMark/>
              </w:tcPr>
              <w:p w14:paraId="3A31E822" w14:textId="77777777" w:rsidR="00830FDC" w:rsidRPr="0090525C" w:rsidRDefault="00830FDC" w:rsidP="00D0090A">
                <w:pPr>
                  <w:pStyle w:val="Tabletext"/>
                </w:pPr>
                <w:r w:rsidRPr="0090525C">
                  <w:t>South Australia</w:t>
                </w:r>
              </w:p>
            </w:tc>
            <w:tc>
              <w:tcPr>
                <w:tcW w:w="4133" w:type="dxa"/>
                <w:noWrap/>
                <w:vAlign w:val="center"/>
                <w:hideMark/>
              </w:tcPr>
              <w:p w14:paraId="27A33F36" w14:textId="77777777" w:rsidR="00830FDC" w:rsidRPr="0090525C" w:rsidRDefault="00830FDC" w:rsidP="00D0090A">
                <w:pPr>
                  <w:pStyle w:val="Tabletext"/>
                </w:pPr>
                <w:r w:rsidRPr="0090525C">
                  <w:t>Greater Adelaide</w:t>
                </w:r>
              </w:p>
            </w:tc>
            <w:tc>
              <w:tcPr>
                <w:tcW w:w="2467" w:type="dxa"/>
                <w:noWrap/>
                <w:vAlign w:val="center"/>
                <w:hideMark/>
              </w:tcPr>
              <w:p w14:paraId="3CBCD2CF" w14:textId="77777777" w:rsidR="00830FDC" w:rsidRPr="0090525C" w:rsidRDefault="00830FDC" w:rsidP="00D0090A">
                <w:pPr>
                  <w:pStyle w:val="Tabletext"/>
                  <w:jc w:val="right"/>
                </w:pPr>
                <w:r w:rsidRPr="0090525C">
                  <w:t>19</w:t>
                </w:r>
              </w:p>
            </w:tc>
          </w:tr>
          <w:tr w:rsidR="00830FDC" w:rsidRPr="0090525C" w14:paraId="27EED162" w14:textId="77777777" w:rsidTr="00D0090A">
            <w:trPr>
              <w:trHeight w:val="300"/>
            </w:trPr>
            <w:tc>
              <w:tcPr>
                <w:tcW w:w="2533" w:type="dxa"/>
                <w:vMerge/>
                <w:noWrap/>
                <w:vAlign w:val="center"/>
                <w:hideMark/>
              </w:tcPr>
              <w:p w14:paraId="412FA425" w14:textId="77777777" w:rsidR="00830FDC" w:rsidRPr="0090525C" w:rsidRDefault="00830FDC" w:rsidP="00D0090A">
                <w:pPr>
                  <w:pStyle w:val="Tabletext"/>
                </w:pPr>
              </w:p>
            </w:tc>
            <w:tc>
              <w:tcPr>
                <w:tcW w:w="4133" w:type="dxa"/>
                <w:noWrap/>
                <w:vAlign w:val="center"/>
                <w:hideMark/>
              </w:tcPr>
              <w:p w14:paraId="5BB8E56C" w14:textId="2D602A37" w:rsidR="00830FDC" w:rsidRPr="0090525C" w:rsidRDefault="00830FDC" w:rsidP="00D0090A">
                <w:pPr>
                  <w:pStyle w:val="Tabletext"/>
                </w:pPr>
                <w:r w:rsidRPr="0090525C">
                  <w:t>Rest of S</w:t>
                </w:r>
                <w:r w:rsidR="006C5399">
                  <w:t xml:space="preserve">outh </w:t>
                </w:r>
                <w:r w:rsidRPr="0090525C">
                  <w:t>A</w:t>
                </w:r>
                <w:r w:rsidR="006C5399">
                  <w:t>ustralia</w:t>
                </w:r>
              </w:p>
            </w:tc>
            <w:tc>
              <w:tcPr>
                <w:tcW w:w="2467" w:type="dxa"/>
                <w:noWrap/>
                <w:vAlign w:val="center"/>
                <w:hideMark/>
              </w:tcPr>
              <w:p w14:paraId="5F465319" w14:textId="77777777" w:rsidR="00830FDC" w:rsidRPr="0090525C" w:rsidRDefault="00830FDC" w:rsidP="00D0090A">
                <w:pPr>
                  <w:pStyle w:val="Tabletext"/>
                  <w:jc w:val="right"/>
                </w:pPr>
                <w:r w:rsidRPr="0090525C">
                  <w:t>9</w:t>
                </w:r>
              </w:p>
            </w:tc>
          </w:tr>
          <w:tr w:rsidR="00830FDC" w:rsidRPr="0090525C" w14:paraId="655AF758" w14:textId="77777777" w:rsidTr="00D0090A">
            <w:trPr>
              <w:trHeight w:val="300"/>
            </w:trPr>
            <w:tc>
              <w:tcPr>
                <w:tcW w:w="2533" w:type="dxa"/>
                <w:vMerge w:val="restart"/>
                <w:noWrap/>
                <w:vAlign w:val="center"/>
                <w:hideMark/>
              </w:tcPr>
              <w:p w14:paraId="0FE35447" w14:textId="77777777" w:rsidR="00830FDC" w:rsidRPr="0090525C" w:rsidRDefault="00830FDC" w:rsidP="00D0090A">
                <w:pPr>
                  <w:pStyle w:val="Tabletext"/>
                </w:pPr>
                <w:r w:rsidRPr="0090525C">
                  <w:t>Western Australia</w:t>
                </w:r>
              </w:p>
            </w:tc>
            <w:tc>
              <w:tcPr>
                <w:tcW w:w="4133" w:type="dxa"/>
                <w:noWrap/>
                <w:vAlign w:val="center"/>
                <w:hideMark/>
              </w:tcPr>
              <w:p w14:paraId="1F24D9B3" w14:textId="77777777" w:rsidR="00830FDC" w:rsidRPr="0090525C" w:rsidRDefault="00830FDC" w:rsidP="00D0090A">
                <w:pPr>
                  <w:pStyle w:val="Tabletext"/>
                </w:pPr>
                <w:r w:rsidRPr="0090525C">
                  <w:t>Greater Perth</w:t>
                </w:r>
              </w:p>
            </w:tc>
            <w:tc>
              <w:tcPr>
                <w:tcW w:w="2467" w:type="dxa"/>
                <w:noWrap/>
                <w:vAlign w:val="center"/>
                <w:hideMark/>
              </w:tcPr>
              <w:p w14:paraId="63C05A74" w14:textId="77777777" w:rsidR="00830FDC" w:rsidRPr="0090525C" w:rsidRDefault="00830FDC" w:rsidP="00D0090A">
                <w:pPr>
                  <w:pStyle w:val="Tabletext"/>
                  <w:jc w:val="right"/>
                </w:pPr>
                <w:r w:rsidRPr="0090525C">
                  <w:t>21</w:t>
                </w:r>
              </w:p>
            </w:tc>
          </w:tr>
          <w:tr w:rsidR="00830FDC" w:rsidRPr="0090525C" w14:paraId="76BF7E7B" w14:textId="77777777" w:rsidTr="00D0090A">
            <w:trPr>
              <w:trHeight w:val="300"/>
            </w:trPr>
            <w:tc>
              <w:tcPr>
                <w:tcW w:w="2533" w:type="dxa"/>
                <w:vMerge/>
                <w:noWrap/>
                <w:vAlign w:val="center"/>
                <w:hideMark/>
              </w:tcPr>
              <w:p w14:paraId="6DCFD7B0" w14:textId="77777777" w:rsidR="00830FDC" w:rsidRPr="0090525C" w:rsidRDefault="00830FDC" w:rsidP="00D0090A">
                <w:pPr>
                  <w:pStyle w:val="Tabletext"/>
                </w:pPr>
              </w:p>
            </w:tc>
            <w:tc>
              <w:tcPr>
                <w:tcW w:w="4133" w:type="dxa"/>
                <w:noWrap/>
                <w:vAlign w:val="center"/>
                <w:hideMark/>
              </w:tcPr>
              <w:p w14:paraId="59926A48" w14:textId="138CFAF5" w:rsidR="00830FDC" w:rsidRPr="0090525C" w:rsidRDefault="00830FDC" w:rsidP="00D0090A">
                <w:pPr>
                  <w:pStyle w:val="Tabletext"/>
                </w:pPr>
                <w:r w:rsidRPr="0090525C">
                  <w:t>Rest of W</w:t>
                </w:r>
                <w:r w:rsidR="006C5399">
                  <w:t xml:space="preserve">estern </w:t>
                </w:r>
                <w:r w:rsidRPr="0090525C">
                  <w:t>A</w:t>
                </w:r>
                <w:r w:rsidR="006C5399">
                  <w:t>ustralia</w:t>
                </w:r>
              </w:p>
            </w:tc>
            <w:tc>
              <w:tcPr>
                <w:tcW w:w="2467" w:type="dxa"/>
                <w:noWrap/>
                <w:vAlign w:val="center"/>
                <w:hideMark/>
              </w:tcPr>
              <w:p w14:paraId="610422FF" w14:textId="77777777" w:rsidR="00830FDC" w:rsidRPr="0090525C" w:rsidRDefault="00830FDC" w:rsidP="00D0090A">
                <w:pPr>
                  <w:pStyle w:val="Tabletext"/>
                  <w:jc w:val="right"/>
                </w:pPr>
                <w:r w:rsidRPr="0090525C">
                  <w:t>12</w:t>
                </w:r>
              </w:p>
            </w:tc>
          </w:tr>
          <w:tr w:rsidR="00830FDC" w:rsidRPr="0090525C" w14:paraId="6AB85BB6" w14:textId="77777777" w:rsidTr="00D0090A">
            <w:trPr>
              <w:trHeight w:val="300"/>
            </w:trPr>
            <w:tc>
              <w:tcPr>
                <w:tcW w:w="2533" w:type="dxa"/>
                <w:vMerge w:val="restart"/>
                <w:noWrap/>
                <w:vAlign w:val="center"/>
                <w:hideMark/>
              </w:tcPr>
              <w:p w14:paraId="2B641977" w14:textId="77777777" w:rsidR="00830FDC" w:rsidRPr="0090525C" w:rsidRDefault="00830FDC" w:rsidP="00D0090A">
                <w:pPr>
                  <w:pStyle w:val="Tabletext"/>
                </w:pPr>
                <w:r w:rsidRPr="0090525C">
                  <w:t>Tasmania</w:t>
                </w:r>
              </w:p>
            </w:tc>
            <w:tc>
              <w:tcPr>
                <w:tcW w:w="4133" w:type="dxa"/>
                <w:noWrap/>
                <w:vAlign w:val="center"/>
                <w:hideMark/>
              </w:tcPr>
              <w:p w14:paraId="3A31A98C" w14:textId="77777777" w:rsidR="00830FDC" w:rsidRPr="0090525C" w:rsidRDefault="00830FDC" w:rsidP="00D0090A">
                <w:pPr>
                  <w:pStyle w:val="Tabletext"/>
                </w:pPr>
                <w:r w:rsidRPr="0090525C">
                  <w:t>Greater Hobart</w:t>
                </w:r>
              </w:p>
            </w:tc>
            <w:tc>
              <w:tcPr>
                <w:tcW w:w="2467" w:type="dxa"/>
                <w:noWrap/>
                <w:vAlign w:val="center"/>
                <w:hideMark/>
              </w:tcPr>
              <w:p w14:paraId="1E4225FF" w14:textId="77777777" w:rsidR="00830FDC" w:rsidRPr="0090525C" w:rsidRDefault="00830FDC" w:rsidP="00D0090A">
                <w:pPr>
                  <w:pStyle w:val="Tabletext"/>
                  <w:jc w:val="right"/>
                </w:pPr>
                <w:r w:rsidRPr="0090525C">
                  <w:t>6</w:t>
                </w:r>
              </w:p>
            </w:tc>
          </w:tr>
          <w:tr w:rsidR="00830FDC" w:rsidRPr="0090525C" w14:paraId="4CA61753" w14:textId="77777777" w:rsidTr="00D0090A">
            <w:trPr>
              <w:trHeight w:val="300"/>
            </w:trPr>
            <w:tc>
              <w:tcPr>
                <w:tcW w:w="2533" w:type="dxa"/>
                <w:vMerge/>
                <w:noWrap/>
                <w:vAlign w:val="center"/>
                <w:hideMark/>
              </w:tcPr>
              <w:p w14:paraId="3DA3382C" w14:textId="77777777" w:rsidR="00830FDC" w:rsidRPr="0090525C" w:rsidRDefault="00830FDC" w:rsidP="00D0090A">
                <w:pPr>
                  <w:pStyle w:val="Tabletext"/>
                </w:pPr>
              </w:p>
            </w:tc>
            <w:tc>
              <w:tcPr>
                <w:tcW w:w="4133" w:type="dxa"/>
                <w:noWrap/>
                <w:vAlign w:val="center"/>
                <w:hideMark/>
              </w:tcPr>
              <w:p w14:paraId="39AECEC5" w14:textId="1006AFBE" w:rsidR="00830FDC" w:rsidRPr="0090525C" w:rsidRDefault="00830FDC" w:rsidP="00D0090A">
                <w:pPr>
                  <w:pStyle w:val="Tabletext"/>
                </w:pPr>
                <w:r w:rsidRPr="0090525C">
                  <w:t>Rest of Tas</w:t>
                </w:r>
                <w:r w:rsidR="006C5399">
                  <w:t>mania</w:t>
                </w:r>
              </w:p>
            </w:tc>
            <w:tc>
              <w:tcPr>
                <w:tcW w:w="2467" w:type="dxa"/>
                <w:noWrap/>
                <w:vAlign w:val="center"/>
                <w:hideMark/>
              </w:tcPr>
              <w:p w14:paraId="023F2CCB" w14:textId="77777777" w:rsidR="00830FDC" w:rsidRPr="0090525C" w:rsidRDefault="00830FDC" w:rsidP="00D0090A">
                <w:pPr>
                  <w:pStyle w:val="Tabletext"/>
                  <w:jc w:val="right"/>
                </w:pPr>
                <w:r w:rsidRPr="0090525C">
                  <w:t>9</w:t>
                </w:r>
              </w:p>
            </w:tc>
          </w:tr>
          <w:tr w:rsidR="00830FDC" w:rsidRPr="0090525C" w14:paraId="4A49B47A" w14:textId="77777777" w:rsidTr="00D0090A">
            <w:trPr>
              <w:trHeight w:val="300"/>
            </w:trPr>
            <w:tc>
              <w:tcPr>
                <w:tcW w:w="2533" w:type="dxa"/>
                <w:vMerge w:val="restart"/>
                <w:noWrap/>
                <w:vAlign w:val="center"/>
                <w:hideMark/>
              </w:tcPr>
              <w:p w14:paraId="1AD9B21C" w14:textId="77777777" w:rsidR="00830FDC" w:rsidRPr="0090525C" w:rsidRDefault="00830FDC" w:rsidP="00D0090A">
                <w:pPr>
                  <w:pStyle w:val="Tabletext"/>
                </w:pPr>
                <w:r w:rsidRPr="0090525C">
                  <w:t>Northern Territory</w:t>
                </w:r>
              </w:p>
            </w:tc>
            <w:tc>
              <w:tcPr>
                <w:tcW w:w="4133" w:type="dxa"/>
                <w:noWrap/>
                <w:vAlign w:val="center"/>
                <w:hideMark/>
              </w:tcPr>
              <w:p w14:paraId="2C929651" w14:textId="77777777" w:rsidR="00830FDC" w:rsidRPr="0090525C" w:rsidRDefault="00830FDC" w:rsidP="00D0090A">
                <w:pPr>
                  <w:pStyle w:val="Tabletext"/>
                </w:pPr>
                <w:r w:rsidRPr="0090525C">
                  <w:t>Greater Darwin</w:t>
                </w:r>
              </w:p>
            </w:tc>
            <w:tc>
              <w:tcPr>
                <w:tcW w:w="2467" w:type="dxa"/>
                <w:noWrap/>
                <w:vAlign w:val="center"/>
                <w:hideMark/>
              </w:tcPr>
              <w:p w14:paraId="0E9D7978" w14:textId="77777777" w:rsidR="00830FDC" w:rsidRPr="0090525C" w:rsidRDefault="00830FDC" w:rsidP="00D0090A">
                <w:pPr>
                  <w:pStyle w:val="Tabletext"/>
                  <w:jc w:val="right"/>
                </w:pPr>
                <w:r w:rsidRPr="0090525C">
                  <w:t>4</w:t>
                </w:r>
              </w:p>
            </w:tc>
          </w:tr>
          <w:tr w:rsidR="00830FDC" w:rsidRPr="0090525C" w14:paraId="4E4EBD34" w14:textId="77777777" w:rsidTr="00D0090A">
            <w:trPr>
              <w:trHeight w:val="300"/>
            </w:trPr>
            <w:tc>
              <w:tcPr>
                <w:tcW w:w="2533" w:type="dxa"/>
                <w:vMerge/>
                <w:noWrap/>
                <w:vAlign w:val="center"/>
                <w:hideMark/>
              </w:tcPr>
              <w:p w14:paraId="089D9BE4" w14:textId="77777777" w:rsidR="00830FDC" w:rsidRPr="0090525C" w:rsidRDefault="00830FDC" w:rsidP="00D0090A">
                <w:pPr>
                  <w:pStyle w:val="Tabletext"/>
                </w:pPr>
              </w:p>
            </w:tc>
            <w:tc>
              <w:tcPr>
                <w:tcW w:w="4133" w:type="dxa"/>
                <w:noWrap/>
                <w:vAlign w:val="center"/>
                <w:hideMark/>
              </w:tcPr>
              <w:p w14:paraId="21723F10" w14:textId="2EC9B83D" w:rsidR="00830FDC" w:rsidRPr="0090525C" w:rsidRDefault="00830FDC" w:rsidP="00D0090A">
                <w:pPr>
                  <w:pStyle w:val="Tabletext"/>
                </w:pPr>
                <w:r w:rsidRPr="0090525C">
                  <w:t>Rest of N</w:t>
                </w:r>
                <w:r w:rsidR="006C5399">
                  <w:t xml:space="preserve">orthern </w:t>
                </w:r>
                <w:r w:rsidRPr="0090525C">
                  <w:t>T</w:t>
                </w:r>
                <w:r w:rsidR="006C5399">
                  <w:t>erritory</w:t>
                </w:r>
              </w:p>
            </w:tc>
            <w:tc>
              <w:tcPr>
                <w:tcW w:w="2467" w:type="dxa"/>
                <w:noWrap/>
                <w:vAlign w:val="center"/>
                <w:hideMark/>
              </w:tcPr>
              <w:p w14:paraId="36EA1C5C" w14:textId="77777777" w:rsidR="00830FDC" w:rsidRPr="0090525C" w:rsidRDefault="00830FDC" w:rsidP="00D0090A">
                <w:pPr>
                  <w:pStyle w:val="Tabletext"/>
                  <w:jc w:val="right"/>
                </w:pPr>
                <w:r w:rsidRPr="0090525C">
                  <w:t>5</w:t>
                </w:r>
              </w:p>
            </w:tc>
          </w:tr>
        </w:tbl>
        <w:p w14:paraId="3DBD4E2E" w14:textId="5081F83D" w:rsidR="00830FDC" w:rsidRPr="00A30089" w:rsidRDefault="00830FDC" w:rsidP="00830FDC">
          <w:pPr>
            <w:pStyle w:val="SourceWide"/>
          </w:pPr>
          <w:r>
            <w:t xml:space="preserve">Source: Australian Statistical Geography Standard (2011), cat. no. 1270.0.55.001 </w:t>
          </w:r>
          <w:hyperlink r:id="rId52" w:tooltip="http://www.abs.gov.au/AUSSTATS/abs@.nsf/Lookup/1270.0.55.001Main+Features1July%202011" w:history="1">
            <w:r w:rsidRPr="00887FC3">
              <w:rPr>
                <w:rStyle w:val="Hyperlink"/>
              </w:rPr>
              <w:t>http://www.abs.gov.au/AUSSTATS/abs@.nsf/Lookup/1270.0.55.001Main+Features1July%202011</w:t>
            </w:r>
          </w:hyperlink>
        </w:p>
        <w:p w14:paraId="226D0FD5" w14:textId="0263CAD4" w:rsidR="00830FDC" w:rsidRPr="00AE4F29" w:rsidRDefault="00830FDC" w:rsidP="00830FDC">
          <w:pPr>
            <w:spacing w:line="270" w:lineRule="exact"/>
            <w:rPr>
              <w:rFonts w:asciiTheme="minorHAnsi" w:hAnsiTheme="minorHAnsi"/>
            </w:rPr>
          </w:pPr>
          <w:r w:rsidRPr="00AE4F29">
            <w:rPr>
              <w:rFonts w:asciiTheme="minorHAnsi" w:hAnsiTheme="minorHAnsi"/>
            </w:rPr>
            <w:t xml:space="preserve">The data for business entries and expenditure on R&amp;D was geocoded at the </w:t>
          </w:r>
          <w:r>
            <w:rPr>
              <w:rFonts w:asciiTheme="minorHAnsi" w:hAnsiTheme="minorHAnsi"/>
            </w:rPr>
            <w:t>SA3 level and spanned from 2008</w:t>
          </w:r>
          <w:r>
            <w:rPr>
              <w:rFonts w:asciiTheme="minorHAnsi" w:hAnsiTheme="minorHAnsi" w:cstheme="minorHAnsi"/>
            </w:rPr>
            <w:t>–</w:t>
          </w:r>
          <w:r>
            <w:rPr>
              <w:rFonts w:asciiTheme="minorHAnsi" w:hAnsiTheme="minorHAnsi"/>
            </w:rPr>
            <w:t>09 till 2013</w:t>
          </w:r>
          <w:r>
            <w:rPr>
              <w:rFonts w:asciiTheme="minorHAnsi" w:hAnsiTheme="minorHAnsi" w:cstheme="minorHAnsi"/>
            </w:rPr>
            <w:t>–</w:t>
          </w:r>
          <w:r w:rsidRPr="00AE4F29">
            <w:rPr>
              <w:rFonts w:asciiTheme="minorHAnsi" w:hAnsiTheme="minorHAnsi"/>
            </w:rPr>
            <w:t>14 financial years. The SA3 levels of aggregation provide a standard framework for analysis of data according to regions where the population is between 30,000 and 130,000 persons</w:t>
          </w:r>
          <w:r>
            <w:rPr>
              <w:rFonts w:asciiTheme="minorHAnsi" w:hAnsiTheme="minorHAnsi"/>
            </w:rPr>
            <w:t xml:space="preserve"> (ABS 2011b)</w:t>
          </w:r>
          <w:r w:rsidRPr="00AE4F29">
            <w:rPr>
              <w:rFonts w:asciiTheme="minorHAnsi" w:hAnsiTheme="minorHAnsi"/>
            </w:rPr>
            <w:t xml:space="preserve">. The data for trademarks and patents from years 2003 till </w:t>
          </w:r>
          <w:r w:rsidR="00F949DC" w:rsidRPr="00AE4F29">
            <w:rPr>
              <w:rFonts w:asciiTheme="minorHAnsi" w:hAnsiTheme="minorHAnsi"/>
            </w:rPr>
            <w:t>201</w:t>
          </w:r>
          <w:r w:rsidR="00F949DC">
            <w:rPr>
              <w:rFonts w:asciiTheme="minorHAnsi" w:hAnsiTheme="minorHAnsi"/>
            </w:rPr>
            <w:t>5</w:t>
          </w:r>
          <w:r w:rsidR="00F949DC" w:rsidRPr="00AE4F29">
            <w:rPr>
              <w:rFonts w:asciiTheme="minorHAnsi" w:hAnsiTheme="minorHAnsi"/>
            </w:rPr>
            <w:t xml:space="preserve"> </w:t>
          </w:r>
          <w:r w:rsidRPr="00AE4F29">
            <w:rPr>
              <w:rFonts w:asciiTheme="minorHAnsi" w:hAnsiTheme="minorHAnsi"/>
            </w:rPr>
            <w:t xml:space="preserve">were </w:t>
          </w:r>
          <w:r w:rsidR="00F949DC">
            <w:rPr>
              <w:rFonts w:asciiTheme="minorHAnsi" w:hAnsiTheme="minorHAnsi"/>
            </w:rPr>
            <w:t xml:space="preserve">geocoded by street address or suburb </w:t>
          </w:r>
          <w:r w:rsidRPr="00AE4F29">
            <w:rPr>
              <w:rFonts w:asciiTheme="minorHAnsi" w:hAnsiTheme="minorHAnsi"/>
            </w:rPr>
            <w:t>and converted to SA3 regions</w:t>
          </w:r>
          <w:r w:rsidR="00F949DC">
            <w:rPr>
              <w:rFonts w:asciiTheme="minorHAnsi" w:hAnsiTheme="minorHAnsi"/>
            </w:rPr>
            <w:t>.</w:t>
          </w:r>
          <w:r>
            <w:rPr>
              <w:rFonts w:asciiTheme="minorHAnsi" w:hAnsiTheme="minorHAnsi"/>
            </w:rPr>
            <w:t xml:space="preserve"> (ABS 2011a)</w:t>
          </w:r>
          <w:r w:rsidRPr="00AE4F29">
            <w:rPr>
              <w:rFonts w:asciiTheme="minorHAnsi" w:hAnsiTheme="minorHAnsi"/>
            </w:rPr>
            <w:t>.</w:t>
          </w:r>
        </w:p>
        <w:p w14:paraId="4D051F0B" w14:textId="234AE6A3" w:rsidR="00830FDC" w:rsidRPr="00AE4F29" w:rsidRDefault="00830FDC" w:rsidP="00830FDC">
          <w:pPr>
            <w:spacing w:line="270" w:lineRule="exact"/>
            <w:rPr>
              <w:rFonts w:asciiTheme="minorHAnsi" w:hAnsiTheme="minorHAnsi" w:cstheme="minorHAnsi"/>
            </w:rPr>
          </w:pPr>
          <w:r w:rsidRPr="00AE4F29">
            <w:rPr>
              <w:rFonts w:asciiTheme="minorHAnsi" w:hAnsiTheme="minorHAnsi"/>
            </w:rPr>
            <w:t xml:space="preserve">The data was mapped using </w:t>
          </w:r>
          <w:r w:rsidRPr="00AE4F29">
            <w:rPr>
              <w:rFonts w:asciiTheme="minorHAnsi" w:hAnsiTheme="minorHAnsi" w:cstheme="minorHAnsi"/>
            </w:rPr>
            <w:t>GeoDa v.1.6.7 (</w:t>
          </w:r>
          <w:hyperlink r:id="rId53" w:tooltip="www.geoda.com" w:history="1">
            <w:r w:rsidRPr="00AE4F29">
              <w:rPr>
                <w:rFonts w:asciiTheme="minorHAnsi" w:hAnsiTheme="minorHAnsi" w:cstheme="minorHAnsi"/>
                <w:color w:val="22789A"/>
                <w:u w:val="single"/>
              </w:rPr>
              <w:t>www.geoda.com</w:t>
            </w:r>
          </w:hyperlink>
          <w:r w:rsidRPr="00AE4F29">
            <w:rPr>
              <w:rFonts w:asciiTheme="minorHAnsi" w:hAnsiTheme="minorHAnsi" w:cstheme="minorHAnsi"/>
            </w:rPr>
            <w:t>)</w:t>
          </w:r>
          <w:r w:rsidRPr="00AE4F29">
            <w:rPr>
              <w:rFonts w:asciiTheme="minorHAnsi" w:hAnsiTheme="minorHAnsi"/>
            </w:rPr>
            <w:t xml:space="preserve"> </w:t>
          </w:r>
          <w:r w:rsidR="00F949DC">
            <w:rPr>
              <w:rFonts w:asciiTheme="minorHAnsi" w:hAnsiTheme="minorHAnsi"/>
            </w:rPr>
            <w:t>and QGIS v.2.14.2 (</w:t>
          </w:r>
          <w:hyperlink r:id="rId54" w:tooltip="http://www.qgis.org" w:history="1">
            <w:r w:rsidR="00F949DC" w:rsidRPr="002F13B2">
              <w:rPr>
                <w:rStyle w:val="Hyperlink"/>
                <w:rFonts w:asciiTheme="minorHAnsi" w:hAnsiTheme="minorHAnsi"/>
              </w:rPr>
              <w:t>http://www.qgis.org</w:t>
            </w:r>
          </w:hyperlink>
          <w:r w:rsidR="00F949DC">
            <w:rPr>
              <w:rFonts w:asciiTheme="minorHAnsi" w:hAnsiTheme="minorHAnsi"/>
            </w:rPr>
            <w:t xml:space="preserve">) </w:t>
          </w:r>
          <w:r w:rsidRPr="00AE4F29">
            <w:rPr>
              <w:rFonts w:asciiTheme="minorHAnsi" w:hAnsiTheme="minorHAnsi"/>
            </w:rPr>
            <w:t>open source mapping platform. The Statistical Area Level 3 (SA3) ASGS Ed 2011 Digital Boundaries in MapInfo Interchange format was used to define SA3 regional boundaries.</w:t>
          </w:r>
          <w:r>
            <w:rPr>
              <w:rFonts w:asciiTheme="minorHAnsi" w:hAnsiTheme="minorHAnsi"/>
            </w:rPr>
            <w:t xml:space="preserve"> (ABS 2011)</w:t>
          </w:r>
          <w:r w:rsidRPr="00AE4F29">
            <w:rPr>
              <w:rFonts w:asciiTheme="minorHAnsi" w:hAnsiTheme="minorHAnsi"/>
            </w:rPr>
            <w:t xml:space="preserve"> Maps were created according to five percentiles for each variable.</w:t>
          </w:r>
          <w:r w:rsidRPr="00AE4F29">
            <w:rPr>
              <w:rFonts w:asciiTheme="minorHAnsi" w:hAnsiTheme="minorHAnsi" w:cstheme="minorHAnsi"/>
            </w:rPr>
            <w:t xml:space="preserve"> </w:t>
          </w:r>
        </w:p>
        <w:p w14:paraId="0C1DBAD0" w14:textId="33B45DBE" w:rsidR="00F949DC" w:rsidRDefault="00830FDC" w:rsidP="00830FDC">
          <w:pPr>
            <w:spacing w:line="270" w:lineRule="exact"/>
            <w:rPr>
              <w:rFonts w:asciiTheme="minorHAnsi" w:hAnsiTheme="minorHAnsi"/>
            </w:rPr>
          </w:pPr>
          <w:r w:rsidRPr="00AE4F29">
            <w:rPr>
              <w:rFonts w:asciiTheme="minorHAnsi" w:hAnsiTheme="minorHAnsi"/>
            </w:rPr>
            <w:t xml:space="preserve">To examine the regional innovative activities by patenting, trademark and R&amp;D expenditure and its effect on business entries, it was important to </w:t>
          </w:r>
          <w:r>
            <w:rPr>
              <w:rFonts w:asciiTheme="minorHAnsi" w:hAnsiTheme="minorHAnsi"/>
            </w:rPr>
            <w:t>weight</w:t>
          </w:r>
          <w:r w:rsidRPr="00AE4F29">
            <w:rPr>
              <w:rFonts w:asciiTheme="minorHAnsi" w:hAnsiTheme="minorHAnsi"/>
            </w:rPr>
            <w:t xml:space="preserve"> the data </w:t>
          </w:r>
          <w:r>
            <w:rPr>
              <w:rFonts w:asciiTheme="minorHAnsi" w:hAnsiTheme="minorHAnsi"/>
            </w:rPr>
            <w:t>by</w:t>
          </w:r>
          <w:r w:rsidRPr="00AE4F29">
            <w:rPr>
              <w:rFonts w:asciiTheme="minorHAnsi" w:hAnsiTheme="minorHAnsi"/>
            </w:rPr>
            <w:t xml:space="preserve"> population. The 201</w:t>
          </w:r>
          <w:r w:rsidR="00F949DC">
            <w:rPr>
              <w:rFonts w:asciiTheme="minorHAnsi" w:hAnsiTheme="minorHAnsi"/>
            </w:rPr>
            <w:t xml:space="preserve">6 Estimated Resident Population dataset on ABS.Stat provided population counts at the </w:t>
          </w:r>
          <w:r w:rsidRPr="00AE4F29">
            <w:rPr>
              <w:rFonts w:asciiTheme="minorHAnsi" w:hAnsiTheme="minorHAnsi"/>
            </w:rPr>
            <w:t>SA3 region</w:t>
          </w:r>
          <w:r w:rsidR="00F949DC">
            <w:rPr>
              <w:rFonts w:asciiTheme="minorHAnsi" w:hAnsiTheme="minorHAnsi"/>
            </w:rPr>
            <w:t>.</w:t>
          </w:r>
        </w:p>
        <w:p w14:paraId="76CC0D94" w14:textId="77777777" w:rsidR="00830FDC" w:rsidRPr="00AE4F29" w:rsidRDefault="00830FDC" w:rsidP="00830FDC">
          <w:pPr>
            <w:spacing w:line="270" w:lineRule="exact"/>
            <w:rPr>
              <w:rFonts w:asciiTheme="minorHAnsi" w:hAnsiTheme="minorHAnsi"/>
            </w:rPr>
          </w:pPr>
          <w:r w:rsidRPr="00AE4F29">
            <w:rPr>
              <w:rFonts w:asciiTheme="minorHAnsi" w:hAnsiTheme="minorHAnsi"/>
            </w:rPr>
            <w:t>To understand the relationship between new firm creation and innovative activities, the population adjusted data was first normalised using a logarithmic transformation. This satisfied the condition that variables must follow a Gaussian distribution for ordinary least square (OLS) estimates. To understand the effects between different regions, we used OLS estimation with time-averaged dependent variable on the time-averaged regressors for each individual area. Equation (1) estimates the coefficients between regressors.</w:t>
          </w:r>
        </w:p>
        <w:p w14:paraId="0D31D091" w14:textId="77777777" w:rsidR="00830FDC" w:rsidRPr="00AE4F29" w:rsidRDefault="00830FDC" w:rsidP="00830FDC">
          <w:pPr>
            <w:spacing w:line="270" w:lineRule="exact"/>
            <w:rPr>
              <w:rFonts w:asciiTheme="minorHAnsi" w:hAnsiTheme="minorHAnsi"/>
            </w:rPr>
          </w:pPr>
          <w:r w:rsidRPr="00AE4F29">
            <w:rPr>
              <w:rFonts w:asciiTheme="minorHAnsi" w:hAnsiTheme="minorHAnsi"/>
            </w:rPr>
            <w:t xml:space="preserve">While normalising with population removes some of the bias, it does not address the characteristics of different regions such as socio-economic status of the population, access to labour, geographic features and cultural differences. These factors may have profound effects on the coefficients of change and must be taken in to account in the analysis. </w:t>
          </w:r>
        </w:p>
        <w:p w14:paraId="4B1B106F" w14:textId="4CC5A1DE" w:rsidR="00830FDC" w:rsidRPr="00AE4F29" w:rsidRDefault="00830FDC" w:rsidP="00830FDC">
          <w:pPr>
            <w:spacing w:line="270" w:lineRule="exact"/>
            <w:rPr>
              <w:rFonts w:asciiTheme="minorHAnsi" w:hAnsiTheme="minorHAnsi"/>
            </w:rPr>
          </w:pPr>
          <w:r w:rsidRPr="00AE4F29">
            <w:rPr>
              <w:rFonts w:asciiTheme="minorHAnsi" w:hAnsiTheme="minorHAnsi"/>
            </w:rPr>
            <w:t>To address these issues, we have used the fixed effects model which assumes that all the region</w:t>
          </w:r>
          <w:r w:rsidR="002F5DC8">
            <w:rPr>
              <w:rFonts w:asciiTheme="minorHAnsi" w:hAnsiTheme="minorHAnsi"/>
            </w:rPr>
            <w:t>-</w:t>
          </w:r>
          <w:r w:rsidRPr="00AE4F29">
            <w:rPr>
              <w:rFonts w:asciiTheme="minorHAnsi" w:hAnsiTheme="minorHAnsi"/>
            </w:rPr>
            <w:t>specific effects do not vary over time (Equation 2). We have used this model to investigate the coefficients over a six</w:t>
          </w:r>
          <w:r w:rsidR="002F5DC8">
            <w:rPr>
              <w:rFonts w:asciiTheme="minorHAnsi" w:hAnsiTheme="minorHAnsi"/>
            </w:rPr>
            <w:t>-</w:t>
          </w:r>
          <w:r w:rsidRPr="00AE4F29">
            <w:rPr>
              <w:rFonts w:asciiTheme="minorHAnsi" w:hAnsiTheme="minorHAnsi"/>
            </w:rPr>
            <w:t xml:space="preserve">year time period and region specific intercept </w:t>
          </w:r>
          <m:oMath>
            <m:acc>
              <m:accPr>
                <m:ctrlPr>
                  <w:rPr>
                    <w:rFonts w:ascii="Cambria Math" w:hAnsi="Cambria Math"/>
                    <w:i/>
                  </w:rPr>
                </m:ctrlPr>
              </m:accPr>
              <m:e>
                <m:r>
                  <w:rPr>
                    <w:rFonts w:ascii="Cambria Math" w:hAnsi="Cambria Math"/>
                  </w:rPr>
                  <m:t>α</m:t>
                </m:r>
              </m:e>
            </m:acc>
          </m:oMath>
          <w:r w:rsidRPr="00AE4F29">
            <w:rPr>
              <w:rFonts w:asciiTheme="minorHAnsi" w:eastAsiaTheme="minorEastAsia" w:hAnsiTheme="minorHAnsi"/>
            </w:rPr>
            <w:t xml:space="preserve"> (Equation </w:t>
          </w:r>
          <w:r>
            <w:rPr>
              <w:rFonts w:asciiTheme="minorHAnsi" w:eastAsiaTheme="minorEastAsia" w:hAnsiTheme="minorHAnsi"/>
            </w:rPr>
            <w:t>3</w:t>
          </w:r>
          <w:r w:rsidRPr="00AE4F29">
            <w:rPr>
              <w:rFonts w:asciiTheme="minorHAnsi" w:eastAsiaTheme="minorEastAsia" w:hAnsiTheme="minorHAnsi"/>
            </w:rPr>
            <w:t>)</w:t>
          </w:r>
          <w:r w:rsidRPr="00AE4F29">
            <w:rPr>
              <w:rFonts w:asciiTheme="minorHAnsi" w:hAnsiTheme="minorHAnsi"/>
            </w:rPr>
            <w:t xml:space="preserve">. The Hausman test was carried out to validate if a fixed effects model is more suitable than a random effects model. The assumption for a random effects model (Equation </w:t>
          </w:r>
          <w:r>
            <w:rPr>
              <w:rFonts w:asciiTheme="minorHAnsi" w:hAnsiTheme="minorHAnsi"/>
            </w:rPr>
            <w:t>4</w:t>
          </w:r>
          <w:r w:rsidRPr="00AE4F29">
            <w:rPr>
              <w:rFonts w:asciiTheme="minorHAnsi" w:hAnsiTheme="minorHAnsi"/>
            </w:rPr>
            <w:t>) is that the region</w:t>
          </w:r>
          <w:r w:rsidR="002F5DC8">
            <w:rPr>
              <w:rFonts w:asciiTheme="minorHAnsi" w:hAnsiTheme="minorHAnsi"/>
            </w:rPr>
            <w:t>-</w:t>
          </w:r>
          <w:r w:rsidRPr="00AE4F29">
            <w:rPr>
              <w:rFonts w:asciiTheme="minorHAnsi" w:hAnsiTheme="minorHAnsi"/>
            </w:rPr>
            <w:t xml:space="preserve">specific effects are distributed independently of the regressors. </w:t>
          </w:r>
        </w:p>
        <w:p w14:paraId="68525048" w14:textId="77777777" w:rsidR="00830FDC" w:rsidRPr="00AE4F29" w:rsidRDefault="00830FDC" w:rsidP="00830FDC">
          <w:pPr>
            <w:spacing w:line="270" w:lineRule="exact"/>
            <w:rPr>
              <w:rFonts w:asciiTheme="minorHAnsi" w:hAnsiTheme="minorHAnsi"/>
            </w:rPr>
          </w:pPr>
          <w:r w:rsidRPr="00AE4F29">
            <w:rPr>
              <w:rFonts w:asciiTheme="minorHAnsi" w:hAnsiTheme="minorHAnsi"/>
            </w:rPr>
            <w:t xml:space="preserve">The time-invariant regional effects could also be removed from the models by taking the first differences of the variables. This removes those individual region specific effects as it cancels out in the equation. The first difference model estimates the change in Y for a given change in X (Equation 5). </w:t>
          </w:r>
        </w:p>
        <w:p w14:paraId="38DED1D1" w14:textId="77777777" w:rsidR="00830FDC" w:rsidRPr="00AE4F29" w:rsidRDefault="00830FDC" w:rsidP="00830FDC">
          <w:pPr>
            <w:spacing w:line="270" w:lineRule="exact"/>
            <w:rPr>
              <w:rFonts w:asciiTheme="minorHAnsi" w:eastAsiaTheme="minorEastAsia" w:hAnsiTheme="minorHAnsi"/>
            </w:rPr>
          </w:pPr>
        </w:p>
        <w:p w14:paraId="57241BD6" w14:textId="77777777" w:rsidR="00830FDC" w:rsidRPr="00AE4F29" w:rsidRDefault="003866D9" w:rsidP="00830FDC">
          <w:pPr>
            <w:numPr>
              <w:ilvl w:val="0"/>
              <w:numId w:val="41"/>
            </w:numPr>
            <w:spacing w:line="270" w:lineRule="exact"/>
            <w:rPr>
              <w:rFonts w:asciiTheme="minorHAnsi" w:hAnsiTheme="minorHAnsi"/>
              <w:sz w:val="18"/>
            </w:rPr>
          </w:pPr>
          <m:oMath>
            <m:acc>
              <m:accPr>
                <m:chr m:val="̅"/>
                <m:ctrlPr>
                  <w:rPr>
                    <w:rFonts w:ascii="Cambria Math" w:hAnsi="Cambria Math"/>
                    <w:i/>
                    <w:sz w:val="18"/>
                  </w:rPr>
                </m:ctrlPr>
              </m:accPr>
              <m:e>
                <m:sSub>
                  <m:sSubPr>
                    <m:ctrlPr>
                      <w:rPr>
                        <w:rFonts w:ascii="Cambria Math" w:hAnsi="Cambria Math"/>
                        <w:i/>
                        <w:sz w:val="18"/>
                      </w:rPr>
                    </m:ctrlPr>
                  </m:sSubPr>
                  <m:e>
                    <m:r>
                      <w:rPr>
                        <w:rFonts w:ascii="Cambria Math" w:hAnsi="Cambria Math"/>
                        <w:sz w:val="18"/>
                      </w:rPr>
                      <m:t>Y</m:t>
                    </m:r>
                  </m:e>
                  <m:sub>
                    <m:r>
                      <w:rPr>
                        <w:rFonts w:ascii="Cambria Math" w:hAnsi="Cambria Math"/>
                        <w:sz w:val="18"/>
                      </w:rPr>
                      <m:t>i</m:t>
                    </m:r>
                  </m:sub>
                </m:sSub>
              </m:e>
            </m:acc>
            <m:r>
              <w:rPr>
                <w:rFonts w:ascii="Cambria Math" w:hAnsi="Cambria Math"/>
                <w:sz w:val="18"/>
              </w:rPr>
              <m:t xml:space="preserve">= α+ </m:t>
            </m:r>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rPr>
                      <m:t>x</m:t>
                    </m:r>
                  </m:e>
                </m:acc>
                <m:r>
                  <w:rPr>
                    <w:rFonts w:ascii="Cambria Math" w:hAnsi="Cambria Math"/>
                    <w:sz w:val="18"/>
                  </w:rPr>
                  <m:t>'</m:t>
                </m:r>
              </m:e>
              <m:sub>
                <m:r>
                  <w:rPr>
                    <w:rFonts w:ascii="Cambria Math" w:hAnsi="Cambria Math"/>
                    <w:sz w:val="18"/>
                  </w:rPr>
                  <m:t>i</m:t>
                </m:r>
              </m:sub>
            </m:sSub>
            <m:r>
              <w:rPr>
                <w:rFonts w:ascii="Cambria Math" w:hAnsi="Cambria Math"/>
                <w:sz w:val="18"/>
              </w:rPr>
              <m:t xml:space="preserve">β+( </m:t>
            </m:r>
            <m:sSub>
              <m:sSubPr>
                <m:ctrlPr>
                  <w:rPr>
                    <w:rFonts w:ascii="Cambria Math" w:hAnsi="Cambria Math"/>
                    <w:i/>
                    <w:sz w:val="18"/>
                  </w:rPr>
                </m:ctrlPr>
              </m:sSubPr>
              <m:e>
                <m:r>
                  <w:rPr>
                    <w:rFonts w:ascii="Cambria Math" w:hAnsi="Cambria Math"/>
                    <w:sz w:val="18"/>
                  </w:rPr>
                  <m:t>α</m:t>
                </m:r>
              </m:e>
              <m:sub>
                <m:r>
                  <w:rPr>
                    <w:rFonts w:ascii="Cambria Math" w:hAnsi="Cambria Math"/>
                    <w:sz w:val="18"/>
                  </w:rPr>
                  <m:t>i</m:t>
                </m:r>
              </m:sub>
            </m:sSub>
            <m:r>
              <w:rPr>
                <w:rFonts w:ascii="Cambria Math" w:hAnsi="Cambria Math"/>
                <w:sz w:val="18"/>
              </w:rPr>
              <m:t xml:space="preserve">-α+ </m:t>
            </m:r>
            <m:sSub>
              <m:sSubPr>
                <m:ctrlPr>
                  <w:rPr>
                    <w:rFonts w:ascii="Cambria Math" w:hAnsi="Cambria Math"/>
                    <w:i/>
                    <w:sz w:val="18"/>
                  </w:rPr>
                </m:ctrlPr>
              </m:sSubPr>
              <m:e>
                <m:acc>
                  <m:accPr>
                    <m:chr m:val="̅"/>
                    <m:ctrlPr>
                      <w:rPr>
                        <w:rFonts w:ascii="Cambria Math" w:hAnsi="Cambria Math"/>
                        <w:i/>
                        <w:sz w:val="18"/>
                      </w:rPr>
                    </m:ctrlPr>
                  </m:accPr>
                  <m:e>
                    <m:r>
                      <w:rPr>
                        <w:rFonts w:ascii="Cambria Math" w:hAnsi="Cambria Math"/>
                        <w:sz w:val="18"/>
                      </w:rPr>
                      <m:t>u</m:t>
                    </m:r>
                  </m:e>
                </m:acc>
              </m:e>
              <m:sub>
                <m:r>
                  <w:rPr>
                    <w:rFonts w:ascii="Cambria Math" w:hAnsi="Cambria Math"/>
                    <w:sz w:val="18"/>
                  </w:rPr>
                  <m:t>i</m:t>
                </m:r>
              </m:sub>
            </m:sSub>
            <m:r>
              <w:rPr>
                <w:rFonts w:ascii="Cambria Math" w:hAnsi="Cambria Math"/>
                <w:sz w:val="18"/>
              </w:rPr>
              <m:t>)</m:t>
            </m:r>
          </m:oMath>
        </w:p>
        <w:p w14:paraId="1F4CC393" w14:textId="77777777" w:rsidR="00830FDC" w:rsidRPr="00AE4F29" w:rsidRDefault="003866D9" w:rsidP="00830FDC">
          <w:pPr>
            <w:numPr>
              <w:ilvl w:val="0"/>
              <w:numId w:val="41"/>
            </w:numPr>
            <w:spacing w:line="270" w:lineRule="exact"/>
            <w:rPr>
              <w:rFonts w:asciiTheme="minorHAnsi" w:eastAsiaTheme="minorEastAsia" w:hAnsiTheme="minorHAnsi"/>
              <w:sz w:val="18"/>
            </w:rPr>
          </w:pPr>
          <m:oMath>
            <m:sSub>
              <m:sSubPr>
                <m:ctrlPr>
                  <w:rPr>
                    <w:rFonts w:ascii="Cambria Math" w:hAnsi="Cambria Math"/>
                    <w:i/>
                    <w:sz w:val="18"/>
                  </w:rPr>
                </m:ctrlPr>
              </m:sSubPr>
              <m:e>
                <m:r>
                  <w:rPr>
                    <w:rFonts w:ascii="Cambria Math" w:hAnsi="Cambria Math"/>
                    <w:sz w:val="18"/>
                  </w:rPr>
                  <m:t>Y</m:t>
                </m:r>
              </m:e>
              <m:sub>
                <m:r>
                  <w:rPr>
                    <w:rFonts w:ascii="Cambria Math" w:hAnsi="Cambria Math"/>
                    <w:sz w:val="18"/>
                  </w:rPr>
                  <m:t>it</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α</m:t>
                </m:r>
              </m:e>
              <m:sub>
                <m:r>
                  <w:rPr>
                    <w:rFonts w:ascii="Cambria Math" w:hAnsi="Cambria Math"/>
                    <w:sz w:val="18"/>
                  </w:rPr>
                  <m:t>i</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x'</m:t>
                </m:r>
              </m:e>
              <m:sub>
                <m:r>
                  <w:rPr>
                    <w:rFonts w:ascii="Cambria Math" w:hAnsi="Cambria Math"/>
                    <w:sz w:val="18"/>
                  </w:rPr>
                  <m:t>it</m:t>
                </m:r>
              </m:sub>
            </m:sSub>
            <m:r>
              <w:rPr>
                <w:rFonts w:ascii="Cambria Math" w:hAnsi="Cambria Math"/>
                <w:sz w:val="18"/>
              </w:rPr>
              <m:t xml:space="preserve">β+ </m:t>
            </m:r>
            <m:sSub>
              <m:sSubPr>
                <m:ctrlPr>
                  <w:rPr>
                    <w:rFonts w:ascii="Cambria Math" w:hAnsi="Cambria Math"/>
                    <w:i/>
                    <w:sz w:val="18"/>
                  </w:rPr>
                </m:ctrlPr>
              </m:sSubPr>
              <m:e>
                <m:r>
                  <w:rPr>
                    <w:rFonts w:ascii="Cambria Math" w:hAnsi="Cambria Math"/>
                    <w:sz w:val="18"/>
                  </w:rPr>
                  <m:t>u</m:t>
                </m:r>
              </m:e>
              <m:sub>
                <m:r>
                  <w:rPr>
                    <w:rFonts w:ascii="Cambria Math" w:hAnsi="Cambria Math"/>
                    <w:sz w:val="18"/>
                  </w:rPr>
                  <m:t>it</m:t>
                </m:r>
              </m:sub>
            </m:sSub>
          </m:oMath>
        </w:p>
        <w:p w14:paraId="5EF7A848" w14:textId="77777777" w:rsidR="00830FDC" w:rsidRPr="00AE4F29" w:rsidRDefault="003866D9" w:rsidP="00830FDC">
          <w:pPr>
            <w:numPr>
              <w:ilvl w:val="0"/>
              <w:numId w:val="41"/>
            </w:numPr>
            <w:spacing w:line="270" w:lineRule="exact"/>
            <w:rPr>
              <w:rFonts w:asciiTheme="minorHAnsi" w:hAnsiTheme="minorHAnsi"/>
              <w:sz w:val="18"/>
            </w:rPr>
          </w:pPr>
          <m:oMath>
            <m:acc>
              <m:accPr>
                <m:ctrlPr>
                  <w:rPr>
                    <w:rFonts w:ascii="Cambria Math" w:hAnsi="Cambria Math"/>
                    <w:i/>
                    <w:sz w:val="18"/>
                  </w:rPr>
                </m:ctrlPr>
              </m:accPr>
              <m:e>
                <m:r>
                  <w:rPr>
                    <w:rFonts w:ascii="Cambria Math" w:hAnsi="Cambria Math"/>
                    <w:sz w:val="18"/>
                  </w:rPr>
                  <m:t>α</m:t>
                </m:r>
              </m:e>
            </m:acc>
            <m:r>
              <w:rPr>
                <w:rFonts w:ascii="Cambria Math" w:eastAsiaTheme="minorEastAsia" w:hAnsi="Cambria Math"/>
                <w:sz w:val="18"/>
              </w:rPr>
              <m:t xml:space="preserve">= </m:t>
            </m:r>
            <m:acc>
              <m:accPr>
                <m:chr m:val="̅"/>
                <m:ctrlPr>
                  <w:rPr>
                    <w:rFonts w:ascii="Cambria Math" w:eastAsiaTheme="minorEastAsia" w:hAnsi="Cambria Math"/>
                    <w:i/>
                    <w:sz w:val="18"/>
                  </w:rPr>
                </m:ctrlPr>
              </m:accPr>
              <m:e>
                <m:sSub>
                  <m:sSubPr>
                    <m:ctrlPr>
                      <w:rPr>
                        <w:rFonts w:ascii="Cambria Math" w:eastAsiaTheme="minorEastAsia" w:hAnsi="Cambria Math"/>
                        <w:i/>
                        <w:sz w:val="18"/>
                      </w:rPr>
                    </m:ctrlPr>
                  </m:sSubPr>
                  <m:e>
                    <m:r>
                      <w:rPr>
                        <w:rFonts w:ascii="Cambria Math" w:eastAsiaTheme="minorEastAsia" w:hAnsi="Cambria Math"/>
                        <w:sz w:val="18"/>
                      </w:rPr>
                      <m:t>y</m:t>
                    </m:r>
                  </m:e>
                  <m:sub>
                    <m:r>
                      <w:rPr>
                        <w:rFonts w:ascii="Cambria Math" w:eastAsiaTheme="minorEastAsia" w:hAnsi="Cambria Math"/>
                        <w:sz w:val="18"/>
                      </w:rPr>
                      <m:t xml:space="preserve">i </m:t>
                    </m:r>
                  </m:sub>
                </m:sSub>
              </m:e>
            </m:acc>
            <m:r>
              <w:rPr>
                <w:rFonts w:ascii="Cambria Math" w:eastAsiaTheme="minorEastAsia" w:hAnsi="Cambria Math"/>
                <w:sz w:val="18"/>
              </w:rPr>
              <m:t xml:space="preserve">- </m:t>
            </m:r>
            <m:sSup>
              <m:sSupPr>
                <m:ctrlPr>
                  <w:rPr>
                    <w:rFonts w:ascii="Cambria Math" w:eastAsiaTheme="minorEastAsia" w:hAnsi="Cambria Math"/>
                    <w:i/>
                    <w:sz w:val="18"/>
                  </w:rPr>
                </m:ctrlPr>
              </m:sSupPr>
              <m:e>
                <m:acc>
                  <m:accPr>
                    <m:chr m:val="̅"/>
                    <m:ctrlPr>
                      <w:rPr>
                        <w:rFonts w:ascii="Cambria Math" w:eastAsiaTheme="minorEastAsia" w:hAnsi="Cambria Math"/>
                        <w:i/>
                        <w:sz w:val="18"/>
                      </w:rPr>
                    </m:ctrlPr>
                  </m:accPr>
                  <m:e>
                    <m:sSub>
                      <m:sSubPr>
                        <m:ctrlPr>
                          <w:rPr>
                            <w:rFonts w:ascii="Cambria Math" w:eastAsiaTheme="minorEastAsia" w:hAnsi="Cambria Math"/>
                            <w:i/>
                            <w:sz w:val="18"/>
                          </w:rPr>
                        </m:ctrlPr>
                      </m:sSubPr>
                      <m:e>
                        <m:r>
                          <w:rPr>
                            <w:rFonts w:ascii="Cambria Math" w:eastAsiaTheme="minorEastAsia" w:hAnsi="Cambria Math"/>
                            <w:sz w:val="18"/>
                          </w:rPr>
                          <m:t>x</m:t>
                        </m:r>
                      </m:e>
                      <m:sub>
                        <m:r>
                          <w:rPr>
                            <w:rFonts w:ascii="Cambria Math" w:eastAsiaTheme="minorEastAsia" w:hAnsi="Cambria Math"/>
                            <w:sz w:val="18"/>
                          </w:rPr>
                          <m:t>i</m:t>
                        </m:r>
                      </m:sub>
                    </m:sSub>
                  </m:e>
                </m:acc>
              </m:e>
              <m:sup>
                <m:r>
                  <w:rPr>
                    <w:rFonts w:ascii="Cambria Math" w:eastAsiaTheme="minorEastAsia" w:hAnsi="Cambria Math"/>
                    <w:sz w:val="18"/>
                  </w:rPr>
                  <m:t>'</m:t>
                </m:r>
              </m:sup>
            </m:sSup>
            <m:acc>
              <m:accPr>
                <m:ctrlPr>
                  <w:rPr>
                    <w:rFonts w:ascii="Cambria Math" w:eastAsiaTheme="minorEastAsia" w:hAnsi="Cambria Math"/>
                    <w:i/>
                    <w:sz w:val="18"/>
                  </w:rPr>
                </m:ctrlPr>
              </m:accPr>
              <m:e>
                <m:r>
                  <w:rPr>
                    <w:rFonts w:ascii="Cambria Math" w:eastAsiaTheme="minorEastAsia" w:hAnsi="Cambria Math"/>
                    <w:sz w:val="18"/>
                  </w:rPr>
                  <m:t>β</m:t>
                </m:r>
              </m:e>
            </m:acc>
          </m:oMath>
        </w:p>
        <w:p w14:paraId="5DFFAFBD" w14:textId="77777777" w:rsidR="00830FDC" w:rsidRPr="00AE4F29" w:rsidRDefault="003866D9" w:rsidP="00830FDC">
          <w:pPr>
            <w:numPr>
              <w:ilvl w:val="0"/>
              <w:numId w:val="41"/>
            </w:numPr>
            <w:spacing w:line="270" w:lineRule="exact"/>
            <w:rPr>
              <w:rFonts w:asciiTheme="minorHAnsi" w:hAnsiTheme="minorHAnsi"/>
              <w:sz w:val="18"/>
            </w:rPr>
          </w:pPr>
          <m:oMath>
            <m:sSub>
              <m:sSubPr>
                <m:ctrlPr>
                  <w:rPr>
                    <w:rFonts w:ascii="Cambria Math" w:hAnsi="Cambria Math"/>
                    <w:i/>
                    <w:sz w:val="18"/>
                  </w:rPr>
                </m:ctrlPr>
              </m:sSubPr>
              <m:e>
                <m:r>
                  <w:rPr>
                    <w:rFonts w:ascii="Cambria Math" w:hAnsi="Cambria Math"/>
                    <w:sz w:val="18"/>
                  </w:rPr>
                  <m:t>Y</m:t>
                </m:r>
              </m:e>
              <m:sub>
                <m:r>
                  <w:rPr>
                    <w:rFonts w:ascii="Cambria Math" w:hAnsi="Cambria Math"/>
                    <w:sz w:val="18"/>
                  </w:rPr>
                  <m:t>it</m:t>
                </m:r>
              </m:sub>
            </m:sSub>
            <m:r>
              <w:rPr>
                <w:rFonts w:ascii="Cambria Math" w:hAnsi="Cambria Math"/>
                <w:sz w:val="18"/>
              </w:rPr>
              <m:t xml:space="preserve">=  </m:t>
            </m:r>
            <m:sSub>
              <m:sSubPr>
                <m:ctrlPr>
                  <w:rPr>
                    <w:rFonts w:ascii="Cambria Math" w:hAnsi="Cambria Math"/>
                    <w:i/>
                    <w:sz w:val="18"/>
                  </w:rPr>
                </m:ctrlPr>
              </m:sSubPr>
              <m:e>
                <m:sSup>
                  <m:sSupPr>
                    <m:ctrlPr>
                      <w:rPr>
                        <w:rFonts w:ascii="Cambria Math" w:hAnsi="Cambria Math"/>
                        <w:i/>
                        <w:sz w:val="18"/>
                      </w:rPr>
                    </m:ctrlPr>
                  </m:sSupPr>
                  <m:e>
                    <m:r>
                      <w:rPr>
                        <w:rFonts w:ascii="Cambria Math" w:hAnsi="Cambria Math"/>
                        <w:sz w:val="18"/>
                      </w:rPr>
                      <m:t>x</m:t>
                    </m:r>
                  </m:e>
                  <m:sup>
                    <m:r>
                      <w:rPr>
                        <w:rFonts w:ascii="Cambria Math" w:hAnsi="Cambria Math"/>
                        <w:sz w:val="18"/>
                      </w:rPr>
                      <m:t>'</m:t>
                    </m:r>
                  </m:sup>
                </m:sSup>
              </m:e>
              <m:sub>
                <m:r>
                  <w:rPr>
                    <w:rFonts w:ascii="Cambria Math" w:hAnsi="Cambria Math"/>
                    <w:sz w:val="18"/>
                  </w:rPr>
                  <m:t>it</m:t>
                </m:r>
              </m:sub>
            </m:sSub>
            <m:r>
              <w:rPr>
                <w:rFonts w:ascii="Cambria Math" w:hAnsi="Cambria Math"/>
                <w:sz w:val="18"/>
              </w:rPr>
              <m:t>β+</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u</m:t>
                    </m:r>
                  </m:e>
                  <m:sub>
                    <m:r>
                      <w:rPr>
                        <w:rFonts w:ascii="Cambria Math" w:hAnsi="Cambria Math"/>
                        <w:sz w:val="18"/>
                      </w:rPr>
                      <m:t>it</m:t>
                    </m:r>
                  </m:sub>
                </m:sSub>
                <m:r>
                  <w:rPr>
                    <w:rFonts w:ascii="Cambria Math" w:hAnsi="Cambria Math"/>
                    <w:sz w:val="18"/>
                  </w:rPr>
                  <m:t>+</m:t>
                </m:r>
                <m:sSub>
                  <m:sSubPr>
                    <m:ctrlPr>
                      <w:rPr>
                        <w:rFonts w:ascii="Cambria Math" w:hAnsi="Cambria Math"/>
                        <w:i/>
                        <w:sz w:val="18"/>
                      </w:rPr>
                    </m:ctrlPr>
                  </m:sSubPr>
                  <m:e>
                    <m:r>
                      <w:rPr>
                        <w:rFonts w:ascii="Cambria Math" w:hAnsi="Cambria Math"/>
                        <w:sz w:val="18"/>
                      </w:rPr>
                      <m:t>α</m:t>
                    </m:r>
                  </m:e>
                  <m:sub>
                    <m:r>
                      <w:rPr>
                        <w:rFonts w:ascii="Cambria Math" w:hAnsi="Cambria Math"/>
                        <w:sz w:val="18"/>
                      </w:rPr>
                      <m:t>i</m:t>
                    </m:r>
                  </m:sub>
                </m:sSub>
              </m:e>
            </m:d>
          </m:oMath>
        </w:p>
        <w:p w14:paraId="3505E0D8" w14:textId="77777777" w:rsidR="00830FDC" w:rsidRPr="00AE4F29" w:rsidRDefault="003866D9" w:rsidP="00830FDC">
          <w:pPr>
            <w:numPr>
              <w:ilvl w:val="0"/>
              <w:numId w:val="41"/>
            </w:numPr>
            <w:spacing w:line="270" w:lineRule="exact"/>
            <w:rPr>
              <w:rFonts w:asciiTheme="minorHAnsi" w:hAnsiTheme="minorHAnsi"/>
              <w:sz w:val="18"/>
            </w:rPr>
          </w:pPr>
          <m:oMath>
            <m:sSub>
              <m:sSubPr>
                <m:ctrlPr>
                  <w:rPr>
                    <w:rFonts w:ascii="Cambria Math" w:hAnsi="Cambria Math"/>
                    <w:i/>
                    <w:sz w:val="18"/>
                  </w:rPr>
                </m:ctrlPr>
              </m:sSubPr>
              <m:e>
                <m:r>
                  <w:rPr>
                    <w:rFonts w:ascii="Cambria Math" w:hAnsi="Cambria Math"/>
                    <w:sz w:val="18"/>
                  </w:rPr>
                  <m:t>Y</m:t>
                </m:r>
              </m:e>
              <m:sub>
                <m:r>
                  <w:rPr>
                    <w:rFonts w:ascii="Cambria Math" w:hAnsi="Cambria Math"/>
                    <w:sz w:val="18"/>
                  </w:rPr>
                  <m:t>it</m:t>
                </m:r>
              </m:sub>
            </m:sSub>
            <m:r>
              <w:rPr>
                <w:rFonts w:ascii="Cambria Math" w:hAnsi="Cambria Math"/>
                <w:sz w:val="18"/>
              </w:rPr>
              <m:t>-</m:t>
            </m:r>
            <m:sSub>
              <m:sSubPr>
                <m:ctrlPr>
                  <w:rPr>
                    <w:rFonts w:ascii="Cambria Math" w:hAnsi="Cambria Math"/>
                    <w:i/>
                    <w:sz w:val="18"/>
                  </w:rPr>
                </m:ctrlPr>
              </m:sSubPr>
              <m:e>
                <m:r>
                  <w:rPr>
                    <w:rFonts w:ascii="Cambria Math" w:hAnsi="Cambria Math"/>
                    <w:sz w:val="18"/>
                  </w:rPr>
                  <m:t>Y</m:t>
                </m:r>
              </m:e>
              <m:sub>
                <m:r>
                  <w:rPr>
                    <w:rFonts w:ascii="Cambria Math" w:hAnsi="Cambria Math"/>
                    <w:sz w:val="18"/>
                  </w:rPr>
                  <m:t>t-1</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(x</m:t>
                </m:r>
              </m:e>
              <m:sub>
                <m:r>
                  <w:rPr>
                    <w:rFonts w:ascii="Cambria Math" w:hAnsi="Cambria Math"/>
                    <w:sz w:val="18"/>
                  </w:rPr>
                  <m:t>it</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x</m:t>
                </m:r>
              </m:e>
              <m:sub>
                <m:r>
                  <w:rPr>
                    <w:rFonts w:ascii="Cambria Math" w:hAnsi="Cambria Math"/>
                    <w:sz w:val="18"/>
                  </w:rPr>
                  <m:t>it-1</m:t>
                </m:r>
              </m:sub>
            </m:sSub>
            <m:r>
              <w:rPr>
                <w:rFonts w:ascii="Cambria Math" w:hAnsi="Cambria Math"/>
                <w:sz w:val="18"/>
              </w:rPr>
              <m:t>)'β+</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u</m:t>
                    </m:r>
                  </m:e>
                  <m:sub>
                    <m:r>
                      <w:rPr>
                        <w:rFonts w:ascii="Cambria Math" w:hAnsi="Cambria Math"/>
                        <w:sz w:val="18"/>
                      </w:rPr>
                      <m:t>it</m:t>
                    </m:r>
                  </m:sub>
                </m:sSub>
                <m:r>
                  <w:rPr>
                    <w:rFonts w:ascii="Cambria Math" w:hAnsi="Cambria Math"/>
                    <w:sz w:val="18"/>
                  </w:rPr>
                  <m:t>-</m:t>
                </m:r>
                <m:sSub>
                  <m:sSubPr>
                    <m:ctrlPr>
                      <w:rPr>
                        <w:rFonts w:ascii="Cambria Math" w:hAnsi="Cambria Math"/>
                        <w:i/>
                        <w:sz w:val="18"/>
                      </w:rPr>
                    </m:ctrlPr>
                  </m:sSubPr>
                  <m:e>
                    <m:r>
                      <w:rPr>
                        <w:rFonts w:ascii="Cambria Math" w:hAnsi="Cambria Math"/>
                        <w:sz w:val="18"/>
                      </w:rPr>
                      <m:t>u</m:t>
                    </m:r>
                  </m:e>
                  <m:sub>
                    <m:r>
                      <w:rPr>
                        <w:rFonts w:ascii="Cambria Math" w:hAnsi="Cambria Math"/>
                        <w:sz w:val="18"/>
                      </w:rPr>
                      <m:t>it-1</m:t>
                    </m:r>
                  </m:sub>
                </m:sSub>
              </m:e>
            </m:d>
          </m:oMath>
        </w:p>
        <w:p w14:paraId="3D8F899F" w14:textId="77777777" w:rsidR="00830FDC" w:rsidRPr="00AE4F29" w:rsidRDefault="00830FDC" w:rsidP="00830FDC">
          <w:pPr>
            <w:spacing w:line="270" w:lineRule="exact"/>
            <w:ind w:left="2520"/>
            <w:rPr>
              <w:rFonts w:asciiTheme="minorHAnsi" w:hAnsiTheme="minorHAnsi"/>
              <w:sz w:val="18"/>
            </w:rPr>
          </w:pPr>
          <m:oMathPara>
            <m:oMathParaPr>
              <m:jc m:val="left"/>
            </m:oMathParaPr>
            <m:oMath>
              <m:r>
                <w:rPr>
                  <w:rFonts w:ascii="Cambria Math" w:hAnsi="Cambria Math"/>
                  <w:sz w:val="18"/>
                </w:rPr>
                <m:t>∆</m:t>
              </m:r>
              <m:sSub>
                <m:sSubPr>
                  <m:ctrlPr>
                    <w:rPr>
                      <w:rFonts w:ascii="Cambria Math" w:hAnsi="Cambria Math"/>
                      <w:i/>
                      <w:sz w:val="18"/>
                    </w:rPr>
                  </m:ctrlPr>
                </m:sSubPr>
                <m:e>
                  <m:r>
                    <w:rPr>
                      <w:rFonts w:ascii="Cambria Math" w:hAnsi="Cambria Math"/>
                      <w:sz w:val="18"/>
                    </w:rPr>
                    <m:t>Y</m:t>
                  </m:r>
                </m:e>
                <m:sub>
                  <m:r>
                    <w:rPr>
                      <w:rFonts w:ascii="Cambria Math" w:hAnsi="Cambria Math"/>
                      <w:sz w:val="18"/>
                    </w:rPr>
                    <m:t>i</m:t>
                  </m:r>
                </m:sub>
              </m:sSub>
              <m:r>
                <w:rPr>
                  <w:rFonts w:ascii="Cambria Math" w:hAnsi="Cambria Math"/>
                  <w:sz w:val="18"/>
                </w:rPr>
                <m:t>=β∆</m:t>
              </m:r>
              <m:sSub>
                <m:sSubPr>
                  <m:ctrlPr>
                    <w:rPr>
                      <w:rFonts w:ascii="Cambria Math" w:hAnsi="Cambria Math"/>
                      <w:i/>
                      <w:sz w:val="18"/>
                    </w:rPr>
                  </m:ctrlPr>
                </m:sSubPr>
                <m:e>
                  <m:r>
                    <w:rPr>
                      <w:rFonts w:ascii="Cambria Math" w:hAnsi="Cambria Math"/>
                      <w:sz w:val="18"/>
                    </w:rPr>
                    <m:t>x</m:t>
                  </m:r>
                </m:e>
                <m:sub>
                  <m:r>
                    <w:rPr>
                      <w:rFonts w:ascii="Cambria Math" w:hAnsi="Cambria Math"/>
                      <w:sz w:val="18"/>
                    </w:rPr>
                    <m:t>i</m:t>
                  </m:r>
                </m:sub>
              </m:sSub>
              <m:r>
                <w:rPr>
                  <w:rFonts w:ascii="Cambria Math" w:hAnsi="Cambria Math"/>
                  <w:sz w:val="18"/>
                </w:rPr>
                <m:t>+ ∆</m:t>
              </m:r>
              <m:sSub>
                <m:sSubPr>
                  <m:ctrlPr>
                    <w:rPr>
                      <w:rFonts w:ascii="Cambria Math" w:hAnsi="Cambria Math"/>
                      <w:i/>
                      <w:sz w:val="18"/>
                    </w:rPr>
                  </m:ctrlPr>
                </m:sSubPr>
                <m:e>
                  <m:r>
                    <w:rPr>
                      <w:rFonts w:ascii="Cambria Math" w:hAnsi="Cambria Math"/>
                      <w:sz w:val="18"/>
                    </w:rPr>
                    <m:t>u</m:t>
                  </m:r>
                </m:e>
                <m:sub>
                  <m:r>
                    <w:rPr>
                      <w:rFonts w:ascii="Cambria Math" w:hAnsi="Cambria Math"/>
                      <w:sz w:val="18"/>
                    </w:rPr>
                    <m:t>i</m:t>
                  </m:r>
                </m:sub>
              </m:sSub>
              <m:r>
                <w:rPr>
                  <w:rFonts w:ascii="Cambria Math" w:hAnsi="Cambria Math"/>
                  <w:sz w:val="18"/>
                </w:rPr>
                <m:t xml:space="preserve"> </m:t>
              </m:r>
            </m:oMath>
          </m:oMathPara>
        </w:p>
        <w:p w14:paraId="469F79B8" w14:textId="77777777" w:rsidR="00830FDC" w:rsidRPr="00AE4F29" w:rsidRDefault="00830FDC" w:rsidP="00830FDC">
          <w:pPr>
            <w:spacing w:line="270" w:lineRule="exact"/>
            <w:rPr>
              <w:rFonts w:asciiTheme="minorHAnsi" w:hAnsiTheme="minorHAnsi"/>
            </w:rPr>
          </w:pPr>
          <w:r w:rsidRPr="00AE4F29">
            <w:rPr>
              <w:rFonts w:asciiTheme="minorHAnsi" w:hAnsiTheme="minorHAnsi"/>
            </w:rPr>
            <w:t>Where:</w:t>
          </w:r>
        </w:p>
        <w:p w14:paraId="6F0D6354" w14:textId="77777777" w:rsidR="00830FDC" w:rsidRPr="00AE4F29" w:rsidRDefault="003866D9" w:rsidP="00830FDC">
          <w:pPr>
            <w:spacing w:line="270" w:lineRule="exact"/>
            <w:rPr>
              <w:rFonts w:eastAsiaTheme="minorEastAsia" w:cs="Arial"/>
              <w:sz w:val="18"/>
            </w:rPr>
          </w:pPr>
          <m:oMathPara>
            <m:oMathParaPr>
              <m:jc m:val="left"/>
            </m:oMathParaPr>
            <m:oMath>
              <m:sSub>
                <m:sSubPr>
                  <m:ctrlPr>
                    <w:rPr>
                      <w:rFonts w:ascii="Cambria Math" w:hAnsi="Cambria Math" w:cs="Arial"/>
                      <w:i/>
                      <w:sz w:val="18"/>
                    </w:rPr>
                  </m:ctrlPr>
                </m:sSubPr>
                <m:e>
                  <m:acc>
                    <m:accPr>
                      <m:chr m:val="̅"/>
                      <m:ctrlPr>
                        <w:rPr>
                          <w:rFonts w:ascii="Cambria Math" w:hAnsi="Cambria Math" w:cs="Arial"/>
                          <w:i/>
                          <w:sz w:val="18"/>
                        </w:rPr>
                      </m:ctrlPr>
                    </m:accPr>
                    <m:e>
                      <m:r>
                        <w:rPr>
                          <w:rFonts w:ascii="Cambria Math" w:hAnsi="Cambria Math" w:cs="Arial"/>
                          <w:sz w:val="18"/>
                        </w:rPr>
                        <m:t>Y</m:t>
                      </m:r>
                    </m:e>
                  </m:acc>
                </m:e>
                <m:sub>
                  <m:r>
                    <w:rPr>
                      <w:rFonts w:ascii="Cambria Math" w:hAnsi="Cambria Math" w:cs="Arial"/>
                      <w:sz w:val="18"/>
                    </w:rPr>
                    <m:t>i</m:t>
                  </m:r>
                </m:sub>
              </m:sSub>
              <m:r>
                <w:rPr>
                  <w:rFonts w:ascii="Cambria Math" w:hAnsi="Cambria Math" w:cs="Arial"/>
                  <w:sz w:val="18"/>
                </w:rPr>
                <m:t xml:space="preserve"> =</m:t>
              </m:r>
              <m:r>
                <m:rPr>
                  <m:sty m:val="p"/>
                </m:rPr>
                <w:rPr>
                  <w:rFonts w:ascii="Cambria Math" w:hAnsi="Cambria Math" w:cs="Arial"/>
                  <w:sz w:val="18"/>
                </w:rPr>
                <m:t xml:space="preserve"> Time averaged dependent variable observed for individual i</m:t>
              </m:r>
              <m:r>
                <m:rPr>
                  <m:sty m:val="p"/>
                </m:rPr>
                <w:rPr>
                  <w:rFonts w:ascii="Cambria Math" w:hAnsi="Cambria Math" w:cs="Arial"/>
                  <w:sz w:val="18"/>
                </w:rPr>
                <w:br/>
              </m:r>
            </m:oMath>
          </m:oMathPara>
          <m:oMath>
            <m:sSub>
              <m:sSubPr>
                <m:ctrlPr>
                  <w:rPr>
                    <w:rFonts w:ascii="Cambria Math" w:eastAsiaTheme="minorEastAsia" w:hAnsi="Cambria Math" w:cs="Arial"/>
                    <w:i/>
                    <w:sz w:val="18"/>
                  </w:rPr>
                </m:ctrlPr>
              </m:sSubPr>
              <m:e>
                <m:acc>
                  <m:accPr>
                    <m:chr m:val="̅"/>
                    <m:ctrlPr>
                      <w:rPr>
                        <w:rFonts w:ascii="Cambria Math" w:eastAsiaTheme="minorEastAsia" w:hAnsi="Cambria Math" w:cs="Arial"/>
                        <w:i/>
                        <w:sz w:val="18"/>
                      </w:rPr>
                    </m:ctrlPr>
                  </m:accPr>
                  <m:e>
                    <m:r>
                      <w:rPr>
                        <w:rFonts w:ascii="Cambria Math" w:eastAsiaTheme="minorEastAsia" w:hAnsi="Cambria Math" w:cs="Arial"/>
                        <w:sz w:val="18"/>
                      </w:rPr>
                      <m:t>x</m:t>
                    </m:r>
                  </m:e>
                </m:acc>
              </m:e>
              <m:sub>
                <m:r>
                  <w:rPr>
                    <w:rFonts w:ascii="Cambria Math" w:eastAsiaTheme="minorEastAsia" w:hAnsi="Cambria Math" w:cs="Arial"/>
                    <w:sz w:val="18"/>
                  </w:rPr>
                  <m:t>i</m:t>
                </m:r>
              </m:sub>
            </m:sSub>
            <m:r>
              <w:rPr>
                <w:rFonts w:ascii="Cambria Math" w:eastAsiaTheme="minorEastAsia" w:hAnsi="Cambria Math" w:cs="Arial"/>
                <w:sz w:val="18"/>
              </w:rPr>
              <m:t>=</m:t>
            </m:r>
            <m:r>
              <m:rPr>
                <m:sty m:val="p"/>
              </m:rPr>
              <w:rPr>
                <w:rFonts w:ascii="Cambria Math" w:eastAsiaTheme="minorEastAsia" w:hAnsi="Cambria Math" w:cs="Arial"/>
                <w:sz w:val="18"/>
              </w:rPr>
              <m:t xml:space="preserve"> Time averaged independent variable</m:t>
            </m:r>
            <m:d>
              <m:dPr>
                <m:ctrlPr>
                  <w:rPr>
                    <w:rFonts w:ascii="Cambria Math" w:eastAsiaTheme="minorEastAsia" w:hAnsi="Cambria Math" w:cs="Arial"/>
                    <w:sz w:val="18"/>
                  </w:rPr>
                </m:ctrlPr>
              </m:dPr>
              <m:e>
                <m:r>
                  <m:rPr>
                    <m:sty m:val="p"/>
                  </m:rPr>
                  <w:rPr>
                    <w:rFonts w:ascii="Cambria Math" w:eastAsiaTheme="minorEastAsia" w:hAnsi="Cambria Math" w:cs="Arial"/>
                    <w:sz w:val="18"/>
                  </w:rPr>
                  <m:t>s</m:t>
                </m:r>
              </m:e>
            </m:d>
            <m:r>
              <m:rPr>
                <m:sty m:val="p"/>
              </m:rPr>
              <w:rPr>
                <w:rFonts w:ascii="Cambria Math" w:eastAsiaTheme="minorEastAsia" w:hAnsi="Cambria Math" w:cs="Arial"/>
                <w:sz w:val="18"/>
              </w:rPr>
              <m:t xml:space="preserve"> observed for individual i</m:t>
            </m:r>
          </m:oMath>
          <w:r w:rsidR="00830FDC" w:rsidRPr="00AE4F29">
            <w:rPr>
              <w:rFonts w:eastAsiaTheme="minorEastAsia" w:cs="Arial"/>
              <w:sz w:val="18"/>
            </w:rPr>
            <w:t xml:space="preserve"> </w:t>
          </w:r>
          <w:r w:rsidR="00830FDC">
            <w:rPr>
              <w:rFonts w:ascii="Cambria Math" w:eastAsiaTheme="minorEastAsia" w:hAnsi="Cambria Math" w:cs="Arial"/>
              <w:sz w:val="18"/>
            </w:rPr>
            <w:br/>
          </w:r>
          <m:oMathPara>
            <m:oMathParaPr>
              <m:jc m:val="left"/>
            </m:oMathParaPr>
            <m:oMath>
              <m:sSub>
                <m:sSubPr>
                  <m:ctrlPr>
                    <w:rPr>
                      <w:rFonts w:ascii="Cambria Math" w:eastAsiaTheme="minorEastAsia" w:hAnsi="Cambria Math" w:cs="Arial"/>
                      <w:i/>
                      <w:sz w:val="18"/>
                    </w:rPr>
                  </m:ctrlPr>
                </m:sSubPr>
                <m:e>
                  <m:r>
                    <w:rPr>
                      <w:rFonts w:ascii="Cambria Math" w:eastAsiaTheme="minorEastAsia" w:hAnsi="Cambria Math" w:cs="Arial"/>
                      <w:sz w:val="18"/>
                    </w:rPr>
                    <m:t>α</m:t>
                  </m:r>
                </m:e>
                <m:sub>
                  <m:r>
                    <w:rPr>
                      <w:rFonts w:ascii="Cambria Math" w:eastAsiaTheme="minorEastAsia" w:hAnsi="Cambria Math" w:cs="Arial"/>
                      <w:sz w:val="18"/>
                    </w:rPr>
                    <m:t>i</m:t>
                  </m:r>
                </m:sub>
              </m:sSub>
              <m:r>
                <w:rPr>
                  <w:rFonts w:ascii="Cambria Math" w:eastAsiaTheme="minorEastAsia" w:hAnsi="Cambria Math" w:cs="Arial"/>
                  <w:sz w:val="18"/>
                </w:rPr>
                <m:t xml:space="preserve"> and α=</m:t>
              </m:r>
              <m:r>
                <m:rPr>
                  <m:sty m:val="p"/>
                </m:rPr>
                <w:rPr>
                  <w:rFonts w:ascii="Cambria Math" w:eastAsiaTheme="minorEastAsia" w:hAnsi="Cambria Math" w:cs="Arial"/>
                  <w:sz w:val="18"/>
                </w:rPr>
                <m:t>Individual specific intercepts and mean intercept</m:t>
              </m:r>
              <m:r>
                <m:rPr>
                  <m:sty m:val="p"/>
                </m:rPr>
                <w:rPr>
                  <w:rFonts w:ascii="Cambria Math" w:eastAsiaTheme="minorEastAsia" w:hAnsi="Cambria Math" w:cs="Arial"/>
                  <w:sz w:val="18"/>
                </w:rPr>
                <w:br/>
              </m:r>
            </m:oMath>
            <m:oMath>
              <m:r>
                <w:rPr>
                  <w:rFonts w:ascii="Cambria Math" w:eastAsiaTheme="minorEastAsia" w:hAnsi="Cambria Math" w:cs="Arial"/>
                  <w:sz w:val="16"/>
                </w:rPr>
                <m:t>β</m:t>
              </m:r>
              <m:r>
                <m:rPr>
                  <m:sty m:val="p"/>
                </m:rPr>
                <w:rPr>
                  <w:rFonts w:ascii="Cambria Math" w:eastAsiaTheme="minorEastAsia" w:hAnsi="Cambria Math" w:cs="Arial"/>
                  <w:sz w:val="16"/>
                </w:rPr>
                <m:t xml:space="preserve">=Regression slope </m:t>
              </m:r>
              <m:r>
                <m:rPr>
                  <m:sty m:val="p"/>
                </m:rPr>
                <w:rPr>
                  <w:rFonts w:ascii="Cambria Math" w:eastAsiaTheme="minorEastAsia" w:hAnsi="Cambria Math" w:cs="Arial"/>
                  <w:sz w:val="16"/>
                </w:rPr>
                <w:br/>
              </m:r>
            </m:oMath>
            <m:oMath>
              <m:sSub>
                <m:sSubPr>
                  <m:ctrlPr>
                    <w:rPr>
                      <w:rFonts w:ascii="Cambria Math" w:hAnsi="Cambria Math" w:cs="Arial"/>
                      <w:i/>
                      <w:sz w:val="18"/>
                    </w:rPr>
                  </m:ctrlPr>
                </m:sSubPr>
                <m:e>
                  <m:r>
                    <w:rPr>
                      <w:rFonts w:ascii="Cambria Math" w:hAnsi="Cambria Math" w:cs="Arial"/>
                      <w:sz w:val="18"/>
                    </w:rPr>
                    <m:t>Y</m:t>
                  </m:r>
                </m:e>
                <m:sub>
                  <m:r>
                    <w:rPr>
                      <w:rFonts w:ascii="Cambria Math" w:hAnsi="Cambria Math" w:cs="Arial"/>
                      <w:sz w:val="18"/>
                    </w:rPr>
                    <m:t>it</m:t>
                  </m:r>
                </m:sub>
              </m:sSub>
              <m:r>
                <w:rPr>
                  <w:rFonts w:ascii="Cambria Math" w:hAnsi="Cambria Math" w:cs="Arial"/>
                  <w:sz w:val="18"/>
                </w:rPr>
                <m:t xml:space="preserve"> = </m:t>
              </m:r>
              <m:r>
                <m:rPr>
                  <m:sty m:val="p"/>
                </m:rPr>
                <w:rPr>
                  <w:rFonts w:ascii="Cambria Math" w:hAnsi="Cambria Math" w:cs="Arial"/>
                  <w:sz w:val="18"/>
                </w:rPr>
                <m:t>Dependent variable observed of individual i at time t</m:t>
              </m:r>
              <m:r>
                <m:rPr>
                  <m:sty m:val="p"/>
                </m:rPr>
                <w:rPr>
                  <w:rFonts w:ascii="Cambria Math" w:hAnsi="Cambria Math" w:cs="Arial"/>
                  <w:sz w:val="18"/>
                </w:rPr>
                <w:br/>
              </m:r>
            </m:oMath>
          </m:oMathPara>
          <m:oMath>
            <m:sSub>
              <m:sSubPr>
                <m:ctrlPr>
                  <w:rPr>
                    <w:rFonts w:ascii="Cambria Math" w:eastAsiaTheme="minorEastAsia" w:hAnsi="Cambria Math" w:cs="Arial"/>
                    <w:i/>
                    <w:sz w:val="18"/>
                  </w:rPr>
                </m:ctrlPr>
              </m:sSubPr>
              <m:e>
                <m:r>
                  <w:rPr>
                    <w:rFonts w:ascii="Cambria Math" w:eastAsiaTheme="minorEastAsia" w:hAnsi="Cambria Math" w:cs="Arial"/>
                    <w:sz w:val="18"/>
                  </w:rPr>
                  <m:t>x</m:t>
                </m:r>
              </m:e>
              <m:sub>
                <m:r>
                  <w:rPr>
                    <w:rFonts w:ascii="Cambria Math" w:eastAsiaTheme="minorEastAsia" w:hAnsi="Cambria Math" w:cs="Arial"/>
                    <w:sz w:val="18"/>
                  </w:rPr>
                  <m:t>i</m:t>
                </m:r>
              </m:sub>
            </m:sSub>
            <m:r>
              <w:rPr>
                <w:rFonts w:ascii="Cambria Math" w:eastAsiaTheme="minorEastAsia" w:hAnsi="Cambria Math" w:cs="Arial"/>
                <w:sz w:val="18"/>
              </w:rPr>
              <m:t xml:space="preserve">= </m:t>
            </m:r>
            <m:r>
              <m:rPr>
                <m:sty m:val="p"/>
              </m:rPr>
              <w:rPr>
                <w:rFonts w:ascii="Cambria Math" w:eastAsiaTheme="minorEastAsia" w:hAnsi="Cambria Math" w:cs="Arial"/>
                <w:sz w:val="18"/>
              </w:rPr>
              <m:t>Independent variable</m:t>
            </m:r>
            <m:d>
              <m:dPr>
                <m:ctrlPr>
                  <w:rPr>
                    <w:rFonts w:ascii="Cambria Math" w:eastAsiaTheme="minorEastAsia" w:hAnsi="Cambria Math" w:cs="Arial"/>
                    <w:sz w:val="18"/>
                  </w:rPr>
                </m:ctrlPr>
              </m:dPr>
              <m:e>
                <m:r>
                  <m:rPr>
                    <m:sty m:val="p"/>
                  </m:rPr>
                  <w:rPr>
                    <w:rFonts w:ascii="Cambria Math" w:eastAsiaTheme="minorEastAsia" w:hAnsi="Cambria Math" w:cs="Arial"/>
                    <w:sz w:val="18"/>
                  </w:rPr>
                  <m:t>s</m:t>
                </m:r>
              </m:e>
            </m:d>
            <m:r>
              <m:rPr>
                <m:sty m:val="p"/>
              </m:rPr>
              <w:rPr>
                <w:rFonts w:ascii="Cambria Math" w:eastAsiaTheme="minorEastAsia" w:hAnsi="Cambria Math" w:cs="Arial"/>
                <w:sz w:val="18"/>
              </w:rPr>
              <m:t xml:space="preserve"> observed of individual i at time t</m:t>
            </m:r>
          </m:oMath>
          <w:r w:rsidR="00830FDC" w:rsidRPr="00AE4F29">
            <w:rPr>
              <w:rFonts w:eastAsiaTheme="minorEastAsia" w:cs="Arial"/>
              <w:sz w:val="18"/>
            </w:rPr>
            <w:t xml:space="preserve"> </w:t>
          </w:r>
          <w:r w:rsidR="00830FDC">
            <w:rPr>
              <w:rFonts w:ascii="Cambria Math" w:eastAsiaTheme="minorEastAsia" w:hAnsi="Cambria Math" w:cs="Arial"/>
              <w:sz w:val="18"/>
            </w:rPr>
            <w:br/>
          </w:r>
          <m:oMathPara>
            <m:oMathParaPr>
              <m:jc m:val="left"/>
            </m:oMathParaPr>
            <m:oMath>
              <m:sSub>
                <m:sSubPr>
                  <m:ctrlPr>
                    <w:rPr>
                      <w:rFonts w:ascii="Cambria Math" w:eastAsiaTheme="minorEastAsia" w:hAnsi="Cambria Math" w:cs="Arial"/>
                      <w:i/>
                      <w:sz w:val="18"/>
                    </w:rPr>
                  </m:ctrlPr>
                </m:sSubPr>
                <m:e>
                  <m:sSub>
                    <m:sSubPr>
                      <m:ctrlPr>
                        <w:rPr>
                          <w:rFonts w:ascii="Cambria Math" w:eastAsiaTheme="minorEastAsia" w:hAnsi="Cambria Math" w:cs="Arial"/>
                          <w:i/>
                          <w:sz w:val="18"/>
                        </w:rPr>
                      </m:ctrlPr>
                    </m:sSubPr>
                    <m:e>
                      <m:r>
                        <w:rPr>
                          <w:rFonts w:ascii="Cambria Math" w:eastAsiaTheme="minorEastAsia" w:hAnsi="Cambria Math" w:cs="Arial"/>
                          <w:sz w:val="18"/>
                        </w:rPr>
                        <m:t>u</m:t>
                      </m:r>
                    </m:e>
                    <m:sub>
                      <m:r>
                        <w:rPr>
                          <w:rFonts w:ascii="Cambria Math" w:eastAsiaTheme="minorEastAsia" w:hAnsi="Cambria Math" w:cs="Arial"/>
                          <w:sz w:val="18"/>
                        </w:rPr>
                        <m:t>i</m:t>
                      </m:r>
                    </m:sub>
                  </m:sSub>
                  <m:r>
                    <w:rPr>
                      <w:rFonts w:ascii="Cambria Math" w:eastAsiaTheme="minorEastAsia" w:hAnsi="Cambria Math" w:cs="Arial"/>
                      <w:sz w:val="18"/>
                    </w:rPr>
                    <m:t xml:space="preserve"> and u</m:t>
                  </m:r>
                </m:e>
                <m:sub>
                  <m:r>
                    <w:rPr>
                      <w:rFonts w:ascii="Cambria Math" w:eastAsiaTheme="minorEastAsia" w:hAnsi="Cambria Math" w:cs="Arial"/>
                      <w:sz w:val="18"/>
                    </w:rPr>
                    <m:t>it</m:t>
                  </m:r>
                </m:sub>
              </m:sSub>
              <m:r>
                <w:rPr>
                  <w:rFonts w:ascii="Cambria Math" w:eastAsiaTheme="minorEastAsia" w:hAnsi="Cambria Math" w:cs="Arial"/>
                  <w:sz w:val="18"/>
                </w:rPr>
                <m:t>=</m:t>
              </m:r>
              <m:r>
                <m:rPr>
                  <m:sty m:val="p"/>
                </m:rPr>
                <w:rPr>
                  <w:rFonts w:ascii="Cambria Math" w:eastAsiaTheme="minorEastAsia" w:hAnsi="Cambria Math" w:cs="Arial"/>
                  <w:sz w:val="18"/>
                </w:rPr>
                <m:t>Individual specific error and time specific error for i</m:t>
              </m:r>
              <m:r>
                <m:rPr>
                  <m:sty m:val="p"/>
                </m:rPr>
                <w:rPr>
                  <w:rFonts w:ascii="Cambria Math" w:eastAsiaTheme="minorEastAsia" w:hAnsi="Cambria Math" w:cs="Arial"/>
                  <w:sz w:val="18"/>
                </w:rPr>
                <w:br/>
              </m:r>
            </m:oMath>
            <m:oMath>
              <m:acc>
                <m:accPr>
                  <m:ctrlPr>
                    <w:rPr>
                      <w:rFonts w:ascii="Cambria Math" w:hAnsi="Cambria Math" w:cstheme="minorHAnsi"/>
                      <w:i/>
                      <w:sz w:val="18"/>
                    </w:rPr>
                  </m:ctrlPr>
                </m:accPr>
                <m:e>
                  <m:r>
                    <w:rPr>
                      <w:rFonts w:ascii="Cambria Math" w:hAnsi="Cambria Math" w:cstheme="minorHAnsi"/>
                      <w:sz w:val="18"/>
                    </w:rPr>
                    <m:t>α</m:t>
                  </m:r>
                </m:e>
              </m:acc>
              <m:r>
                <w:rPr>
                  <w:rFonts w:ascii="Cambria Math" w:eastAsiaTheme="minorEastAsia" w:hAnsi="Cambria Math" w:cstheme="minorHAnsi"/>
                  <w:sz w:val="18"/>
                </w:rPr>
                <m:t>=</m:t>
              </m:r>
              <m:r>
                <m:rPr>
                  <m:sty m:val="p"/>
                </m:rPr>
                <w:rPr>
                  <w:rFonts w:ascii="Cambria Math" w:eastAsiaTheme="minorEastAsia" w:hAnsi="Cambria Math" w:cstheme="minorHAnsi"/>
                  <w:sz w:val="18"/>
                </w:rPr>
                <m:t>Individual specific effects after estimation that cannot be explained by the regressors</m:t>
              </m:r>
            </m:oMath>
          </m:oMathPara>
        </w:p>
        <w:p w14:paraId="6FA88566" w14:textId="77777777" w:rsidR="00830FDC" w:rsidRPr="00AE4F29" w:rsidRDefault="00830FDC" w:rsidP="00830FDC">
          <w:pPr>
            <w:spacing w:line="270" w:lineRule="exact"/>
            <w:rPr>
              <w:rFonts w:asciiTheme="minorHAnsi" w:hAnsiTheme="minorHAnsi" w:cstheme="minorHAnsi"/>
            </w:rPr>
          </w:pPr>
          <w:r w:rsidRPr="00AE4F29">
            <w:rPr>
              <w:rFonts w:asciiTheme="minorHAnsi" w:hAnsiTheme="minorHAnsi"/>
            </w:rPr>
            <w:t xml:space="preserve">As the variables were log transformed the change in percentage of x predicts the change in Y by </w:t>
          </w:r>
          <w:r w:rsidRPr="00AE4F29">
            <w:rPr>
              <w:rFonts w:asciiTheme="minorHAnsi" w:hAnsiTheme="minorHAnsi" w:cstheme="minorHAnsi"/>
            </w:rPr>
            <w:t xml:space="preserve">β per cent. </w:t>
          </w:r>
        </w:p>
        <w:p w14:paraId="2F128BDF" w14:textId="77777777" w:rsidR="00830FDC" w:rsidRPr="00AE4F29" w:rsidRDefault="00830FDC" w:rsidP="00830FDC">
          <w:pPr>
            <w:numPr>
              <w:ilvl w:val="0"/>
              <w:numId w:val="41"/>
            </w:numPr>
            <w:spacing w:line="270" w:lineRule="exact"/>
            <w:rPr>
              <w:rFonts w:asciiTheme="minorHAnsi" w:eastAsiaTheme="minorEastAsia" w:hAnsiTheme="minorHAnsi" w:cstheme="minorHAnsi"/>
              <w:sz w:val="18"/>
            </w:rPr>
          </w:pPr>
          <m:oMath>
            <m:r>
              <w:rPr>
                <w:rFonts w:ascii="Cambria Math" w:hAnsi="Cambria Math"/>
                <w:sz w:val="18"/>
              </w:rPr>
              <m:t>∆%</m:t>
            </m:r>
            <m:sSub>
              <m:sSubPr>
                <m:ctrlPr>
                  <w:rPr>
                    <w:rFonts w:ascii="Cambria Math" w:hAnsi="Cambria Math"/>
                    <w:i/>
                    <w:sz w:val="18"/>
                  </w:rPr>
                </m:ctrlPr>
              </m:sSubPr>
              <m:e>
                <m:r>
                  <w:rPr>
                    <w:rFonts w:ascii="Cambria Math" w:hAnsi="Cambria Math"/>
                    <w:sz w:val="18"/>
                  </w:rPr>
                  <m:t>Y</m:t>
                </m:r>
              </m:e>
              <m:sub>
                <m:r>
                  <w:rPr>
                    <w:rFonts w:ascii="Cambria Math" w:hAnsi="Cambria Math"/>
                    <w:sz w:val="18"/>
                  </w:rPr>
                  <m:t>i</m:t>
                </m:r>
              </m:sub>
            </m:sSub>
            <m:r>
              <w:rPr>
                <w:rFonts w:ascii="Cambria Math" w:hAnsi="Cambria Math"/>
                <w:sz w:val="18"/>
              </w:rPr>
              <m:t>=β∆%</m:t>
            </m:r>
            <m:sSub>
              <m:sSubPr>
                <m:ctrlPr>
                  <w:rPr>
                    <w:rFonts w:ascii="Cambria Math" w:hAnsi="Cambria Math"/>
                    <w:i/>
                    <w:sz w:val="18"/>
                  </w:rPr>
                </m:ctrlPr>
              </m:sSubPr>
              <m:e>
                <m:r>
                  <w:rPr>
                    <w:rFonts w:ascii="Cambria Math" w:hAnsi="Cambria Math"/>
                    <w:sz w:val="18"/>
                  </w:rPr>
                  <m:t>x</m:t>
                </m:r>
              </m:e>
              <m:sub>
                <m:r>
                  <w:rPr>
                    <w:rFonts w:ascii="Cambria Math" w:hAnsi="Cambria Math"/>
                    <w:sz w:val="18"/>
                  </w:rPr>
                  <m:t>i</m:t>
                </m:r>
              </m:sub>
            </m:sSub>
            <m:r>
              <w:rPr>
                <w:rFonts w:ascii="Cambria Math" w:hAnsi="Cambria Math"/>
                <w:sz w:val="18"/>
              </w:rPr>
              <m:t>+ ∆</m:t>
            </m:r>
            <m:sSub>
              <m:sSubPr>
                <m:ctrlPr>
                  <w:rPr>
                    <w:rFonts w:ascii="Cambria Math" w:hAnsi="Cambria Math"/>
                    <w:i/>
                    <w:sz w:val="18"/>
                  </w:rPr>
                </m:ctrlPr>
              </m:sSubPr>
              <m:e>
                <m:r>
                  <w:rPr>
                    <w:rFonts w:ascii="Cambria Math" w:hAnsi="Cambria Math"/>
                    <w:sz w:val="18"/>
                  </w:rPr>
                  <m:t>u</m:t>
                </m:r>
              </m:e>
              <m:sub>
                <m:r>
                  <w:rPr>
                    <w:rFonts w:ascii="Cambria Math" w:hAnsi="Cambria Math"/>
                    <w:sz w:val="18"/>
                  </w:rPr>
                  <m:t>i</m:t>
                </m:r>
              </m:sub>
            </m:sSub>
          </m:oMath>
        </w:p>
        <w:p w14:paraId="758CC08D" w14:textId="77777777" w:rsidR="00830FDC" w:rsidRPr="00AE4F29" w:rsidRDefault="00830FDC" w:rsidP="00830FDC">
          <w:pPr>
            <w:spacing w:line="270" w:lineRule="exact"/>
            <w:rPr>
              <w:rFonts w:asciiTheme="minorHAnsi" w:hAnsiTheme="minorHAnsi" w:cstheme="minorHAnsi"/>
            </w:rPr>
          </w:pPr>
          <w:r w:rsidRPr="00AE4F29">
            <w:rPr>
              <w:rFonts w:asciiTheme="minorHAnsi" w:hAnsiTheme="minorHAnsi" w:cstheme="minorHAnsi"/>
            </w:rPr>
            <w:t xml:space="preserve">A spatial autocorrelation analysis was carried out to identify clusters in the data where the rates are above or below the random distribution. The Moran’s I was calculated as equation (7). </w:t>
          </w:r>
        </w:p>
        <w:p w14:paraId="33C3D98F" w14:textId="77777777" w:rsidR="00830FDC" w:rsidRPr="00AE4F29" w:rsidRDefault="003866D9" w:rsidP="00830FDC">
          <w:pPr>
            <w:numPr>
              <w:ilvl w:val="0"/>
              <w:numId w:val="41"/>
            </w:numPr>
            <w:spacing w:line="360" w:lineRule="auto"/>
            <w:rPr>
              <w:rFonts w:asciiTheme="minorHAnsi" w:eastAsiaTheme="minorEastAsia" w:hAnsiTheme="minorHAnsi" w:cstheme="minorHAnsi"/>
            </w:rPr>
          </w:pP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m:t>
                </m:r>
              </m:sub>
            </m:sSub>
            <m:r>
              <w:rPr>
                <w:rFonts w:ascii="Cambria Math" w:hAnsi="Cambria Math" w:cstheme="minorHAnsi"/>
              </w:rPr>
              <m:t xml:space="preserve">= </m:t>
            </m:r>
            <m:f>
              <m:fPr>
                <m:ctrlPr>
                  <w:rPr>
                    <w:rFonts w:ascii="Cambria Math" w:hAnsi="Cambria Math" w:cstheme="minorHAnsi"/>
                    <w:i/>
                  </w:rPr>
                </m:ctrlPr>
              </m:fPr>
              <m:num>
                <m:f>
                  <m:fPr>
                    <m:ctrlPr>
                      <w:rPr>
                        <w:rFonts w:ascii="Cambria Math" w:hAnsi="Cambria Math" w:cstheme="minorHAnsi"/>
                        <w:i/>
                      </w:rPr>
                    </m:ctrlPr>
                  </m:fPr>
                  <m:num>
                    <m:r>
                      <w:rPr>
                        <w:rFonts w:ascii="Cambria Math" w:hAnsi="Cambria Math" w:cstheme="minorHAnsi"/>
                      </w:rPr>
                      <m:t>N</m:t>
                    </m:r>
                  </m:num>
                  <m:den>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0</m:t>
                        </m:r>
                      </m:sub>
                    </m:sSub>
                  </m:den>
                </m:f>
                <m:r>
                  <w:rPr>
                    <w:rFonts w:ascii="Cambria Math" w:hAnsi="Cambria Math" w:cstheme="minorHAnsi"/>
                  </w:rPr>
                  <m:t xml:space="preserve"> </m:t>
                </m:r>
                <m:nary>
                  <m:naryPr>
                    <m:chr m:val="∑"/>
                    <m:limLoc m:val="undOvr"/>
                    <m:supHide m:val="1"/>
                    <m:ctrlPr>
                      <w:rPr>
                        <w:rFonts w:ascii="Cambria Math" w:hAnsi="Cambria Math" w:cstheme="minorHAnsi"/>
                        <w:i/>
                      </w:rPr>
                    </m:ctrlPr>
                  </m:naryPr>
                  <m:sub>
                    <m:r>
                      <w:rPr>
                        <w:rFonts w:ascii="Cambria Math" w:hAnsi="Cambria Math" w:cstheme="minorHAnsi"/>
                      </w:rPr>
                      <m:t>i</m:t>
                    </m:r>
                  </m:sub>
                  <m:sup/>
                  <m:e>
                    <m:sSub>
                      <m:sSubPr>
                        <m:ctrlPr>
                          <w:rPr>
                            <w:rFonts w:ascii="Cambria Math" w:hAnsi="Cambria Math" w:cstheme="minorHAnsi"/>
                            <w:i/>
                          </w:rPr>
                        </m:ctrlPr>
                      </m:sSubPr>
                      <m:e>
                        <m:r>
                          <w:rPr>
                            <w:rFonts w:ascii="Cambria Math" w:hAnsi="Cambria Math" w:cstheme="minorHAnsi"/>
                          </w:rPr>
                          <m:t>W</m:t>
                        </m:r>
                      </m:e>
                      <m:sub>
                        <m:r>
                          <w:rPr>
                            <w:rFonts w:ascii="Cambria Math" w:hAnsi="Cambria Math" w:cstheme="minorHAnsi"/>
                          </w:rPr>
                          <m:t>i,j</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i</m:t>
                        </m:r>
                      </m:sub>
                    </m:sSub>
                    <m:sSub>
                      <m:sSubPr>
                        <m:ctrlPr>
                          <w:rPr>
                            <w:rFonts w:ascii="Cambria Math" w:hAnsi="Cambria Math" w:cstheme="minorHAnsi"/>
                            <w:i/>
                          </w:rPr>
                        </m:ctrlPr>
                      </m:sSubPr>
                      <m:e>
                        <m:r>
                          <w:rPr>
                            <w:rFonts w:ascii="Cambria Math" w:hAnsi="Cambria Math" w:cstheme="minorHAnsi"/>
                          </w:rPr>
                          <m:t>Z</m:t>
                        </m:r>
                      </m:e>
                      <m:sub>
                        <m:r>
                          <w:rPr>
                            <w:rFonts w:ascii="Cambria Math" w:hAnsi="Cambria Math" w:cstheme="minorHAnsi"/>
                          </w:rPr>
                          <m:t>j</m:t>
                        </m:r>
                      </m:sub>
                    </m:sSub>
                  </m:e>
                </m:nary>
              </m:num>
              <m:den>
                <m:nary>
                  <m:naryPr>
                    <m:chr m:val="∑"/>
                    <m:limLoc m:val="undOvr"/>
                    <m:supHide m:val="1"/>
                    <m:ctrlPr>
                      <w:rPr>
                        <w:rFonts w:ascii="Cambria Math" w:hAnsi="Cambria Math" w:cstheme="minorHAnsi"/>
                        <w:i/>
                      </w:rPr>
                    </m:ctrlPr>
                  </m:naryPr>
                  <m:sub>
                    <m:r>
                      <w:rPr>
                        <w:rFonts w:ascii="Cambria Math" w:hAnsi="Cambria Math" w:cstheme="minorHAnsi"/>
                      </w:rPr>
                      <m:t>i</m:t>
                    </m:r>
                  </m:sub>
                  <m:sup/>
                  <m:e>
                    <m:sSubSup>
                      <m:sSubSupPr>
                        <m:ctrlPr>
                          <w:rPr>
                            <w:rFonts w:ascii="Cambria Math" w:hAnsi="Cambria Math" w:cstheme="minorHAnsi"/>
                            <w:i/>
                          </w:rPr>
                        </m:ctrlPr>
                      </m:sSubSupPr>
                      <m:e>
                        <m:r>
                          <w:rPr>
                            <w:rFonts w:ascii="Cambria Math" w:hAnsi="Cambria Math" w:cstheme="minorHAnsi"/>
                          </w:rPr>
                          <m:t>Z</m:t>
                        </m:r>
                      </m:e>
                      <m:sub>
                        <m:r>
                          <w:rPr>
                            <w:rFonts w:ascii="Cambria Math" w:hAnsi="Cambria Math" w:cstheme="minorHAnsi"/>
                          </w:rPr>
                          <m:t>i</m:t>
                        </m:r>
                      </m:sub>
                      <m:sup>
                        <m:r>
                          <w:rPr>
                            <w:rFonts w:ascii="Cambria Math" w:hAnsi="Cambria Math" w:cstheme="minorHAnsi"/>
                          </w:rPr>
                          <m:t>2</m:t>
                        </m:r>
                      </m:sup>
                    </m:sSubSup>
                  </m:e>
                </m:nary>
              </m:den>
            </m:f>
          </m:oMath>
        </w:p>
        <w:p w14:paraId="7B7E11FF" w14:textId="77777777" w:rsidR="00830FDC" w:rsidRPr="00AE4F29" w:rsidRDefault="00830FDC" w:rsidP="00830FDC">
          <w:pPr>
            <w:spacing w:line="360" w:lineRule="auto"/>
            <w:rPr>
              <w:rFonts w:asciiTheme="minorHAnsi" w:hAnsiTheme="minorHAnsi" w:cstheme="minorHAnsi"/>
            </w:rPr>
          </w:pPr>
          <w:r w:rsidRPr="00AE4F29">
            <w:rPr>
              <w:rFonts w:asciiTheme="minorHAnsi" w:hAnsiTheme="minorHAnsi" w:cstheme="minorHAnsi"/>
            </w:rPr>
            <w:t xml:space="preserve">Where: </w:t>
          </w:r>
        </w:p>
        <w:p w14:paraId="2E8555AE" w14:textId="77777777" w:rsidR="00830FDC" w:rsidRPr="00AE4F29" w:rsidRDefault="00830FDC" w:rsidP="00830FDC">
          <w:pPr>
            <w:spacing w:line="360" w:lineRule="auto"/>
            <w:rPr>
              <w:rFonts w:asciiTheme="minorHAnsi" w:eastAsiaTheme="minorEastAsia" w:hAnsiTheme="minorHAnsi" w:cstheme="minorHAnsi"/>
            </w:rPr>
          </w:pPr>
          <m:oMathPara>
            <m:oMathParaPr>
              <m:jc m:val="left"/>
            </m:oMathParaPr>
            <m:oMath>
              <m:r>
                <w:rPr>
                  <w:rFonts w:ascii="Cambria Math" w:hAnsi="Cambria Math" w:cstheme="minorHAnsi"/>
                  <w:sz w:val="18"/>
                </w:rPr>
                <m:t>I=Mora</m:t>
              </m:r>
              <m:sSup>
                <m:sSupPr>
                  <m:ctrlPr>
                    <w:rPr>
                      <w:rFonts w:ascii="Cambria Math" w:hAnsi="Cambria Math" w:cstheme="minorHAnsi"/>
                      <w:i/>
                      <w:sz w:val="18"/>
                    </w:rPr>
                  </m:ctrlPr>
                </m:sSupPr>
                <m:e>
                  <m:r>
                    <w:rPr>
                      <w:rFonts w:ascii="Cambria Math" w:hAnsi="Cambria Math" w:cstheme="minorHAnsi"/>
                      <w:sz w:val="18"/>
                    </w:rPr>
                    <m:t>n</m:t>
                  </m:r>
                </m:e>
                <m:sup>
                  <m:r>
                    <w:rPr>
                      <w:rFonts w:ascii="Cambria Math" w:hAnsi="Cambria Math" w:cstheme="minorHAnsi"/>
                      <w:sz w:val="18"/>
                    </w:rPr>
                    <m:t>'</m:t>
                  </m:r>
                </m:sup>
              </m:sSup>
              <m:r>
                <w:rPr>
                  <w:rFonts w:ascii="Cambria Math" w:hAnsi="Cambria Math" w:cstheme="minorHAnsi"/>
                  <w:sz w:val="18"/>
                </w:rPr>
                <m:t>s I as a measure of spatial autocorrelation</m:t>
              </m:r>
              <m:r>
                <m:rPr>
                  <m:sty m:val="p"/>
                </m:rPr>
                <w:rPr>
                  <w:rFonts w:ascii="Cambria Math" w:hAnsi="Cambria Math" w:cstheme="minorHAnsi"/>
                  <w:sz w:val="18"/>
                </w:rPr>
                <w:br/>
              </m:r>
            </m:oMath>
            <m:oMath>
              <m:sSub>
                <m:sSubPr>
                  <m:ctrlPr>
                    <w:rPr>
                      <w:rFonts w:ascii="Cambria Math" w:hAnsi="Cambria Math" w:cstheme="minorHAnsi"/>
                      <w:i/>
                      <w:sz w:val="18"/>
                    </w:rPr>
                  </m:ctrlPr>
                </m:sSubPr>
                <m:e>
                  <m:r>
                    <w:rPr>
                      <w:rFonts w:ascii="Cambria Math" w:hAnsi="Cambria Math" w:cstheme="minorHAnsi"/>
                      <w:sz w:val="18"/>
                    </w:rPr>
                    <m:t>Z</m:t>
                  </m:r>
                </m:e>
                <m:sub>
                  <m:r>
                    <w:rPr>
                      <w:rFonts w:ascii="Cambria Math" w:hAnsi="Cambria Math" w:cstheme="minorHAnsi"/>
                      <w:sz w:val="18"/>
                    </w:rPr>
                    <m:t>i</m:t>
                  </m:r>
                </m:sub>
              </m:sSub>
              <m:r>
                <w:rPr>
                  <w:rFonts w:ascii="Cambria Math" w:hAnsi="Cambria Math" w:cstheme="minorHAnsi"/>
                  <w:sz w:val="18"/>
                </w:rPr>
                <m:t>=</m:t>
              </m:r>
              <m:r>
                <m:rPr>
                  <m:sty m:val="p"/>
                </m:rPr>
                <w:rPr>
                  <w:rFonts w:ascii="Cambria Math" w:hAnsi="Cambria Math" w:cstheme="minorHAnsi"/>
                  <w:sz w:val="18"/>
                </w:rPr>
                <m:t>Deviation of variable i from mean</m:t>
              </m:r>
              <m:r>
                <m:rPr>
                  <m:sty m:val="p"/>
                </m:rPr>
                <w:rPr>
                  <w:rFonts w:ascii="Cambria Math" w:hAnsi="Cambria Math" w:cstheme="minorHAnsi"/>
                  <w:sz w:val="18"/>
                </w:rPr>
                <w:br/>
              </m:r>
            </m:oMath>
            <m:oMath>
              <m:sSub>
                <m:sSubPr>
                  <m:ctrlPr>
                    <w:rPr>
                      <w:rFonts w:ascii="Cambria Math" w:eastAsiaTheme="minorEastAsia" w:hAnsi="Cambria Math" w:cstheme="minorHAnsi"/>
                      <w:i/>
                      <w:sz w:val="18"/>
                    </w:rPr>
                  </m:ctrlPr>
                </m:sSubPr>
                <m:e>
                  <m:r>
                    <w:rPr>
                      <w:rFonts w:ascii="Cambria Math" w:eastAsiaTheme="minorEastAsia" w:hAnsi="Cambria Math" w:cstheme="minorHAnsi"/>
                      <w:sz w:val="18"/>
                    </w:rPr>
                    <m:t>W</m:t>
                  </m:r>
                </m:e>
                <m:sub>
                  <m:r>
                    <w:rPr>
                      <w:rFonts w:ascii="Cambria Math" w:eastAsiaTheme="minorEastAsia" w:hAnsi="Cambria Math" w:cstheme="minorHAnsi"/>
                      <w:sz w:val="18"/>
                    </w:rPr>
                    <m:t>ij</m:t>
                  </m:r>
                </m:sub>
              </m:sSub>
              <m:r>
                <w:rPr>
                  <w:rFonts w:ascii="Cambria Math" w:eastAsiaTheme="minorEastAsia" w:hAnsi="Cambria Math" w:cstheme="minorHAnsi"/>
                  <w:sz w:val="18"/>
                </w:rPr>
                <m:t xml:space="preserve">=Binary matrix of weights specifying ones when the observation i is </m:t>
              </m:r>
              <m:r>
                <m:rPr>
                  <m:sty m:val="p"/>
                </m:rPr>
                <w:rPr>
                  <w:rFonts w:ascii="Cambria Math" w:eastAsiaTheme="minorEastAsia" w:hAnsi="Cambria Math" w:cstheme="minorHAnsi"/>
                  <w:sz w:val="18"/>
                </w:rPr>
                <w:br/>
              </m:r>
            </m:oMath>
            <m:oMath>
              <m:r>
                <w:rPr>
                  <w:rFonts w:ascii="Cambria Math" w:eastAsiaTheme="minorEastAsia" w:hAnsi="Cambria Math" w:cstheme="minorHAnsi"/>
                  <w:sz w:val="18"/>
                </w:rPr>
                <m:t xml:space="preserve">a neighbour of observation j and zero otherwise. </m:t>
              </m:r>
              <m:r>
                <m:rPr>
                  <m:sty m:val="p"/>
                </m:rPr>
                <w:rPr>
                  <w:rFonts w:ascii="Cambria Math" w:eastAsiaTheme="minorEastAsia" w:hAnsi="Cambria Math" w:cstheme="minorHAnsi"/>
                  <w:sz w:val="18"/>
                </w:rPr>
                <w:br/>
              </m:r>
            </m:oMath>
            <m:oMath>
              <m:sSub>
                <m:sSubPr>
                  <m:ctrlPr>
                    <w:rPr>
                      <w:rFonts w:ascii="Cambria Math" w:eastAsiaTheme="minorEastAsia" w:hAnsi="Cambria Math" w:cstheme="minorHAnsi"/>
                      <w:i/>
                      <w:sz w:val="18"/>
                    </w:rPr>
                  </m:ctrlPr>
                </m:sSubPr>
                <m:e>
                  <m:r>
                    <w:rPr>
                      <w:rFonts w:ascii="Cambria Math" w:eastAsiaTheme="minorEastAsia" w:hAnsi="Cambria Math" w:cstheme="minorHAnsi"/>
                      <w:sz w:val="18"/>
                    </w:rPr>
                    <m:t>S</m:t>
                  </m:r>
                </m:e>
                <m:sub>
                  <m:r>
                    <w:rPr>
                      <w:rFonts w:ascii="Cambria Math" w:eastAsiaTheme="minorEastAsia" w:hAnsi="Cambria Math" w:cstheme="minorHAnsi"/>
                      <w:sz w:val="18"/>
                    </w:rPr>
                    <m:t>0</m:t>
                  </m:r>
                </m:sub>
              </m:sSub>
              <m:r>
                <w:rPr>
                  <w:rFonts w:ascii="Cambria Math" w:eastAsiaTheme="minorEastAsia" w:hAnsi="Cambria Math" w:cstheme="minorHAnsi"/>
                  <w:sz w:val="18"/>
                </w:rPr>
                <m:t xml:space="preserve">= </m:t>
              </m:r>
              <m:nary>
                <m:naryPr>
                  <m:chr m:val="∑"/>
                  <m:limLoc m:val="undOvr"/>
                  <m:supHide m:val="1"/>
                  <m:ctrlPr>
                    <w:rPr>
                      <w:rFonts w:ascii="Cambria Math" w:eastAsiaTheme="minorEastAsia" w:hAnsi="Cambria Math" w:cstheme="minorHAnsi"/>
                      <w:i/>
                      <w:sz w:val="18"/>
                    </w:rPr>
                  </m:ctrlPr>
                </m:naryPr>
                <m:sub>
                  <m:r>
                    <w:rPr>
                      <w:rFonts w:ascii="Cambria Math" w:eastAsiaTheme="minorEastAsia" w:hAnsi="Cambria Math" w:cstheme="minorHAnsi"/>
                      <w:sz w:val="18"/>
                    </w:rPr>
                    <m:t>i</m:t>
                  </m:r>
                </m:sub>
                <m:sup/>
                <m:e>
                  <m:nary>
                    <m:naryPr>
                      <m:chr m:val="∑"/>
                      <m:limLoc m:val="undOvr"/>
                      <m:supHide m:val="1"/>
                      <m:ctrlPr>
                        <w:rPr>
                          <w:rFonts w:ascii="Cambria Math" w:eastAsiaTheme="minorEastAsia" w:hAnsi="Cambria Math" w:cstheme="minorHAnsi"/>
                          <w:i/>
                          <w:sz w:val="18"/>
                        </w:rPr>
                      </m:ctrlPr>
                    </m:naryPr>
                    <m:sub>
                      <m:r>
                        <w:rPr>
                          <w:rFonts w:ascii="Cambria Math" w:eastAsiaTheme="minorEastAsia" w:hAnsi="Cambria Math" w:cstheme="minorHAnsi"/>
                          <w:sz w:val="18"/>
                        </w:rPr>
                        <m:t>j</m:t>
                      </m:r>
                    </m:sub>
                    <m:sup/>
                    <m:e>
                      <m:sSub>
                        <m:sSubPr>
                          <m:ctrlPr>
                            <w:rPr>
                              <w:rFonts w:ascii="Cambria Math" w:eastAsiaTheme="minorEastAsia" w:hAnsi="Cambria Math" w:cstheme="minorHAnsi"/>
                              <w:i/>
                              <w:sz w:val="18"/>
                            </w:rPr>
                          </m:ctrlPr>
                        </m:sSubPr>
                        <m:e>
                          <m:r>
                            <w:rPr>
                              <w:rFonts w:ascii="Cambria Math" w:eastAsiaTheme="minorEastAsia" w:hAnsi="Cambria Math" w:cstheme="minorHAnsi"/>
                              <w:sz w:val="18"/>
                            </w:rPr>
                            <m:t>W</m:t>
                          </m:r>
                        </m:e>
                        <m:sub>
                          <m:r>
                            <w:rPr>
                              <w:rFonts w:ascii="Cambria Math" w:eastAsiaTheme="minorEastAsia" w:hAnsi="Cambria Math" w:cstheme="minorHAnsi"/>
                              <w:sz w:val="18"/>
                            </w:rPr>
                            <m:t>ij</m:t>
                          </m:r>
                        </m:sub>
                      </m:sSub>
                    </m:e>
                  </m:nary>
                </m:e>
              </m:nary>
            </m:oMath>
          </m:oMathPara>
        </w:p>
        <w:p w14:paraId="769FF1E3" w14:textId="2F021A59" w:rsidR="00830FDC" w:rsidRDefault="00830FDC" w:rsidP="00491275">
          <w:pPr>
            <w:spacing w:line="360" w:lineRule="auto"/>
            <w:sectPr w:rsidR="00830FDC" w:rsidSect="00354EA2">
              <w:endnotePr>
                <w:numFmt w:val="decimal"/>
              </w:endnotePr>
              <w:pgSz w:w="11906" w:h="16838" w:code="9"/>
              <w:pgMar w:top="1440" w:right="1440" w:bottom="1440" w:left="1440" w:header="709" w:footer="709" w:gutter="0"/>
              <w:cols w:space="708"/>
              <w:docGrid w:linePitch="360"/>
            </w:sectPr>
          </w:pPr>
          <w:r w:rsidRPr="00AE4F29">
            <w:rPr>
              <w:rFonts w:asciiTheme="minorHAnsi" w:eastAsiaTheme="minorEastAsia" w:hAnsiTheme="minorHAnsi" w:cstheme="minorHAnsi"/>
            </w:rPr>
            <w:t>GeoDa was used to calculate bivariate “Local indicators of spatial association (LISA)” to evaluate if the distribution of variable i in the neighbourhood of variable j was significantly different from random</w:t>
          </w:r>
          <w:r w:rsidRPr="006E139A">
            <w:t xml:space="preserve"> </w:t>
          </w:r>
          <w:r>
            <w:t>(</w:t>
          </w:r>
          <w:r w:rsidRPr="00E441F3">
            <w:t>Anselin</w:t>
          </w:r>
          <w:r>
            <w:t xml:space="preserve"> </w:t>
          </w:r>
          <w:r w:rsidRPr="00E441F3">
            <w:t>1995)</w:t>
          </w:r>
          <w:r w:rsidRPr="00AE4F29">
            <w:rPr>
              <w:rFonts w:asciiTheme="minorHAnsi" w:eastAsiaTheme="minorEastAsia" w:hAnsiTheme="minorHAnsi" w:cstheme="minorHAnsi"/>
            </w:rPr>
            <w:t>. The Moran’s I value was calculated as an index of dispersion (negative I values), random distribution where no spatial autocorrelation exists (I equates to zero) and clustering (positive I values).</w:t>
          </w:r>
          <w:r w:rsidR="00491275">
            <w:t xml:space="preserve"> </w:t>
          </w:r>
        </w:p>
        <w:p w14:paraId="710F9077" w14:textId="77777777" w:rsidR="00830FDC" w:rsidRDefault="00830FDC" w:rsidP="00830FDC">
          <w:pPr>
            <w:pStyle w:val="Heading6"/>
            <w:numPr>
              <w:ilvl w:val="5"/>
              <w:numId w:val="39"/>
            </w:numPr>
          </w:pPr>
          <w:r w:rsidRPr="00073AC3">
            <w:t>Supplementary</w:t>
          </w:r>
          <w:r>
            <w:t xml:space="preserve"> data</w:t>
          </w:r>
        </w:p>
        <w:p w14:paraId="7D2620EF" w14:textId="77777777" w:rsidR="00830FDC" w:rsidRDefault="00830FDC" w:rsidP="00830FDC">
          <w:pPr>
            <w:pStyle w:val="CaptionWide"/>
          </w:pPr>
          <w:r>
            <w:t>Figure</w:t>
          </w:r>
          <w:r w:rsidRPr="000618FB">
            <w:t xml:space="preserve"> </w:t>
          </w:r>
          <w:fldSimple w:instr=" STYLEREF 6 \s ">
            <w:r w:rsidR="00D55DA4">
              <w:rPr>
                <w:noProof/>
              </w:rPr>
              <w:t>B</w:t>
            </w:r>
          </w:fldSimple>
          <w:r w:rsidRPr="000618FB">
            <w:fldChar w:fldCharType="begin"/>
          </w:r>
          <w:r w:rsidRPr="000618FB">
            <w:instrText xml:space="preserve"> SEQ </w:instrText>
          </w:r>
          <w:r>
            <w:instrText>Figure</w:instrText>
          </w:r>
          <w:r w:rsidRPr="000618FB">
            <w:instrText xml:space="preserve"> \* ARABIC \s </w:instrText>
          </w:r>
          <w:r>
            <w:instrText>6</w:instrText>
          </w:r>
          <w:r w:rsidRPr="000618FB">
            <w:instrText xml:space="preserve"> </w:instrText>
          </w:r>
          <w:r w:rsidRPr="000618FB">
            <w:fldChar w:fldCharType="separate"/>
          </w:r>
          <w:r w:rsidR="00D55DA4">
            <w:rPr>
              <w:noProof/>
            </w:rPr>
            <w:t>1</w:t>
          </w:r>
          <w:r w:rsidRPr="000618FB">
            <w:fldChar w:fldCharType="end"/>
          </w:r>
          <w:r>
            <w:t>:</w:t>
          </w:r>
          <w:r w:rsidRPr="00792A3F">
            <w:t xml:space="preserve"> </w:t>
          </w:r>
          <w:r>
            <w:t>Relationships between Median R&amp;D Expenditure and Patents (A) and Trademarks (B) per 10,000 inhabitants</w:t>
          </w:r>
        </w:p>
        <w:tbl>
          <w:tblPr>
            <w:tblStyle w:val="OCETable"/>
            <w:tblW w:w="9134" w:type="dxa"/>
            <w:tblInd w:w="108" w:type="dxa"/>
            <w:tblLayout w:type="fixed"/>
            <w:tblLook w:val="04A0" w:firstRow="1" w:lastRow="0" w:firstColumn="1" w:lastColumn="0" w:noHBand="0" w:noVBand="1"/>
            <w:tblCaption w:val="Figure B1: Relationships between Median R&amp;D Expenditure and Patents (A) and Trademarks (B) per 10,000 inhabitants"/>
            <w:tblDescription w:val="Figure B1 shows two scatter plots, A and B, depicting the relationship between median R&amp;D Expenditure and Patents (plot A), and Trademarks (plot B) per ten thousand inhabitants. In both plots, a regression line is estimated through the observations with a positive slope."/>
          </w:tblPr>
          <w:tblGrid>
            <w:gridCol w:w="9134"/>
          </w:tblGrid>
          <w:tr w:rsidR="00830FDC" w14:paraId="433E6964" w14:textId="77777777" w:rsidTr="000464AD">
            <w:trPr>
              <w:cnfStyle w:val="100000000000" w:firstRow="1" w:lastRow="0" w:firstColumn="0" w:lastColumn="0" w:oddVBand="0" w:evenVBand="0" w:oddHBand="0" w:evenHBand="0" w:firstRowFirstColumn="0" w:firstRowLastColumn="0" w:lastRowFirstColumn="0" w:lastRowLastColumn="0"/>
              <w:tblHeader/>
            </w:trPr>
            <w:tc>
              <w:tcPr>
                <w:tcW w:w="9134" w:type="dxa"/>
                <w:shd w:val="clear" w:color="auto" w:fill="auto"/>
              </w:tcPr>
              <w:p w14:paraId="3ACA6CD5" w14:textId="574E8C32" w:rsidR="00830FDC" w:rsidRDefault="00830FDC" w:rsidP="00C100E0">
                <w:pPr>
                  <w:pStyle w:val="Placeholder"/>
                  <w:jc w:val="left"/>
                  <w:rPr>
                    <w:b/>
                  </w:rPr>
                </w:pPr>
                <w:r w:rsidRPr="00C2328D">
                  <w:rPr>
                    <w:b/>
                  </w:rPr>
                  <w:t>A</w:t>
                </w:r>
              </w:p>
              <w:p w14:paraId="29A1C922" w14:textId="7B655079" w:rsidR="000464AD" w:rsidRPr="00C2328D" w:rsidRDefault="00C100E0" w:rsidP="00D0090A">
                <w:pPr>
                  <w:pStyle w:val="Placeholder"/>
                  <w:ind w:left="720"/>
                  <w:jc w:val="left"/>
                  <w:rPr>
                    <w:b/>
                  </w:rPr>
                </w:pPr>
                <w:r>
                  <w:rPr>
                    <w:b/>
                    <w:noProof/>
                    <w:lang w:eastAsia="en-AU"/>
                  </w:rPr>
                  <w:drawing>
                    <wp:anchor distT="0" distB="0" distL="114300" distR="114300" simplePos="0" relativeHeight="251665408" behindDoc="0" locked="0" layoutInCell="1" allowOverlap="1" wp14:anchorId="22058250" wp14:editId="0AC47C93">
                      <wp:simplePos x="0" y="0"/>
                      <wp:positionH relativeFrom="column">
                        <wp:posOffset>-68373</wp:posOffset>
                      </wp:positionH>
                      <wp:positionV relativeFrom="paragraph">
                        <wp:posOffset>165041</wp:posOffset>
                      </wp:positionV>
                      <wp:extent cx="5663565" cy="2780030"/>
                      <wp:effectExtent l="0" t="0" r="0" b="1270"/>
                      <wp:wrapTopAndBottom/>
                      <wp:docPr id="23" name="Picture 23" descr="Figure B1 shows two scatter plots, A and B, depicting the relationship between median R&amp;D Expenditure and Patent applicants (plot A), and Trademark applicants (plot B) per ten thousand inhabitants. In both plots, a regression line is estimated through the observations with a positive slope." title="Figure B1: Relationships between Median R&amp;D Expenditure and Patents (A) and Trade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3565" cy="2780030"/>
                              </a:xfrm>
                              <a:prstGeom prst="rect">
                                <a:avLst/>
                              </a:prstGeom>
                              <a:noFill/>
                            </pic:spPr>
                          </pic:pic>
                        </a:graphicData>
                      </a:graphic>
                      <wp14:sizeRelH relativeFrom="page">
                        <wp14:pctWidth>0</wp14:pctWidth>
                      </wp14:sizeRelH>
                      <wp14:sizeRelV relativeFrom="page">
                        <wp14:pctHeight>0</wp14:pctHeight>
                      </wp14:sizeRelV>
                    </wp:anchor>
                  </w:drawing>
                </w:r>
              </w:p>
              <w:p w14:paraId="02BDF289" w14:textId="62F3675B" w:rsidR="00830FDC" w:rsidRDefault="00830FDC" w:rsidP="00D0090A">
                <w:pPr>
                  <w:pStyle w:val="Placeholder"/>
                </w:pPr>
              </w:p>
              <w:p w14:paraId="1518248F" w14:textId="58AE821B" w:rsidR="00EF2817" w:rsidRDefault="00EF2817" w:rsidP="00D0090A">
                <w:pPr>
                  <w:pStyle w:val="Placeholder"/>
                </w:pPr>
              </w:p>
              <w:p w14:paraId="4C0E2C5D" w14:textId="77777777" w:rsidR="00830FDC" w:rsidRDefault="00830FDC" w:rsidP="00C100E0">
                <w:pPr>
                  <w:pStyle w:val="Placeholder"/>
                  <w:jc w:val="left"/>
                  <w:rPr>
                    <w:b/>
                  </w:rPr>
                </w:pPr>
                <w:r w:rsidRPr="00C2328D">
                  <w:rPr>
                    <w:b/>
                  </w:rPr>
                  <w:t>B</w:t>
                </w:r>
              </w:p>
              <w:p w14:paraId="36B62BC0" w14:textId="08C85823" w:rsidR="000464AD" w:rsidRPr="00C2328D" w:rsidRDefault="000464AD" w:rsidP="00D0090A">
                <w:pPr>
                  <w:pStyle w:val="Placeholder"/>
                  <w:ind w:left="720"/>
                  <w:jc w:val="left"/>
                  <w:rPr>
                    <w:b/>
                  </w:rPr>
                </w:pPr>
              </w:p>
              <w:p w14:paraId="56C8C746" w14:textId="7B34A37C" w:rsidR="00830FDC" w:rsidRDefault="00C100E0" w:rsidP="00D0090A">
                <w:pPr>
                  <w:pStyle w:val="Placeholder"/>
                </w:pPr>
                <w:r>
                  <w:rPr>
                    <w:noProof/>
                    <w:lang w:eastAsia="en-AU"/>
                  </w:rPr>
                  <w:drawing>
                    <wp:inline distT="0" distB="0" distL="0" distR="0" wp14:anchorId="42A5CC4D" wp14:editId="6C565FFB">
                      <wp:extent cx="5663565" cy="3335020"/>
                      <wp:effectExtent l="0" t="0" r="0" b="0"/>
                      <wp:docPr id="24" name="Picture 24" descr="Figure B1 shows two scatter plots, A and B, depicting the relationship between median R&amp;D Expenditure and Patent applicants (plot A), and Trademark applicants (plot B) per ten thousand inhabitants. In both plots, a regression line is estimated through the observations with a positive slope." title="Figure B1: (B) per 10,000 inhabi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3565" cy="3335020"/>
                              </a:xfrm>
                              <a:prstGeom prst="rect">
                                <a:avLst/>
                              </a:prstGeom>
                              <a:noFill/>
                            </pic:spPr>
                          </pic:pic>
                        </a:graphicData>
                      </a:graphic>
                    </wp:inline>
                  </w:drawing>
                </w:r>
              </w:p>
              <w:p w14:paraId="6F91B0F4" w14:textId="239BC358" w:rsidR="00830FDC" w:rsidRPr="009860D4" w:rsidRDefault="00830FDC" w:rsidP="00D0090A">
                <w:pPr>
                  <w:pStyle w:val="Placeholder"/>
                </w:pPr>
              </w:p>
            </w:tc>
          </w:tr>
        </w:tbl>
        <w:p w14:paraId="4C5DF8C5" w14:textId="58DBC4B5" w:rsidR="00830FDC" w:rsidRPr="00C62F3A" w:rsidRDefault="00830FDC" w:rsidP="00830FDC">
          <w:pPr>
            <w:pStyle w:val="NoteWide"/>
          </w:pPr>
          <w:r w:rsidRPr="00C62F3A">
            <w:t>Note</w:t>
          </w:r>
          <w:r>
            <w:t>s:</w:t>
          </w:r>
          <w:r w:rsidRPr="00792A3F">
            <w:t xml:space="preserve"> </w:t>
          </w:r>
          <w:r>
            <w:t>Median R&amp;D expenditure was calculated for financial years ending June 200</w:t>
          </w:r>
          <w:r w:rsidR="000464AD">
            <w:t>8</w:t>
          </w:r>
          <w:r>
            <w:t>–June 201</w:t>
          </w:r>
          <w:r w:rsidR="000464AD">
            <w:t>4</w:t>
          </w:r>
          <w:r>
            <w:t>. Averages of Patents and trademark</w:t>
          </w:r>
          <w:r w:rsidR="000464AD">
            <w:t>s were calculated from 2008–2015</w:t>
          </w:r>
          <w:r>
            <w:t>.</w:t>
          </w:r>
        </w:p>
        <w:p w14:paraId="4C1D766E" w14:textId="223B21BB" w:rsidR="00830FDC" w:rsidRDefault="00830FDC" w:rsidP="00830FDC">
          <w:pPr>
            <w:pStyle w:val="SourceWide"/>
          </w:pPr>
          <w:r>
            <w:t>Source:</w:t>
          </w:r>
          <w:r w:rsidRPr="00792A3F">
            <w:t xml:space="preserve"> </w:t>
          </w:r>
          <w:r>
            <w:t xml:space="preserve">Australian R&amp;D Tax Incentive Programme and </w:t>
          </w:r>
          <w:r w:rsidRPr="00C869FB">
            <w:t xml:space="preserve">Intellectual Property Government Open </w:t>
          </w:r>
          <w:r>
            <w:t>Data 201</w:t>
          </w:r>
          <w:r w:rsidR="00B767FF">
            <w:t>6</w:t>
          </w:r>
          <w:r>
            <w:t xml:space="preserve"> (IP Australia)</w:t>
          </w:r>
        </w:p>
        <w:p w14:paraId="21554423" w14:textId="77777777" w:rsidR="00830FDC" w:rsidRPr="00792A3F" w:rsidRDefault="00830FDC" w:rsidP="00830FDC">
          <w:pPr>
            <w:pStyle w:val="BodyText"/>
          </w:pPr>
        </w:p>
        <w:p w14:paraId="5F23B4F3" w14:textId="1302ADB4" w:rsidR="00830FDC" w:rsidRDefault="00830FDC" w:rsidP="00830FDC">
          <w:pPr>
            <w:pStyle w:val="CaptionWide"/>
            <w:rPr>
              <w:color w:val="22789A"/>
            </w:rPr>
          </w:pPr>
          <w:r>
            <w:t>Map</w:t>
          </w:r>
          <w:r w:rsidRPr="000618FB">
            <w:t xml:space="preserve"> </w:t>
          </w:r>
          <w:fldSimple w:instr=" STYLEREF 6 \s ">
            <w:r w:rsidR="00D55DA4">
              <w:rPr>
                <w:noProof/>
              </w:rPr>
              <w:t>B</w:t>
            </w:r>
          </w:fldSimple>
          <w:r w:rsidRPr="000618FB">
            <w:fldChar w:fldCharType="begin"/>
          </w:r>
          <w:r w:rsidRPr="000618FB">
            <w:instrText xml:space="preserve"> SEQ </w:instrText>
          </w:r>
          <w:r>
            <w:instrText>Image \* ARABIC \s 6</w:instrText>
          </w:r>
          <w:r w:rsidRPr="000618FB">
            <w:instrText xml:space="preserve"> </w:instrText>
          </w:r>
          <w:r w:rsidRPr="000618FB">
            <w:fldChar w:fldCharType="separate"/>
          </w:r>
          <w:r w:rsidR="00D55DA4">
            <w:rPr>
              <w:noProof/>
            </w:rPr>
            <w:t>1</w:t>
          </w:r>
          <w:r w:rsidRPr="000618FB">
            <w:fldChar w:fldCharType="end"/>
          </w:r>
          <w:r>
            <w:t xml:space="preserve">: </w:t>
          </w:r>
          <w:r w:rsidR="00656E51">
            <w:rPr>
              <w:color w:val="22789A"/>
            </w:rPr>
            <w:t>Mean</w:t>
          </w:r>
          <w:r w:rsidRPr="008743B1">
            <w:rPr>
              <w:color w:val="22789A"/>
            </w:rPr>
            <w:t xml:space="preserve"> annual expenditure in R&amp;D per 10,000 inhabitants between financial years ending in June </w:t>
          </w:r>
          <w:r w:rsidR="00656E51">
            <w:rPr>
              <w:color w:val="22789A"/>
            </w:rPr>
            <w:t xml:space="preserve">2008 </w:t>
          </w:r>
          <w:r>
            <w:rPr>
              <w:color w:val="22789A"/>
            </w:rPr>
            <w:t>to</w:t>
          </w:r>
          <w:r w:rsidRPr="008743B1">
            <w:rPr>
              <w:color w:val="22789A"/>
            </w:rPr>
            <w:t xml:space="preserve"> June</w:t>
          </w:r>
          <w:r>
            <w:rPr>
              <w:color w:val="22789A"/>
            </w:rPr>
            <w:t xml:space="preserve"> </w:t>
          </w:r>
          <w:r w:rsidRPr="008743B1">
            <w:rPr>
              <w:color w:val="22789A"/>
            </w:rPr>
            <w:t>201</w:t>
          </w:r>
          <w:r w:rsidR="00656E51">
            <w:rPr>
              <w:color w:val="22789A"/>
            </w:rPr>
            <w:t>4</w:t>
          </w:r>
          <w:r w:rsidRPr="008743B1">
            <w:rPr>
              <w:color w:val="22789A"/>
            </w:rPr>
            <w:t>, by SA3 regions</w:t>
          </w:r>
        </w:p>
        <w:p w14:paraId="77E1BDFE" w14:textId="68CE9287" w:rsidR="000D227A" w:rsidRDefault="000D227A" w:rsidP="000D227A">
          <w:pPr>
            <w:pStyle w:val="PlaceholderWide"/>
          </w:pPr>
        </w:p>
        <w:p w14:paraId="380D2EB6" w14:textId="7BE65C8E" w:rsidR="00656E51" w:rsidRPr="000D227A" w:rsidRDefault="00656E51" w:rsidP="000D227A">
          <w:pPr>
            <w:pStyle w:val="PlaceholderWide"/>
          </w:pPr>
          <w:r>
            <w:rPr>
              <w:noProof/>
              <w:lang w:eastAsia="en-AU"/>
            </w:rPr>
            <w:drawing>
              <wp:inline distT="0" distB="0" distL="0" distR="0" wp14:anchorId="4F79A301" wp14:editId="216D6E38">
                <wp:extent cx="5731510" cy="4052570"/>
                <wp:effectExtent l="0" t="0" r="2540" b="5080"/>
                <wp:docPr id="14" name="Picture 14" descr="Map B1 is a map of Australia, divided into SA3 regions, as defined by the ABS. Mean annual expenditure on research and development (R&amp;D) per ten thousand inhabitants over the period between June 2008 and June 2014 are classified into 5 ranges (quintiles), and each range is assigned a different colour. Each SA3 region shown on the map is then shaded according to the colour which corresponds to the relevant range, reflecting the intensity of R&amp;D expenditure in that region. The map provides a more disaggregated representation of the results shown previously in Figure 2.1.&#10;&#10;The map shows mean R&amp;D expenditure over this period was concentrated in the capital cities. &#10;" title="Map B1: Mean annual expenditure in R&amp;D per 10,000 inhabitants between financial years ending in June 2008 to June 2014, by SA3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rd per 10k pop mil map imag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2A42B2CF" w14:textId="57D83177" w:rsidR="00830FDC" w:rsidRPr="00177984" w:rsidRDefault="00830FDC" w:rsidP="00830FDC">
          <w:pPr>
            <w:pStyle w:val="NoteWide"/>
          </w:pPr>
          <w:r w:rsidRPr="00F5479E">
            <w:t>Note</w:t>
          </w:r>
          <w:r w:rsidRPr="00177984">
            <w:t>: Map shows five quintiles with 70–71 SA3 regions each.</w:t>
          </w:r>
        </w:p>
        <w:p w14:paraId="5BD27AA7" w14:textId="1BEE75B4" w:rsidR="00830FDC" w:rsidRDefault="00830FDC" w:rsidP="00830FDC">
          <w:pPr>
            <w:pStyle w:val="SourceWide"/>
            <w:jc w:val="left"/>
          </w:pPr>
          <w:r w:rsidRPr="00177984">
            <w:t>Source</w:t>
          </w:r>
          <w:r w:rsidR="00595001" w:rsidRPr="00DA37D8">
            <w:t>s</w:t>
          </w:r>
          <w:r w:rsidRPr="00F5479E">
            <w:t>: Australian Government R&amp;D Tax Incentive (formerly R&amp;D Tax concessions) Programme, Viewed 22nd June 2015 and Department of Industry</w:t>
          </w:r>
          <w:r w:rsidR="00595001" w:rsidRPr="00DA37D8">
            <w:t>, Innovation</w:t>
          </w:r>
          <w:r w:rsidRPr="00F5479E">
            <w:t xml:space="preserve"> and Science (</w:t>
          </w:r>
          <w:r w:rsidR="00595001" w:rsidRPr="00177984">
            <w:t>201</w:t>
          </w:r>
          <w:r w:rsidR="00595001" w:rsidRPr="00DA37D8">
            <w:t>6</w:t>
          </w:r>
          <w:r w:rsidRPr="00F5479E">
            <w:t>), National Innovation Map.</w:t>
          </w:r>
        </w:p>
        <w:p w14:paraId="34B82F23" w14:textId="26263B35" w:rsidR="00830FDC" w:rsidRDefault="00830FDC" w:rsidP="00830FDC">
          <w:pPr>
            <w:pStyle w:val="CaptionWide"/>
          </w:pPr>
          <w:r w:rsidRPr="00177984">
            <w:t xml:space="preserve">Map </w:t>
          </w:r>
          <w:fldSimple w:instr=" STYLEREF 6 \s ">
            <w:r w:rsidR="00D55DA4">
              <w:rPr>
                <w:noProof/>
              </w:rPr>
              <w:t>B</w:t>
            </w:r>
          </w:fldSimple>
          <w:fldSimple w:instr=" SEQ Image \* ARABIC \s 6 ">
            <w:r w:rsidR="00D55DA4">
              <w:rPr>
                <w:noProof/>
              </w:rPr>
              <w:t>2</w:t>
            </w:r>
          </w:fldSimple>
          <w:r w:rsidRPr="00DA37D8">
            <w:t>: Annual patent application counts per 10,000 inhabitants averaged 2008</w:t>
          </w:r>
          <w:r w:rsidRPr="00DA37D8">
            <w:rPr>
              <w:rFonts w:cs="Arial"/>
            </w:rPr>
            <w:t>–</w:t>
          </w:r>
          <w:r w:rsidRPr="00DA37D8">
            <w:t>201</w:t>
          </w:r>
          <w:r w:rsidR="00B37D2B" w:rsidRPr="00DA37D8">
            <w:t>5</w:t>
          </w:r>
          <w:r w:rsidRPr="00DA37D8">
            <w:t>, by SA3 regions</w:t>
          </w:r>
        </w:p>
        <w:p w14:paraId="18F51CB9" w14:textId="23BA184D" w:rsidR="000D227A" w:rsidRDefault="000D227A" w:rsidP="000D227A">
          <w:pPr>
            <w:pStyle w:val="PlaceholderWide"/>
          </w:pPr>
        </w:p>
        <w:p w14:paraId="4B6B8EC1" w14:textId="4E54EF8A" w:rsidR="00B37D2B" w:rsidRPr="000D227A" w:rsidRDefault="00656E51" w:rsidP="000D227A">
          <w:pPr>
            <w:pStyle w:val="PlaceholderWide"/>
          </w:pPr>
          <w:r>
            <w:rPr>
              <w:noProof/>
              <w:lang w:eastAsia="en-AU"/>
            </w:rPr>
            <w:drawing>
              <wp:inline distT="0" distB="0" distL="0" distR="0" wp14:anchorId="2B765E32" wp14:editId="09E9B2D2">
                <wp:extent cx="5731510" cy="4052570"/>
                <wp:effectExtent l="0" t="0" r="2540" b="5080"/>
                <wp:docPr id="15" name="Picture 15" descr="Map B2 is a map of Australia, divided into SA3 regions, as defined by the ABS.  Annual patent applicants per ten thousand inhabitants averaged over the period between 2008 and 2015 are classified into 5 ranges (quintiles), and each range is assigned a different colour. Each SA3 region shown on the map is then shaded according to the colour which corresponds to the relevant range, reflecting the intensity of patenting activity in that region. The map provides a more disaggregated representation of the results shown previously in Figure 2.2.&#10;&#10;The map shows that average population adjusted patenting activity was concentrated in the capital cities. &#10;" title="Map B2: Annual patent application counts per 10,000 inhabitants averaged 2008–2015, by SA3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 B2 Patent per 10k pop- AIS colour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E5B91DE" w14:textId="354316B8" w:rsidR="00830FDC" w:rsidRPr="00C62F3A" w:rsidRDefault="00830FDC" w:rsidP="00830FDC">
          <w:pPr>
            <w:pStyle w:val="NoteWide"/>
          </w:pPr>
          <w:r w:rsidRPr="00C62F3A">
            <w:t>Note</w:t>
          </w:r>
          <w:r>
            <w:t>: Map shows five quintiles with 70–71 SA3 regions each.</w:t>
          </w:r>
        </w:p>
        <w:p w14:paraId="69F7AF03" w14:textId="3889D29F" w:rsidR="00830FDC" w:rsidRDefault="00830FDC" w:rsidP="00830FDC">
          <w:pPr>
            <w:pStyle w:val="SourceWide"/>
            <w:jc w:val="left"/>
          </w:pPr>
          <w:r w:rsidRPr="00177984">
            <w:t>Source</w:t>
          </w:r>
          <w:r w:rsidR="00595001" w:rsidRPr="00DA37D8">
            <w:t>s</w:t>
          </w:r>
          <w:r w:rsidRPr="00177984">
            <w:t xml:space="preserve">: Intellectual Property Government Open Data </w:t>
          </w:r>
          <w:r w:rsidR="00F5479E" w:rsidRPr="00177984">
            <w:t>201</w:t>
          </w:r>
          <w:r w:rsidR="00F5479E" w:rsidRPr="00DA37D8">
            <w:t>6</w:t>
          </w:r>
          <w:r w:rsidR="00F5479E" w:rsidRPr="00177984">
            <w:t xml:space="preserve"> </w:t>
          </w:r>
          <w:r w:rsidRPr="00177984">
            <w:t>(IP Australia) and Department of Industry</w:t>
          </w:r>
          <w:r w:rsidR="00595001" w:rsidRPr="00DA37D8">
            <w:t>, Innovation</w:t>
          </w:r>
          <w:r w:rsidRPr="00177984">
            <w:t xml:space="preserve"> and Science (</w:t>
          </w:r>
          <w:r w:rsidR="00595001" w:rsidRPr="00177984">
            <w:t>201</w:t>
          </w:r>
          <w:r w:rsidR="00595001" w:rsidRPr="00DA37D8">
            <w:t>6</w:t>
          </w:r>
          <w:r w:rsidRPr="00177984">
            <w:t>) National Innovation Map</w:t>
          </w:r>
        </w:p>
        <w:p w14:paraId="5E01FD39" w14:textId="77777777" w:rsidR="00830FDC" w:rsidRDefault="00830FDC" w:rsidP="00830FDC">
          <w:pPr>
            <w:pStyle w:val="BodyText"/>
            <w:rPr>
              <w:lang w:val="en"/>
            </w:rPr>
          </w:pPr>
        </w:p>
        <w:p w14:paraId="0D5C6C92" w14:textId="1A61F8E1" w:rsidR="00830FDC" w:rsidRDefault="00830FDC" w:rsidP="00830FDC">
          <w:pPr>
            <w:pStyle w:val="CaptionWide"/>
          </w:pPr>
          <w:r w:rsidRPr="00177984">
            <w:t xml:space="preserve">Map </w:t>
          </w:r>
          <w:fldSimple w:instr=" STYLEREF 6 \s ">
            <w:r w:rsidR="00D55DA4">
              <w:rPr>
                <w:noProof/>
              </w:rPr>
              <w:t>B</w:t>
            </w:r>
          </w:fldSimple>
          <w:fldSimple w:instr=" SEQ Image \* ARABIC \s 6 ">
            <w:r w:rsidR="00D55DA4">
              <w:rPr>
                <w:noProof/>
              </w:rPr>
              <w:t>3</w:t>
            </w:r>
          </w:fldSimple>
          <w:r w:rsidRPr="00DA37D8">
            <w:t>: Annual trademark application counts per 10,000 inhabitants averaged 2008</w:t>
          </w:r>
          <w:r w:rsidRPr="00DA37D8">
            <w:rPr>
              <w:rFonts w:cs="Arial"/>
            </w:rPr>
            <w:t>–</w:t>
          </w:r>
          <w:r w:rsidRPr="00DA37D8">
            <w:t>201</w:t>
          </w:r>
          <w:r w:rsidR="00B37D2B" w:rsidRPr="00DA37D8">
            <w:t>5</w:t>
          </w:r>
          <w:r w:rsidRPr="00DA37D8">
            <w:t>, by SA3 regions</w:t>
          </w:r>
        </w:p>
        <w:p w14:paraId="2DBDCFFE" w14:textId="3B957E6B" w:rsidR="000D227A" w:rsidRDefault="000D227A" w:rsidP="000D227A">
          <w:pPr>
            <w:pStyle w:val="PlaceholderWide"/>
          </w:pPr>
        </w:p>
        <w:p w14:paraId="69DA8686" w14:textId="78C3C849" w:rsidR="00656E51" w:rsidRPr="000D227A" w:rsidRDefault="00656E51" w:rsidP="000D227A">
          <w:pPr>
            <w:pStyle w:val="PlaceholderWide"/>
          </w:pPr>
          <w:r>
            <w:rPr>
              <w:noProof/>
              <w:lang w:eastAsia="en-AU"/>
            </w:rPr>
            <w:drawing>
              <wp:inline distT="0" distB="0" distL="0" distR="0" wp14:anchorId="09E790B5" wp14:editId="2BDA9A26">
                <wp:extent cx="5731510" cy="4052570"/>
                <wp:effectExtent l="0" t="0" r="2540" b="5080"/>
                <wp:docPr id="16" name="Picture 16" descr="Map B3 is a map of Australia, divided into SA3 regions, as defined by the ABS.  Annual trademark applicants per ten thousand inhabitants over the period between 2008 and 2015 are classified into 5 ranges (quintiles), and each range is assigned a different colour. Each SA3 region shown on the map is then shaded according to the colour which corresponds to the relevant range, reflecting the intensity of trademark activity in that region. The map provides a more disaggregated representation of the results shown previously in Figure 2.3.&#10;&#10;The map shows that average population adjusted trademarking activity was concentrated in the capital cities, with the Gold Coast and Sunshine Coast also featuring in the top quintile.&#10;" title="Map B3: Annual trademark application counts per 10,000 inhabitants averaged 2008–2015, by SA3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m per 10k pop AIS colour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65E10A87" w14:textId="711FAEED" w:rsidR="00830FDC" w:rsidRPr="00C62F3A" w:rsidRDefault="00830FDC" w:rsidP="00830FDC">
          <w:pPr>
            <w:pStyle w:val="NoteWide"/>
          </w:pPr>
          <w:r w:rsidRPr="00C62F3A">
            <w:t>Note</w:t>
          </w:r>
          <w:r>
            <w:t>: Map shows five quintiles with 70–71 SA3 regions each.</w:t>
          </w:r>
        </w:p>
        <w:p w14:paraId="055DD349" w14:textId="35DCB6C6" w:rsidR="00830FDC" w:rsidRDefault="00830FDC" w:rsidP="00830FDC">
          <w:pPr>
            <w:pStyle w:val="SourceWide"/>
            <w:jc w:val="left"/>
          </w:pPr>
          <w:r>
            <w:t>Source</w:t>
          </w:r>
          <w:r w:rsidR="00595001">
            <w:t>s</w:t>
          </w:r>
          <w:r>
            <w:t xml:space="preserve">: </w:t>
          </w:r>
          <w:r w:rsidRPr="00C869FB">
            <w:t xml:space="preserve">Intellectual Property Government Open </w:t>
          </w:r>
          <w:r>
            <w:t xml:space="preserve">Data </w:t>
          </w:r>
          <w:r w:rsidR="00F5479E">
            <w:t xml:space="preserve">2016 </w:t>
          </w:r>
          <w:r>
            <w:t>(IP Australia) and Department of Industry</w:t>
          </w:r>
          <w:r w:rsidR="00595001">
            <w:t>, Innovation</w:t>
          </w:r>
          <w:r>
            <w:t xml:space="preserve"> and Science (</w:t>
          </w:r>
          <w:r w:rsidR="00595001">
            <w:t>2016</w:t>
          </w:r>
          <w:r>
            <w:t>) National Innovation Map</w:t>
          </w:r>
        </w:p>
        <w:p w14:paraId="7B7F3CC1" w14:textId="77777777" w:rsidR="00830FDC" w:rsidRPr="00802EA1" w:rsidRDefault="00830FDC" w:rsidP="00830FDC">
          <w:pPr>
            <w:rPr>
              <w:lang w:val="en"/>
            </w:rPr>
          </w:pPr>
        </w:p>
        <w:p w14:paraId="5B4AC2E1" w14:textId="77777777" w:rsidR="00830FDC" w:rsidRDefault="00830FDC" w:rsidP="00830FDC">
          <w:pPr>
            <w:jc w:val="center"/>
            <w:rPr>
              <w:lang w:val="en"/>
            </w:rPr>
          </w:pPr>
        </w:p>
        <w:p w14:paraId="5E231ADC" w14:textId="77777777" w:rsidR="00830FDC" w:rsidRPr="000618FB" w:rsidRDefault="00830FDC" w:rsidP="00830FDC">
          <w:pPr>
            <w:pStyle w:val="CaptionWide"/>
          </w:pPr>
          <w:r w:rsidRPr="000618FB">
            <w:t xml:space="preserve">Table </w:t>
          </w:r>
          <w:fldSimple w:instr=" STYLEREF 6 \s ">
            <w:r w:rsidR="00D55DA4">
              <w:rPr>
                <w:noProof/>
              </w:rPr>
              <w:t>B</w:t>
            </w:r>
          </w:fldSimple>
          <w:fldSimple w:instr=" SEQ Table \* ARABIC \s 6 ">
            <w:r w:rsidR="00D55DA4">
              <w:rPr>
                <w:noProof/>
              </w:rPr>
              <w:t>1</w:t>
            </w:r>
          </w:fldSimple>
          <w:r>
            <w:t>: National business survival rates by ANZSIC division and year of entry</w:t>
          </w:r>
        </w:p>
        <w:tbl>
          <w:tblPr>
            <w:tblW w:w="9242" w:type="dxa"/>
            <w:shd w:val="clear" w:color="auto" w:fill="CAE7F3" w:themeFill="accent1" w:themeFillTint="33"/>
            <w:tblLook w:val="06A0" w:firstRow="1" w:lastRow="0" w:firstColumn="1" w:lastColumn="0" w:noHBand="1" w:noVBand="1"/>
          </w:tblPr>
          <w:tblGrid>
            <w:gridCol w:w="959"/>
            <w:gridCol w:w="920"/>
            <w:gridCol w:w="920"/>
            <w:gridCol w:w="921"/>
            <w:gridCol w:w="920"/>
            <w:gridCol w:w="920"/>
            <w:gridCol w:w="921"/>
            <w:gridCol w:w="857"/>
            <w:gridCol w:w="63"/>
            <w:gridCol w:w="920"/>
            <w:gridCol w:w="921"/>
          </w:tblGrid>
          <w:tr w:rsidR="00830FDC" w:rsidRPr="000165D4" w14:paraId="5F14895B" w14:textId="77777777" w:rsidTr="00866271">
            <w:trPr>
              <w:trHeight w:val="300"/>
            </w:trPr>
            <w:tc>
              <w:tcPr>
                <w:tcW w:w="959" w:type="dxa"/>
                <w:shd w:val="clear" w:color="auto" w:fill="22789A" w:themeFill="accent1"/>
                <w:noWrap/>
                <w:vAlign w:val="bottom"/>
              </w:tcPr>
              <w:p w14:paraId="03CA640F" w14:textId="77777777" w:rsidR="00830FDC" w:rsidRPr="000165D4" w:rsidRDefault="00830FDC" w:rsidP="00D0090A">
                <w:pPr>
                  <w:pStyle w:val="Tableheader"/>
                </w:pPr>
              </w:p>
            </w:tc>
            <w:tc>
              <w:tcPr>
                <w:tcW w:w="3681" w:type="dxa"/>
                <w:gridSpan w:val="4"/>
                <w:shd w:val="clear" w:color="auto" w:fill="22789A" w:themeFill="accent1"/>
                <w:noWrap/>
                <w:vAlign w:val="bottom"/>
              </w:tcPr>
              <w:p w14:paraId="066D49C7" w14:textId="77777777" w:rsidR="00830FDC" w:rsidRPr="00BE0221" w:rsidRDefault="00830FDC" w:rsidP="00D0090A">
                <w:pPr>
                  <w:pStyle w:val="Tableheader"/>
                  <w:jc w:val="center"/>
                  <w:rPr>
                    <w:b/>
                  </w:rPr>
                </w:pPr>
                <w:r w:rsidRPr="00BE0221">
                  <w:rPr>
                    <w:b/>
                  </w:rPr>
                  <w:t>Entered 2009–10</w:t>
                </w:r>
              </w:p>
            </w:tc>
            <w:tc>
              <w:tcPr>
                <w:tcW w:w="1841" w:type="dxa"/>
                <w:gridSpan w:val="2"/>
                <w:shd w:val="clear" w:color="auto" w:fill="22789A" w:themeFill="accent1"/>
                <w:noWrap/>
                <w:vAlign w:val="bottom"/>
              </w:tcPr>
              <w:p w14:paraId="29B3FEDB" w14:textId="77777777" w:rsidR="00830FDC" w:rsidRPr="00BE0221" w:rsidRDefault="00830FDC" w:rsidP="00D0090A">
                <w:pPr>
                  <w:pStyle w:val="Tableheader"/>
                  <w:jc w:val="center"/>
                  <w:rPr>
                    <w:b/>
                  </w:rPr>
                </w:pPr>
                <w:r w:rsidRPr="00BE0221">
                  <w:rPr>
                    <w:b/>
                  </w:rPr>
                  <w:t>Entered 2010–11</w:t>
                </w:r>
              </w:p>
            </w:tc>
            <w:tc>
              <w:tcPr>
                <w:tcW w:w="857" w:type="dxa"/>
                <w:shd w:val="clear" w:color="auto" w:fill="22789A" w:themeFill="accent1"/>
                <w:noWrap/>
                <w:vAlign w:val="bottom"/>
              </w:tcPr>
              <w:p w14:paraId="7944EDCC" w14:textId="77777777" w:rsidR="00830FDC" w:rsidRPr="00BE0221" w:rsidRDefault="00830FDC" w:rsidP="00D0090A">
                <w:pPr>
                  <w:pStyle w:val="Tableheader"/>
                  <w:rPr>
                    <w:b/>
                  </w:rPr>
                </w:pPr>
              </w:p>
            </w:tc>
            <w:tc>
              <w:tcPr>
                <w:tcW w:w="1904" w:type="dxa"/>
                <w:gridSpan w:val="3"/>
                <w:shd w:val="clear" w:color="auto" w:fill="22789A" w:themeFill="accent1"/>
                <w:noWrap/>
                <w:vAlign w:val="bottom"/>
              </w:tcPr>
              <w:p w14:paraId="6463ADEF" w14:textId="77777777" w:rsidR="00830FDC" w:rsidRPr="00BE0221" w:rsidRDefault="00830FDC" w:rsidP="00D0090A">
                <w:pPr>
                  <w:pStyle w:val="Tableheader"/>
                  <w:rPr>
                    <w:b/>
                  </w:rPr>
                </w:pPr>
                <w:r w:rsidRPr="00BE0221">
                  <w:rPr>
                    <w:b/>
                  </w:rPr>
                  <w:t>Entered 2011–12</w:t>
                </w:r>
              </w:p>
            </w:tc>
          </w:tr>
          <w:tr w:rsidR="00830FDC" w:rsidRPr="000165D4" w14:paraId="54F7FD08" w14:textId="77777777" w:rsidTr="00866271">
            <w:trPr>
              <w:trHeight w:val="300"/>
            </w:trPr>
            <w:tc>
              <w:tcPr>
                <w:tcW w:w="959" w:type="dxa"/>
                <w:shd w:val="clear" w:color="auto" w:fill="22789A" w:themeFill="accent1"/>
                <w:noWrap/>
                <w:vAlign w:val="bottom"/>
                <w:hideMark/>
              </w:tcPr>
              <w:p w14:paraId="31E6589A" w14:textId="77777777" w:rsidR="00830FDC" w:rsidRPr="000165D4" w:rsidRDefault="00830FDC" w:rsidP="00D0090A">
                <w:pPr>
                  <w:pStyle w:val="Tableheader"/>
                </w:pPr>
                <w:r w:rsidRPr="000165D4">
                  <w:t>ANZSIC Division</w:t>
                </w:r>
              </w:p>
            </w:tc>
            <w:tc>
              <w:tcPr>
                <w:tcW w:w="920" w:type="dxa"/>
                <w:shd w:val="clear" w:color="auto" w:fill="22789A" w:themeFill="accent1"/>
                <w:noWrap/>
                <w:vAlign w:val="bottom"/>
                <w:hideMark/>
              </w:tcPr>
              <w:p w14:paraId="6CE1DF0A" w14:textId="77777777" w:rsidR="00830FDC" w:rsidRPr="000165D4" w:rsidRDefault="00830FDC" w:rsidP="00D0090A">
                <w:pPr>
                  <w:pStyle w:val="Tableheader"/>
                  <w:jc w:val="right"/>
                </w:pPr>
                <w:r w:rsidRPr="000165D4">
                  <w:t>1 year</w:t>
                </w:r>
                <w:r>
                  <w:t xml:space="preserve"> survival (per cent)</w:t>
                </w:r>
              </w:p>
            </w:tc>
            <w:tc>
              <w:tcPr>
                <w:tcW w:w="920" w:type="dxa"/>
                <w:shd w:val="clear" w:color="auto" w:fill="22789A" w:themeFill="accent1"/>
                <w:noWrap/>
                <w:vAlign w:val="bottom"/>
                <w:hideMark/>
              </w:tcPr>
              <w:p w14:paraId="30366D55" w14:textId="77777777" w:rsidR="00830FDC" w:rsidRPr="000165D4" w:rsidRDefault="00830FDC" w:rsidP="00D0090A">
                <w:pPr>
                  <w:pStyle w:val="Tableheader"/>
                  <w:jc w:val="right"/>
                </w:pPr>
                <w:r>
                  <w:t>2 year survival (per cent)</w:t>
                </w:r>
              </w:p>
            </w:tc>
            <w:tc>
              <w:tcPr>
                <w:tcW w:w="921" w:type="dxa"/>
                <w:shd w:val="clear" w:color="auto" w:fill="22789A" w:themeFill="accent1"/>
                <w:noWrap/>
                <w:vAlign w:val="bottom"/>
                <w:hideMark/>
              </w:tcPr>
              <w:p w14:paraId="330D2288" w14:textId="77777777" w:rsidR="00830FDC" w:rsidRPr="000165D4" w:rsidRDefault="00830FDC" w:rsidP="00D0090A">
                <w:pPr>
                  <w:pStyle w:val="Tableheader"/>
                  <w:jc w:val="right"/>
                </w:pPr>
                <w:r w:rsidRPr="000165D4">
                  <w:t>3 year</w:t>
                </w:r>
                <w:r>
                  <w:t xml:space="preserve"> survival (per cent)</w:t>
                </w:r>
              </w:p>
            </w:tc>
            <w:tc>
              <w:tcPr>
                <w:tcW w:w="920" w:type="dxa"/>
                <w:shd w:val="clear" w:color="auto" w:fill="22789A" w:themeFill="accent1"/>
                <w:noWrap/>
                <w:vAlign w:val="bottom"/>
                <w:hideMark/>
              </w:tcPr>
              <w:p w14:paraId="19F28E48" w14:textId="77777777" w:rsidR="00830FDC" w:rsidRPr="000165D4" w:rsidRDefault="00830FDC" w:rsidP="00D0090A">
                <w:pPr>
                  <w:pStyle w:val="Tableheader"/>
                  <w:jc w:val="right"/>
                </w:pPr>
                <w:r>
                  <w:t>Rate of change (per cent per year)</w:t>
                </w:r>
              </w:p>
            </w:tc>
            <w:tc>
              <w:tcPr>
                <w:tcW w:w="920" w:type="dxa"/>
                <w:shd w:val="clear" w:color="auto" w:fill="22789A" w:themeFill="accent1"/>
                <w:noWrap/>
                <w:vAlign w:val="bottom"/>
                <w:hideMark/>
              </w:tcPr>
              <w:p w14:paraId="09490F97" w14:textId="77777777" w:rsidR="00830FDC" w:rsidRPr="000165D4" w:rsidRDefault="00830FDC" w:rsidP="00D0090A">
                <w:pPr>
                  <w:pStyle w:val="Tableheader"/>
                  <w:jc w:val="right"/>
                </w:pPr>
                <w:r w:rsidRPr="000165D4">
                  <w:t>1 year</w:t>
                </w:r>
                <w:r>
                  <w:t xml:space="preserve"> survival (per cent)</w:t>
                </w:r>
              </w:p>
            </w:tc>
            <w:tc>
              <w:tcPr>
                <w:tcW w:w="921" w:type="dxa"/>
                <w:shd w:val="clear" w:color="auto" w:fill="22789A" w:themeFill="accent1"/>
                <w:noWrap/>
                <w:vAlign w:val="bottom"/>
                <w:hideMark/>
              </w:tcPr>
              <w:p w14:paraId="52E7C682" w14:textId="77777777" w:rsidR="00830FDC" w:rsidRPr="000165D4" w:rsidRDefault="00830FDC" w:rsidP="00D0090A">
                <w:pPr>
                  <w:pStyle w:val="Tableheader"/>
                  <w:jc w:val="right"/>
                </w:pPr>
                <w:r>
                  <w:t>2 year survival (per cent)</w:t>
                </w:r>
              </w:p>
            </w:tc>
            <w:tc>
              <w:tcPr>
                <w:tcW w:w="920" w:type="dxa"/>
                <w:gridSpan w:val="2"/>
                <w:shd w:val="clear" w:color="auto" w:fill="22789A" w:themeFill="accent1"/>
                <w:noWrap/>
                <w:vAlign w:val="bottom"/>
                <w:hideMark/>
              </w:tcPr>
              <w:p w14:paraId="20B73AFA" w14:textId="77777777" w:rsidR="00830FDC" w:rsidRPr="000165D4" w:rsidRDefault="00830FDC" w:rsidP="00D0090A">
                <w:pPr>
                  <w:pStyle w:val="Tableheader"/>
                  <w:jc w:val="right"/>
                </w:pPr>
                <w:r>
                  <w:t>Rate of change (per cent per year)</w:t>
                </w:r>
              </w:p>
            </w:tc>
            <w:tc>
              <w:tcPr>
                <w:tcW w:w="920" w:type="dxa"/>
                <w:shd w:val="clear" w:color="auto" w:fill="22789A" w:themeFill="accent1"/>
                <w:noWrap/>
                <w:vAlign w:val="bottom"/>
                <w:hideMark/>
              </w:tcPr>
              <w:p w14:paraId="305E42D1" w14:textId="77777777" w:rsidR="00830FDC" w:rsidRPr="000165D4" w:rsidRDefault="00830FDC" w:rsidP="00D0090A">
                <w:pPr>
                  <w:pStyle w:val="Tableheader"/>
                  <w:jc w:val="right"/>
                </w:pPr>
                <w:r w:rsidRPr="000165D4">
                  <w:t>1 year</w:t>
                </w:r>
                <w:r>
                  <w:t xml:space="preserve"> survival (per cent)</w:t>
                </w:r>
              </w:p>
            </w:tc>
            <w:tc>
              <w:tcPr>
                <w:tcW w:w="921" w:type="dxa"/>
                <w:shd w:val="clear" w:color="auto" w:fill="22789A" w:themeFill="accent1"/>
                <w:noWrap/>
                <w:vAlign w:val="bottom"/>
                <w:hideMark/>
              </w:tcPr>
              <w:p w14:paraId="2B361608" w14:textId="77777777" w:rsidR="00830FDC" w:rsidRPr="000165D4" w:rsidRDefault="00830FDC" w:rsidP="00D0090A">
                <w:pPr>
                  <w:pStyle w:val="Tableheader"/>
                  <w:jc w:val="right"/>
                </w:pPr>
                <w:r>
                  <w:t>Rate of change (per cent per year)</w:t>
                </w:r>
              </w:p>
            </w:tc>
          </w:tr>
          <w:tr w:rsidR="00830FDC" w:rsidRPr="00514E20" w14:paraId="5FDFBCE5" w14:textId="77777777" w:rsidTr="00866271">
            <w:trPr>
              <w:trHeight w:val="300"/>
            </w:trPr>
            <w:tc>
              <w:tcPr>
                <w:tcW w:w="959" w:type="dxa"/>
                <w:shd w:val="clear" w:color="auto" w:fill="CAE7F3" w:themeFill="accent1" w:themeFillTint="33"/>
                <w:noWrap/>
                <w:vAlign w:val="bottom"/>
                <w:hideMark/>
              </w:tcPr>
              <w:p w14:paraId="48B30ABA" w14:textId="77777777" w:rsidR="00830FDC" w:rsidRPr="000165D4" w:rsidRDefault="00830FDC" w:rsidP="00D0090A">
                <w:pPr>
                  <w:pStyle w:val="Tabletext"/>
                </w:pPr>
                <w:r w:rsidRPr="000165D4">
                  <w:t>A</w:t>
                </w:r>
              </w:p>
            </w:tc>
            <w:tc>
              <w:tcPr>
                <w:tcW w:w="920" w:type="dxa"/>
                <w:shd w:val="clear" w:color="auto" w:fill="CAE7F3" w:themeFill="accent1" w:themeFillTint="33"/>
                <w:noWrap/>
                <w:vAlign w:val="bottom"/>
                <w:hideMark/>
              </w:tcPr>
              <w:p w14:paraId="17AF4DDA" w14:textId="77777777" w:rsidR="00830FDC" w:rsidRPr="000165D4" w:rsidRDefault="00830FDC" w:rsidP="00D0090A">
                <w:pPr>
                  <w:pStyle w:val="Tabletext"/>
                  <w:jc w:val="right"/>
                </w:pPr>
                <w:r w:rsidRPr="000165D4">
                  <w:t>75.8</w:t>
                </w:r>
              </w:p>
            </w:tc>
            <w:tc>
              <w:tcPr>
                <w:tcW w:w="920" w:type="dxa"/>
                <w:shd w:val="clear" w:color="auto" w:fill="CAE7F3" w:themeFill="accent1" w:themeFillTint="33"/>
                <w:noWrap/>
                <w:vAlign w:val="bottom"/>
                <w:hideMark/>
              </w:tcPr>
              <w:p w14:paraId="3B4A543A" w14:textId="77777777" w:rsidR="00830FDC" w:rsidRPr="000165D4" w:rsidRDefault="00830FDC" w:rsidP="00D0090A">
                <w:pPr>
                  <w:pStyle w:val="Tabletext"/>
                  <w:jc w:val="right"/>
                </w:pPr>
                <w:r w:rsidRPr="000165D4">
                  <w:t>64.0</w:t>
                </w:r>
              </w:p>
            </w:tc>
            <w:tc>
              <w:tcPr>
                <w:tcW w:w="921" w:type="dxa"/>
                <w:shd w:val="clear" w:color="auto" w:fill="CAE7F3" w:themeFill="accent1" w:themeFillTint="33"/>
                <w:noWrap/>
                <w:vAlign w:val="bottom"/>
                <w:hideMark/>
              </w:tcPr>
              <w:p w14:paraId="2D8DF91B" w14:textId="77777777" w:rsidR="00830FDC" w:rsidRPr="000165D4" w:rsidRDefault="00830FDC" w:rsidP="00D0090A">
                <w:pPr>
                  <w:pStyle w:val="Tabletext"/>
                  <w:jc w:val="right"/>
                </w:pPr>
                <w:r w:rsidRPr="000165D4">
                  <w:t>55.1</w:t>
                </w:r>
              </w:p>
            </w:tc>
            <w:tc>
              <w:tcPr>
                <w:tcW w:w="920" w:type="dxa"/>
                <w:shd w:val="clear" w:color="auto" w:fill="CAE7F3" w:themeFill="accent1" w:themeFillTint="33"/>
                <w:noWrap/>
                <w:vAlign w:val="center"/>
                <w:hideMark/>
              </w:tcPr>
              <w:p w14:paraId="3A9A57F3"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-14.7</w:t>
                </w:r>
              </w:p>
            </w:tc>
            <w:tc>
              <w:tcPr>
                <w:tcW w:w="920" w:type="dxa"/>
                <w:shd w:val="clear" w:color="auto" w:fill="CAE7F3" w:themeFill="accent1" w:themeFillTint="33"/>
                <w:noWrap/>
                <w:vAlign w:val="bottom"/>
                <w:hideMark/>
              </w:tcPr>
              <w:p w14:paraId="4E2CE8A2" w14:textId="77777777" w:rsidR="00830FDC" w:rsidRPr="000165D4" w:rsidRDefault="00830FDC" w:rsidP="00D0090A">
                <w:pPr>
                  <w:pStyle w:val="Tabletext"/>
                  <w:jc w:val="right"/>
                </w:pPr>
                <w:r w:rsidRPr="000165D4">
                  <w:t>79.5</w:t>
                </w:r>
              </w:p>
            </w:tc>
            <w:tc>
              <w:tcPr>
                <w:tcW w:w="921" w:type="dxa"/>
                <w:shd w:val="clear" w:color="auto" w:fill="CAE7F3" w:themeFill="accent1" w:themeFillTint="33"/>
                <w:noWrap/>
                <w:vAlign w:val="bottom"/>
                <w:hideMark/>
              </w:tcPr>
              <w:p w14:paraId="2BE56326" w14:textId="77777777" w:rsidR="00830FDC" w:rsidRPr="000165D4" w:rsidRDefault="00830FDC" w:rsidP="00D0090A">
                <w:pPr>
                  <w:pStyle w:val="Tabletext"/>
                  <w:jc w:val="right"/>
                </w:pPr>
                <w:r w:rsidRPr="000165D4">
                  <w:t>66.8</w:t>
                </w:r>
              </w:p>
            </w:tc>
            <w:tc>
              <w:tcPr>
                <w:tcW w:w="920" w:type="dxa"/>
                <w:gridSpan w:val="2"/>
                <w:shd w:val="clear" w:color="auto" w:fill="CAE7F3" w:themeFill="accent1" w:themeFillTint="33"/>
                <w:noWrap/>
                <w:vAlign w:val="center"/>
                <w:hideMark/>
              </w:tcPr>
              <w:p w14:paraId="1A19698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-16.6</w:t>
                </w:r>
              </w:p>
            </w:tc>
            <w:tc>
              <w:tcPr>
                <w:tcW w:w="920" w:type="dxa"/>
                <w:shd w:val="clear" w:color="auto" w:fill="CAE7F3" w:themeFill="accent1" w:themeFillTint="33"/>
                <w:noWrap/>
                <w:vAlign w:val="bottom"/>
                <w:hideMark/>
              </w:tcPr>
              <w:p w14:paraId="5BF2D0F0" w14:textId="77777777" w:rsidR="00830FDC" w:rsidRPr="000165D4" w:rsidRDefault="00830FDC" w:rsidP="00D0090A">
                <w:pPr>
                  <w:pStyle w:val="Tabletext"/>
                  <w:jc w:val="right"/>
                </w:pPr>
                <w:r w:rsidRPr="000165D4">
                  <w:t>80.2</w:t>
                </w:r>
              </w:p>
            </w:tc>
            <w:tc>
              <w:tcPr>
                <w:tcW w:w="921" w:type="dxa"/>
                <w:shd w:val="clear" w:color="auto" w:fill="CAE7F3" w:themeFill="accent1" w:themeFillTint="33"/>
                <w:noWrap/>
                <w:vAlign w:val="center"/>
                <w:hideMark/>
              </w:tcPr>
              <w:p w14:paraId="0D46600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-19.8</w:t>
                </w:r>
              </w:p>
            </w:tc>
          </w:tr>
          <w:tr w:rsidR="00830FDC" w:rsidRPr="00514E20" w14:paraId="72F40FEB" w14:textId="77777777" w:rsidTr="00866271">
            <w:trPr>
              <w:trHeight w:val="300"/>
            </w:trPr>
            <w:tc>
              <w:tcPr>
                <w:tcW w:w="959" w:type="dxa"/>
                <w:shd w:val="clear" w:color="auto" w:fill="CAE7F3" w:themeFill="accent1" w:themeFillTint="33"/>
                <w:noWrap/>
                <w:vAlign w:val="bottom"/>
                <w:hideMark/>
              </w:tcPr>
              <w:p w14:paraId="255E85CB" w14:textId="77777777" w:rsidR="00830FDC" w:rsidRPr="000165D4" w:rsidRDefault="00830FDC" w:rsidP="00D0090A">
                <w:pPr>
                  <w:pStyle w:val="Tabletext"/>
                </w:pPr>
                <w:r w:rsidRPr="000165D4">
                  <w:t>B</w:t>
                </w:r>
              </w:p>
            </w:tc>
            <w:tc>
              <w:tcPr>
                <w:tcW w:w="920" w:type="dxa"/>
                <w:shd w:val="clear" w:color="auto" w:fill="CAE7F3" w:themeFill="accent1" w:themeFillTint="33"/>
                <w:noWrap/>
                <w:vAlign w:val="bottom"/>
                <w:hideMark/>
              </w:tcPr>
              <w:p w14:paraId="363F861A" w14:textId="77777777" w:rsidR="00830FDC" w:rsidRPr="000165D4" w:rsidRDefault="00830FDC" w:rsidP="00D0090A">
                <w:pPr>
                  <w:pStyle w:val="Tabletext"/>
                  <w:jc w:val="right"/>
                </w:pPr>
                <w:r w:rsidRPr="000165D4">
                  <w:t>81.6</w:t>
                </w:r>
              </w:p>
            </w:tc>
            <w:tc>
              <w:tcPr>
                <w:tcW w:w="920" w:type="dxa"/>
                <w:shd w:val="clear" w:color="auto" w:fill="CAE7F3" w:themeFill="accent1" w:themeFillTint="33"/>
                <w:noWrap/>
                <w:vAlign w:val="bottom"/>
                <w:hideMark/>
              </w:tcPr>
              <w:p w14:paraId="3E08669E" w14:textId="77777777" w:rsidR="00830FDC" w:rsidRPr="000165D4" w:rsidRDefault="00830FDC" w:rsidP="00D0090A">
                <w:pPr>
                  <w:pStyle w:val="Tabletext"/>
                  <w:jc w:val="right"/>
                </w:pPr>
                <w:r w:rsidRPr="000165D4">
                  <w:t>68.4</w:t>
                </w:r>
              </w:p>
            </w:tc>
            <w:tc>
              <w:tcPr>
                <w:tcW w:w="921" w:type="dxa"/>
                <w:shd w:val="clear" w:color="auto" w:fill="CAE7F3" w:themeFill="accent1" w:themeFillTint="33"/>
                <w:noWrap/>
                <w:vAlign w:val="bottom"/>
                <w:hideMark/>
              </w:tcPr>
              <w:p w14:paraId="635586B3" w14:textId="77777777" w:rsidR="00830FDC" w:rsidRPr="000165D4" w:rsidRDefault="00830FDC" w:rsidP="00D0090A">
                <w:pPr>
                  <w:pStyle w:val="Tabletext"/>
                  <w:jc w:val="right"/>
                </w:pPr>
                <w:r w:rsidRPr="000165D4">
                  <w:t>59.1</w:t>
                </w:r>
              </w:p>
            </w:tc>
            <w:tc>
              <w:tcPr>
                <w:tcW w:w="920" w:type="dxa"/>
                <w:shd w:val="clear" w:color="auto" w:fill="CAE7F3" w:themeFill="accent1" w:themeFillTint="33"/>
                <w:noWrap/>
                <w:vAlign w:val="center"/>
                <w:hideMark/>
              </w:tcPr>
              <w:p w14:paraId="631D6FEB"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-13.6</w:t>
                </w:r>
              </w:p>
            </w:tc>
            <w:tc>
              <w:tcPr>
                <w:tcW w:w="920" w:type="dxa"/>
                <w:shd w:val="clear" w:color="auto" w:fill="CAE7F3" w:themeFill="accent1" w:themeFillTint="33"/>
                <w:noWrap/>
                <w:vAlign w:val="bottom"/>
                <w:hideMark/>
              </w:tcPr>
              <w:p w14:paraId="7B5B83FA" w14:textId="77777777" w:rsidR="00830FDC" w:rsidRPr="000165D4" w:rsidRDefault="00830FDC" w:rsidP="00D0090A">
                <w:pPr>
                  <w:pStyle w:val="Tabletext"/>
                  <w:jc w:val="right"/>
                </w:pPr>
                <w:r w:rsidRPr="000165D4">
                  <w:t>81.3</w:t>
                </w:r>
              </w:p>
            </w:tc>
            <w:tc>
              <w:tcPr>
                <w:tcW w:w="921" w:type="dxa"/>
                <w:shd w:val="clear" w:color="auto" w:fill="CAE7F3" w:themeFill="accent1" w:themeFillTint="33"/>
                <w:noWrap/>
                <w:vAlign w:val="bottom"/>
                <w:hideMark/>
              </w:tcPr>
              <w:p w14:paraId="00E30676" w14:textId="77777777" w:rsidR="00830FDC" w:rsidRPr="000165D4" w:rsidRDefault="00830FDC" w:rsidP="00D0090A">
                <w:pPr>
                  <w:pStyle w:val="Tabletext"/>
                  <w:jc w:val="right"/>
                </w:pPr>
                <w:r w:rsidRPr="000165D4">
                  <w:t>67.5</w:t>
                </w:r>
              </w:p>
            </w:tc>
            <w:tc>
              <w:tcPr>
                <w:tcW w:w="920" w:type="dxa"/>
                <w:gridSpan w:val="2"/>
                <w:shd w:val="clear" w:color="auto" w:fill="CAE7F3" w:themeFill="accent1" w:themeFillTint="33"/>
                <w:noWrap/>
                <w:vAlign w:val="center"/>
                <w:hideMark/>
              </w:tcPr>
              <w:p w14:paraId="207B7B11"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-16.2</w:t>
                </w:r>
              </w:p>
            </w:tc>
            <w:tc>
              <w:tcPr>
                <w:tcW w:w="920" w:type="dxa"/>
                <w:shd w:val="clear" w:color="auto" w:fill="CAE7F3" w:themeFill="accent1" w:themeFillTint="33"/>
                <w:noWrap/>
                <w:vAlign w:val="bottom"/>
                <w:hideMark/>
              </w:tcPr>
              <w:p w14:paraId="3C2CF65F" w14:textId="77777777" w:rsidR="00830FDC" w:rsidRPr="000165D4" w:rsidRDefault="00830FDC" w:rsidP="00D0090A">
                <w:pPr>
                  <w:pStyle w:val="Tabletext"/>
                  <w:jc w:val="right"/>
                </w:pPr>
                <w:r w:rsidRPr="000165D4">
                  <w:t>79.7</w:t>
                </w:r>
              </w:p>
            </w:tc>
            <w:tc>
              <w:tcPr>
                <w:tcW w:w="921" w:type="dxa"/>
                <w:shd w:val="clear" w:color="auto" w:fill="CAE7F3" w:themeFill="accent1" w:themeFillTint="33"/>
                <w:noWrap/>
                <w:vAlign w:val="center"/>
                <w:hideMark/>
              </w:tcPr>
              <w:p w14:paraId="23F46C86"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-20.3</w:t>
                </w:r>
              </w:p>
            </w:tc>
          </w:tr>
          <w:tr w:rsidR="00830FDC" w:rsidRPr="00514E20" w14:paraId="6459D06B" w14:textId="77777777" w:rsidTr="00866271">
            <w:trPr>
              <w:trHeight w:val="300"/>
            </w:trPr>
            <w:tc>
              <w:tcPr>
                <w:tcW w:w="959" w:type="dxa"/>
                <w:shd w:val="clear" w:color="auto" w:fill="CAE7F3" w:themeFill="accent1" w:themeFillTint="33"/>
                <w:noWrap/>
                <w:vAlign w:val="bottom"/>
                <w:hideMark/>
              </w:tcPr>
              <w:p w14:paraId="18138FE7" w14:textId="77777777" w:rsidR="00830FDC" w:rsidRPr="000165D4" w:rsidRDefault="00830FDC" w:rsidP="00D0090A">
                <w:pPr>
                  <w:pStyle w:val="Tabletext"/>
                </w:pPr>
                <w:r w:rsidRPr="000165D4">
                  <w:t>C</w:t>
                </w:r>
              </w:p>
            </w:tc>
            <w:tc>
              <w:tcPr>
                <w:tcW w:w="920" w:type="dxa"/>
                <w:shd w:val="clear" w:color="auto" w:fill="CAE7F3" w:themeFill="accent1" w:themeFillTint="33"/>
                <w:noWrap/>
                <w:vAlign w:val="bottom"/>
                <w:hideMark/>
              </w:tcPr>
              <w:p w14:paraId="41844930" w14:textId="77777777" w:rsidR="00830FDC" w:rsidRPr="000165D4" w:rsidRDefault="00830FDC" w:rsidP="00D0090A">
                <w:pPr>
                  <w:pStyle w:val="Tabletext"/>
                  <w:jc w:val="right"/>
                </w:pPr>
                <w:r w:rsidRPr="000165D4">
                  <w:t>76.1</w:t>
                </w:r>
              </w:p>
            </w:tc>
            <w:tc>
              <w:tcPr>
                <w:tcW w:w="920" w:type="dxa"/>
                <w:shd w:val="clear" w:color="auto" w:fill="CAE7F3" w:themeFill="accent1" w:themeFillTint="33"/>
                <w:noWrap/>
                <w:vAlign w:val="bottom"/>
                <w:hideMark/>
              </w:tcPr>
              <w:p w14:paraId="0AF8A017" w14:textId="77777777" w:rsidR="00830FDC" w:rsidRPr="000165D4" w:rsidRDefault="00830FDC" w:rsidP="00D0090A">
                <w:pPr>
                  <w:pStyle w:val="Tabletext"/>
                  <w:jc w:val="right"/>
                </w:pPr>
                <w:r w:rsidRPr="000165D4">
                  <w:t>60.1</w:t>
                </w:r>
              </w:p>
            </w:tc>
            <w:tc>
              <w:tcPr>
                <w:tcW w:w="921" w:type="dxa"/>
                <w:shd w:val="clear" w:color="auto" w:fill="CAE7F3" w:themeFill="accent1" w:themeFillTint="33"/>
                <w:noWrap/>
                <w:vAlign w:val="bottom"/>
                <w:hideMark/>
              </w:tcPr>
              <w:p w14:paraId="7F224A2C" w14:textId="77777777" w:rsidR="00830FDC" w:rsidRPr="000165D4" w:rsidRDefault="00830FDC" w:rsidP="00D0090A">
                <w:pPr>
                  <w:pStyle w:val="Tabletext"/>
                  <w:jc w:val="right"/>
                </w:pPr>
                <w:r w:rsidRPr="000165D4">
                  <w:t>49.0</w:t>
                </w:r>
              </w:p>
            </w:tc>
            <w:tc>
              <w:tcPr>
                <w:tcW w:w="920" w:type="dxa"/>
                <w:shd w:val="clear" w:color="auto" w:fill="CAE7F3" w:themeFill="accent1" w:themeFillTint="33"/>
                <w:noWrap/>
                <w:vAlign w:val="center"/>
                <w:hideMark/>
              </w:tcPr>
              <w:p w14:paraId="6184868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-16.9</w:t>
                </w:r>
              </w:p>
            </w:tc>
            <w:tc>
              <w:tcPr>
                <w:tcW w:w="920" w:type="dxa"/>
                <w:shd w:val="clear" w:color="auto" w:fill="CAE7F3" w:themeFill="accent1" w:themeFillTint="33"/>
                <w:noWrap/>
                <w:vAlign w:val="bottom"/>
                <w:hideMark/>
              </w:tcPr>
              <w:p w14:paraId="342A9FC6" w14:textId="77777777" w:rsidR="00830FDC" w:rsidRPr="000165D4" w:rsidRDefault="00830FDC" w:rsidP="00D0090A">
                <w:pPr>
                  <w:pStyle w:val="Tabletext"/>
                  <w:jc w:val="right"/>
                </w:pPr>
                <w:r w:rsidRPr="000165D4">
                  <w:t>76.7</w:t>
                </w:r>
              </w:p>
            </w:tc>
            <w:tc>
              <w:tcPr>
                <w:tcW w:w="921" w:type="dxa"/>
                <w:shd w:val="clear" w:color="auto" w:fill="CAE7F3" w:themeFill="accent1" w:themeFillTint="33"/>
                <w:noWrap/>
                <w:vAlign w:val="bottom"/>
                <w:hideMark/>
              </w:tcPr>
              <w:p w14:paraId="62402C85" w14:textId="77777777" w:rsidR="00830FDC" w:rsidRPr="000165D4" w:rsidRDefault="00830FDC" w:rsidP="00D0090A">
                <w:pPr>
                  <w:pStyle w:val="Tabletext"/>
                  <w:jc w:val="right"/>
                </w:pPr>
                <w:r w:rsidRPr="000165D4">
                  <w:t>59.8</w:t>
                </w:r>
              </w:p>
            </w:tc>
            <w:tc>
              <w:tcPr>
                <w:tcW w:w="920" w:type="dxa"/>
                <w:gridSpan w:val="2"/>
                <w:shd w:val="clear" w:color="auto" w:fill="CAE7F3" w:themeFill="accent1" w:themeFillTint="33"/>
                <w:noWrap/>
                <w:vAlign w:val="center"/>
                <w:hideMark/>
              </w:tcPr>
              <w:p w14:paraId="52F8CFF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-20.1</w:t>
                </w:r>
              </w:p>
            </w:tc>
            <w:tc>
              <w:tcPr>
                <w:tcW w:w="920" w:type="dxa"/>
                <w:shd w:val="clear" w:color="auto" w:fill="CAE7F3" w:themeFill="accent1" w:themeFillTint="33"/>
                <w:noWrap/>
                <w:vAlign w:val="bottom"/>
                <w:hideMark/>
              </w:tcPr>
              <w:p w14:paraId="2E502FC5" w14:textId="77777777" w:rsidR="00830FDC" w:rsidRPr="000165D4" w:rsidRDefault="00830FDC" w:rsidP="00D0090A">
                <w:pPr>
                  <w:pStyle w:val="Tabletext"/>
                  <w:jc w:val="right"/>
                </w:pPr>
                <w:r w:rsidRPr="000165D4">
                  <w:t>76.5</w:t>
                </w:r>
              </w:p>
            </w:tc>
            <w:tc>
              <w:tcPr>
                <w:tcW w:w="921" w:type="dxa"/>
                <w:shd w:val="clear" w:color="auto" w:fill="CAE7F3" w:themeFill="accent1" w:themeFillTint="33"/>
                <w:noWrap/>
                <w:vAlign w:val="center"/>
                <w:hideMark/>
              </w:tcPr>
              <w:p w14:paraId="55457301"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-23.5</w:t>
                </w:r>
              </w:p>
            </w:tc>
          </w:tr>
          <w:tr w:rsidR="00830FDC" w:rsidRPr="00514E20" w14:paraId="69B35C17" w14:textId="77777777" w:rsidTr="00866271">
            <w:trPr>
              <w:trHeight w:val="300"/>
            </w:trPr>
            <w:tc>
              <w:tcPr>
                <w:tcW w:w="959" w:type="dxa"/>
                <w:shd w:val="clear" w:color="auto" w:fill="CAE7F3" w:themeFill="accent1" w:themeFillTint="33"/>
                <w:noWrap/>
                <w:vAlign w:val="bottom"/>
                <w:hideMark/>
              </w:tcPr>
              <w:p w14:paraId="649D77A7" w14:textId="77777777" w:rsidR="00830FDC" w:rsidRPr="000165D4" w:rsidRDefault="00830FDC" w:rsidP="00D0090A">
                <w:pPr>
                  <w:pStyle w:val="Tabletext"/>
                </w:pPr>
                <w:r w:rsidRPr="000165D4">
                  <w:t>D</w:t>
                </w:r>
              </w:p>
            </w:tc>
            <w:tc>
              <w:tcPr>
                <w:tcW w:w="920" w:type="dxa"/>
                <w:shd w:val="clear" w:color="auto" w:fill="CAE7F3" w:themeFill="accent1" w:themeFillTint="33"/>
                <w:noWrap/>
                <w:vAlign w:val="bottom"/>
                <w:hideMark/>
              </w:tcPr>
              <w:p w14:paraId="08043942" w14:textId="77777777" w:rsidR="00830FDC" w:rsidRPr="000165D4" w:rsidRDefault="00830FDC" w:rsidP="00D0090A">
                <w:pPr>
                  <w:pStyle w:val="Tabletext"/>
                  <w:jc w:val="right"/>
                </w:pPr>
                <w:r w:rsidRPr="000165D4">
                  <w:t>78.1</w:t>
                </w:r>
              </w:p>
            </w:tc>
            <w:tc>
              <w:tcPr>
                <w:tcW w:w="920" w:type="dxa"/>
                <w:shd w:val="clear" w:color="auto" w:fill="CAE7F3" w:themeFill="accent1" w:themeFillTint="33"/>
                <w:noWrap/>
                <w:vAlign w:val="bottom"/>
                <w:hideMark/>
              </w:tcPr>
              <w:p w14:paraId="2515488F" w14:textId="77777777" w:rsidR="00830FDC" w:rsidRPr="000165D4" w:rsidRDefault="00830FDC" w:rsidP="00D0090A">
                <w:pPr>
                  <w:pStyle w:val="Tabletext"/>
                  <w:jc w:val="right"/>
                </w:pPr>
                <w:r w:rsidRPr="000165D4">
                  <w:t>63.4</w:t>
                </w:r>
              </w:p>
            </w:tc>
            <w:tc>
              <w:tcPr>
                <w:tcW w:w="921" w:type="dxa"/>
                <w:shd w:val="clear" w:color="auto" w:fill="CAE7F3" w:themeFill="accent1" w:themeFillTint="33"/>
                <w:noWrap/>
                <w:vAlign w:val="bottom"/>
                <w:hideMark/>
              </w:tcPr>
              <w:p w14:paraId="3C8D568A" w14:textId="77777777" w:rsidR="00830FDC" w:rsidRPr="000165D4" w:rsidRDefault="00830FDC" w:rsidP="00D0090A">
                <w:pPr>
                  <w:pStyle w:val="Tabletext"/>
                  <w:jc w:val="right"/>
                </w:pPr>
                <w:r w:rsidRPr="000165D4">
                  <w:t>53.3</w:t>
                </w:r>
              </w:p>
            </w:tc>
            <w:tc>
              <w:tcPr>
                <w:tcW w:w="920" w:type="dxa"/>
                <w:shd w:val="clear" w:color="auto" w:fill="CAE7F3" w:themeFill="accent1" w:themeFillTint="33"/>
                <w:noWrap/>
                <w:vAlign w:val="center"/>
                <w:hideMark/>
              </w:tcPr>
              <w:p w14:paraId="153DB5A4"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-15.5</w:t>
                </w:r>
              </w:p>
            </w:tc>
            <w:tc>
              <w:tcPr>
                <w:tcW w:w="920" w:type="dxa"/>
                <w:shd w:val="clear" w:color="auto" w:fill="CAE7F3" w:themeFill="accent1" w:themeFillTint="33"/>
                <w:noWrap/>
                <w:vAlign w:val="bottom"/>
                <w:hideMark/>
              </w:tcPr>
              <w:p w14:paraId="7B6E0F52" w14:textId="77777777" w:rsidR="00830FDC" w:rsidRPr="000165D4" w:rsidRDefault="00830FDC" w:rsidP="00D0090A">
                <w:pPr>
                  <w:pStyle w:val="Tabletext"/>
                  <w:jc w:val="right"/>
                </w:pPr>
                <w:r w:rsidRPr="000165D4">
                  <w:t>71.8</w:t>
                </w:r>
              </w:p>
            </w:tc>
            <w:tc>
              <w:tcPr>
                <w:tcW w:w="921" w:type="dxa"/>
                <w:shd w:val="clear" w:color="auto" w:fill="CAE7F3" w:themeFill="accent1" w:themeFillTint="33"/>
                <w:noWrap/>
                <w:vAlign w:val="bottom"/>
                <w:hideMark/>
              </w:tcPr>
              <w:p w14:paraId="484EA637" w14:textId="77777777" w:rsidR="00830FDC" w:rsidRPr="000165D4" w:rsidRDefault="00830FDC" w:rsidP="00D0090A">
                <w:pPr>
                  <w:pStyle w:val="Tabletext"/>
                  <w:jc w:val="right"/>
                </w:pPr>
                <w:r w:rsidRPr="000165D4">
                  <w:t>57.1</w:t>
                </w:r>
              </w:p>
            </w:tc>
            <w:tc>
              <w:tcPr>
                <w:tcW w:w="920" w:type="dxa"/>
                <w:gridSpan w:val="2"/>
                <w:shd w:val="clear" w:color="auto" w:fill="CAE7F3" w:themeFill="accent1" w:themeFillTint="33"/>
                <w:noWrap/>
                <w:vAlign w:val="center"/>
                <w:hideMark/>
              </w:tcPr>
              <w:p w14:paraId="0C4B5557"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-21.5</w:t>
                </w:r>
              </w:p>
            </w:tc>
            <w:tc>
              <w:tcPr>
                <w:tcW w:w="920" w:type="dxa"/>
                <w:shd w:val="clear" w:color="auto" w:fill="CAE7F3" w:themeFill="accent1" w:themeFillTint="33"/>
                <w:noWrap/>
                <w:vAlign w:val="bottom"/>
                <w:hideMark/>
              </w:tcPr>
              <w:p w14:paraId="4115976A" w14:textId="77777777" w:rsidR="00830FDC" w:rsidRPr="000165D4" w:rsidRDefault="00830FDC" w:rsidP="00D0090A">
                <w:pPr>
                  <w:pStyle w:val="Tabletext"/>
                  <w:jc w:val="right"/>
                </w:pPr>
                <w:r w:rsidRPr="000165D4">
                  <w:t>77.7</w:t>
                </w:r>
              </w:p>
            </w:tc>
            <w:tc>
              <w:tcPr>
                <w:tcW w:w="921" w:type="dxa"/>
                <w:shd w:val="clear" w:color="auto" w:fill="CAE7F3" w:themeFill="accent1" w:themeFillTint="33"/>
                <w:noWrap/>
                <w:vAlign w:val="center"/>
                <w:hideMark/>
              </w:tcPr>
              <w:p w14:paraId="745E88C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-22.3</w:t>
                </w:r>
              </w:p>
            </w:tc>
          </w:tr>
          <w:tr w:rsidR="00830FDC" w:rsidRPr="00514E20" w14:paraId="7B7164F1" w14:textId="77777777" w:rsidTr="00866271">
            <w:trPr>
              <w:trHeight w:val="300"/>
            </w:trPr>
            <w:tc>
              <w:tcPr>
                <w:tcW w:w="959" w:type="dxa"/>
                <w:shd w:val="clear" w:color="auto" w:fill="CAE7F3" w:themeFill="accent1" w:themeFillTint="33"/>
                <w:noWrap/>
                <w:vAlign w:val="bottom"/>
                <w:hideMark/>
              </w:tcPr>
              <w:p w14:paraId="20E0D7F7" w14:textId="77777777" w:rsidR="00830FDC" w:rsidRPr="000165D4" w:rsidRDefault="00830FDC" w:rsidP="00D0090A">
                <w:pPr>
                  <w:pStyle w:val="Tabletext"/>
                </w:pPr>
                <w:r w:rsidRPr="000165D4">
                  <w:t>E</w:t>
                </w:r>
              </w:p>
            </w:tc>
            <w:tc>
              <w:tcPr>
                <w:tcW w:w="920" w:type="dxa"/>
                <w:shd w:val="clear" w:color="auto" w:fill="CAE7F3" w:themeFill="accent1" w:themeFillTint="33"/>
                <w:noWrap/>
                <w:vAlign w:val="bottom"/>
                <w:hideMark/>
              </w:tcPr>
              <w:p w14:paraId="6CC9F100" w14:textId="77777777" w:rsidR="00830FDC" w:rsidRPr="000165D4" w:rsidRDefault="00830FDC" w:rsidP="00D0090A">
                <w:pPr>
                  <w:pStyle w:val="Tabletext"/>
                  <w:jc w:val="right"/>
                </w:pPr>
                <w:r w:rsidRPr="000165D4">
                  <w:t>73.3</w:t>
                </w:r>
              </w:p>
            </w:tc>
            <w:tc>
              <w:tcPr>
                <w:tcW w:w="920" w:type="dxa"/>
                <w:shd w:val="clear" w:color="auto" w:fill="CAE7F3" w:themeFill="accent1" w:themeFillTint="33"/>
                <w:noWrap/>
                <w:vAlign w:val="bottom"/>
                <w:hideMark/>
              </w:tcPr>
              <w:p w14:paraId="1A2F77C7" w14:textId="77777777" w:rsidR="00830FDC" w:rsidRPr="000165D4" w:rsidRDefault="00830FDC" w:rsidP="00D0090A">
                <w:pPr>
                  <w:pStyle w:val="Tabletext"/>
                  <w:jc w:val="right"/>
                </w:pPr>
                <w:r w:rsidRPr="000165D4">
                  <w:t>55.4</w:t>
                </w:r>
              </w:p>
            </w:tc>
            <w:tc>
              <w:tcPr>
                <w:tcW w:w="921" w:type="dxa"/>
                <w:shd w:val="clear" w:color="auto" w:fill="CAE7F3" w:themeFill="accent1" w:themeFillTint="33"/>
                <w:noWrap/>
                <w:vAlign w:val="bottom"/>
                <w:hideMark/>
              </w:tcPr>
              <w:p w14:paraId="2A12BAA0" w14:textId="77777777" w:rsidR="00830FDC" w:rsidRPr="000165D4" w:rsidRDefault="00830FDC" w:rsidP="00D0090A">
                <w:pPr>
                  <w:pStyle w:val="Tabletext"/>
                  <w:jc w:val="right"/>
                </w:pPr>
                <w:r w:rsidRPr="000165D4">
                  <w:t>43.9</w:t>
                </w:r>
              </w:p>
            </w:tc>
            <w:tc>
              <w:tcPr>
                <w:tcW w:w="920" w:type="dxa"/>
                <w:shd w:val="clear" w:color="auto" w:fill="CAE7F3" w:themeFill="accent1" w:themeFillTint="33"/>
                <w:noWrap/>
                <w:vAlign w:val="center"/>
                <w:hideMark/>
              </w:tcPr>
              <w:p w14:paraId="2B8E61D8"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-18.6</w:t>
                </w:r>
              </w:p>
            </w:tc>
            <w:tc>
              <w:tcPr>
                <w:tcW w:w="920" w:type="dxa"/>
                <w:shd w:val="clear" w:color="auto" w:fill="CAE7F3" w:themeFill="accent1" w:themeFillTint="33"/>
                <w:noWrap/>
                <w:vAlign w:val="bottom"/>
                <w:hideMark/>
              </w:tcPr>
              <w:p w14:paraId="104C6D85" w14:textId="77777777" w:rsidR="00830FDC" w:rsidRPr="000165D4" w:rsidRDefault="00830FDC" w:rsidP="00D0090A">
                <w:pPr>
                  <w:pStyle w:val="Tabletext"/>
                  <w:jc w:val="right"/>
                </w:pPr>
                <w:r w:rsidRPr="000165D4">
                  <w:t>73.7</w:t>
                </w:r>
              </w:p>
            </w:tc>
            <w:tc>
              <w:tcPr>
                <w:tcW w:w="921" w:type="dxa"/>
                <w:shd w:val="clear" w:color="auto" w:fill="CAE7F3" w:themeFill="accent1" w:themeFillTint="33"/>
                <w:noWrap/>
                <w:vAlign w:val="bottom"/>
                <w:hideMark/>
              </w:tcPr>
              <w:p w14:paraId="5F1236D2" w14:textId="77777777" w:rsidR="00830FDC" w:rsidRPr="000165D4" w:rsidRDefault="00830FDC" w:rsidP="00D0090A">
                <w:pPr>
                  <w:pStyle w:val="Tabletext"/>
                  <w:jc w:val="right"/>
                </w:pPr>
                <w:r w:rsidRPr="000165D4">
                  <w:t>55.3</w:t>
                </w:r>
              </w:p>
            </w:tc>
            <w:tc>
              <w:tcPr>
                <w:tcW w:w="920" w:type="dxa"/>
                <w:gridSpan w:val="2"/>
                <w:shd w:val="clear" w:color="auto" w:fill="CAE7F3" w:themeFill="accent1" w:themeFillTint="33"/>
                <w:noWrap/>
                <w:vAlign w:val="center"/>
                <w:hideMark/>
              </w:tcPr>
              <w:p w14:paraId="58CDF645"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-22.4</w:t>
                </w:r>
              </w:p>
            </w:tc>
            <w:tc>
              <w:tcPr>
                <w:tcW w:w="920" w:type="dxa"/>
                <w:shd w:val="clear" w:color="auto" w:fill="CAE7F3" w:themeFill="accent1" w:themeFillTint="33"/>
                <w:noWrap/>
                <w:vAlign w:val="bottom"/>
                <w:hideMark/>
              </w:tcPr>
              <w:p w14:paraId="706DA90E" w14:textId="77777777" w:rsidR="00830FDC" w:rsidRPr="000165D4" w:rsidRDefault="00830FDC" w:rsidP="00D0090A">
                <w:pPr>
                  <w:pStyle w:val="Tabletext"/>
                  <w:jc w:val="right"/>
                </w:pPr>
                <w:r w:rsidRPr="000165D4">
                  <w:t>72.2</w:t>
                </w:r>
              </w:p>
            </w:tc>
            <w:tc>
              <w:tcPr>
                <w:tcW w:w="921" w:type="dxa"/>
                <w:shd w:val="clear" w:color="auto" w:fill="CAE7F3" w:themeFill="accent1" w:themeFillTint="33"/>
                <w:noWrap/>
                <w:vAlign w:val="center"/>
                <w:hideMark/>
              </w:tcPr>
              <w:p w14:paraId="39FB5ED2"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-27.8</w:t>
                </w:r>
              </w:p>
            </w:tc>
          </w:tr>
          <w:tr w:rsidR="00830FDC" w:rsidRPr="00514E20" w14:paraId="4261DADA" w14:textId="77777777" w:rsidTr="00866271">
            <w:trPr>
              <w:trHeight w:val="300"/>
            </w:trPr>
            <w:tc>
              <w:tcPr>
                <w:tcW w:w="959" w:type="dxa"/>
                <w:shd w:val="clear" w:color="auto" w:fill="CAE7F3" w:themeFill="accent1" w:themeFillTint="33"/>
                <w:noWrap/>
                <w:vAlign w:val="bottom"/>
                <w:hideMark/>
              </w:tcPr>
              <w:p w14:paraId="483A7CC4" w14:textId="77777777" w:rsidR="00830FDC" w:rsidRPr="000165D4" w:rsidRDefault="00830FDC" w:rsidP="00D0090A">
                <w:pPr>
                  <w:pStyle w:val="Tabletext"/>
                </w:pPr>
                <w:r w:rsidRPr="000165D4">
                  <w:t>F</w:t>
                </w:r>
              </w:p>
            </w:tc>
            <w:tc>
              <w:tcPr>
                <w:tcW w:w="920" w:type="dxa"/>
                <w:shd w:val="clear" w:color="auto" w:fill="CAE7F3" w:themeFill="accent1" w:themeFillTint="33"/>
                <w:noWrap/>
                <w:vAlign w:val="bottom"/>
                <w:hideMark/>
              </w:tcPr>
              <w:p w14:paraId="06D157EE" w14:textId="77777777" w:rsidR="00830FDC" w:rsidRPr="000165D4" w:rsidRDefault="00830FDC" w:rsidP="00D0090A">
                <w:pPr>
                  <w:pStyle w:val="Tabletext"/>
                  <w:jc w:val="right"/>
                </w:pPr>
                <w:r w:rsidRPr="000165D4">
                  <w:t>75.2</w:t>
                </w:r>
              </w:p>
            </w:tc>
            <w:tc>
              <w:tcPr>
                <w:tcW w:w="920" w:type="dxa"/>
                <w:shd w:val="clear" w:color="auto" w:fill="CAE7F3" w:themeFill="accent1" w:themeFillTint="33"/>
                <w:noWrap/>
                <w:vAlign w:val="bottom"/>
                <w:hideMark/>
              </w:tcPr>
              <w:p w14:paraId="2826E814" w14:textId="77777777" w:rsidR="00830FDC" w:rsidRPr="000165D4" w:rsidRDefault="00830FDC" w:rsidP="00D0090A">
                <w:pPr>
                  <w:pStyle w:val="Tabletext"/>
                  <w:jc w:val="right"/>
                </w:pPr>
                <w:r w:rsidRPr="000165D4">
                  <w:t>58.8</w:t>
                </w:r>
              </w:p>
            </w:tc>
            <w:tc>
              <w:tcPr>
                <w:tcW w:w="921" w:type="dxa"/>
                <w:shd w:val="clear" w:color="auto" w:fill="CAE7F3" w:themeFill="accent1" w:themeFillTint="33"/>
                <w:noWrap/>
                <w:vAlign w:val="bottom"/>
                <w:hideMark/>
              </w:tcPr>
              <w:p w14:paraId="77A21DF4" w14:textId="77777777" w:rsidR="00830FDC" w:rsidRPr="000165D4" w:rsidRDefault="00830FDC" w:rsidP="00D0090A">
                <w:pPr>
                  <w:pStyle w:val="Tabletext"/>
                  <w:jc w:val="right"/>
                </w:pPr>
                <w:r w:rsidRPr="000165D4">
                  <w:t>47.4</w:t>
                </w:r>
              </w:p>
            </w:tc>
            <w:tc>
              <w:tcPr>
                <w:tcW w:w="920" w:type="dxa"/>
                <w:shd w:val="clear" w:color="auto" w:fill="CAE7F3" w:themeFill="accent1" w:themeFillTint="33"/>
                <w:noWrap/>
                <w:vAlign w:val="center"/>
                <w:hideMark/>
              </w:tcPr>
              <w:p w14:paraId="21641FEA"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-17.4</w:t>
                </w:r>
              </w:p>
            </w:tc>
            <w:tc>
              <w:tcPr>
                <w:tcW w:w="920" w:type="dxa"/>
                <w:shd w:val="clear" w:color="auto" w:fill="CAE7F3" w:themeFill="accent1" w:themeFillTint="33"/>
                <w:noWrap/>
                <w:vAlign w:val="bottom"/>
                <w:hideMark/>
              </w:tcPr>
              <w:p w14:paraId="19291AAB" w14:textId="77777777" w:rsidR="00830FDC" w:rsidRPr="000165D4" w:rsidRDefault="00830FDC" w:rsidP="00D0090A">
                <w:pPr>
                  <w:pStyle w:val="Tabletext"/>
                  <w:jc w:val="right"/>
                </w:pPr>
                <w:r w:rsidRPr="000165D4">
                  <w:t>76.7</w:t>
                </w:r>
              </w:p>
            </w:tc>
            <w:tc>
              <w:tcPr>
                <w:tcW w:w="921" w:type="dxa"/>
                <w:shd w:val="clear" w:color="auto" w:fill="CAE7F3" w:themeFill="accent1" w:themeFillTint="33"/>
                <w:noWrap/>
                <w:vAlign w:val="bottom"/>
                <w:hideMark/>
              </w:tcPr>
              <w:p w14:paraId="58F0D09C" w14:textId="77777777" w:rsidR="00830FDC" w:rsidRPr="000165D4" w:rsidRDefault="00830FDC" w:rsidP="00D0090A">
                <w:pPr>
                  <w:pStyle w:val="Tabletext"/>
                  <w:jc w:val="right"/>
                </w:pPr>
                <w:r w:rsidRPr="000165D4">
                  <w:t>59.2</w:t>
                </w:r>
              </w:p>
            </w:tc>
            <w:tc>
              <w:tcPr>
                <w:tcW w:w="920" w:type="dxa"/>
                <w:gridSpan w:val="2"/>
                <w:shd w:val="clear" w:color="auto" w:fill="CAE7F3" w:themeFill="accent1" w:themeFillTint="33"/>
                <w:noWrap/>
                <w:vAlign w:val="center"/>
                <w:hideMark/>
              </w:tcPr>
              <w:p w14:paraId="297FDD3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-20.4</w:t>
                </w:r>
              </w:p>
            </w:tc>
            <w:tc>
              <w:tcPr>
                <w:tcW w:w="920" w:type="dxa"/>
                <w:shd w:val="clear" w:color="auto" w:fill="CAE7F3" w:themeFill="accent1" w:themeFillTint="33"/>
                <w:noWrap/>
                <w:vAlign w:val="bottom"/>
                <w:hideMark/>
              </w:tcPr>
              <w:p w14:paraId="295774EF" w14:textId="77777777" w:rsidR="00830FDC" w:rsidRPr="000165D4" w:rsidRDefault="00830FDC" w:rsidP="00D0090A">
                <w:pPr>
                  <w:pStyle w:val="Tabletext"/>
                  <w:jc w:val="right"/>
                </w:pPr>
                <w:r w:rsidRPr="000165D4">
                  <w:t>75.6</w:t>
                </w:r>
              </w:p>
            </w:tc>
            <w:tc>
              <w:tcPr>
                <w:tcW w:w="921" w:type="dxa"/>
                <w:shd w:val="clear" w:color="auto" w:fill="CAE7F3" w:themeFill="accent1" w:themeFillTint="33"/>
                <w:noWrap/>
                <w:vAlign w:val="center"/>
                <w:hideMark/>
              </w:tcPr>
              <w:p w14:paraId="1B2DAD66"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-24.4</w:t>
                </w:r>
              </w:p>
            </w:tc>
          </w:tr>
          <w:tr w:rsidR="00830FDC" w:rsidRPr="00514E20" w14:paraId="27229589" w14:textId="77777777" w:rsidTr="00866271">
            <w:trPr>
              <w:trHeight w:val="300"/>
            </w:trPr>
            <w:tc>
              <w:tcPr>
                <w:tcW w:w="959" w:type="dxa"/>
                <w:shd w:val="clear" w:color="auto" w:fill="CAE7F3" w:themeFill="accent1" w:themeFillTint="33"/>
                <w:noWrap/>
                <w:vAlign w:val="bottom"/>
                <w:hideMark/>
              </w:tcPr>
              <w:p w14:paraId="3F15AAE5" w14:textId="77777777" w:rsidR="00830FDC" w:rsidRPr="000165D4" w:rsidRDefault="00830FDC" w:rsidP="00D0090A">
                <w:pPr>
                  <w:pStyle w:val="Tabletext"/>
                </w:pPr>
                <w:r w:rsidRPr="000165D4">
                  <w:t>G</w:t>
                </w:r>
              </w:p>
            </w:tc>
            <w:tc>
              <w:tcPr>
                <w:tcW w:w="920" w:type="dxa"/>
                <w:shd w:val="clear" w:color="auto" w:fill="CAE7F3" w:themeFill="accent1" w:themeFillTint="33"/>
                <w:noWrap/>
                <w:vAlign w:val="bottom"/>
                <w:hideMark/>
              </w:tcPr>
              <w:p w14:paraId="3D49FAE5" w14:textId="77777777" w:rsidR="00830FDC" w:rsidRPr="000165D4" w:rsidRDefault="00830FDC" w:rsidP="00D0090A">
                <w:pPr>
                  <w:pStyle w:val="Tabletext"/>
                  <w:jc w:val="right"/>
                </w:pPr>
                <w:r w:rsidRPr="000165D4">
                  <w:t>75.2</w:t>
                </w:r>
              </w:p>
            </w:tc>
            <w:tc>
              <w:tcPr>
                <w:tcW w:w="920" w:type="dxa"/>
                <w:shd w:val="clear" w:color="auto" w:fill="CAE7F3" w:themeFill="accent1" w:themeFillTint="33"/>
                <w:noWrap/>
                <w:vAlign w:val="bottom"/>
                <w:hideMark/>
              </w:tcPr>
              <w:p w14:paraId="5A2AE5A7" w14:textId="77777777" w:rsidR="00830FDC" w:rsidRPr="000165D4" w:rsidRDefault="00830FDC" w:rsidP="00D0090A">
                <w:pPr>
                  <w:pStyle w:val="Tabletext"/>
                  <w:jc w:val="right"/>
                </w:pPr>
                <w:r w:rsidRPr="000165D4">
                  <w:t>58.6</w:t>
                </w:r>
              </w:p>
            </w:tc>
            <w:tc>
              <w:tcPr>
                <w:tcW w:w="921" w:type="dxa"/>
                <w:shd w:val="clear" w:color="auto" w:fill="CAE7F3" w:themeFill="accent1" w:themeFillTint="33"/>
                <w:noWrap/>
                <w:vAlign w:val="bottom"/>
                <w:hideMark/>
              </w:tcPr>
              <w:p w14:paraId="3AB915EE" w14:textId="77777777" w:rsidR="00830FDC" w:rsidRPr="000165D4" w:rsidRDefault="00830FDC" w:rsidP="00D0090A">
                <w:pPr>
                  <w:pStyle w:val="Tabletext"/>
                  <w:jc w:val="right"/>
                </w:pPr>
                <w:r w:rsidRPr="000165D4">
                  <w:t>46.7</w:t>
                </w:r>
              </w:p>
            </w:tc>
            <w:tc>
              <w:tcPr>
                <w:tcW w:w="920" w:type="dxa"/>
                <w:shd w:val="clear" w:color="auto" w:fill="CAE7F3" w:themeFill="accent1" w:themeFillTint="33"/>
                <w:noWrap/>
                <w:vAlign w:val="center"/>
                <w:hideMark/>
              </w:tcPr>
              <w:p w14:paraId="698B1244"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-17.7</w:t>
                </w:r>
              </w:p>
            </w:tc>
            <w:tc>
              <w:tcPr>
                <w:tcW w:w="920" w:type="dxa"/>
                <w:shd w:val="clear" w:color="auto" w:fill="CAE7F3" w:themeFill="accent1" w:themeFillTint="33"/>
                <w:noWrap/>
                <w:vAlign w:val="bottom"/>
                <w:hideMark/>
              </w:tcPr>
              <w:p w14:paraId="1748AD7F" w14:textId="77777777" w:rsidR="00830FDC" w:rsidRPr="000165D4" w:rsidRDefault="00830FDC" w:rsidP="00D0090A">
                <w:pPr>
                  <w:pStyle w:val="Tabletext"/>
                  <w:jc w:val="right"/>
                </w:pPr>
                <w:r w:rsidRPr="000165D4">
                  <w:t>76.5</w:t>
                </w:r>
              </w:p>
            </w:tc>
            <w:tc>
              <w:tcPr>
                <w:tcW w:w="921" w:type="dxa"/>
                <w:shd w:val="clear" w:color="auto" w:fill="CAE7F3" w:themeFill="accent1" w:themeFillTint="33"/>
                <w:noWrap/>
                <w:vAlign w:val="bottom"/>
                <w:hideMark/>
              </w:tcPr>
              <w:p w14:paraId="5A349F1A" w14:textId="77777777" w:rsidR="00830FDC" w:rsidRPr="000165D4" w:rsidRDefault="00830FDC" w:rsidP="00D0090A">
                <w:pPr>
                  <w:pStyle w:val="Tabletext"/>
                  <w:jc w:val="right"/>
                </w:pPr>
                <w:r w:rsidRPr="000165D4">
                  <w:t>59.0</w:t>
                </w:r>
              </w:p>
            </w:tc>
            <w:tc>
              <w:tcPr>
                <w:tcW w:w="920" w:type="dxa"/>
                <w:gridSpan w:val="2"/>
                <w:shd w:val="clear" w:color="auto" w:fill="CAE7F3" w:themeFill="accent1" w:themeFillTint="33"/>
                <w:noWrap/>
                <w:vAlign w:val="center"/>
                <w:hideMark/>
              </w:tcPr>
              <w:p w14:paraId="2FC88A9A"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-20.5</w:t>
                </w:r>
              </w:p>
            </w:tc>
            <w:tc>
              <w:tcPr>
                <w:tcW w:w="920" w:type="dxa"/>
                <w:shd w:val="clear" w:color="auto" w:fill="CAE7F3" w:themeFill="accent1" w:themeFillTint="33"/>
                <w:noWrap/>
                <w:vAlign w:val="bottom"/>
                <w:hideMark/>
              </w:tcPr>
              <w:p w14:paraId="3B7A0DD6" w14:textId="77777777" w:rsidR="00830FDC" w:rsidRPr="000165D4" w:rsidRDefault="00830FDC" w:rsidP="00D0090A">
                <w:pPr>
                  <w:pStyle w:val="Tabletext"/>
                  <w:jc w:val="right"/>
                </w:pPr>
                <w:r w:rsidRPr="000165D4">
                  <w:t>74.9</w:t>
                </w:r>
              </w:p>
            </w:tc>
            <w:tc>
              <w:tcPr>
                <w:tcW w:w="921" w:type="dxa"/>
                <w:shd w:val="clear" w:color="auto" w:fill="CAE7F3" w:themeFill="accent1" w:themeFillTint="33"/>
                <w:noWrap/>
                <w:vAlign w:val="center"/>
                <w:hideMark/>
              </w:tcPr>
              <w:p w14:paraId="5471A70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-25.1</w:t>
                </w:r>
              </w:p>
            </w:tc>
          </w:tr>
          <w:tr w:rsidR="00830FDC" w:rsidRPr="00514E20" w14:paraId="438F9FBD" w14:textId="77777777" w:rsidTr="00866271">
            <w:trPr>
              <w:trHeight w:val="300"/>
            </w:trPr>
            <w:tc>
              <w:tcPr>
                <w:tcW w:w="959" w:type="dxa"/>
                <w:shd w:val="clear" w:color="auto" w:fill="CAE7F3" w:themeFill="accent1" w:themeFillTint="33"/>
                <w:noWrap/>
                <w:vAlign w:val="bottom"/>
                <w:hideMark/>
              </w:tcPr>
              <w:p w14:paraId="74CF6D40" w14:textId="77777777" w:rsidR="00830FDC" w:rsidRPr="000165D4" w:rsidRDefault="00830FDC" w:rsidP="00D0090A">
                <w:pPr>
                  <w:pStyle w:val="Tabletext"/>
                </w:pPr>
                <w:r w:rsidRPr="000165D4">
                  <w:t>H</w:t>
                </w:r>
              </w:p>
            </w:tc>
            <w:tc>
              <w:tcPr>
                <w:tcW w:w="920" w:type="dxa"/>
                <w:shd w:val="clear" w:color="auto" w:fill="CAE7F3" w:themeFill="accent1" w:themeFillTint="33"/>
                <w:noWrap/>
                <w:vAlign w:val="bottom"/>
                <w:hideMark/>
              </w:tcPr>
              <w:p w14:paraId="549F3133" w14:textId="77777777" w:rsidR="00830FDC" w:rsidRPr="000165D4" w:rsidRDefault="00830FDC" w:rsidP="00D0090A">
                <w:pPr>
                  <w:pStyle w:val="Tabletext"/>
                  <w:jc w:val="right"/>
                </w:pPr>
                <w:r w:rsidRPr="000165D4">
                  <w:t>76.8</w:t>
                </w:r>
              </w:p>
            </w:tc>
            <w:tc>
              <w:tcPr>
                <w:tcW w:w="920" w:type="dxa"/>
                <w:shd w:val="clear" w:color="auto" w:fill="CAE7F3" w:themeFill="accent1" w:themeFillTint="33"/>
                <w:noWrap/>
                <w:vAlign w:val="bottom"/>
                <w:hideMark/>
              </w:tcPr>
              <w:p w14:paraId="7A2F6297" w14:textId="77777777" w:rsidR="00830FDC" w:rsidRPr="000165D4" w:rsidRDefault="00830FDC" w:rsidP="00D0090A">
                <w:pPr>
                  <w:pStyle w:val="Tabletext"/>
                  <w:jc w:val="right"/>
                </w:pPr>
                <w:r w:rsidRPr="000165D4">
                  <w:t>60.0</w:t>
                </w:r>
              </w:p>
            </w:tc>
            <w:tc>
              <w:tcPr>
                <w:tcW w:w="921" w:type="dxa"/>
                <w:shd w:val="clear" w:color="auto" w:fill="CAE7F3" w:themeFill="accent1" w:themeFillTint="33"/>
                <w:noWrap/>
                <w:vAlign w:val="bottom"/>
                <w:hideMark/>
              </w:tcPr>
              <w:p w14:paraId="06E63EBC" w14:textId="77777777" w:rsidR="00830FDC" w:rsidRPr="000165D4" w:rsidRDefault="00830FDC" w:rsidP="00D0090A">
                <w:pPr>
                  <w:pStyle w:val="Tabletext"/>
                  <w:jc w:val="right"/>
                </w:pPr>
                <w:r w:rsidRPr="000165D4">
                  <w:t>47.2</w:t>
                </w:r>
              </w:p>
            </w:tc>
            <w:tc>
              <w:tcPr>
                <w:tcW w:w="920" w:type="dxa"/>
                <w:shd w:val="clear" w:color="auto" w:fill="CAE7F3" w:themeFill="accent1" w:themeFillTint="33"/>
                <w:noWrap/>
                <w:vAlign w:val="center"/>
                <w:hideMark/>
              </w:tcPr>
              <w:p w14:paraId="4A0159C9"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-17.5</w:t>
                </w:r>
              </w:p>
            </w:tc>
            <w:tc>
              <w:tcPr>
                <w:tcW w:w="920" w:type="dxa"/>
                <w:shd w:val="clear" w:color="auto" w:fill="CAE7F3" w:themeFill="accent1" w:themeFillTint="33"/>
                <w:noWrap/>
                <w:vAlign w:val="bottom"/>
                <w:hideMark/>
              </w:tcPr>
              <w:p w14:paraId="30DE434B" w14:textId="77777777" w:rsidR="00830FDC" w:rsidRPr="000165D4" w:rsidRDefault="00830FDC" w:rsidP="00D0090A">
                <w:pPr>
                  <w:pStyle w:val="Tabletext"/>
                  <w:jc w:val="right"/>
                </w:pPr>
                <w:r w:rsidRPr="000165D4">
                  <w:t>76.9</w:t>
                </w:r>
              </w:p>
            </w:tc>
            <w:tc>
              <w:tcPr>
                <w:tcW w:w="921" w:type="dxa"/>
                <w:shd w:val="clear" w:color="auto" w:fill="CAE7F3" w:themeFill="accent1" w:themeFillTint="33"/>
                <w:noWrap/>
                <w:vAlign w:val="bottom"/>
                <w:hideMark/>
              </w:tcPr>
              <w:p w14:paraId="59C874D4" w14:textId="77777777" w:rsidR="00830FDC" w:rsidRPr="000165D4" w:rsidRDefault="00830FDC" w:rsidP="00D0090A">
                <w:pPr>
                  <w:pStyle w:val="Tabletext"/>
                  <w:jc w:val="right"/>
                </w:pPr>
                <w:r w:rsidRPr="000165D4">
                  <w:t>59.3</w:t>
                </w:r>
              </w:p>
            </w:tc>
            <w:tc>
              <w:tcPr>
                <w:tcW w:w="920" w:type="dxa"/>
                <w:gridSpan w:val="2"/>
                <w:shd w:val="clear" w:color="auto" w:fill="CAE7F3" w:themeFill="accent1" w:themeFillTint="33"/>
                <w:noWrap/>
                <w:vAlign w:val="center"/>
                <w:hideMark/>
              </w:tcPr>
              <w:p w14:paraId="7A36C805"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-20.4</w:t>
                </w:r>
              </w:p>
            </w:tc>
            <w:tc>
              <w:tcPr>
                <w:tcW w:w="920" w:type="dxa"/>
                <w:shd w:val="clear" w:color="auto" w:fill="CAE7F3" w:themeFill="accent1" w:themeFillTint="33"/>
                <w:noWrap/>
                <w:vAlign w:val="bottom"/>
                <w:hideMark/>
              </w:tcPr>
              <w:p w14:paraId="22A4744F" w14:textId="77777777" w:rsidR="00830FDC" w:rsidRPr="000165D4" w:rsidRDefault="00830FDC" w:rsidP="00D0090A">
                <w:pPr>
                  <w:pStyle w:val="Tabletext"/>
                  <w:jc w:val="right"/>
                </w:pPr>
                <w:r w:rsidRPr="000165D4">
                  <w:t>76.3</w:t>
                </w:r>
              </w:p>
            </w:tc>
            <w:tc>
              <w:tcPr>
                <w:tcW w:w="921" w:type="dxa"/>
                <w:shd w:val="clear" w:color="auto" w:fill="CAE7F3" w:themeFill="accent1" w:themeFillTint="33"/>
                <w:noWrap/>
                <w:vAlign w:val="center"/>
                <w:hideMark/>
              </w:tcPr>
              <w:p w14:paraId="1A0EC45B"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-23.7</w:t>
                </w:r>
              </w:p>
            </w:tc>
          </w:tr>
          <w:tr w:rsidR="00830FDC" w:rsidRPr="00514E20" w14:paraId="040B18F1" w14:textId="77777777" w:rsidTr="00866271">
            <w:trPr>
              <w:trHeight w:val="300"/>
            </w:trPr>
            <w:tc>
              <w:tcPr>
                <w:tcW w:w="959" w:type="dxa"/>
                <w:shd w:val="clear" w:color="auto" w:fill="CAE7F3" w:themeFill="accent1" w:themeFillTint="33"/>
                <w:noWrap/>
                <w:vAlign w:val="bottom"/>
                <w:hideMark/>
              </w:tcPr>
              <w:p w14:paraId="77EFF6D7" w14:textId="77777777" w:rsidR="00830FDC" w:rsidRPr="000165D4" w:rsidRDefault="00830FDC" w:rsidP="00D0090A">
                <w:pPr>
                  <w:pStyle w:val="Tabletext"/>
                </w:pPr>
                <w:r w:rsidRPr="000165D4">
                  <w:t>I</w:t>
                </w:r>
              </w:p>
            </w:tc>
            <w:tc>
              <w:tcPr>
                <w:tcW w:w="920" w:type="dxa"/>
                <w:shd w:val="clear" w:color="auto" w:fill="CAE7F3" w:themeFill="accent1" w:themeFillTint="33"/>
                <w:noWrap/>
                <w:vAlign w:val="bottom"/>
                <w:hideMark/>
              </w:tcPr>
              <w:p w14:paraId="4BDD867F" w14:textId="77777777" w:rsidR="00830FDC" w:rsidRPr="000165D4" w:rsidRDefault="00830FDC" w:rsidP="00D0090A">
                <w:pPr>
                  <w:pStyle w:val="Tabletext"/>
                  <w:jc w:val="right"/>
                </w:pPr>
                <w:r w:rsidRPr="000165D4">
                  <w:t>72.2</w:t>
                </w:r>
              </w:p>
            </w:tc>
            <w:tc>
              <w:tcPr>
                <w:tcW w:w="920" w:type="dxa"/>
                <w:shd w:val="clear" w:color="auto" w:fill="CAE7F3" w:themeFill="accent1" w:themeFillTint="33"/>
                <w:noWrap/>
                <w:vAlign w:val="bottom"/>
                <w:hideMark/>
              </w:tcPr>
              <w:p w14:paraId="0C7DA1AA" w14:textId="77777777" w:rsidR="00830FDC" w:rsidRPr="000165D4" w:rsidRDefault="00830FDC" w:rsidP="00D0090A">
                <w:pPr>
                  <w:pStyle w:val="Tabletext"/>
                  <w:jc w:val="right"/>
                </w:pPr>
                <w:r w:rsidRPr="000165D4">
                  <w:t>55.2</w:t>
                </w:r>
              </w:p>
            </w:tc>
            <w:tc>
              <w:tcPr>
                <w:tcW w:w="921" w:type="dxa"/>
                <w:shd w:val="clear" w:color="auto" w:fill="CAE7F3" w:themeFill="accent1" w:themeFillTint="33"/>
                <w:noWrap/>
                <w:vAlign w:val="bottom"/>
                <w:hideMark/>
              </w:tcPr>
              <w:p w14:paraId="4AAF9CF9" w14:textId="77777777" w:rsidR="00830FDC" w:rsidRPr="000165D4" w:rsidRDefault="00830FDC" w:rsidP="00D0090A">
                <w:pPr>
                  <w:pStyle w:val="Tabletext"/>
                  <w:jc w:val="right"/>
                </w:pPr>
                <w:r w:rsidRPr="000165D4">
                  <w:t>44.6</w:t>
                </w:r>
              </w:p>
            </w:tc>
            <w:tc>
              <w:tcPr>
                <w:tcW w:w="920" w:type="dxa"/>
                <w:shd w:val="clear" w:color="auto" w:fill="CAE7F3" w:themeFill="accent1" w:themeFillTint="33"/>
                <w:noWrap/>
                <w:vAlign w:val="center"/>
                <w:hideMark/>
              </w:tcPr>
              <w:p w14:paraId="4E25C85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-18.3</w:t>
                </w:r>
              </w:p>
            </w:tc>
            <w:tc>
              <w:tcPr>
                <w:tcW w:w="920" w:type="dxa"/>
                <w:shd w:val="clear" w:color="auto" w:fill="CAE7F3" w:themeFill="accent1" w:themeFillTint="33"/>
                <w:noWrap/>
                <w:vAlign w:val="bottom"/>
                <w:hideMark/>
              </w:tcPr>
              <w:p w14:paraId="1A844B57" w14:textId="77777777" w:rsidR="00830FDC" w:rsidRPr="000165D4" w:rsidRDefault="00830FDC" w:rsidP="00D0090A">
                <w:pPr>
                  <w:pStyle w:val="Tabletext"/>
                  <w:jc w:val="right"/>
                </w:pPr>
                <w:r w:rsidRPr="000165D4">
                  <w:t>72.9</w:t>
                </w:r>
              </w:p>
            </w:tc>
            <w:tc>
              <w:tcPr>
                <w:tcW w:w="921" w:type="dxa"/>
                <w:shd w:val="clear" w:color="auto" w:fill="CAE7F3" w:themeFill="accent1" w:themeFillTint="33"/>
                <w:noWrap/>
                <w:vAlign w:val="bottom"/>
                <w:hideMark/>
              </w:tcPr>
              <w:p w14:paraId="604AFAE1" w14:textId="77777777" w:rsidR="00830FDC" w:rsidRPr="000165D4" w:rsidRDefault="00830FDC" w:rsidP="00D0090A">
                <w:pPr>
                  <w:pStyle w:val="Tabletext"/>
                  <w:jc w:val="right"/>
                </w:pPr>
                <w:r w:rsidRPr="000165D4">
                  <w:t>55.3</w:t>
                </w:r>
              </w:p>
            </w:tc>
            <w:tc>
              <w:tcPr>
                <w:tcW w:w="920" w:type="dxa"/>
                <w:gridSpan w:val="2"/>
                <w:shd w:val="clear" w:color="auto" w:fill="CAE7F3" w:themeFill="accent1" w:themeFillTint="33"/>
                <w:noWrap/>
                <w:vAlign w:val="center"/>
                <w:hideMark/>
              </w:tcPr>
              <w:p w14:paraId="3787855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-22.3</w:t>
                </w:r>
              </w:p>
            </w:tc>
            <w:tc>
              <w:tcPr>
                <w:tcW w:w="920" w:type="dxa"/>
                <w:shd w:val="clear" w:color="auto" w:fill="CAE7F3" w:themeFill="accent1" w:themeFillTint="33"/>
                <w:noWrap/>
                <w:vAlign w:val="bottom"/>
                <w:hideMark/>
              </w:tcPr>
              <w:p w14:paraId="65145C1C" w14:textId="77777777" w:rsidR="00830FDC" w:rsidRPr="000165D4" w:rsidRDefault="00830FDC" w:rsidP="00D0090A">
                <w:pPr>
                  <w:pStyle w:val="Tabletext"/>
                  <w:jc w:val="right"/>
                </w:pPr>
                <w:r w:rsidRPr="000165D4">
                  <w:t>72.3</w:t>
                </w:r>
              </w:p>
            </w:tc>
            <w:tc>
              <w:tcPr>
                <w:tcW w:w="921" w:type="dxa"/>
                <w:shd w:val="clear" w:color="auto" w:fill="CAE7F3" w:themeFill="accent1" w:themeFillTint="33"/>
                <w:noWrap/>
                <w:vAlign w:val="center"/>
                <w:hideMark/>
              </w:tcPr>
              <w:p w14:paraId="591E8CC4"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-27.7</w:t>
                </w:r>
              </w:p>
            </w:tc>
          </w:tr>
          <w:tr w:rsidR="00830FDC" w:rsidRPr="00514E20" w14:paraId="3FBC7991" w14:textId="77777777" w:rsidTr="00866271">
            <w:trPr>
              <w:trHeight w:val="300"/>
            </w:trPr>
            <w:tc>
              <w:tcPr>
                <w:tcW w:w="959" w:type="dxa"/>
                <w:shd w:val="clear" w:color="auto" w:fill="CAE7F3" w:themeFill="accent1" w:themeFillTint="33"/>
                <w:noWrap/>
                <w:vAlign w:val="bottom"/>
                <w:hideMark/>
              </w:tcPr>
              <w:p w14:paraId="38C891F2" w14:textId="77777777" w:rsidR="00830FDC" w:rsidRPr="000165D4" w:rsidRDefault="00830FDC" w:rsidP="00D0090A">
                <w:pPr>
                  <w:pStyle w:val="Tabletext"/>
                </w:pPr>
                <w:r w:rsidRPr="000165D4">
                  <w:t>J</w:t>
                </w:r>
              </w:p>
            </w:tc>
            <w:tc>
              <w:tcPr>
                <w:tcW w:w="920" w:type="dxa"/>
                <w:shd w:val="clear" w:color="auto" w:fill="CAE7F3" w:themeFill="accent1" w:themeFillTint="33"/>
                <w:noWrap/>
                <w:vAlign w:val="bottom"/>
                <w:hideMark/>
              </w:tcPr>
              <w:p w14:paraId="0193B3D4" w14:textId="77777777" w:rsidR="00830FDC" w:rsidRPr="000165D4" w:rsidRDefault="00830FDC" w:rsidP="00D0090A">
                <w:pPr>
                  <w:pStyle w:val="Tabletext"/>
                  <w:jc w:val="right"/>
                </w:pPr>
                <w:r w:rsidRPr="000165D4">
                  <w:t>75.0</w:t>
                </w:r>
              </w:p>
            </w:tc>
            <w:tc>
              <w:tcPr>
                <w:tcW w:w="920" w:type="dxa"/>
                <w:shd w:val="clear" w:color="auto" w:fill="CAE7F3" w:themeFill="accent1" w:themeFillTint="33"/>
                <w:noWrap/>
                <w:vAlign w:val="bottom"/>
                <w:hideMark/>
              </w:tcPr>
              <w:p w14:paraId="1A66875D" w14:textId="77777777" w:rsidR="00830FDC" w:rsidRPr="000165D4" w:rsidRDefault="00830FDC" w:rsidP="00D0090A">
                <w:pPr>
                  <w:pStyle w:val="Tabletext"/>
                  <w:jc w:val="right"/>
                </w:pPr>
                <w:r w:rsidRPr="000165D4">
                  <w:t>58.1</w:t>
                </w:r>
              </w:p>
            </w:tc>
            <w:tc>
              <w:tcPr>
                <w:tcW w:w="921" w:type="dxa"/>
                <w:shd w:val="clear" w:color="auto" w:fill="CAE7F3" w:themeFill="accent1" w:themeFillTint="33"/>
                <w:noWrap/>
                <w:vAlign w:val="bottom"/>
                <w:hideMark/>
              </w:tcPr>
              <w:p w14:paraId="6A63A8DD" w14:textId="77777777" w:rsidR="00830FDC" w:rsidRPr="000165D4" w:rsidRDefault="00830FDC" w:rsidP="00D0090A">
                <w:pPr>
                  <w:pStyle w:val="Tabletext"/>
                  <w:jc w:val="right"/>
                </w:pPr>
                <w:r w:rsidRPr="000165D4">
                  <w:t>45.7</w:t>
                </w:r>
              </w:p>
            </w:tc>
            <w:tc>
              <w:tcPr>
                <w:tcW w:w="920" w:type="dxa"/>
                <w:shd w:val="clear" w:color="auto" w:fill="CAE7F3" w:themeFill="accent1" w:themeFillTint="33"/>
                <w:noWrap/>
                <w:vAlign w:val="center"/>
                <w:hideMark/>
              </w:tcPr>
              <w:p w14:paraId="0C5226D4"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-18.0</w:t>
                </w:r>
              </w:p>
            </w:tc>
            <w:tc>
              <w:tcPr>
                <w:tcW w:w="920" w:type="dxa"/>
                <w:shd w:val="clear" w:color="auto" w:fill="CAE7F3" w:themeFill="accent1" w:themeFillTint="33"/>
                <w:noWrap/>
                <w:vAlign w:val="bottom"/>
                <w:hideMark/>
              </w:tcPr>
              <w:p w14:paraId="46A84A76" w14:textId="77777777" w:rsidR="00830FDC" w:rsidRPr="000165D4" w:rsidRDefault="00830FDC" w:rsidP="00D0090A">
                <w:pPr>
                  <w:pStyle w:val="Tabletext"/>
                  <w:jc w:val="right"/>
                </w:pPr>
                <w:r w:rsidRPr="000165D4">
                  <w:t>77.1</w:t>
                </w:r>
              </w:p>
            </w:tc>
            <w:tc>
              <w:tcPr>
                <w:tcW w:w="921" w:type="dxa"/>
                <w:shd w:val="clear" w:color="auto" w:fill="CAE7F3" w:themeFill="accent1" w:themeFillTint="33"/>
                <w:noWrap/>
                <w:vAlign w:val="bottom"/>
                <w:hideMark/>
              </w:tcPr>
              <w:p w14:paraId="413D7A97" w14:textId="77777777" w:rsidR="00830FDC" w:rsidRPr="000165D4" w:rsidRDefault="00830FDC" w:rsidP="00D0090A">
                <w:pPr>
                  <w:pStyle w:val="Tabletext"/>
                  <w:jc w:val="right"/>
                </w:pPr>
                <w:r w:rsidRPr="000165D4">
                  <w:t>58.6</w:t>
                </w:r>
              </w:p>
            </w:tc>
            <w:tc>
              <w:tcPr>
                <w:tcW w:w="920" w:type="dxa"/>
                <w:gridSpan w:val="2"/>
                <w:shd w:val="clear" w:color="auto" w:fill="CAE7F3" w:themeFill="accent1" w:themeFillTint="33"/>
                <w:noWrap/>
                <w:vAlign w:val="center"/>
                <w:hideMark/>
              </w:tcPr>
              <w:p w14:paraId="6E94D802"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-20.7</w:t>
                </w:r>
              </w:p>
            </w:tc>
            <w:tc>
              <w:tcPr>
                <w:tcW w:w="920" w:type="dxa"/>
                <w:shd w:val="clear" w:color="auto" w:fill="CAE7F3" w:themeFill="accent1" w:themeFillTint="33"/>
                <w:noWrap/>
                <w:vAlign w:val="bottom"/>
                <w:hideMark/>
              </w:tcPr>
              <w:p w14:paraId="5F2FA6CE" w14:textId="77777777" w:rsidR="00830FDC" w:rsidRPr="000165D4" w:rsidRDefault="00830FDC" w:rsidP="00D0090A">
                <w:pPr>
                  <w:pStyle w:val="Tabletext"/>
                  <w:jc w:val="right"/>
                </w:pPr>
                <w:r w:rsidRPr="000165D4">
                  <w:t>74.9</w:t>
                </w:r>
              </w:p>
            </w:tc>
            <w:tc>
              <w:tcPr>
                <w:tcW w:w="921" w:type="dxa"/>
                <w:shd w:val="clear" w:color="auto" w:fill="CAE7F3" w:themeFill="accent1" w:themeFillTint="33"/>
                <w:noWrap/>
                <w:vAlign w:val="center"/>
                <w:hideMark/>
              </w:tcPr>
              <w:p w14:paraId="421F2432"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-25.1</w:t>
                </w:r>
              </w:p>
            </w:tc>
          </w:tr>
          <w:tr w:rsidR="00830FDC" w:rsidRPr="00514E20" w14:paraId="03E6EB05" w14:textId="77777777" w:rsidTr="00866271">
            <w:trPr>
              <w:trHeight w:val="300"/>
            </w:trPr>
            <w:tc>
              <w:tcPr>
                <w:tcW w:w="959" w:type="dxa"/>
                <w:shd w:val="clear" w:color="auto" w:fill="CAE7F3" w:themeFill="accent1" w:themeFillTint="33"/>
                <w:noWrap/>
                <w:vAlign w:val="bottom"/>
                <w:hideMark/>
              </w:tcPr>
              <w:p w14:paraId="3C907CA1" w14:textId="77777777" w:rsidR="00830FDC" w:rsidRPr="000165D4" w:rsidRDefault="00830FDC" w:rsidP="00D0090A">
                <w:pPr>
                  <w:pStyle w:val="Tabletext"/>
                </w:pPr>
                <w:r w:rsidRPr="000165D4">
                  <w:t>K</w:t>
                </w:r>
              </w:p>
            </w:tc>
            <w:tc>
              <w:tcPr>
                <w:tcW w:w="920" w:type="dxa"/>
                <w:shd w:val="clear" w:color="auto" w:fill="CAE7F3" w:themeFill="accent1" w:themeFillTint="33"/>
                <w:noWrap/>
                <w:vAlign w:val="bottom"/>
                <w:hideMark/>
              </w:tcPr>
              <w:p w14:paraId="0E09F4DF" w14:textId="77777777" w:rsidR="00830FDC" w:rsidRPr="000165D4" w:rsidRDefault="00830FDC" w:rsidP="00D0090A">
                <w:pPr>
                  <w:pStyle w:val="Tabletext"/>
                  <w:jc w:val="right"/>
                </w:pPr>
                <w:r w:rsidRPr="000165D4">
                  <w:t>78.0</w:t>
                </w:r>
              </w:p>
            </w:tc>
            <w:tc>
              <w:tcPr>
                <w:tcW w:w="920" w:type="dxa"/>
                <w:shd w:val="clear" w:color="auto" w:fill="CAE7F3" w:themeFill="accent1" w:themeFillTint="33"/>
                <w:noWrap/>
                <w:vAlign w:val="bottom"/>
                <w:hideMark/>
              </w:tcPr>
              <w:p w14:paraId="2F03D452" w14:textId="77777777" w:rsidR="00830FDC" w:rsidRPr="000165D4" w:rsidRDefault="00830FDC" w:rsidP="00D0090A">
                <w:pPr>
                  <w:pStyle w:val="Tabletext"/>
                  <w:jc w:val="right"/>
                </w:pPr>
                <w:r w:rsidRPr="000165D4">
                  <w:t>65.8</w:t>
                </w:r>
              </w:p>
            </w:tc>
            <w:tc>
              <w:tcPr>
                <w:tcW w:w="921" w:type="dxa"/>
                <w:shd w:val="clear" w:color="auto" w:fill="CAE7F3" w:themeFill="accent1" w:themeFillTint="33"/>
                <w:noWrap/>
                <w:vAlign w:val="bottom"/>
                <w:hideMark/>
              </w:tcPr>
              <w:p w14:paraId="40F5284D" w14:textId="77777777" w:rsidR="00830FDC" w:rsidRPr="000165D4" w:rsidRDefault="00830FDC" w:rsidP="00D0090A">
                <w:pPr>
                  <w:pStyle w:val="Tabletext"/>
                  <w:jc w:val="right"/>
                </w:pPr>
                <w:r w:rsidRPr="000165D4">
                  <w:t>57.9</w:t>
                </w:r>
              </w:p>
            </w:tc>
            <w:tc>
              <w:tcPr>
                <w:tcW w:w="920" w:type="dxa"/>
                <w:shd w:val="clear" w:color="auto" w:fill="CAE7F3" w:themeFill="accent1" w:themeFillTint="33"/>
                <w:noWrap/>
                <w:vAlign w:val="center"/>
                <w:hideMark/>
              </w:tcPr>
              <w:p w14:paraId="1817FC00"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-13.8</w:t>
                </w:r>
              </w:p>
            </w:tc>
            <w:tc>
              <w:tcPr>
                <w:tcW w:w="920" w:type="dxa"/>
                <w:shd w:val="clear" w:color="auto" w:fill="CAE7F3" w:themeFill="accent1" w:themeFillTint="33"/>
                <w:noWrap/>
                <w:vAlign w:val="bottom"/>
                <w:hideMark/>
              </w:tcPr>
              <w:p w14:paraId="6B2B404C" w14:textId="77777777" w:rsidR="00830FDC" w:rsidRPr="000165D4" w:rsidRDefault="00830FDC" w:rsidP="00D0090A">
                <w:pPr>
                  <w:pStyle w:val="Tabletext"/>
                  <w:jc w:val="right"/>
                </w:pPr>
                <w:r w:rsidRPr="000165D4">
                  <w:t>80.2</w:t>
                </w:r>
              </w:p>
            </w:tc>
            <w:tc>
              <w:tcPr>
                <w:tcW w:w="921" w:type="dxa"/>
                <w:shd w:val="clear" w:color="auto" w:fill="CAE7F3" w:themeFill="accent1" w:themeFillTint="33"/>
                <w:noWrap/>
                <w:vAlign w:val="bottom"/>
                <w:hideMark/>
              </w:tcPr>
              <w:p w14:paraId="754E9B91" w14:textId="77777777" w:rsidR="00830FDC" w:rsidRPr="000165D4" w:rsidRDefault="00830FDC" w:rsidP="00D0090A">
                <w:pPr>
                  <w:pStyle w:val="Tabletext"/>
                  <w:jc w:val="right"/>
                </w:pPr>
                <w:r w:rsidRPr="000165D4">
                  <w:t>68.5</w:t>
                </w:r>
              </w:p>
            </w:tc>
            <w:tc>
              <w:tcPr>
                <w:tcW w:w="920" w:type="dxa"/>
                <w:gridSpan w:val="2"/>
                <w:shd w:val="clear" w:color="auto" w:fill="CAE7F3" w:themeFill="accent1" w:themeFillTint="33"/>
                <w:noWrap/>
                <w:vAlign w:val="center"/>
                <w:hideMark/>
              </w:tcPr>
              <w:p w14:paraId="63B30289"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-15.7</w:t>
                </w:r>
              </w:p>
            </w:tc>
            <w:tc>
              <w:tcPr>
                <w:tcW w:w="920" w:type="dxa"/>
                <w:shd w:val="clear" w:color="auto" w:fill="CAE7F3" w:themeFill="accent1" w:themeFillTint="33"/>
                <w:noWrap/>
                <w:vAlign w:val="bottom"/>
                <w:hideMark/>
              </w:tcPr>
              <w:p w14:paraId="65751B28" w14:textId="77777777" w:rsidR="00830FDC" w:rsidRPr="000165D4" w:rsidRDefault="00830FDC" w:rsidP="00D0090A">
                <w:pPr>
                  <w:pStyle w:val="Tabletext"/>
                  <w:jc w:val="right"/>
                </w:pPr>
                <w:r w:rsidRPr="000165D4">
                  <w:t>81.4</w:t>
                </w:r>
              </w:p>
            </w:tc>
            <w:tc>
              <w:tcPr>
                <w:tcW w:w="921" w:type="dxa"/>
                <w:shd w:val="clear" w:color="auto" w:fill="CAE7F3" w:themeFill="accent1" w:themeFillTint="33"/>
                <w:noWrap/>
                <w:vAlign w:val="center"/>
                <w:hideMark/>
              </w:tcPr>
              <w:p w14:paraId="589FC21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-18.6</w:t>
                </w:r>
              </w:p>
            </w:tc>
          </w:tr>
          <w:tr w:rsidR="00830FDC" w:rsidRPr="00514E20" w14:paraId="076E6B90" w14:textId="77777777" w:rsidTr="00866271">
            <w:trPr>
              <w:trHeight w:val="300"/>
            </w:trPr>
            <w:tc>
              <w:tcPr>
                <w:tcW w:w="959" w:type="dxa"/>
                <w:shd w:val="clear" w:color="auto" w:fill="CAE7F3" w:themeFill="accent1" w:themeFillTint="33"/>
                <w:noWrap/>
                <w:vAlign w:val="bottom"/>
                <w:hideMark/>
              </w:tcPr>
              <w:p w14:paraId="4CD2C46E" w14:textId="77777777" w:rsidR="00830FDC" w:rsidRPr="000165D4" w:rsidRDefault="00830FDC" w:rsidP="00D0090A">
                <w:pPr>
                  <w:pStyle w:val="Tabletext"/>
                </w:pPr>
                <w:r w:rsidRPr="000165D4">
                  <w:t>L</w:t>
                </w:r>
              </w:p>
            </w:tc>
            <w:tc>
              <w:tcPr>
                <w:tcW w:w="920" w:type="dxa"/>
                <w:shd w:val="clear" w:color="auto" w:fill="CAE7F3" w:themeFill="accent1" w:themeFillTint="33"/>
                <w:noWrap/>
                <w:vAlign w:val="bottom"/>
                <w:hideMark/>
              </w:tcPr>
              <w:p w14:paraId="4CC690D8" w14:textId="77777777" w:rsidR="00830FDC" w:rsidRPr="000165D4" w:rsidRDefault="00830FDC" w:rsidP="00D0090A">
                <w:pPr>
                  <w:pStyle w:val="Tabletext"/>
                  <w:jc w:val="right"/>
                </w:pPr>
                <w:r w:rsidRPr="000165D4">
                  <w:t>79.4</w:t>
                </w:r>
              </w:p>
            </w:tc>
            <w:tc>
              <w:tcPr>
                <w:tcW w:w="920" w:type="dxa"/>
                <w:shd w:val="clear" w:color="auto" w:fill="CAE7F3" w:themeFill="accent1" w:themeFillTint="33"/>
                <w:noWrap/>
                <w:vAlign w:val="bottom"/>
                <w:hideMark/>
              </w:tcPr>
              <w:p w14:paraId="78AF82FC" w14:textId="77777777" w:rsidR="00830FDC" w:rsidRPr="000165D4" w:rsidRDefault="00830FDC" w:rsidP="00D0090A">
                <w:pPr>
                  <w:pStyle w:val="Tabletext"/>
                  <w:jc w:val="right"/>
                </w:pPr>
                <w:r w:rsidRPr="000165D4">
                  <w:t>66.4</w:t>
                </w:r>
              </w:p>
            </w:tc>
            <w:tc>
              <w:tcPr>
                <w:tcW w:w="921" w:type="dxa"/>
                <w:shd w:val="clear" w:color="auto" w:fill="CAE7F3" w:themeFill="accent1" w:themeFillTint="33"/>
                <w:noWrap/>
                <w:vAlign w:val="bottom"/>
                <w:hideMark/>
              </w:tcPr>
              <w:p w14:paraId="0040F98F" w14:textId="77777777" w:rsidR="00830FDC" w:rsidRPr="000165D4" w:rsidRDefault="00830FDC" w:rsidP="00D0090A">
                <w:pPr>
                  <w:pStyle w:val="Tabletext"/>
                  <w:jc w:val="right"/>
                </w:pPr>
                <w:r w:rsidRPr="000165D4">
                  <w:t>58.8</w:t>
                </w:r>
              </w:p>
            </w:tc>
            <w:tc>
              <w:tcPr>
                <w:tcW w:w="920" w:type="dxa"/>
                <w:shd w:val="clear" w:color="auto" w:fill="CAE7F3" w:themeFill="accent1" w:themeFillTint="33"/>
                <w:noWrap/>
                <w:vAlign w:val="center"/>
                <w:hideMark/>
              </w:tcPr>
              <w:p w14:paraId="57B287BD"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-13.7</w:t>
                </w:r>
              </w:p>
            </w:tc>
            <w:tc>
              <w:tcPr>
                <w:tcW w:w="920" w:type="dxa"/>
                <w:shd w:val="clear" w:color="auto" w:fill="CAE7F3" w:themeFill="accent1" w:themeFillTint="33"/>
                <w:noWrap/>
                <w:vAlign w:val="bottom"/>
                <w:hideMark/>
              </w:tcPr>
              <w:p w14:paraId="770E3E9E" w14:textId="77777777" w:rsidR="00830FDC" w:rsidRPr="000165D4" w:rsidRDefault="00830FDC" w:rsidP="00D0090A">
                <w:pPr>
                  <w:pStyle w:val="Tabletext"/>
                  <w:jc w:val="right"/>
                </w:pPr>
                <w:r w:rsidRPr="000165D4">
                  <w:t>78.4</w:t>
                </w:r>
              </w:p>
            </w:tc>
            <w:tc>
              <w:tcPr>
                <w:tcW w:w="921" w:type="dxa"/>
                <w:shd w:val="clear" w:color="auto" w:fill="CAE7F3" w:themeFill="accent1" w:themeFillTint="33"/>
                <w:noWrap/>
                <w:vAlign w:val="bottom"/>
                <w:hideMark/>
              </w:tcPr>
              <w:p w14:paraId="78851D45" w14:textId="77777777" w:rsidR="00830FDC" w:rsidRPr="000165D4" w:rsidRDefault="00830FDC" w:rsidP="00D0090A">
                <w:pPr>
                  <w:pStyle w:val="Tabletext"/>
                  <w:jc w:val="right"/>
                </w:pPr>
                <w:r w:rsidRPr="000165D4">
                  <w:t>65.8</w:t>
                </w:r>
              </w:p>
            </w:tc>
            <w:tc>
              <w:tcPr>
                <w:tcW w:w="920" w:type="dxa"/>
                <w:gridSpan w:val="2"/>
                <w:shd w:val="clear" w:color="auto" w:fill="CAE7F3" w:themeFill="accent1" w:themeFillTint="33"/>
                <w:noWrap/>
                <w:vAlign w:val="center"/>
                <w:hideMark/>
              </w:tcPr>
              <w:p w14:paraId="25C0D33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-17.1</w:t>
                </w:r>
              </w:p>
            </w:tc>
            <w:tc>
              <w:tcPr>
                <w:tcW w:w="920" w:type="dxa"/>
                <w:shd w:val="clear" w:color="auto" w:fill="CAE7F3" w:themeFill="accent1" w:themeFillTint="33"/>
                <w:noWrap/>
                <w:vAlign w:val="bottom"/>
                <w:hideMark/>
              </w:tcPr>
              <w:p w14:paraId="71745F50" w14:textId="77777777" w:rsidR="00830FDC" w:rsidRPr="000165D4" w:rsidRDefault="00830FDC" w:rsidP="00D0090A">
                <w:pPr>
                  <w:pStyle w:val="Tabletext"/>
                  <w:jc w:val="right"/>
                </w:pPr>
                <w:r w:rsidRPr="000165D4">
                  <w:t>78.7</w:t>
                </w:r>
              </w:p>
            </w:tc>
            <w:tc>
              <w:tcPr>
                <w:tcW w:w="921" w:type="dxa"/>
                <w:shd w:val="clear" w:color="auto" w:fill="CAE7F3" w:themeFill="accent1" w:themeFillTint="33"/>
                <w:noWrap/>
                <w:vAlign w:val="center"/>
                <w:hideMark/>
              </w:tcPr>
              <w:p w14:paraId="18797AF3"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-21.3</w:t>
                </w:r>
              </w:p>
            </w:tc>
          </w:tr>
          <w:tr w:rsidR="00830FDC" w:rsidRPr="00514E20" w14:paraId="2E1B4AD9" w14:textId="77777777" w:rsidTr="00866271">
            <w:trPr>
              <w:trHeight w:val="300"/>
            </w:trPr>
            <w:tc>
              <w:tcPr>
                <w:tcW w:w="959" w:type="dxa"/>
                <w:shd w:val="clear" w:color="auto" w:fill="CAE7F3" w:themeFill="accent1" w:themeFillTint="33"/>
                <w:noWrap/>
                <w:vAlign w:val="bottom"/>
                <w:hideMark/>
              </w:tcPr>
              <w:p w14:paraId="32211807" w14:textId="77777777" w:rsidR="00830FDC" w:rsidRPr="000165D4" w:rsidRDefault="00830FDC" w:rsidP="00D0090A">
                <w:pPr>
                  <w:pStyle w:val="Tabletext"/>
                </w:pPr>
                <w:r w:rsidRPr="000165D4">
                  <w:t>M</w:t>
                </w:r>
              </w:p>
            </w:tc>
            <w:tc>
              <w:tcPr>
                <w:tcW w:w="920" w:type="dxa"/>
                <w:shd w:val="clear" w:color="auto" w:fill="CAE7F3" w:themeFill="accent1" w:themeFillTint="33"/>
                <w:noWrap/>
                <w:vAlign w:val="bottom"/>
                <w:hideMark/>
              </w:tcPr>
              <w:p w14:paraId="3AA39E88" w14:textId="77777777" w:rsidR="00830FDC" w:rsidRPr="000165D4" w:rsidRDefault="00830FDC" w:rsidP="00D0090A">
                <w:pPr>
                  <w:pStyle w:val="Tabletext"/>
                  <w:jc w:val="right"/>
                </w:pPr>
                <w:r w:rsidRPr="000165D4">
                  <w:t>76.4</w:t>
                </w:r>
              </w:p>
            </w:tc>
            <w:tc>
              <w:tcPr>
                <w:tcW w:w="920" w:type="dxa"/>
                <w:shd w:val="clear" w:color="auto" w:fill="CAE7F3" w:themeFill="accent1" w:themeFillTint="33"/>
                <w:noWrap/>
                <w:vAlign w:val="bottom"/>
                <w:hideMark/>
              </w:tcPr>
              <w:p w14:paraId="3205A704" w14:textId="77777777" w:rsidR="00830FDC" w:rsidRPr="000165D4" w:rsidRDefault="00830FDC" w:rsidP="00D0090A">
                <w:pPr>
                  <w:pStyle w:val="Tabletext"/>
                  <w:jc w:val="right"/>
                </w:pPr>
                <w:r w:rsidRPr="000165D4">
                  <w:t>60.0</w:t>
                </w:r>
              </w:p>
            </w:tc>
            <w:tc>
              <w:tcPr>
                <w:tcW w:w="921" w:type="dxa"/>
                <w:shd w:val="clear" w:color="auto" w:fill="CAE7F3" w:themeFill="accent1" w:themeFillTint="33"/>
                <w:noWrap/>
                <w:vAlign w:val="bottom"/>
                <w:hideMark/>
              </w:tcPr>
              <w:p w14:paraId="1DE5159A" w14:textId="77777777" w:rsidR="00830FDC" w:rsidRPr="000165D4" w:rsidRDefault="00830FDC" w:rsidP="00D0090A">
                <w:pPr>
                  <w:pStyle w:val="Tabletext"/>
                  <w:jc w:val="right"/>
                </w:pPr>
                <w:r w:rsidRPr="000165D4">
                  <w:t>48.6</w:t>
                </w:r>
              </w:p>
            </w:tc>
            <w:tc>
              <w:tcPr>
                <w:tcW w:w="920" w:type="dxa"/>
                <w:shd w:val="clear" w:color="auto" w:fill="CAE7F3" w:themeFill="accent1" w:themeFillTint="33"/>
                <w:noWrap/>
                <w:vAlign w:val="center"/>
                <w:hideMark/>
              </w:tcPr>
              <w:p w14:paraId="787A83EB"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-17.1</w:t>
                </w:r>
              </w:p>
            </w:tc>
            <w:tc>
              <w:tcPr>
                <w:tcW w:w="920" w:type="dxa"/>
                <w:shd w:val="clear" w:color="auto" w:fill="CAE7F3" w:themeFill="accent1" w:themeFillTint="33"/>
                <w:noWrap/>
                <w:vAlign w:val="bottom"/>
                <w:hideMark/>
              </w:tcPr>
              <w:p w14:paraId="0F23B972" w14:textId="77777777" w:rsidR="00830FDC" w:rsidRPr="000165D4" w:rsidRDefault="00830FDC" w:rsidP="00D0090A">
                <w:pPr>
                  <w:pStyle w:val="Tabletext"/>
                  <w:jc w:val="right"/>
                </w:pPr>
                <w:r w:rsidRPr="000165D4">
                  <w:t>77.7</w:t>
                </w:r>
              </w:p>
            </w:tc>
            <w:tc>
              <w:tcPr>
                <w:tcW w:w="921" w:type="dxa"/>
                <w:shd w:val="clear" w:color="auto" w:fill="CAE7F3" w:themeFill="accent1" w:themeFillTint="33"/>
                <w:noWrap/>
                <w:vAlign w:val="bottom"/>
                <w:hideMark/>
              </w:tcPr>
              <w:p w14:paraId="688E139E" w14:textId="77777777" w:rsidR="00830FDC" w:rsidRPr="000165D4" w:rsidRDefault="00830FDC" w:rsidP="00D0090A">
                <w:pPr>
                  <w:pStyle w:val="Tabletext"/>
                  <w:jc w:val="right"/>
                </w:pPr>
                <w:r w:rsidRPr="000165D4">
                  <w:t>60.3</w:t>
                </w:r>
              </w:p>
            </w:tc>
            <w:tc>
              <w:tcPr>
                <w:tcW w:w="920" w:type="dxa"/>
                <w:gridSpan w:val="2"/>
                <w:shd w:val="clear" w:color="auto" w:fill="CAE7F3" w:themeFill="accent1" w:themeFillTint="33"/>
                <w:noWrap/>
                <w:vAlign w:val="center"/>
                <w:hideMark/>
              </w:tcPr>
              <w:p w14:paraId="2D937FF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-19.8</w:t>
                </w:r>
              </w:p>
            </w:tc>
            <w:tc>
              <w:tcPr>
                <w:tcW w:w="920" w:type="dxa"/>
                <w:shd w:val="clear" w:color="auto" w:fill="CAE7F3" w:themeFill="accent1" w:themeFillTint="33"/>
                <w:noWrap/>
                <w:vAlign w:val="bottom"/>
                <w:hideMark/>
              </w:tcPr>
              <w:p w14:paraId="0EA22D2F" w14:textId="77777777" w:rsidR="00830FDC" w:rsidRPr="000165D4" w:rsidRDefault="00830FDC" w:rsidP="00D0090A">
                <w:pPr>
                  <w:pStyle w:val="Tabletext"/>
                  <w:jc w:val="right"/>
                </w:pPr>
                <w:r w:rsidRPr="000165D4">
                  <w:t>77.0</w:t>
                </w:r>
              </w:p>
            </w:tc>
            <w:tc>
              <w:tcPr>
                <w:tcW w:w="921" w:type="dxa"/>
                <w:shd w:val="clear" w:color="auto" w:fill="CAE7F3" w:themeFill="accent1" w:themeFillTint="33"/>
                <w:noWrap/>
                <w:vAlign w:val="center"/>
                <w:hideMark/>
              </w:tcPr>
              <w:p w14:paraId="7EAC2BDA"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-23.0</w:t>
                </w:r>
              </w:p>
            </w:tc>
          </w:tr>
          <w:tr w:rsidR="00830FDC" w:rsidRPr="00514E20" w14:paraId="770889A6" w14:textId="77777777" w:rsidTr="00866271">
            <w:trPr>
              <w:trHeight w:val="300"/>
            </w:trPr>
            <w:tc>
              <w:tcPr>
                <w:tcW w:w="959" w:type="dxa"/>
                <w:shd w:val="clear" w:color="auto" w:fill="CAE7F3" w:themeFill="accent1" w:themeFillTint="33"/>
                <w:noWrap/>
                <w:vAlign w:val="bottom"/>
                <w:hideMark/>
              </w:tcPr>
              <w:p w14:paraId="68133C06" w14:textId="77777777" w:rsidR="00830FDC" w:rsidRPr="000165D4" w:rsidRDefault="00830FDC" w:rsidP="00D0090A">
                <w:pPr>
                  <w:pStyle w:val="Tabletext"/>
                </w:pPr>
                <w:r w:rsidRPr="000165D4">
                  <w:t>N</w:t>
                </w:r>
              </w:p>
            </w:tc>
            <w:tc>
              <w:tcPr>
                <w:tcW w:w="920" w:type="dxa"/>
                <w:shd w:val="clear" w:color="auto" w:fill="CAE7F3" w:themeFill="accent1" w:themeFillTint="33"/>
                <w:noWrap/>
                <w:vAlign w:val="bottom"/>
                <w:hideMark/>
              </w:tcPr>
              <w:p w14:paraId="44F2A02D" w14:textId="77777777" w:rsidR="00830FDC" w:rsidRPr="000165D4" w:rsidRDefault="00830FDC" w:rsidP="00D0090A">
                <w:pPr>
                  <w:pStyle w:val="Tabletext"/>
                  <w:jc w:val="right"/>
                </w:pPr>
                <w:r w:rsidRPr="000165D4">
                  <w:t>70.4</w:t>
                </w:r>
              </w:p>
            </w:tc>
            <w:tc>
              <w:tcPr>
                <w:tcW w:w="920" w:type="dxa"/>
                <w:shd w:val="clear" w:color="auto" w:fill="CAE7F3" w:themeFill="accent1" w:themeFillTint="33"/>
                <w:noWrap/>
                <w:vAlign w:val="bottom"/>
                <w:hideMark/>
              </w:tcPr>
              <w:p w14:paraId="2AF7AAB4" w14:textId="77777777" w:rsidR="00830FDC" w:rsidRPr="000165D4" w:rsidRDefault="00830FDC" w:rsidP="00D0090A">
                <w:pPr>
                  <w:pStyle w:val="Tabletext"/>
                  <w:jc w:val="right"/>
                </w:pPr>
                <w:r w:rsidRPr="000165D4">
                  <w:t>52.8</w:t>
                </w:r>
              </w:p>
            </w:tc>
            <w:tc>
              <w:tcPr>
                <w:tcW w:w="921" w:type="dxa"/>
                <w:shd w:val="clear" w:color="auto" w:fill="CAE7F3" w:themeFill="accent1" w:themeFillTint="33"/>
                <w:noWrap/>
                <w:vAlign w:val="bottom"/>
                <w:hideMark/>
              </w:tcPr>
              <w:p w14:paraId="7A5C7262" w14:textId="77777777" w:rsidR="00830FDC" w:rsidRPr="000165D4" w:rsidRDefault="00830FDC" w:rsidP="00D0090A">
                <w:pPr>
                  <w:pStyle w:val="Tabletext"/>
                  <w:jc w:val="right"/>
                </w:pPr>
                <w:r w:rsidRPr="000165D4">
                  <w:t>41.1</w:t>
                </w:r>
              </w:p>
            </w:tc>
            <w:tc>
              <w:tcPr>
                <w:tcW w:w="920" w:type="dxa"/>
                <w:shd w:val="clear" w:color="auto" w:fill="CAE7F3" w:themeFill="accent1" w:themeFillTint="33"/>
                <w:noWrap/>
                <w:vAlign w:val="center"/>
                <w:hideMark/>
              </w:tcPr>
              <w:p w14:paraId="479D263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-19.4</w:t>
                </w:r>
              </w:p>
            </w:tc>
            <w:tc>
              <w:tcPr>
                <w:tcW w:w="920" w:type="dxa"/>
                <w:shd w:val="clear" w:color="auto" w:fill="CAE7F3" w:themeFill="accent1" w:themeFillTint="33"/>
                <w:noWrap/>
                <w:vAlign w:val="bottom"/>
                <w:hideMark/>
              </w:tcPr>
              <w:p w14:paraId="72D0F01D" w14:textId="77777777" w:rsidR="00830FDC" w:rsidRPr="000165D4" w:rsidRDefault="00830FDC" w:rsidP="00D0090A">
                <w:pPr>
                  <w:pStyle w:val="Tabletext"/>
                  <w:jc w:val="right"/>
                </w:pPr>
                <w:r w:rsidRPr="000165D4">
                  <w:t>71.8</w:t>
                </w:r>
              </w:p>
            </w:tc>
            <w:tc>
              <w:tcPr>
                <w:tcW w:w="921" w:type="dxa"/>
                <w:shd w:val="clear" w:color="auto" w:fill="CAE7F3" w:themeFill="accent1" w:themeFillTint="33"/>
                <w:noWrap/>
                <w:vAlign w:val="bottom"/>
                <w:hideMark/>
              </w:tcPr>
              <w:p w14:paraId="54986F56" w14:textId="77777777" w:rsidR="00830FDC" w:rsidRPr="000165D4" w:rsidRDefault="00830FDC" w:rsidP="00D0090A">
                <w:pPr>
                  <w:pStyle w:val="Tabletext"/>
                  <w:jc w:val="right"/>
                </w:pPr>
                <w:r w:rsidRPr="000165D4">
                  <w:t>51.8</w:t>
                </w:r>
              </w:p>
            </w:tc>
            <w:tc>
              <w:tcPr>
                <w:tcW w:w="920" w:type="dxa"/>
                <w:gridSpan w:val="2"/>
                <w:shd w:val="clear" w:color="auto" w:fill="CAE7F3" w:themeFill="accent1" w:themeFillTint="33"/>
                <w:noWrap/>
                <w:vAlign w:val="center"/>
                <w:hideMark/>
              </w:tcPr>
              <w:p w14:paraId="76F4182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-24.1</w:t>
                </w:r>
              </w:p>
            </w:tc>
            <w:tc>
              <w:tcPr>
                <w:tcW w:w="920" w:type="dxa"/>
                <w:shd w:val="clear" w:color="auto" w:fill="CAE7F3" w:themeFill="accent1" w:themeFillTint="33"/>
                <w:noWrap/>
                <w:vAlign w:val="bottom"/>
                <w:hideMark/>
              </w:tcPr>
              <w:p w14:paraId="0D503956" w14:textId="77777777" w:rsidR="00830FDC" w:rsidRPr="000165D4" w:rsidRDefault="00830FDC" w:rsidP="00D0090A">
                <w:pPr>
                  <w:pStyle w:val="Tabletext"/>
                  <w:jc w:val="right"/>
                </w:pPr>
                <w:r w:rsidRPr="000165D4">
                  <w:t>70.3</w:t>
                </w:r>
              </w:p>
            </w:tc>
            <w:tc>
              <w:tcPr>
                <w:tcW w:w="921" w:type="dxa"/>
                <w:shd w:val="clear" w:color="auto" w:fill="CAE7F3" w:themeFill="accent1" w:themeFillTint="33"/>
                <w:noWrap/>
                <w:vAlign w:val="center"/>
                <w:hideMark/>
              </w:tcPr>
              <w:p w14:paraId="59B45AB4"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-29.7</w:t>
                </w:r>
              </w:p>
            </w:tc>
          </w:tr>
          <w:tr w:rsidR="00830FDC" w:rsidRPr="00514E20" w14:paraId="0E0495E3" w14:textId="77777777" w:rsidTr="00866271">
            <w:trPr>
              <w:trHeight w:val="300"/>
            </w:trPr>
            <w:tc>
              <w:tcPr>
                <w:tcW w:w="959" w:type="dxa"/>
                <w:shd w:val="clear" w:color="auto" w:fill="CAE7F3" w:themeFill="accent1" w:themeFillTint="33"/>
                <w:noWrap/>
                <w:vAlign w:val="bottom"/>
                <w:hideMark/>
              </w:tcPr>
              <w:p w14:paraId="1D95927A" w14:textId="77777777" w:rsidR="00830FDC" w:rsidRPr="000165D4" w:rsidRDefault="00830FDC" w:rsidP="00D0090A">
                <w:pPr>
                  <w:pStyle w:val="Tabletext"/>
                </w:pPr>
                <w:r w:rsidRPr="000165D4">
                  <w:t>O</w:t>
                </w:r>
              </w:p>
            </w:tc>
            <w:tc>
              <w:tcPr>
                <w:tcW w:w="920" w:type="dxa"/>
                <w:shd w:val="clear" w:color="auto" w:fill="CAE7F3" w:themeFill="accent1" w:themeFillTint="33"/>
                <w:noWrap/>
                <w:vAlign w:val="bottom"/>
                <w:hideMark/>
              </w:tcPr>
              <w:p w14:paraId="0E211ED3" w14:textId="77777777" w:rsidR="00830FDC" w:rsidRPr="000165D4" w:rsidRDefault="00830FDC" w:rsidP="00D0090A">
                <w:pPr>
                  <w:pStyle w:val="Tabletext"/>
                  <w:jc w:val="right"/>
                </w:pPr>
                <w:r w:rsidRPr="000165D4">
                  <w:t>69.9</w:t>
                </w:r>
              </w:p>
            </w:tc>
            <w:tc>
              <w:tcPr>
                <w:tcW w:w="920" w:type="dxa"/>
                <w:shd w:val="clear" w:color="auto" w:fill="CAE7F3" w:themeFill="accent1" w:themeFillTint="33"/>
                <w:noWrap/>
                <w:vAlign w:val="bottom"/>
                <w:hideMark/>
              </w:tcPr>
              <w:p w14:paraId="27A84997" w14:textId="77777777" w:rsidR="00830FDC" w:rsidRPr="000165D4" w:rsidRDefault="00830FDC" w:rsidP="00D0090A">
                <w:pPr>
                  <w:pStyle w:val="Tabletext"/>
                  <w:jc w:val="right"/>
                </w:pPr>
                <w:r w:rsidRPr="000165D4">
                  <w:t>51.1</w:t>
                </w:r>
              </w:p>
            </w:tc>
            <w:tc>
              <w:tcPr>
                <w:tcW w:w="921" w:type="dxa"/>
                <w:shd w:val="clear" w:color="auto" w:fill="CAE7F3" w:themeFill="accent1" w:themeFillTint="33"/>
                <w:noWrap/>
                <w:vAlign w:val="bottom"/>
                <w:hideMark/>
              </w:tcPr>
              <w:p w14:paraId="7E1BDD86" w14:textId="77777777" w:rsidR="00830FDC" w:rsidRPr="000165D4" w:rsidRDefault="00830FDC" w:rsidP="00D0090A">
                <w:pPr>
                  <w:pStyle w:val="Tabletext"/>
                  <w:jc w:val="right"/>
                </w:pPr>
                <w:r w:rsidRPr="000165D4">
                  <w:t>40.2</w:t>
                </w:r>
              </w:p>
            </w:tc>
            <w:tc>
              <w:tcPr>
                <w:tcW w:w="920" w:type="dxa"/>
                <w:shd w:val="clear" w:color="auto" w:fill="CAE7F3" w:themeFill="accent1" w:themeFillTint="33"/>
                <w:noWrap/>
                <w:vAlign w:val="center"/>
                <w:hideMark/>
              </w:tcPr>
              <w:p w14:paraId="0E0E5C50"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-19.8</w:t>
                </w:r>
              </w:p>
            </w:tc>
            <w:tc>
              <w:tcPr>
                <w:tcW w:w="920" w:type="dxa"/>
                <w:shd w:val="clear" w:color="auto" w:fill="CAE7F3" w:themeFill="accent1" w:themeFillTint="33"/>
                <w:noWrap/>
                <w:vAlign w:val="bottom"/>
                <w:hideMark/>
              </w:tcPr>
              <w:p w14:paraId="57F81BA3" w14:textId="77777777" w:rsidR="00830FDC" w:rsidRPr="000165D4" w:rsidRDefault="00830FDC" w:rsidP="00D0090A">
                <w:pPr>
                  <w:pStyle w:val="Tabletext"/>
                  <w:jc w:val="right"/>
                </w:pPr>
                <w:r w:rsidRPr="000165D4">
                  <w:t>69.2</w:t>
                </w:r>
              </w:p>
            </w:tc>
            <w:tc>
              <w:tcPr>
                <w:tcW w:w="921" w:type="dxa"/>
                <w:shd w:val="clear" w:color="auto" w:fill="CAE7F3" w:themeFill="accent1" w:themeFillTint="33"/>
                <w:noWrap/>
                <w:vAlign w:val="bottom"/>
                <w:hideMark/>
              </w:tcPr>
              <w:p w14:paraId="64492D5B" w14:textId="77777777" w:rsidR="00830FDC" w:rsidRPr="000165D4" w:rsidRDefault="00830FDC" w:rsidP="00D0090A">
                <w:pPr>
                  <w:pStyle w:val="Tabletext"/>
                  <w:jc w:val="right"/>
                </w:pPr>
                <w:r w:rsidRPr="000165D4">
                  <w:t>51.7</w:t>
                </w:r>
              </w:p>
            </w:tc>
            <w:tc>
              <w:tcPr>
                <w:tcW w:w="920" w:type="dxa"/>
                <w:gridSpan w:val="2"/>
                <w:shd w:val="clear" w:color="auto" w:fill="CAE7F3" w:themeFill="accent1" w:themeFillTint="33"/>
                <w:noWrap/>
                <w:vAlign w:val="center"/>
                <w:hideMark/>
              </w:tcPr>
              <w:p w14:paraId="665DE089"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-24.1</w:t>
                </w:r>
              </w:p>
            </w:tc>
            <w:tc>
              <w:tcPr>
                <w:tcW w:w="920" w:type="dxa"/>
                <w:shd w:val="clear" w:color="auto" w:fill="CAE7F3" w:themeFill="accent1" w:themeFillTint="33"/>
                <w:noWrap/>
                <w:vAlign w:val="bottom"/>
                <w:hideMark/>
              </w:tcPr>
              <w:p w14:paraId="3A7BD7DD" w14:textId="77777777" w:rsidR="00830FDC" w:rsidRPr="000165D4" w:rsidRDefault="00830FDC" w:rsidP="00D0090A">
                <w:pPr>
                  <w:pStyle w:val="Tabletext"/>
                  <w:jc w:val="right"/>
                </w:pPr>
                <w:r w:rsidRPr="000165D4">
                  <w:t>71.5</w:t>
                </w:r>
              </w:p>
            </w:tc>
            <w:tc>
              <w:tcPr>
                <w:tcW w:w="921" w:type="dxa"/>
                <w:shd w:val="clear" w:color="auto" w:fill="CAE7F3" w:themeFill="accent1" w:themeFillTint="33"/>
                <w:noWrap/>
                <w:vAlign w:val="center"/>
                <w:hideMark/>
              </w:tcPr>
              <w:p w14:paraId="3C1508E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-28.5</w:t>
                </w:r>
              </w:p>
            </w:tc>
          </w:tr>
          <w:tr w:rsidR="00830FDC" w:rsidRPr="00514E20" w14:paraId="2E57197D" w14:textId="77777777" w:rsidTr="00866271">
            <w:trPr>
              <w:trHeight w:val="300"/>
            </w:trPr>
            <w:tc>
              <w:tcPr>
                <w:tcW w:w="959" w:type="dxa"/>
                <w:shd w:val="clear" w:color="auto" w:fill="CAE7F3" w:themeFill="accent1" w:themeFillTint="33"/>
                <w:noWrap/>
                <w:vAlign w:val="bottom"/>
                <w:hideMark/>
              </w:tcPr>
              <w:p w14:paraId="60F6EFDE" w14:textId="77777777" w:rsidR="00830FDC" w:rsidRPr="000165D4" w:rsidRDefault="00830FDC" w:rsidP="00D0090A">
                <w:pPr>
                  <w:pStyle w:val="Tabletext"/>
                </w:pPr>
                <w:r w:rsidRPr="000165D4">
                  <w:t>P</w:t>
                </w:r>
              </w:p>
            </w:tc>
            <w:tc>
              <w:tcPr>
                <w:tcW w:w="920" w:type="dxa"/>
                <w:shd w:val="clear" w:color="auto" w:fill="CAE7F3" w:themeFill="accent1" w:themeFillTint="33"/>
                <w:noWrap/>
                <w:vAlign w:val="bottom"/>
                <w:hideMark/>
              </w:tcPr>
              <w:p w14:paraId="7C5CFFA5" w14:textId="77777777" w:rsidR="00830FDC" w:rsidRPr="000165D4" w:rsidRDefault="00830FDC" w:rsidP="00D0090A">
                <w:pPr>
                  <w:pStyle w:val="Tabletext"/>
                  <w:jc w:val="right"/>
                </w:pPr>
                <w:r w:rsidRPr="000165D4">
                  <w:t>74.9</w:t>
                </w:r>
              </w:p>
            </w:tc>
            <w:tc>
              <w:tcPr>
                <w:tcW w:w="920" w:type="dxa"/>
                <w:shd w:val="clear" w:color="auto" w:fill="CAE7F3" w:themeFill="accent1" w:themeFillTint="33"/>
                <w:noWrap/>
                <w:vAlign w:val="bottom"/>
                <w:hideMark/>
              </w:tcPr>
              <w:p w14:paraId="16C861A4" w14:textId="77777777" w:rsidR="00830FDC" w:rsidRPr="000165D4" w:rsidRDefault="00830FDC" w:rsidP="00D0090A">
                <w:pPr>
                  <w:pStyle w:val="Tabletext"/>
                  <w:jc w:val="right"/>
                </w:pPr>
                <w:r w:rsidRPr="000165D4">
                  <w:t>58.5</w:t>
                </w:r>
              </w:p>
            </w:tc>
            <w:tc>
              <w:tcPr>
                <w:tcW w:w="921" w:type="dxa"/>
                <w:shd w:val="clear" w:color="auto" w:fill="CAE7F3" w:themeFill="accent1" w:themeFillTint="33"/>
                <w:noWrap/>
                <w:vAlign w:val="bottom"/>
                <w:hideMark/>
              </w:tcPr>
              <w:p w14:paraId="20569E6E" w14:textId="77777777" w:rsidR="00830FDC" w:rsidRPr="000165D4" w:rsidRDefault="00830FDC" w:rsidP="00D0090A">
                <w:pPr>
                  <w:pStyle w:val="Tabletext"/>
                  <w:jc w:val="right"/>
                </w:pPr>
                <w:r w:rsidRPr="000165D4">
                  <w:t>47.1</w:t>
                </w:r>
              </w:p>
            </w:tc>
            <w:tc>
              <w:tcPr>
                <w:tcW w:w="920" w:type="dxa"/>
                <w:shd w:val="clear" w:color="auto" w:fill="CAE7F3" w:themeFill="accent1" w:themeFillTint="33"/>
                <w:noWrap/>
                <w:vAlign w:val="center"/>
                <w:hideMark/>
              </w:tcPr>
              <w:p w14:paraId="3608B13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-17.5</w:t>
                </w:r>
              </w:p>
            </w:tc>
            <w:tc>
              <w:tcPr>
                <w:tcW w:w="920" w:type="dxa"/>
                <w:shd w:val="clear" w:color="auto" w:fill="CAE7F3" w:themeFill="accent1" w:themeFillTint="33"/>
                <w:noWrap/>
                <w:vAlign w:val="bottom"/>
                <w:hideMark/>
              </w:tcPr>
              <w:p w14:paraId="06842B62" w14:textId="77777777" w:rsidR="00830FDC" w:rsidRPr="000165D4" w:rsidRDefault="00830FDC" w:rsidP="00D0090A">
                <w:pPr>
                  <w:pStyle w:val="Tabletext"/>
                  <w:jc w:val="right"/>
                </w:pPr>
                <w:r w:rsidRPr="000165D4">
                  <w:t>76.4</w:t>
                </w:r>
              </w:p>
            </w:tc>
            <w:tc>
              <w:tcPr>
                <w:tcW w:w="921" w:type="dxa"/>
                <w:shd w:val="clear" w:color="auto" w:fill="CAE7F3" w:themeFill="accent1" w:themeFillTint="33"/>
                <w:noWrap/>
                <w:vAlign w:val="bottom"/>
                <w:hideMark/>
              </w:tcPr>
              <w:p w14:paraId="17810740" w14:textId="77777777" w:rsidR="00830FDC" w:rsidRPr="000165D4" w:rsidRDefault="00830FDC" w:rsidP="00D0090A">
                <w:pPr>
                  <w:pStyle w:val="Tabletext"/>
                  <w:jc w:val="right"/>
                </w:pPr>
                <w:r w:rsidRPr="000165D4">
                  <w:t>57.7</w:t>
                </w:r>
              </w:p>
            </w:tc>
            <w:tc>
              <w:tcPr>
                <w:tcW w:w="920" w:type="dxa"/>
                <w:gridSpan w:val="2"/>
                <w:shd w:val="clear" w:color="auto" w:fill="CAE7F3" w:themeFill="accent1" w:themeFillTint="33"/>
                <w:noWrap/>
                <w:vAlign w:val="center"/>
                <w:hideMark/>
              </w:tcPr>
              <w:p w14:paraId="4BFFE203"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-21.2</w:t>
                </w:r>
              </w:p>
            </w:tc>
            <w:tc>
              <w:tcPr>
                <w:tcW w:w="920" w:type="dxa"/>
                <w:shd w:val="clear" w:color="auto" w:fill="CAE7F3" w:themeFill="accent1" w:themeFillTint="33"/>
                <w:noWrap/>
                <w:vAlign w:val="bottom"/>
                <w:hideMark/>
              </w:tcPr>
              <w:p w14:paraId="328E7D09" w14:textId="77777777" w:rsidR="00830FDC" w:rsidRPr="000165D4" w:rsidRDefault="00830FDC" w:rsidP="00D0090A">
                <w:pPr>
                  <w:pStyle w:val="Tabletext"/>
                  <w:jc w:val="right"/>
                </w:pPr>
                <w:r w:rsidRPr="000165D4">
                  <w:t>75.8</w:t>
                </w:r>
              </w:p>
            </w:tc>
            <w:tc>
              <w:tcPr>
                <w:tcW w:w="921" w:type="dxa"/>
                <w:shd w:val="clear" w:color="auto" w:fill="CAE7F3" w:themeFill="accent1" w:themeFillTint="33"/>
                <w:noWrap/>
                <w:vAlign w:val="center"/>
                <w:hideMark/>
              </w:tcPr>
              <w:p w14:paraId="1F5F83F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-24.2</w:t>
                </w:r>
              </w:p>
            </w:tc>
          </w:tr>
          <w:tr w:rsidR="00830FDC" w:rsidRPr="00514E20" w14:paraId="2D7A1317" w14:textId="77777777" w:rsidTr="00866271">
            <w:trPr>
              <w:trHeight w:val="300"/>
            </w:trPr>
            <w:tc>
              <w:tcPr>
                <w:tcW w:w="959" w:type="dxa"/>
                <w:shd w:val="clear" w:color="auto" w:fill="CAE7F3" w:themeFill="accent1" w:themeFillTint="33"/>
                <w:noWrap/>
                <w:vAlign w:val="bottom"/>
                <w:hideMark/>
              </w:tcPr>
              <w:p w14:paraId="5E799A10" w14:textId="77777777" w:rsidR="00830FDC" w:rsidRPr="000165D4" w:rsidRDefault="00830FDC" w:rsidP="00D0090A">
                <w:pPr>
                  <w:pStyle w:val="Tabletext"/>
                </w:pPr>
                <w:r w:rsidRPr="000165D4">
                  <w:t>Q</w:t>
                </w:r>
              </w:p>
            </w:tc>
            <w:tc>
              <w:tcPr>
                <w:tcW w:w="920" w:type="dxa"/>
                <w:shd w:val="clear" w:color="auto" w:fill="CAE7F3" w:themeFill="accent1" w:themeFillTint="33"/>
                <w:noWrap/>
                <w:vAlign w:val="bottom"/>
                <w:hideMark/>
              </w:tcPr>
              <w:p w14:paraId="7A1846DA" w14:textId="77777777" w:rsidR="00830FDC" w:rsidRPr="000165D4" w:rsidRDefault="00830FDC" w:rsidP="00D0090A">
                <w:pPr>
                  <w:pStyle w:val="Tabletext"/>
                  <w:jc w:val="right"/>
                </w:pPr>
                <w:r w:rsidRPr="000165D4">
                  <w:t>83.8</w:t>
                </w:r>
              </w:p>
            </w:tc>
            <w:tc>
              <w:tcPr>
                <w:tcW w:w="920" w:type="dxa"/>
                <w:shd w:val="clear" w:color="auto" w:fill="CAE7F3" w:themeFill="accent1" w:themeFillTint="33"/>
                <w:noWrap/>
                <w:vAlign w:val="bottom"/>
                <w:hideMark/>
              </w:tcPr>
              <w:p w14:paraId="106320BE" w14:textId="77777777" w:rsidR="00830FDC" w:rsidRPr="000165D4" w:rsidRDefault="00830FDC" w:rsidP="00D0090A">
                <w:pPr>
                  <w:pStyle w:val="Tabletext"/>
                  <w:jc w:val="right"/>
                </w:pPr>
                <w:r w:rsidRPr="000165D4">
                  <w:t>72.4</w:t>
                </w:r>
              </w:p>
            </w:tc>
            <w:tc>
              <w:tcPr>
                <w:tcW w:w="921" w:type="dxa"/>
                <w:shd w:val="clear" w:color="auto" w:fill="CAE7F3" w:themeFill="accent1" w:themeFillTint="33"/>
                <w:noWrap/>
                <w:vAlign w:val="bottom"/>
                <w:hideMark/>
              </w:tcPr>
              <w:p w14:paraId="45EBE321" w14:textId="77777777" w:rsidR="00830FDC" w:rsidRPr="000165D4" w:rsidRDefault="00830FDC" w:rsidP="00D0090A">
                <w:pPr>
                  <w:pStyle w:val="Tabletext"/>
                  <w:jc w:val="right"/>
                </w:pPr>
                <w:r w:rsidRPr="000165D4">
                  <w:t>63.9</w:t>
                </w:r>
              </w:p>
            </w:tc>
            <w:tc>
              <w:tcPr>
                <w:tcW w:w="920" w:type="dxa"/>
                <w:shd w:val="clear" w:color="auto" w:fill="CAE7F3" w:themeFill="accent1" w:themeFillTint="33"/>
                <w:noWrap/>
                <w:vAlign w:val="center"/>
                <w:hideMark/>
              </w:tcPr>
              <w:p w14:paraId="0575351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-12.0</w:t>
                </w:r>
              </w:p>
            </w:tc>
            <w:tc>
              <w:tcPr>
                <w:tcW w:w="920" w:type="dxa"/>
                <w:shd w:val="clear" w:color="auto" w:fill="CAE7F3" w:themeFill="accent1" w:themeFillTint="33"/>
                <w:noWrap/>
                <w:vAlign w:val="bottom"/>
                <w:hideMark/>
              </w:tcPr>
              <w:p w14:paraId="7C83885A" w14:textId="77777777" w:rsidR="00830FDC" w:rsidRPr="000165D4" w:rsidRDefault="00830FDC" w:rsidP="00D0090A">
                <w:pPr>
                  <w:pStyle w:val="Tabletext"/>
                  <w:jc w:val="right"/>
                </w:pPr>
                <w:r w:rsidRPr="000165D4">
                  <w:t>84.4</w:t>
                </w:r>
              </w:p>
            </w:tc>
            <w:tc>
              <w:tcPr>
                <w:tcW w:w="921" w:type="dxa"/>
                <w:shd w:val="clear" w:color="auto" w:fill="CAE7F3" w:themeFill="accent1" w:themeFillTint="33"/>
                <w:noWrap/>
                <w:vAlign w:val="bottom"/>
                <w:hideMark/>
              </w:tcPr>
              <w:p w14:paraId="5D12D756" w14:textId="77777777" w:rsidR="00830FDC" w:rsidRPr="000165D4" w:rsidRDefault="00830FDC" w:rsidP="00D0090A">
                <w:pPr>
                  <w:pStyle w:val="Tabletext"/>
                  <w:jc w:val="right"/>
                </w:pPr>
                <w:r w:rsidRPr="000165D4">
                  <w:t>72.2</w:t>
                </w:r>
              </w:p>
            </w:tc>
            <w:tc>
              <w:tcPr>
                <w:tcW w:w="920" w:type="dxa"/>
                <w:gridSpan w:val="2"/>
                <w:shd w:val="clear" w:color="auto" w:fill="CAE7F3" w:themeFill="accent1" w:themeFillTint="33"/>
                <w:noWrap/>
                <w:vAlign w:val="center"/>
                <w:hideMark/>
              </w:tcPr>
              <w:p w14:paraId="36DBD4C9"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-13.9</w:t>
                </w:r>
              </w:p>
            </w:tc>
            <w:tc>
              <w:tcPr>
                <w:tcW w:w="920" w:type="dxa"/>
                <w:shd w:val="clear" w:color="auto" w:fill="CAE7F3" w:themeFill="accent1" w:themeFillTint="33"/>
                <w:noWrap/>
                <w:vAlign w:val="bottom"/>
                <w:hideMark/>
              </w:tcPr>
              <w:p w14:paraId="2A7EF4FE" w14:textId="77777777" w:rsidR="00830FDC" w:rsidRPr="000165D4" w:rsidRDefault="00830FDC" w:rsidP="00D0090A">
                <w:pPr>
                  <w:pStyle w:val="Tabletext"/>
                  <w:jc w:val="right"/>
                </w:pPr>
                <w:r w:rsidRPr="000165D4">
                  <w:t>83.4</w:t>
                </w:r>
              </w:p>
            </w:tc>
            <w:tc>
              <w:tcPr>
                <w:tcW w:w="921" w:type="dxa"/>
                <w:shd w:val="clear" w:color="auto" w:fill="CAE7F3" w:themeFill="accent1" w:themeFillTint="33"/>
                <w:noWrap/>
                <w:vAlign w:val="center"/>
                <w:hideMark/>
              </w:tcPr>
              <w:p w14:paraId="6389832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-16.6</w:t>
                </w:r>
              </w:p>
            </w:tc>
          </w:tr>
          <w:tr w:rsidR="00830FDC" w:rsidRPr="00514E20" w14:paraId="67815750" w14:textId="77777777" w:rsidTr="00866271">
            <w:trPr>
              <w:trHeight w:val="300"/>
            </w:trPr>
            <w:tc>
              <w:tcPr>
                <w:tcW w:w="959" w:type="dxa"/>
                <w:shd w:val="clear" w:color="auto" w:fill="CAE7F3" w:themeFill="accent1" w:themeFillTint="33"/>
                <w:noWrap/>
                <w:vAlign w:val="bottom"/>
                <w:hideMark/>
              </w:tcPr>
              <w:p w14:paraId="3F3B269B" w14:textId="77777777" w:rsidR="00830FDC" w:rsidRPr="000165D4" w:rsidRDefault="00830FDC" w:rsidP="00D0090A">
                <w:pPr>
                  <w:pStyle w:val="Tabletext"/>
                </w:pPr>
                <w:r w:rsidRPr="000165D4">
                  <w:t>R</w:t>
                </w:r>
              </w:p>
            </w:tc>
            <w:tc>
              <w:tcPr>
                <w:tcW w:w="920" w:type="dxa"/>
                <w:shd w:val="clear" w:color="auto" w:fill="CAE7F3" w:themeFill="accent1" w:themeFillTint="33"/>
                <w:noWrap/>
                <w:vAlign w:val="bottom"/>
                <w:hideMark/>
              </w:tcPr>
              <w:p w14:paraId="5B44EC90" w14:textId="77777777" w:rsidR="00830FDC" w:rsidRPr="000165D4" w:rsidRDefault="00830FDC" w:rsidP="00D0090A">
                <w:pPr>
                  <w:pStyle w:val="Tabletext"/>
                  <w:jc w:val="right"/>
                </w:pPr>
                <w:r w:rsidRPr="000165D4">
                  <w:t>72.0</w:t>
                </w:r>
              </w:p>
            </w:tc>
            <w:tc>
              <w:tcPr>
                <w:tcW w:w="920" w:type="dxa"/>
                <w:shd w:val="clear" w:color="auto" w:fill="CAE7F3" w:themeFill="accent1" w:themeFillTint="33"/>
                <w:noWrap/>
                <w:vAlign w:val="bottom"/>
                <w:hideMark/>
              </w:tcPr>
              <w:p w14:paraId="7E342B7F" w14:textId="77777777" w:rsidR="00830FDC" w:rsidRPr="000165D4" w:rsidRDefault="00830FDC" w:rsidP="00D0090A">
                <w:pPr>
                  <w:pStyle w:val="Tabletext"/>
                  <w:jc w:val="right"/>
                </w:pPr>
                <w:r w:rsidRPr="000165D4">
                  <w:t>55.4</w:t>
                </w:r>
              </w:p>
            </w:tc>
            <w:tc>
              <w:tcPr>
                <w:tcW w:w="921" w:type="dxa"/>
                <w:shd w:val="clear" w:color="auto" w:fill="CAE7F3" w:themeFill="accent1" w:themeFillTint="33"/>
                <w:noWrap/>
                <w:vAlign w:val="bottom"/>
                <w:hideMark/>
              </w:tcPr>
              <w:p w14:paraId="3275A983" w14:textId="77777777" w:rsidR="00830FDC" w:rsidRPr="000165D4" w:rsidRDefault="00830FDC" w:rsidP="00D0090A">
                <w:pPr>
                  <w:pStyle w:val="Tabletext"/>
                  <w:jc w:val="right"/>
                </w:pPr>
                <w:r w:rsidRPr="000165D4">
                  <w:t>45.0</w:t>
                </w:r>
              </w:p>
            </w:tc>
            <w:tc>
              <w:tcPr>
                <w:tcW w:w="920" w:type="dxa"/>
                <w:shd w:val="clear" w:color="auto" w:fill="CAE7F3" w:themeFill="accent1" w:themeFillTint="33"/>
                <w:noWrap/>
                <w:vAlign w:val="center"/>
                <w:hideMark/>
              </w:tcPr>
              <w:p w14:paraId="66F4E286"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-18.1</w:t>
                </w:r>
              </w:p>
            </w:tc>
            <w:tc>
              <w:tcPr>
                <w:tcW w:w="920" w:type="dxa"/>
                <w:shd w:val="clear" w:color="auto" w:fill="CAE7F3" w:themeFill="accent1" w:themeFillTint="33"/>
                <w:noWrap/>
                <w:vAlign w:val="bottom"/>
                <w:hideMark/>
              </w:tcPr>
              <w:p w14:paraId="5BA32A03" w14:textId="77777777" w:rsidR="00830FDC" w:rsidRPr="000165D4" w:rsidRDefault="00830FDC" w:rsidP="00D0090A">
                <w:pPr>
                  <w:pStyle w:val="Tabletext"/>
                  <w:jc w:val="right"/>
                </w:pPr>
                <w:r w:rsidRPr="000165D4">
                  <w:t>76.3</w:t>
                </w:r>
              </w:p>
            </w:tc>
            <w:tc>
              <w:tcPr>
                <w:tcW w:w="921" w:type="dxa"/>
                <w:shd w:val="clear" w:color="auto" w:fill="CAE7F3" w:themeFill="accent1" w:themeFillTint="33"/>
                <w:noWrap/>
                <w:vAlign w:val="bottom"/>
                <w:hideMark/>
              </w:tcPr>
              <w:p w14:paraId="1D8F8E2F" w14:textId="77777777" w:rsidR="00830FDC" w:rsidRPr="000165D4" w:rsidRDefault="00830FDC" w:rsidP="00D0090A">
                <w:pPr>
                  <w:pStyle w:val="Tabletext"/>
                  <w:jc w:val="right"/>
                </w:pPr>
                <w:r w:rsidRPr="000165D4">
                  <w:t>58.3</w:t>
                </w:r>
              </w:p>
            </w:tc>
            <w:tc>
              <w:tcPr>
                <w:tcW w:w="920" w:type="dxa"/>
                <w:gridSpan w:val="2"/>
                <w:shd w:val="clear" w:color="auto" w:fill="CAE7F3" w:themeFill="accent1" w:themeFillTint="33"/>
                <w:noWrap/>
                <w:vAlign w:val="center"/>
                <w:hideMark/>
              </w:tcPr>
              <w:p w14:paraId="274E536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-20.9</w:t>
                </w:r>
              </w:p>
            </w:tc>
            <w:tc>
              <w:tcPr>
                <w:tcW w:w="920" w:type="dxa"/>
                <w:shd w:val="clear" w:color="auto" w:fill="CAE7F3" w:themeFill="accent1" w:themeFillTint="33"/>
                <w:noWrap/>
                <w:vAlign w:val="bottom"/>
                <w:hideMark/>
              </w:tcPr>
              <w:p w14:paraId="02E358D7" w14:textId="77777777" w:rsidR="00830FDC" w:rsidRPr="000165D4" w:rsidRDefault="00830FDC" w:rsidP="00D0090A">
                <w:pPr>
                  <w:pStyle w:val="Tabletext"/>
                  <w:jc w:val="right"/>
                </w:pPr>
                <w:r w:rsidRPr="000165D4">
                  <w:t>74.8</w:t>
                </w:r>
              </w:p>
            </w:tc>
            <w:tc>
              <w:tcPr>
                <w:tcW w:w="921" w:type="dxa"/>
                <w:shd w:val="clear" w:color="auto" w:fill="CAE7F3" w:themeFill="accent1" w:themeFillTint="33"/>
                <w:noWrap/>
                <w:vAlign w:val="center"/>
                <w:hideMark/>
              </w:tcPr>
              <w:p w14:paraId="66D3D438"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-25.2</w:t>
                </w:r>
              </w:p>
            </w:tc>
          </w:tr>
          <w:tr w:rsidR="00830FDC" w:rsidRPr="00514E20" w14:paraId="0643C181" w14:textId="77777777" w:rsidTr="00866271">
            <w:trPr>
              <w:trHeight w:val="300"/>
            </w:trPr>
            <w:tc>
              <w:tcPr>
                <w:tcW w:w="959" w:type="dxa"/>
                <w:shd w:val="clear" w:color="auto" w:fill="CAE7F3" w:themeFill="accent1" w:themeFillTint="33"/>
                <w:noWrap/>
                <w:vAlign w:val="bottom"/>
                <w:hideMark/>
              </w:tcPr>
              <w:p w14:paraId="67FF8947" w14:textId="77777777" w:rsidR="00830FDC" w:rsidRPr="000165D4" w:rsidRDefault="00830FDC" w:rsidP="00D0090A">
                <w:pPr>
                  <w:pStyle w:val="Tabletext"/>
                </w:pPr>
                <w:r w:rsidRPr="000165D4">
                  <w:t>S</w:t>
                </w:r>
              </w:p>
            </w:tc>
            <w:tc>
              <w:tcPr>
                <w:tcW w:w="920" w:type="dxa"/>
                <w:shd w:val="clear" w:color="auto" w:fill="CAE7F3" w:themeFill="accent1" w:themeFillTint="33"/>
                <w:noWrap/>
                <w:vAlign w:val="bottom"/>
                <w:hideMark/>
              </w:tcPr>
              <w:p w14:paraId="5142543D" w14:textId="77777777" w:rsidR="00830FDC" w:rsidRPr="000165D4" w:rsidRDefault="00830FDC" w:rsidP="00D0090A">
                <w:pPr>
                  <w:pStyle w:val="Tabletext"/>
                  <w:jc w:val="right"/>
                </w:pPr>
                <w:r w:rsidRPr="000165D4">
                  <w:t>76.2</w:t>
                </w:r>
              </w:p>
            </w:tc>
            <w:tc>
              <w:tcPr>
                <w:tcW w:w="920" w:type="dxa"/>
                <w:shd w:val="clear" w:color="auto" w:fill="CAE7F3" w:themeFill="accent1" w:themeFillTint="33"/>
                <w:noWrap/>
                <w:vAlign w:val="bottom"/>
                <w:hideMark/>
              </w:tcPr>
              <w:p w14:paraId="78A69421" w14:textId="77777777" w:rsidR="00830FDC" w:rsidRPr="000165D4" w:rsidRDefault="00830FDC" w:rsidP="00D0090A">
                <w:pPr>
                  <w:pStyle w:val="Tabletext"/>
                  <w:jc w:val="right"/>
                </w:pPr>
                <w:r w:rsidRPr="000165D4">
                  <w:t>59.3</w:t>
                </w:r>
              </w:p>
            </w:tc>
            <w:tc>
              <w:tcPr>
                <w:tcW w:w="921" w:type="dxa"/>
                <w:shd w:val="clear" w:color="auto" w:fill="CAE7F3" w:themeFill="accent1" w:themeFillTint="33"/>
                <w:noWrap/>
                <w:vAlign w:val="bottom"/>
                <w:hideMark/>
              </w:tcPr>
              <w:p w14:paraId="298DAC60" w14:textId="77777777" w:rsidR="00830FDC" w:rsidRPr="000165D4" w:rsidRDefault="00830FDC" w:rsidP="00D0090A">
                <w:pPr>
                  <w:pStyle w:val="Tabletext"/>
                  <w:jc w:val="right"/>
                </w:pPr>
                <w:r w:rsidRPr="000165D4">
                  <w:t>47.9</w:t>
                </w:r>
              </w:p>
            </w:tc>
            <w:tc>
              <w:tcPr>
                <w:tcW w:w="920" w:type="dxa"/>
                <w:shd w:val="clear" w:color="auto" w:fill="CAE7F3" w:themeFill="accent1" w:themeFillTint="33"/>
                <w:noWrap/>
                <w:vAlign w:val="center"/>
                <w:hideMark/>
              </w:tcPr>
              <w:p w14:paraId="3B1AB86A"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-17.3</w:t>
                </w:r>
              </w:p>
            </w:tc>
            <w:tc>
              <w:tcPr>
                <w:tcW w:w="920" w:type="dxa"/>
                <w:shd w:val="clear" w:color="auto" w:fill="CAE7F3" w:themeFill="accent1" w:themeFillTint="33"/>
                <w:noWrap/>
                <w:vAlign w:val="bottom"/>
                <w:hideMark/>
              </w:tcPr>
              <w:p w14:paraId="0B2196AC" w14:textId="77777777" w:rsidR="00830FDC" w:rsidRPr="000165D4" w:rsidRDefault="00830FDC" w:rsidP="00D0090A">
                <w:pPr>
                  <w:pStyle w:val="Tabletext"/>
                  <w:jc w:val="right"/>
                </w:pPr>
                <w:r w:rsidRPr="000165D4">
                  <w:t>75.6</w:t>
                </w:r>
              </w:p>
            </w:tc>
            <w:tc>
              <w:tcPr>
                <w:tcW w:w="921" w:type="dxa"/>
                <w:shd w:val="clear" w:color="auto" w:fill="CAE7F3" w:themeFill="accent1" w:themeFillTint="33"/>
                <w:noWrap/>
                <w:vAlign w:val="bottom"/>
                <w:hideMark/>
              </w:tcPr>
              <w:p w14:paraId="229E07FF" w14:textId="77777777" w:rsidR="00830FDC" w:rsidRPr="000165D4" w:rsidRDefault="00830FDC" w:rsidP="00D0090A">
                <w:pPr>
                  <w:pStyle w:val="Tabletext"/>
                  <w:jc w:val="right"/>
                </w:pPr>
                <w:r w:rsidRPr="000165D4">
                  <w:t>58.4</w:t>
                </w:r>
              </w:p>
            </w:tc>
            <w:tc>
              <w:tcPr>
                <w:tcW w:w="920" w:type="dxa"/>
                <w:gridSpan w:val="2"/>
                <w:shd w:val="clear" w:color="auto" w:fill="CAE7F3" w:themeFill="accent1" w:themeFillTint="33"/>
                <w:noWrap/>
                <w:vAlign w:val="center"/>
                <w:hideMark/>
              </w:tcPr>
              <w:p w14:paraId="23A58E5E"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-20.8</w:t>
                </w:r>
              </w:p>
            </w:tc>
            <w:tc>
              <w:tcPr>
                <w:tcW w:w="920" w:type="dxa"/>
                <w:shd w:val="clear" w:color="auto" w:fill="CAE7F3" w:themeFill="accent1" w:themeFillTint="33"/>
                <w:noWrap/>
                <w:vAlign w:val="bottom"/>
                <w:hideMark/>
              </w:tcPr>
              <w:p w14:paraId="21535FA0" w14:textId="77777777" w:rsidR="00830FDC" w:rsidRPr="000165D4" w:rsidRDefault="00830FDC" w:rsidP="00D0090A">
                <w:pPr>
                  <w:pStyle w:val="Tabletext"/>
                  <w:jc w:val="right"/>
                </w:pPr>
                <w:r w:rsidRPr="000165D4">
                  <w:t>75.4</w:t>
                </w:r>
              </w:p>
            </w:tc>
            <w:tc>
              <w:tcPr>
                <w:tcW w:w="921" w:type="dxa"/>
                <w:shd w:val="clear" w:color="auto" w:fill="CAE7F3" w:themeFill="accent1" w:themeFillTint="33"/>
                <w:noWrap/>
                <w:vAlign w:val="center"/>
                <w:hideMark/>
              </w:tcPr>
              <w:p w14:paraId="16884ECD"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-24.6</w:t>
                </w:r>
              </w:p>
            </w:tc>
          </w:tr>
          <w:tr w:rsidR="00830FDC" w:rsidRPr="00514E20" w14:paraId="273A0627" w14:textId="77777777" w:rsidTr="00866271">
            <w:trPr>
              <w:trHeight w:val="300"/>
            </w:trPr>
            <w:tc>
              <w:tcPr>
                <w:tcW w:w="959" w:type="dxa"/>
                <w:tcBorders>
                  <w:bottom w:val="single" w:sz="8" w:space="0" w:color="595A5B"/>
                </w:tcBorders>
                <w:shd w:val="clear" w:color="auto" w:fill="CAE7F3" w:themeFill="accent1" w:themeFillTint="33"/>
                <w:noWrap/>
                <w:vAlign w:val="bottom"/>
                <w:hideMark/>
              </w:tcPr>
              <w:p w14:paraId="706319B9" w14:textId="77777777" w:rsidR="00830FDC" w:rsidRPr="000165D4" w:rsidRDefault="00830FDC" w:rsidP="00D0090A">
                <w:pPr>
                  <w:pStyle w:val="Tabletext"/>
                </w:pPr>
                <w:r w:rsidRPr="000165D4">
                  <w:t>X</w:t>
                </w:r>
              </w:p>
            </w:tc>
            <w:tc>
              <w:tcPr>
                <w:tcW w:w="920" w:type="dxa"/>
                <w:tcBorders>
                  <w:bottom w:val="single" w:sz="8" w:space="0" w:color="595A5B"/>
                </w:tcBorders>
                <w:shd w:val="clear" w:color="auto" w:fill="CAE7F3" w:themeFill="accent1" w:themeFillTint="33"/>
                <w:noWrap/>
                <w:vAlign w:val="bottom"/>
                <w:hideMark/>
              </w:tcPr>
              <w:p w14:paraId="24DEC053" w14:textId="77777777" w:rsidR="00830FDC" w:rsidRPr="000165D4" w:rsidRDefault="00830FDC" w:rsidP="00D0090A">
                <w:pPr>
                  <w:pStyle w:val="Tabletext"/>
                  <w:jc w:val="right"/>
                </w:pPr>
                <w:r w:rsidRPr="000165D4">
                  <w:t>37.4</w:t>
                </w:r>
              </w:p>
            </w:tc>
            <w:tc>
              <w:tcPr>
                <w:tcW w:w="920" w:type="dxa"/>
                <w:tcBorders>
                  <w:bottom w:val="single" w:sz="8" w:space="0" w:color="595A5B"/>
                </w:tcBorders>
                <w:shd w:val="clear" w:color="auto" w:fill="CAE7F3" w:themeFill="accent1" w:themeFillTint="33"/>
                <w:noWrap/>
                <w:vAlign w:val="bottom"/>
                <w:hideMark/>
              </w:tcPr>
              <w:p w14:paraId="1084FC35" w14:textId="77777777" w:rsidR="00830FDC" w:rsidRPr="000165D4" w:rsidRDefault="00830FDC" w:rsidP="00D0090A">
                <w:pPr>
                  <w:pStyle w:val="Tabletext"/>
                  <w:jc w:val="right"/>
                </w:pPr>
                <w:r w:rsidRPr="000165D4">
                  <w:t>25.8</w:t>
                </w:r>
              </w:p>
            </w:tc>
            <w:tc>
              <w:tcPr>
                <w:tcW w:w="921" w:type="dxa"/>
                <w:tcBorders>
                  <w:bottom w:val="single" w:sz="8" w:space="0" w:color="595A5B"/>
                </w:tcBorders>
                <w:shd w:val="clear" w:color="auto" w:fill="CAE7F3" w:themeFill="accent1" w:themeFillTint="33"/>
                <w:noWrap/>
                <w:vAlign w:val="bottom"/>
                <w:hideMark/>
              </w:tcPr>
              <w:p w14:paraId="58CC3EBD" w14:textId="77777777" w:rsidR="00830FDC" w:rsidRPr="000165D4" w:rsidRDefault="00830FDC" w:rsidP="00D0090A">
                <w:pPr>
                  <w:pStyle w:val="Tabletext"/>
                  <w:jc w:val="right"/>
                </w:pPr>
                <w:r w:rsidRPr="000165D4">
                  <w:t>20.3</w:t>
                </w:r>
              </w:p>
            </w:tc>
            <w:tc>
              <w:tcPr>
                <w:tcW w:w="920" w:type="dxa"/>
                <w:tcBorders>
                  <w:bottom w:val="single" w:sz="8" w:space="0" w:color="595A5B"/>
                </w:tcBorders>
                <w:shd w:val="clear" w:color="auto" w:fill="CAE7F3" w:themeFill="accent1" w:themeFillTint="33"/>
                <w:noWrap/>
                <w:vAlign w:val="center"/>
                <w:hideMark/>
              </w:tcPr>
              <w:p w14:paraId="2E8FCF6C"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-25.1</w:t>
                </w:r>
              </w:p>
            </w:tc>
            <w:tc>
              <w:tcPr>
                <w:tcW w:w="920" w:type="dxa"/>
                <w:tcBorders>
                  <w:bottom w:val="single" w:sz="8" w:space="0" w:color="595A5B"/>
                </w:tcBorders>
                <w:shd w:val="clear" w:color="auto" w:fill="CAE7F3" w:themeFill="accent1" w:themeFillTint="33"/>
                <w:noWrap/>
                <w:vAlign w:val="bottom"/>
                <w:hideMark/>
              </w:tcPr>
              <w:p w14:paraId="5E153840" w14:textId="77777777" w:rsidR="00830FDC" w:rsidRPr="000165D4" w:rsidRDefault="00830FDC" w:rsidP="00D0090A">
                <w:pPr>
                  <w:pStyle w:val="Tabletext"/>
                  <w:jc w:val="right"/>
                </w:pPr>
                <w:r w:rsidRPr="000165D4">
                  <w:t>63.9</w:t>
                </w:r>
              </w:p>
            </w:tc>
            <w:tc>
              <w:tcPr>
                <w:tcW w:w="921" w:type="dxa"/>
                <w:tcBorders>
                  <w:bottom w:val="single" w:sz="8" w:space="0" w:color="595A5B"/>
                </w:tcBorders>
                <w:shd w:val="clear" w:color="auto" w:fill="CAE7F3" w:themeFill="accent1" w:themeFillTint="33"/>
                <w:noWrap/>
                <w:vAlign w:val="bottom"/>
                <w:hideMark/>
              </w:tcPr>
              <w:p w14:paraId="6F1BDD2B" w14:textId="77777777" w:rsidR="00830FDC" w:rsidRPr="000165D4" w:rsidRDefault="00830FDC" w:rsidP="00D0090A">
                <w:pPr>
                  <w:pStyle w:val="Tabletext"/>
                  <w:jc w:val="right"/>
                </w:pPr>
                <w:r w:rsidRPr="000165D4">
                  <w:t>46.2</w:t>
                </w:r>
              </w:p>
            </w:tc>
            <w:tc>
              <w:tcPr>
                <w:tcW w:w="920" w:type="dxa"/>
                <w:gridSpan w:val="2"/>
                <w:tcBorders>
                  <w:bottom w:val="single" w:sz="8" w:space="0" w:color="595A5B"/>
                </w:tcBorders>
                <w:shd w:val="clear" w:color="auto" w:fill="CAE7F3" w:themeFill="accent1" w:themeFillTint="33"/>
                <w:noWrap/>
                <w:vAlign w:val="center"/>
                <w:hideMark/>
              </w:tcPr>
              <w:p w14:paraId="1B00A65F"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-26.9</w:t>
                </w:r>
              </w:p>
            </w:tc>
            <w:tc>
              <w:tcPr>
                <w:tcW w:w="920" w:type="dxa"/>
                <w:tcBorders>
                  <w:bottom w:val="single" w:sz="8" w:space="0" w:color="595A5B"/>
                </w:tcBorders>
                <w:shd w:val="clear" w:color="auto" w:fill="CAE7F3" w:themeFill="accent1" w:themeFillTint="33"/>
                <w:noWrap/>
                <w:vAlign w:val="bottom"/>
                <w:hideMark/>
              </w:tcPr>
              <w:p w14:paraId="02FB45C9" w14:textId="77777777" w:rsidR="00830FDC" w:rsidRPr="000165D4" w:rsidRDefault="00830FDC" w:rsidP="00D0090A">
                <w:pPr>
                  <w:pStyle w:val="Tabletext"/>
                  <w:jc w:val="right"/>
                </w:pPr>
                <w:r w:rsidRPr="000165D4">
                  <w:t>53.2</w:t>
                </w:r>
              </w:p>
            </w:tc>
            <w:tc>
              <w:tcPr>
                <w:tcW w:w="921" w:type="dxa"/>
                <w:tcBorders>
                  <w:bottom w:val="single" w:sz="8" w:space="0" w:color="595A5B"/>
                </w:tcBorders>
                <w:shd w:val="clear" w:color="auto" w:fill="CAE7F3" w:themeFill="accent1" w:themeFillTint="33"/>
                <w:noWrap/>
                <w:vAlign w:val="center"/>
                <w:hideMark/>
              </w:tcPr>
              <w:p w14:paraId="7CB0D721"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-46.8</w:t>
                </w:r>
              </w:p>
            </w:tc>
          </w:tr>
          <w:tr w:rsidR="00830FDC" w:rsidRPr="00514E20" w14:paraId="250A7B18" w14:textId="77777777" w:rsidTr="00866271">
            <w:trPr>
              <w:trHeight w:val="300"/>
            </w:trPr>
            <w:tc>
              <w:tcPr>
                <w:tcW w:w="959" w:type="dxa"/>
                <w:tcBorders>
                  <w:top w:val="single" w:sz="8" w:space="0" w:color="595A5B"/>
                </w:tcBorders>
                <w:shd w:val="clear" w:color="auto" w:fill="CAE7F3" w:themeFill="accent1" w:themeFillTint="33"/>
                <w:noWrap/>
                <w:vAlign w:val="bottom"/>
              </w:tcPr>
              <w:p w14:paraId="780AC5A1" w14:textId="77777777" w:rsidR="00830FDC" w:rsidRPr="000165D4" w:rsidRDefault="00830FDC" w:rsidP="00D0090A">
                <w:pPr>
                  <w:pStyle w:val="Tabletext"/>
                </w:pPr>
                <w:r>
                  <w:t>Mean</w:t>
                </w:r>
              </w:p>
            </w:tc>
            <w:tc>
              <w:tcPr>
                <w:tcW w:w="920" w:type="dxa"/>
                <w:tcBorders>
                  <w:top w:val="single" w:sz="8" w:space="0" w:color="595A5B"/>
                </w:tcBorders>
                <w:shd w:val="clear" w:color="auto" w:fill="CAE7F3" w:themeFill="accent1" w:themeFillTint="33"/>
                <w:noWrap/>
                <w:vAlign w:val="bottom"/>
              </w:tcPr>
              <w:p w14:paraId="504CABEC" w14:textId="77777777" w:rsidR="00830FDC" w:rsidRPr="00F032F1" w:rsidRDefault="00830FDC" w:rsidP="00D0090A">
                <w:pPr>
                  <w:pStyle w:val="Tabletext"/>
                  <w:jc w:val="right"/>
                  <w:rPr>
                    <w:lang w:eastAsia="en-AU"/>
                  </w:rPr>
                </w:pPr>
                <w:r w:rsidRPr="00F032F1">
                  <w:rPr>
                    <w:lang w:eastAsia="en-AU"/>
                  </w:rPr>
                  <w:t>73.5</w:t>
                </w:r>
              </w:p>
            </w:tc>
            <w:tc>
              <w:tcPr>
                <w:tcW w:w="920" w:type="dxa"/>
                <w:tcBorders>
                  <w:top w:val="single" w:sz="8" w:space="0" w:color="595A5B"/>
                </w:tcBorders>
                <w:shd w:val="clear" w:color="auto" w:fill="CAE7F3" w:themeFill="accent1" w:themeFillTint="33"/>
                <w:noWrap/>
                <w:vAlign w:val="bottom"/>
              </w:tcPr>
              <w:p w14:paraId="286C4F15" w14:textId="77777777" w:rsidR="00830FDC" w:rsidRPr="00F032F1" w:rsidRDefault="00830FDC" w:rsidP="00D0090A">
                <w:pPr>
                  <w:pStyle w:val="Tabletext"/>
                  <w:jc w:val="right"/>
                  <w:rPr>
                    <w:lang w:eastAsia="en-AU"/>
                  </w:rPr>
                </w:pPr>
                <w:r w:rsidRPr="00F032F1">
                  <w:rPr>
                    <w:lang w:eastAsia="en-AU"/>
                  </w:rPr>
                  <w:t>59.2</w:t>
                </w:r>
              </w:p>
            </w:tc>
            <w:tc>
              <w:tcPr>
                <w:tcW w:w="921" w:type="dxa"/>
                <w:tcBorders>
                  <w:top w:val="single" w:sz="8" w:space="0" w:color="595A5B"/>
                </w:tcBorders>
                <w:shd w:val="clear" w:color="auto" w:fill="CAE7F3" w:themeFill="accent1" w:themeFillTint="33"/>
                <w:noWrap/>
                <w:vAlign w:val="bottom"/>
              </w:tcPr>
              <w:p w14:paraId="5E22A401" w14:textId="77777777" w:rsidR="00830FDC" w:rsidRPr="00F032F1" w:rsidRDefault="00830FDC" w:rsidP="00D0090A">
                <w:pPr>
                  <w:pStyle w:val="Tabletext"/>
                  <w:jc w:val="right"/>
                  <w:rPr>
                    <w:lang w:eastAsia="en-AU"/>
                  </w:rPr>
                </w:pPr>
                <w:r w:rsidRPr="00F032F1">
                  <w:rPr>
                    <w:lang w:eastAsia="en-AU"/>
                  </w:rPr>
                  <w:t>49.3</w:t>
                </w:r>
              </w:p>
            </w:tc>
            <w:tc>
              <w:tcPr>
                <w:tcW w:w="920" w:type="dxa"/>
                <w:tcBorders>
                  <w:top w:val="single" w:sz="8" w:space="0" w:color="595A5B"/>
                </w:tcBorders>
                <w:shd w:val="clear" w:color="auto" w:fill="CAE7F3" w:themeFill="accent1" w:themeFillTint="33"/>
                <w:noWrap/>
                <w:vAlign w:val="center"/>
              </w:tcPr>
              <w:p w14:paraId="71FAB039"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-16.6</w:t>
                </w:r>
              </w:p>
            </w:tc>
            <w:tc>
              <w:tcPr>
                <w:tcW w:w="920" w:type="dxa"/>
                <w:tcBorders>
                  <w:top w:val="single" w:sz="8" w:space="0" w:color="595A5B"/>
                </w:tcBorders>
                <w:shd w:val="clear" w:color="auto" w:fill="CAE7F3" w:themeFill="accent1" w:themeFillTint="33"/>
                <w:noWrap/>
                <w:vAlign w:val="bottom"/>
              </w:tcPr>
              <w:p w14:paraId="39477032" w14:textId="77777777" w:rsidR="00830FDC" w:rsidRPr="00F032F1" w:rsidRDefault="00830FDC" w:rsidP="00D0090A">
                <w:pPr>
                  <w:pStyle w:val="Tabletext"/>
                  <w:jc w:val="right"/>
                  <w:rPr>
                    <w:lang w:eastAsia="en-AU"/>
                  </w:rPr>
                </w:pPr>
                <w:r w:rsidRPr="00F032F1">
                  <w:rPr>
                    <w:lang w:eastAsia="en-AU"/>
                  </w:rPr>
                  <w:t>75.5</w:t>
                </w:r>
              </w:p>
            </w:tc>
            <w:tc>
              <w:tcPr>
                <w:tcW w:w="921" w:type="dxa"/>
                <w:tcBorders>
                  <w:top w:val="single" w:sz="8" w:space="0" w:color="595A5B"/>
                </w:tcBorders>
                <w:shd w:val="clear" w:color="auto" w:fill="CAE7F3" w:themeFill="accent1" w:themeFillTint="33"/>
                <w:noWrap/>
                <w:vAlign w:val="bottom"/>
              </w:tcPr>
              <w:p w14:paraId="04A800D0" w14:textId="77777777" w:rsidR="00830FDC" w:rsidRPr="00F032F1" w:rsidRDefault="00830FDC" w:rsidP="00D0090A">
                <w:pPr>
                  <w:pStyle w:val="Tabletext"/>
                  <w:jc w:val="right"/>
                  <w:rPr>
                    <w:lang w:eastAsia="en-AU"/>
                  </w:rPr>
                </w:pPr>
                <w:r w:rsidRPr="00F032F1">
                  <w:rPr>
                    <w:lang w:eastAsia="en-AU"/>
                  </w:rPr>
                  <w:t>60.2</w:t>
                </w:r>
              </w:p>
            </w:tc>
            <w:tc>
              <w:tcPr>
                <w:tcW w:w="920" w:type="dxa"/>
                <w:gridSpan w:val="2"/>
                <w:tcBorders>
                  <w:top w:val="single" w:sz="8" w:space="0" w:color="595A5B"/>
                </w:tcBorders>
                <w:shd w:val="clear" w:color="auto" w:fill="CAE7F3" w:themeFill="accent1" w:themeFillTint="33"/>
                <w:noWrap/>
                <w:vAlign w:val="center"/>
              </w:tcPr>
              <w:p w14:paraId="3C33EC73"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-19.9</w:t>
                </w:r>
              </w:p>
            </w:tc>
            <w:tc>
              <w:tcPr>
                <w:tcW w:w="920" w:type="dxa"/>
                <w:tcBorders>
                  <w:top w:val="single" w:sz="8" w:space="0" w:color="595A5B"/>
                </w:tcBorders>
                <w:shd w:val="clear" w:color="auto" w:fill="CAE7F3" w:themeFill="accent1" w:themeFillTint="33"/>
                <w:noWrap/>
                <w:vAlign w:val="bottom"/>
              </w:tcPr>
              <w:p w14:paraId="2F02DD28" w14:textId="77777777" w:rsidR="00830FDC" w:rsidRPr="00F032F1" w:rsidRDefault="00830FDC" w:rsidP="00D0090A">
                <w:pPr>
                  <w:pStyle w:val="Tabletext"/>
                  <w:jc w:val="right"/>
                  <w:rPr>
                    <w:lang w:eastAsia="en-AU"/>
                  </w:rPr>
                </w:pPr>
                <w:r w:rsidRPr="00F032F1">
                  <w:rPr>
                    <w:lang w:eastAsia="en-AU"/>
                  </w:rPr>
                  <w:t>74.26</w:t>
                </w:r>
              </w:p>
            </w:tc>
            <w:tc>
              <w:tcPr>
                <w:tcW w:w="921" w:type="dxa"/>
                <w:tcBorders>
                  <w:top w:val="single" w:sz="8" w:space="0" w:color="595A5B"/>
                </w:tcBorders>
                <w:shd w:val="clear" w:color="auto" w:fill="CAE7F3" w:themeFill="accent1" w:themeFillTint="33"/>
                <w:noWrap/>
                <w:vAlign w:val="center"/>
              </w:tcPr>
              <w:p w14:paraId="1BEB1828" w14:textId="77777777" w:rsidR="00830FDC" w:rsidRPr="00514E20" w:rsidRDefault="00830FDC" w:rsidP="00D0090A">
                <w:pPr>
                  <w:spacing w:after="0" w:line="240" w:lineRule="auto"/>
                  <w:ind w:left="0"/>
                  <w:jc w:val="right"/>
                  <w:rPr>
                    <w:rFonts w:eastAsia="Times New Roman" w:cs="Arial"/>
                    <w:b/>
                    <w:bCs/>
                    <w:sz w:val="18"/>
                    <w:szCs w:val="18"/>
                    <w:lang w:eastAsia="en-AU"/>
                  </w:rPr>
                </w:pPr>
                <w:r w:rsidRPr="00514E20">
                  <w:rPr>
                    <w:rFonts w:eastAsia="Times New Roman" w:cs="Arial"/>
                    <w:b/>
                    <w:bCs/>
                    <w:sz w:val="18"/>
                    <w:szCs w:val="18"/>
                    <w:lang w:eastAsia="en-AU"/>
                  </w:rPr>
                  <w:t>-25.7</w:t>
                </w:r>
              </w:p>
            </w:tc>
          </w:tr>
        </w:tbl>
        <w:p w14:paraId="73799183" w14:textId="6F5C97DA" w:rsidR="00830FDC" w:rsidRPr="00A30089" w:rsidRDefault="00830FDC" w:rsidP="00830FDC">
          <w:pPr>
            <w:pStyle w:val="NoteWide"/>
          </w:pPr>
          <w:r w:rsidRPr="00A30089">
            <w:t>Note</w:t>
          </w:r>
          <w:r>
            <w:t>s: Slope is calculated with 100 per cent survival for the year of business entry. ANZSIC Division X refers to businesses that were not classified in the existing system.</w:t>
          </w:r>
          <w:r w:rsidR="00072129">
            <w:t xml:space="preserve"> </w:t>
          </w:r>
          <w:r w:rsidR="00F5479E">
            <w:t>Agriculture (A), Mining (B), Manufacturing (C), Electricity, gas, water and waste services (D), Construction (E), Wholesale (F), Retail trade (G), Accommodation and food services (H), Transport, postal and warehousing (I), Information and telecommunications (J), Financial and insurance services (K), Rental hiring and real estate services (L), Professional, scientific and technical service (M), Administration support services (N), Public administration and safety (O), Education (P), Health care and social assistance (Q), Arts and recreation services (R), Other services (S).</w:t>
          </w:r>
        </w:p>
        <w:p w14:paraId="19D04BDF" w14:textId="35B8CF03" w:rsidR="00830FDC" w:rsidRPr="00A30089" w:rsidRDefault="00830FDC" w:rsidP="00830FDC">
          <w:pPr>
            <w:pStyle w:val="SourceWide"/>
          </w:pPr>
          <w:r>
            <w:t xml:space="preserve">Source: Australian Bureau of Statistics (2015) </w:t>
          </w:r>
          <w:r>
            <w:rPr>
              <w:i/>
            </w:rPr>
            <w:t>Counts of Australian Businesses 2008–2015</w:t>
          </w:r>
          <w:r w:rsidR="00072129">
            <w:t xml:space="preserve">, </w:t>
          </w:r>
          <w:r>
            <w:t>cat. no. 8165</w:t>
          </w:r>
          <w:r w:rsidRPr="003B74B4">
            <w:t>.0</w:t>
          </w:r>
          <w:r>
            <w:t xml:space="preserve"> (data available</w:t>
          </w:r>
          <w:r w:rsidR="00072129">
            <w:t xml:space="preserve"> </w:t>
          </w:r>
          <w:r>
            <w:t>on request)</w:t>
          </w:r>
        </w:p>
        <w:p w14:paraId="66FB7876" w14:textId="77777777" w:rsidR="00830FDC" w:rsidRDefault="00830FDC" w:rsidP="00830FDC">
          <w:pPr>
            <w:pStyle w:val="BodyText"/>
            <w:sectPr w:rsidR="00830FDC" w:rsidSect="00D0090A">
              <w:headerReference w:type="default" r:id="rId60"/>
              <w:endnotePr>
                <w:numFmt w:val="decimal"/>
              </w:endnotePr>
              <w:pgSz w:w="11906" w:h="16838" w:code="9"/>
              <w:pgMar w:top="1440" w:right="1440" w:bottom="1440" w:left="1440" w:header="709" w:footer="709" w:gutter="0"/>
              <w:cols w:space="708"/>
              <w:docGrid w:linePitch="360"/>
            </w:sectPr>
          </w:pPr>
        </w:p>
        <w:p w14:paraId="58492786" w14:textId="3A87A2E1" w:rsidR="00830FDC" w:rsidRDefault="00830FDC" w:rsidP="00830FDC">
          <w:pPr>
            <w:pStyle w:val="CaptionWide"/>
          </w:pPr>
          <w:bookmarkStart w:id="2" w:name="_Ref421866164"/>
          <w:r w:rsidRPr="000618FB">
            <w:t xml:space="preserve">Table </w:t>
          </w:r>
          <w:bookmarkEnd w:id="2"/>
          <w:r>
            <w:t>B2: Annual business entries by ANZSIC divisions, averaged financial years ending</w:t>
          </w:r>
          <w:r w:rsidR="00FE4E3E">
            <w:t xml:space="preserve"> in June 2009 to June 2014, by s</w:t>
          </w:r>
          <w:r>
            <w:t>tate and SA4 regions</w:t>
          </w:r>
        </w:p>
        <w:tbl>
          <w:tblPr>
            <w:tblW w:w="14034" w:type="dxa"/>
            <w:tblInd w:w="108" w:type="dxa"/>
            <w:shd w:val="clear" w:color="auto" w:fill="CAE7F3" w:themeFill="accent1" w:themeFillTint="33"/>
            <w:tblLayout w:type="fixed"/>
            <w:tblLook w:val="04A0" w:firstRow="1" w:lastRow="0" w:firstColumn="1" w:lastColumn="0" w:noHBand="0" w:noVBand="1"/>
          </w:tblPr>
          <w:tblGrid>
            <w:gridCol w:w="1460"/>
            <w:gridCol w:w="630"/>
            <w:gridCol w:w="630"/>
            <w:gridCol w:w="630"/>
            <w:gridCol w:w="631"/>
            <w:gridCol w:w="630"/>
            <w:gridCol w:w="630"/>
            <w:gridCol w:w="631"/>
            <w:gridCol w:w="630"/>
            <w:gridCol w:w="630"/>
            <w:gridCol w:w="631"/>
            <w:gridCol w:w="630"/>
            <w:gridCol w:w="630"/>
            <w:gridCol w:w="630"/>
            <w:gridCol w:w="631"/>
            <w:gridCol w:w="630"/>
            <w:gridCol w:w="630"/>
            <w:gridCol w:w="631"/>
            <w:gridCol w:w="630"/>
            <w:gridCol w:w="1229"/>
          </w:tblGrid>
          <w:tr w:rsidR="00F5479E" w:rsidRPr="00F63634" w14:paraId="585DFA0D" w14:textId="77777777" w:rsidTr="00072129">
            <w:trPr>
              <w:trHeight w:val="1560"/>
            </w:trPr>
            <w:tc>
              <w:tcPr>
                <w:tcW w:w="1460" w:type="dxa"/>
                <w:tcBorders>
                  <w:top w:val="nil"/>
                  <w:left w:val="nil"/>
                  <w:bottom w:val="single" w:sz="4" w:space="0" w:color="95B3D7"/>
                  <w:right w:val="nil"/>
                </w:tcBorders>
                <w:shd w:val="clear" w:color="auto" w:fill="22789A" w:themeFill="accent1"/>
                <w:noWrap/>
                <w:vAlign w:val="bottom"/>
              </w:tcPr>
              <w:p w14:paraId="097E25A9" w14:textId="77777777" w:rsidR="00830FDC" w:rsidRPr="00F47853" w:rsidRDefault="00830FDC" w:rsidP="00D0090A">
                <w:pPr>
                  <w:pStyle w:val="Tabletext"/>
                  <w:rPr>
                    <w:sz w:val="14"/>
                    <w:szCs w:val="16"/>
                    <w:lang w:eastAsia="en-AU"/>
                  </w:rPr>
                </w:pPr>
              </w:p>
            </w:tc>
            <w:tc>
              <w:tcPr>
                <w:tcW w:w="630" w:type="dxa"/>
                <w:tcBorders>
                  <w:top w:val="nil"/>
                  <w:left w:val="nil"/>
                  <w:bottom w:val="single" w:sz="4" w:space="0" w:color="95B3D7"/>
                  <w:right w:val="nil"/>
                </w:tcBorders>
                <w:shd w:val="clear" w:color="auto" w:fill="22789A" w:themeFill="accent1"/>
                <w:noWrap/>
                <w:textDirection w:val="btLr"/>
                <w:vAlign w:val="center"/>
              </w:tcPr>
              <w:p w14:paraId="4777800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Agriculture, Forestry and Fishing</w:t>
                </w:r>
              </w:p>
            </w:tc>
            <w:tc>
              <w:tcPr>
                <w:tcW w:w="630" w:type="dxa"/>
                <w:tcBorders>
                  <w:top w:val="nil"/>
                  <w:left w:val="nil"/>
                  <w:bottom w:val="single" w:sz="4" w:space="0" w:color="95B3D7"/>
                  <w:right w:val="nil"/>
                </w:tcBorders>
                <w:shd w:val="clear" w:color="auto" w:fill="22789A" w:themeFill="accent1"/>
                <w:noWrap/>
                <w:textDirection w:val="btLr"/>
                <w:vAlign w:val="center"/>
              </w:tcPr>
              <w:p w14:paraId="4E77C996"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Mining</w:t>
                </w:r>
              </w:p>
            </w:tc>
            <w:tc>
              <w:tcPr>
                <w:tcW w:w="630" w:type="dxa"/>
                <w:tcBorders>
                  <w:top w:val="nil"/>
                  <w:left w:val="nil"/>
                  <w:bottom w:val="single" w:sz="4" w:space="0" w:color="95B3D7"/>
                  <w:right w:val="nil"/>
                </w:tcBorders>
                <w:shd w:val="clear" w:color="auto" w:fill="22789A" w:themeFill="accent1"/>
                <w:noWrap/>
                <w:textDirection w:val="btLr"/>
                <w:vAlign w:val="center"/>
              </w:tcPr>
              <w:p w14:paraId="647D640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Manufacturing</w:t>
                </w:r>
              </w:p>
            </w:tc>
            <w:tc>
              <w:tcPr>
                <w:tcW w:w="631" w:type="dxa"/>
                <w:tcBorders>
                  <w:top w:val="nil"/>
                  <w:left w:val="nil"/>
                  <w:bottom w:val="single" w:sz="4" w:space="0" w:color="95B3D7"/>
                  <w:right w:val="nil"/>
                </w:tcBorders>
                <w:shd w:val="clear" w:color="auto" w:fill="22789A" w:themeFill="accent1"/>
                <w:noWrap/>
                <w:textDirection w:val="btLr"/>
                <w:vAlign w:val="center"/>
              </w:tcPr>
              <w:p w14:paraId="3973F10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Electricity, Gas, Water and Waste Services</w:t>
                </w:r>
              </w:p>
            </w:tc>
            <w:tc>
              <w:tcPr>
                <w:tcW w:w="630" w:type="dxa"/>
                <w:tcBorders>
                  <w:top w:val="nil"/>
                  <w:left w:val="nil"/>
                  <w:bottom w:val="single" w:sz="4" w:space="0" w:color="95B3D7"/>
                  <w:right w:val="nil"/>
                </w:tcBorders>
                <w:shd w:val="clear" w:color="auto" w:fill="22789A" w:themeFill="accent1"/>
                <w:noWrap/>
                <w:textDirection w:val="btLr"/>
                <w:vAlign w:val="center"/>
              </w:tcPr>
              <w:p w14:paraId="2FF397F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Construction</w:t>
                </w:r>
              </w:p>
            </w:tc>
            <w:tc>
              <w:tcPr>
                <w:tcW w:w="630" w:type="dxa"/>
                <w:tcBorders>
                  <w:top w:val="nil"/>
                  <w:left w:val="nil"/>
                  <w:bottom w:val="single" w:sz="4" w:space="0" w:color="95B3D7"/>
                  <w:right w:val="nil"/>
                </w:tcBorders>
                <w:shd w:val="clear" w:color="auto" w:fill="22789A" w:themeFill="accent1"/>
                <w:noWrap/>
                <w:textDirection w:val="btLr"/>
                <w:vAlign w:val="center"/>
              </w:tcPr>
              <w:p w14:paraId="2F1A2F4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Wholesale Trade</w:t>
                </w:r>
              </w:p>
            </w:tc>
            <w:tc>
              <w:tcPr>
                <w:tcW w:w="631" w:type="dxa"/>
                <w:tcBorders>
                  <w:top w:val="nil"/>
                  <w:left w:val="nil"/>
                  <w:bottom w:val="single" w:sz="4" w:space="0" w:color="95B3D7"/>
                  <w:right w:val="nil"/>
                </w:tcBorders>
                <w:shd w:val="clear" w:color="auto" w:fill="22789A" w:themeFill="accent1"/>
                <w:noWrap/>
                <w:textDirection w:val="btLr"/>
                <w:vAlign w:val="center"/>
              </w:tcPr>
              <w:p w14:paraId="1A93BDDD"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Retail Trade</w:t>
                </w:r>
              </w:p>
            </w:tc>
            <w:tc>
              <w:tcPr>
                <w:tcW w:w="630" w:type="dxa"/>
                <w:tcBorders>
                  <w:top w:val="nil"/>
                  <w:left w:val="nil"/>
                  <w:bottom w:val="single" w:sz="4" w:space="0" w:color="95B3D7"/>
                  <w:right w:val="nil"/>
                </w:tcBorders>
                <w:shd w:val="clear" w:color="auto" w:fill="22789A" w:themeFill="accent1"/>
                <w:noWrap/>
                <w:textDirection w:val="btLr"/>
                <w:vAlign w:val="center"/>
              </w:tcPr>
              <w:p w14:paraId="30E7745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Accommodation and Food Services</w:t>
                </w:r>
              </w:p>
            </w:tc>
            <w:tc>
              <w:tcPr>
                <w:tcW w:w="630" w:type="dxa"/>
                <w:tcBorders>
                  <w:top w:val="nil"/>
                  <w:left w:val="nil"/>
                  <w:bottom w:val="single" w:sz="4" w:space="0" w:color="95B3D7"/>
                  <w:right w:val="nil"/>
                </w:tcBorders>
                <w:shd w:val="clear" w:color="auto" w:fill="22789A" w:themeFill="accent1"/>
                <w:noWrap/>
                <w:textDirection w:val="btLr"/>
                <w:vAlign w:val="center"/>
              </w:tcPr>
              <w:p w14:paraId="3A6627A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Transport, Postal and Warehousing</w:t>
                </w:r>
              </w:p>
            </w:tc>
            <w:tc>
              <w:tcPr>
                <w:tcW w:w="631" w:type="dxa"/>
                <w:tcBorders>
                  <w:top w:val="nil"/>
                  <w:left w:val="nil"/>
                  <w:bottom w:val="single" w:sz="4" w:space="0" w:color="95B3D7"/>
                  <w:right w:val="nil"/>
                </w:tcBorders>
                <w:shd w:val="clear" w:color="auto" w:fill="22789A" w:themeFill="accent1"/>
                <w:noWrap/>
                <w:textDirection w:val="btLr"/>
                <w:vAlign w:val="center"/>
              </w:tcPr>
              <w:p w14:paraId="7C0B546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Information Media and Telecommunications</w:t>
                </w:r>
              </w:p>
            </w:tc>
            <w:tc>
              <w:tcPr>
                <w:tcW w:w="630" w:type="dxa"/>
                <w:tcBorders>
                  <w:top w:val="nil"/>
                  <w:left w:val="nil"/>
                  <w:bottom w:val="single" w:sz="4" w:space="0" w:color="95B3D7"/>
                  <w:right w:val="nil"/>
                </w:tcBorders>
                <w:shd w:val="clear" w:color="auto" w:fill="22789A" w:themeFill="accent1"/>
                <w:noWrap/>
                <w:textDirection w:val="btLr"/>
                <w:vAlign w:val="center"/>
              </w:tcPr>
              <w:p w14:paraId="59B107F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Financial and Insurance Services</w:t>
                </w:r>
              </w:p>
            </w:tc>
            <w:tc>
              <w:tcPr>
                <w:tcW w:w="630" w:type="dxa"/>
                <w:tcBorders>
                  <w:top w:val="nil"/>
                  <w:left w:val="nil"/>
                  <w:bottom w:val="single" w:sz="4" w:space="0" w:color="95B3D7"/>
                  <w:right w:val="nil"/>
                </w:tcBorders>
                <w:shd w:val="clear" w:color="auto" w:fill="22789A" w:themeFill="accent1"/>
                <w:noWrap/>
                <w:textDirection w:val="btLr"/>
                <w:vAlign w:val="center"/>
              </w:tcPr>
              <w:p w14:paraId="778BA34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Rental, Hiring and Real Estate Services</w:t>
                </w:r>
              </w:p>
            </w:tc>
            <w:tc>
              <w:tcPr>
                <w:tcW w:w="630" w:type="dxa"/>
                <w:tcBorders>
                  <w:top w:val="nil"/>
                  <w:left w:val="nil"/>
                  <w:bottom w:val="single" w:sz="4" w:space="0" w:color="95B3D7"/>
                  <w:right w:val="nil"/>
                </w:tcBorders>
                <w:shd w:val="clear" w:color="auto" w:fill="22789A" w:themeFill="accent1"/>
                <w:noWrap/>
                <w:textDirection w:val="btLr"/>
                <w:vAlign w:val="center"/>
              </w:tcPr>
              <w:p w14:paraId="4305155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Professional, Scientific and Technical Services</w:t>
                </w:r>
              </w:p>
            </w:tc>
            <w:tc>
              <w:tcPr>
                <w:tcW w:w="631" w:type="dxa"/>
                <w:tcBorders>
                  <w:top w:val="nil"/>
                  <w:left w:val="nil"/>
                  <w:bottom w:val="single" w:sz="4" w:space="0" w:color="95B3D7"/>
                  <w:right w:val="nil"/>
                </w:tcBorders>
                <w:shd w:val="clear" w:color="auto" w:fill="22789A" w:themeFill="accent1"/>
                <w:noWrap/>
                <w:textDirection w:val="btLr"/>
                <w:vAlign w:val="center"/>
              </w:tcPr>
              <w:p w14:paraId="350FBBF0"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Administrative and Support Services</w:t>
                </w:r>
              </w:p>
            </w:tc>
            <w:tc>
              <w:tcPr>
                <w:tcW w:w="630" w:type="dxa"/>
                <w:tcBorders>
                  <w:top w:val="nil"/>
                  <w:left w:val="nil"/>
                  <w:bottom w:val="single" w:sz="4" w:space="0" w:color="95B3D7"/>
                  <w:right w:val="nil"/>
                </w:tcBorders>
                <w:shd w:val="clear" w:color="auto" w:fill="22789A" w:themeFill="accent1"/>
                <w:noWrap/>
                <w:textDirection w:val="btLr"/>
                <w:vAlign w:val="center"/>
              </w:tcPr>
              <w:p w14:paraId="37A9B52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Public Administration and Safety</w:t>
                </w:r>
              </w:p>
            </w:tc>
            <w:tc>
              <w:tcPr>
                <w:tcW w:w="630" w:type="dxa"/>
                <w:tcBorders>
                  <w:top w:val="nil"/>
                  <w:left w:val="nil"/>
                  <w:bottom w:val="single" w:sz="4" w:space="0" w:color="95B3D7"/>
                  <w:right w:val="nil"/>
                </w:tcBorders>
                <w:shd w:val="clear" w:color="auto" w:fill="22789A" w:themeFill="accent1"/>
                <w:noWrap/>
                <w:textDirection w:val="btLr"/>
                <w:vAlign w:val="center"/>
              </w:tcPr>
              <w:p w14:paraId="0497D0F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Education and Training</w:t>
                </w:r>
              </w:p>
            </w:tc>
            <w:tc>
              <w:tcPr>
                <w:tcW w:w="631" w:type="dxa"/>
                <w:tcBorders>
                  <w:top w:val="nil"/>
                  <w:left w:val="nil"/>
                  <w:bottom w:val="single" w:sz="4" w:space="0" w:color="95B3D7"/>
                  <w:right w:val="nil"/>
                </w:tcBorders>
                <w:shd w:val="clear" w:color="auto" w:fill="22789A" w:themeFill="accent1"/>
                <w:noWrap/>
                <w:textDirection w:val="btLr"/>
                <w:vAlign w:val="center"/>
              </w:tcPr>
              <w:p w14:paraId="4F38833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Health Care and Social Assistance</w:t>
                </w:r>
              </w:p>
            </w:tc>
            <w:tc>
              <w:tcPr>
                <w:tcW w:w="630" w:type="dxa"/>
                <w:tcBorders>
                  <w:top w:val="nil"/>
                  <w:left w:val="nil"/>
                  <w:bottom w:val="single" w:sz="4" w:space="0" w:color="95B3D7"/>
                  <w:right w:val="nil"/>
                </w:tcBorders>
                <w:shd w:val="clear" w:color="auto" w:fill="22789A" w:themeFill="accent1"/>
                <w:noWrap/>
                <w:textDirection w:val="btLr"/>
                <w:vAlign w:val="center"/>
              </w:tcPr>
              <w:p w14:paraId="460F0656"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Arts and Recreation Services</w:t>
                </w:r>
              </w:p>
            </w:tc>
            <w:tc>
              <w:tcPr>
                <w:tcW w:w="1229" w:type="dxa"/>
                <w:tcBorders>
                  <w:top w:val="nil"/>
                  <w:left w:val="nil"/>
                  <w:bottom w:val="single" w:sz="4" w:space="0" w:color="95B3D7"/>
                  <w:right w:val="nil"/>
                </w:tcBorders>
                <w:shd w:val="clear" w:color="auto" w:fill="22789A" w:themeFill="accent1"/>
                <w:noWrap/>
                <w:textDirection w:val="btLr"/>
                <w:vAlign w:val="center"/>
              </w:tcPr>
              <w:p w14:paraId="4972E8E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Other Services</w:t>
                </w:r>
              </w:p>
            </w:tc>
          </w:tr>
          <w:tr w:rsidR="00830FDC" w:rsidRPr="00F63634" w14:paraId="3120DE70" w14:textId="77777777" w:rsidTr="00D0090A">
            <w:trPr>
              <w:trHeight w:val="225"/>
            </w:trPr>
            <w:tc>
              <w:tcPr>
                <w:tcW w:w="1460" w:type="dxa"/>
                <w:tcBorders>
                  <w:top w:val="nil"/>
                  <w:left w:val="nil"/>
                  <w:bottom w:val="single" w:sz="4" w:space="0" w:color="595A5B"/>
                  <w:right w:val="nil"/>
                </w:tcBorders>
                <w:shd w:val="clear" w:color="auto" w:fill="22789A" w:themeFill="accent1"/>
                <w:noWrap/>
                <w:vAlign w:val="bottom"/>
              </w:tcPr>
              <w:p w14:paraId="284EA289" w14:textId="77777777" w:rsidR="00830FDC" w:rsidRPr="00844EE1" w:rsidRDefault="00830FDC" w:rsidP="00D0090A">
                <w:pPr>
                  <w:pStyle w:val="Tableheader"/>
                  <w:rPr>
                    <w:sz w:val="16"/>
                    <w:szCs w:val="12"/>
                    <w:lang w:eastAsia="en-AU"/>
                  </w:rPr>
                </w:pPr>
                <w:r w:rsidRPr="007D09BB">
                  <w:rPr>
                    <w:sz w:val="12"/>
                    <w:szCs w:val="12"/>
                    <w:lang w:eastAsia="en-AU"/>
                  </w:rPr>
                  <w:t>Region (State-SA4)</w:t>
                </w:r>
              </w:p>
            </w:tc>
            <w:tc>
              <w:tcPr>
                <w:tcW w:w="630" w:type="dxa"/>
                <w:tcBorders>
                  <w:top w:val="nil"/>
                  <w:left w:val="nil"/>
                  <w:bottom w:val="single" w:sz="4" w:space="0" w:color="595A5B"/>
                  <w:right w:val="nil"/>
                </w:tcBorders>
                <w:shd w:val="clear" w:color="auto" w:fill="22789A" w:themeFill="accent1"/>
                <w:noWrap/>
              </w:tcPr>
              <w:p w14:paraId="6BBE2521" w14:textId="77777777" w:rsidR="00830FDC" w:rsidRPr="00844EE1" w:rsidRDefault="00830FDC" w:rsidP="00D0090A">
                <w:pPr>
                  <w:pStyle w:val="Tableheader"/>
                  <w:jc w:val="right"/>
                  <w:rPr>
                    <w:sz w:val="16"/>
                    <w:szCs w:val="12"/>
                  </w:rPr>
                </w:pPr>
                <w:r w:rsidRPr="00844EE1">
                  <w:rPr>
                    <w:sz w:val="16"/>
                    <w:szCs w:val="12"/>
                  </w:rPr>
                  <w:t>A</w:t>
                </w:r>
              </w:p>
            </w:tc>
            <w:tc>
              <w:tcPr>
                <w:tcW w:w="630" w:type="dxa"/>
                <w:tcBorders>
                  <w:top w:val="nil"/>
                  <w:left w:val="nil"/>
                  <w:bottom w:val="single" w:sz="4" w:space="0" w:color="595A5B"/>
                  <w:right w:val="nil"/>
                </w:tcBorders>
                <w:shd w:val="clear" w:color="auto" w:fill="22789A" w:themeFill="accent1"/>
                <w:noWrap/>
              </w:tcPr>
              <w:p w14:paraId="78A34823" w14:textId="77777777" w:rsidR="00830FDC" w:rsidRPr="00844EE1" w:rsidRDefault="00830FDC" w:rsidP="00D0090A">
                <w:pPr>
                  <w:pStyle w:val="Tableheader"/>
                  <w:jc w:val="right"/>
                  <w:rPr>
                    <w:sz w:val="16"/>
                    <w:szCs w:val="12"/>
                  </w:rPr>
                </w:pPr>
                <w:r w:rsidRPr="00844EE1">
                  <w:rPr>
                    <w:sz w:val="16"/>
                    <w:szCs w:val="12"/>
                  </w:rPr>
                  <w:t>B</w:t>
                </w:r>
              </w:p>
            </w:tc>
            <w:tc>
              <w:tcPr>
                <w:tcW w:w="630" w:type="dxa"/>
                <w:tcBorders>
                  <w:top w:val="nil"/>
                  <w:left w:val="nil"/>
                  <w:bottom w:val="single" w:sz="4" w:space="0" w:color="595A5B"/>
                  <w:right w:val="nil"/>
                </w:tcBorders>
                <w:shd w:val="clear" w:color="auto" w:fill="22789A" w:themeFill="accent1"/>
                <w:noWrap/>
              </w:tcPr>
              <w:p w14:paraId="2B136F50" w14:textId="77777777" w:rsidR="00830FDC" w:rsidRPr="00844EE1" w:rsidRDefault="00830FDC" w:rsidP="00D0090A">
                <w:pPr>
                  <w:pStyle w:val="Tableheader"/>
                  <w:jc w:val="right"/>
                  <w:rPr>
                    <w:sz w:val="16"/>
                    <w:szCs w:val="12"/>
                  </w:rPr>
                </w:pPr>
                <w:r w:rsidRPr="00844EE1">
                  <w:rPr>
                    <w:sz w:val="16"/>
                    <w:szCs w:val="12"/>
                  </w:rPr>
                  <w:t>C</w:t>
                </w:r>
              </w:p>
            </w:tc>
            <w:tc>
              <w:tcPr>
                <w:tcW w:w="631" w:type="dxa"/>
                <w:tcBorders>
                  <w:top w:val="nil"/>
                  <w:left w:val="nil"/>
                  <w:bottom w:val="single" w:sz="4" w:space="0" w:color="595A5B"/>
                  <w:right w:val="nil"/>
                </w:tcBorders>
                <w:shd w:val="clear" w:color="auto" w:fill="22789A" w:themeFill="accent1"/>
                <w:noWrap/>
              </w:tcPr>
              <w:p w14:paraId="23A208A3" w14:textId="77777777" w:rsidR="00830FDC" w:rsidRPr="00844EE1" w:rsidRDefault="00830FDC" w:rsidP="00D0090A">
                <w:pPr>
                  <w:pStyle w:val="Tableheader"/>
                  <w:jc w:val="right"/>
                  <w:rPr>
                    <w:sz w:val="16"/>
                    <w:szCs w:val="12"/>
                  </w:rPr>
                </w:pPr>
                <w:r w:rsidRPr="00844EE1">
                  <w:rPr>
                    <w:sz w:val="16"/>
                    <w:szCs w:val="12"/>
                  </w:rPr>
                  <w:t>D</w:t>
                </w:r>
              </w:p>
            </w:tc>
            <w:tc>
              <w:tcPr>
                <w:tcW w:w="630" w:type="dxa"/>
                <w:tcBorders>
                  <w:top w:val="nil"/>
                  <w:left w:val="nil"/>
                  <w:bottom w:val="single" w:sz="4" w:space="0" w:color="595A5B"/>
                  <w:right w:val="nil"/>
                </w:tcBorders>
                <w:shd w:val="clear" w:color="auto" w:fill="22789A" w:themeFill="accent1"/>
                <w:noWrap/>
              </w:tcPr>
              <w:p w14:paraId="1A320E03" w14:textId="77777777" w:rsidR="00830FDC" w:rsidRPr="00844EE1" w:rsidRDefault="00830FDC" w:rsidP="00D0090A">
                <w:pPr>
                  <w:pStyle w:val="Tableheader"/>
                  <w:jc w:val="right"/>
                  <w:rPr>
                    <w:sz w:val="16"/>
                    <w:szCs w:val="12"/>
                  </w:rPr>
                </w:pPr>
                <w:r w:rsidRPr="00844EE1">
                  <w:rPr>
                    <w:sz w:val="16"/>
                    <w:szCs w:val="12"/>
                  </w:rPr>
                  <w:t>E</w:t>
                </w:r>
              </w:p>
            </w:tc>
            <w:tc>
              <w:tcPr>
                <w:tcW w:w="630" w:type="dxa"/>
                <w:tcBorders>
                  <w:top w:val="nil"/>
                  <w:left w:val="nil"/>
                  <w:bottom w:val="single" w:sz="4" w:space="0" w:color="595A5B"/>
                  <w:right w:val="nil"/>
                </w:tcBorders>
                <w:shd w:val="clear" w:color="auto" w:fill="22789A" w:themeFill="accent1"/>
                <w:noWrap/>
              </w:tcPr>
              <w:p w14:paraId="0D5056CB" w14:textId="77777777" w:rsidR="00830FDC" w:rsidRPr="00844EE1" w:rsidRDefault="00830FDC" w:rsidP="00D0090A">
                <w:pPr>
                  <w:pStyle w:val="Tableheader"/>
                  <w:jc w:val="right"/>
                  <w:rPr>
                    <w:sz w:val="16"/>
                    <w:szCs w:val="12"/>
                  </w:rPr>
                </w:pPr>
                <w:r w:rsidRPr="00844EE1">
                  <w:rPr>
                    <w:sz w:val="16"/>
                    <w:szCs w:val="12"/>
                  </w:rPr>
                  <w:t>F</w:t>
                </w:r>
              </w:p>
            </w:tc>
            <w:tc>
              <w:tcPr>
                <w:tcW w:w="631" w:type="dxa"/>
                <w:tcBorders>
                  <w:top w:val="nil"/>
                  <w:left w:val="nil"/>
                  <w:bottom w:val="single" w:sz="4" w:space="0" w:color="595A5B"/>
                  <w:right w:val="nil"/>
                </w:tcBorders>
                <w:shd w:val="clear" w:color="auto" w:fill="22789A" w:themeFill="accent1"/>
                <w:noWrap/>
              </w:tcPr>
              <w:p w14:paraId="5E1E6B15" w14:textId="77777777" w:rsidR="00830FDC" w:rsidRPr="00844EE1" w:rsidRDefault="00830FDC" w:rsidP="00D0090A">
                <w:pPr>
                  <w:pStyle w:val="Tableheader"/>
                  <w:jc w:val="right"/>
                  <w:rPr>
                    <w:sz w:val="16"/>
                    <w:szCs w:val="12"/>
                  </w:rPr>
                </w:pPr>
                <w:r w:rsidRPr="00844EE1">
                  <w:rPr>
                    <w:sz w:val="16"/>
                    <w:szCs w:val="12"/>
                  </w:rPr>
                  <w:t>G</w:t>
                </w:r>
              </w:p>
            </w:tc>
            <w:tc>
              <w:tcPr>
                <w:tcW w:w="630" w:type="dxa"/>
                <w:tcBorders>
                  <w:top w:val="nil"/>
                  <w:left w:val="nil"/>
                  <w:bottom w:val="single" w:sz="4" w:space="0" w:color="595A5B"/>
                  <w:right w:val="nil"/>
                </w:tcBorders>
                <w:shd w:val="clear" w:color="auto" w:fill="22789A" w:themeFill="accent1"/>
                <w:noWrap/>
              </w:tcPr>
              <w:p w14:paraId="4FFEED74" w14:textId="77777777" w:rsidR="00830FDC" w:rsidRPr="00844EE1" w:rsidRDefault="00830FDC" w:rsidP="00D0090A">
                <w:pPr>
                  <w:pStyle w:val="Tableheader"/>
                  <w:jc w:val="right"/>
                  <w:rPr>
                    <w:sz w:val="16"/>
                    <w:szCs w:val="12"/>
                  </w:rPr>
                </w:pPr>
                <w:r w:rsidRPr="00844EE1">
                  <w:rPr>
                    <w:sz w:val="16"/>
                    <w:szCs w:val="12"/>
                  </w:rPr>
                  <w:t>H</w:t>
                </w:r>
              </w:p>
            </w:tc>
            <w:tc>
              <w:tcPr>
                <w:tcW w:w="630" w:type="dxa"/>
                <w:tcBorders>
                  <w:top w:val="nil"/>
                  <w:left w:val="nil"/>
                  <w:bottom w:val="single" w:sz="4" w:space="0" w:color="595A5B"/>
                  <w:right w:val="nil"/>
                </w:tcBorders>
                <w:shd w:val="clear" w:color="auto" w:fill="22789A" w:themeFill="accent1"/>
                <w:noWrap/>
              </w:tcPr>
              <w:p w14:paraId="01E85968" w14:textId="77777777" w:rsidR="00830FDC" w:rsidRPr="00844EE1" w:rsidRDefault="00830FDC" w:rsidP="00D0090A">
                <w:pPr>
                  <w:pStyle w:val="Tableheader"/>
                  <w:jc w:val="right"/>
                  <w:rPr>
                    <w:sz w:val="16"/>
                    <w:szCs w:val="12"/>
                  </w:rPr>
                </w:pPr>
                <w:r w:rsidRPr="00844EE1">
                  <w:rPr>
                    <w:sz w:val="16"/>
                    <w:szCs w:val="12"/>
                  </w:rPr>
                  <w:t>I</w:t>
                </w:r>
              </w:p>
            </w:tc>
            <w:tc>
              <w:tcPr>
                <w:tcW w:w="631" w:type="dxa"/>
                <w:tcBorders>
                  <w:top w:val="nil"/>
                  <w:left w:val="nil"/>
                  <w:bottom w:val="single" w:sz="4" w:space="0" w:color="595A5B"/>
                  <w:right w:val="nil"/>
                </w:tcBorders>
                <w:shd w:val="clear" w:color="auto" w:fill="22789A" w:themeFill="accent1"/>
                <w:noWrap/>
              </w:tcPr>
              <w:p w14:paraId="49BA8B3A" w14:textId="77777777" w:rsidR="00830FDC" w:rsidRPr="00844EE1" w:rsidRDefault="00830FDC" w:rsidP="00D0090A">
                <w:pPr>
                  <w:pStyle w:val="Tableheader"/>
                  <w:jc w:val="right"/>
                  <w:rPr>
                    <w:sz w:val="16"/>
                    <w:szCs w:val="12"/>
                  </w:rPr>
                </w:pPr>
                <w:r w:rsidRPr="00844EE1">
                  <w:rPr>
                    <w:sz w:val="16"/>
                    <w:szCs w:val="12"/>
                  </w:rPr>
                  <w:t>J</w:t>
                </w:r>
              </w:p>
            </w:tc>
            <w:tc>
              <w:tcPr>
                <w:tcW w:w="630" w:type="dxa"/>
                <w:tcBorders>
                  <w:top w:val="nil"/>
                  <w:left w:val="nil"/>
                  <w:bottom w:val="single" w:sz="4" w:space="0" w:color="595A5B"/>
                  <w:right w:val="nil"/>
                </w:tcBorders>
                <w:shd w:val="clear" w:color="auto" w:fill="22789A" w:themeFill="accent1"/>
                <w:noWrap/>
              </w:tcPr>
              <w:p w14:paraId="147BFC81" w14:textId="77777777" w:rsidR="00830FDC" w:rsidRPr="00844EE1" w:rsidRDefault="00830FDC" w:rsidP="00D0090A">
                <w:pPr>
                  <w:pStyle w:val="Tableheader"/>
                  <w:jc w:val="right"/>
                  <w:rPr>
                    <w:sz w:val="16"/>
                    <w:szCs w:val="12"/>
                  </w:rPr>
                </w:pPr>
                <w:r w:rsidRPr="00844EE1">
                  <w:rPr>
                    <w:sz w:val="16"/>
                    <w:szCs w:val="12"/>
                  </w:rPr>
                  <w:t>K</w:t>
                </w:r>
              </w:p>
            </w:tc>
            <w:tc>
              <w:tcPr>
                <w:tcW w:w="630" w:type="dxa"/>
                <w:tcBorders>
                  <w:top w:val="nil"/>
                  <w:left w:val="nil"/>
                  <w:bottom w:val="single" w:sz="4" w:space="0" w:color="595A5B"/>
                  <w:right w:val="nil"/>
                </w:tcBorders>
                <w:shd w:val="clear" w:color="auto" w:fill="22789A" w:themeFill="accent1"/>
                <w:noWrap/>
              </w:tcPr>
              <w:p w14:paraId="73928F77" w14:textId="77777777" w:rsidR="00830FDC" w:rsidRPr="00844EE1" w:rsidRDefault="00830FDC" w:rsidP="00D0090A">
                <w:pPr>
                  <w:pStyle w:val="Tableheader"/>
                  <w:jc w:val="right"/>
                  <w:rPr>
                    <w:sz w:val="16"/>
                    <w:szCs w:val="12"/>
                  </w:rPr>
                </w:pPr>
                <w:r w:rsidRPr="00844EE1">
                  <w:rPr>
                    <w:sz w:val="16"/>
                    <w:szCs w:val="12"/>
                  </w:rPr>
                  <w:t>L</w:t>
                </w:r>
              </w:p>
            </w:tc>
            <w:tc>
              <w:tcPr>
                <w:tcW w:w="630" w:type="dxa"/>
                <w:tcBorders>
                  <w:top w:val="nil"/>
                  <w:left w:val="nil"/>
                  <w:bottom w:val="single" w:sz="4" w:space="0" w:color="595A5B"/>
                  <w:right w:val="nil"/>
                </w:tcBorders>
                <w:shd w:val="clear" w:color="auto" w:fill="22789A" w:themeFill="accent1"/>
                <w:noWrap/>
              </w:tcPr>
              <w:p w14:paraId="5896C7AF" w14:textId="77777777" w:rsidR="00830FDC" w:rsidRPr="00844EE1" w:rsidRDefault="00830FDC" w:rsidP="00D0090A">
                <w:pPr>
                  <w:pStyle w:val="Tableheader"/>
                  <w:jc w:val="right"/>
                  <w:rPr>
                    <w:sz w:val="16"/>
                    <w:szCs w:val="12"/>
                  </w:rPr>
                </w:pPr>
                <w:r w:rsidRPr="00844EE1">
                  <w:rPr>
                    <w:sz w:val="16"/>
                    <w:szCs w:val="12"/>
                  </w:rPr>
                  <w:t>M</w:t>
                </w:r>
              </w:p>
            </w:tc>
            <w:tc>
              <w:tcPr>
                <w:tcW w:w="631" w:type="dxa"/>
                <w:tcBorders>
                  <w:top w:val="nil"/>
                  <w:left w:val="nil"/>
                  <w:bottom w:val="single" w:sz="4" w:space="0" w:color="595A5B"/>
                  <w:right w:val="nil"/>
                </w:tcBorders>
                <w:shd w:val="clear" w:color="auto" w:fill="22789A" w:themeFill="accent1"/>
                <w:noWrap/>
              </w:tcPr>
              <w:p w14:paraId="2B775D5E" w14:textId="77777777" w:rsidR="00830FDC" w:rsidRPr="00844EE1" w:rsidRDefault="00830FDC" w:rsidP="00D0090A">
                <w:pPr>
                  <w:pStyle w:val="Tableheader"/>
                  <w:jc w:val="right"/>
                  <w:rPr>
                    <w:sz w:val="16"/>
                    <w:szCs w:val="12"/>
                  </w:rPr>
                </w:pPr>
                <w:r w:rsidRPr="00844EE1">
                  <w:rPr>
                    <w:sz w:val="16"/>
                    <w:szCs w:val="12"/>
                  </w:rPr>
                  <w:t>N</w:t>
                </w:r>
              </w:p>
            </w:tc>
            <w:tc>
              <w:tcPr>
                <w:tcW w:w="630" w:type="dxa"/>
                <w:tcBorders>
                  <w:top w:val="nil"/>
                  <w:left w:val="nil"/>
                  <w:bottom w:val="single" w:sz="4" w:space="0" w:color="595A5B"/>
                  <w:right w:val="nil"/>
                </w:tcBorders>
                <w:shd w:val="clear" w:color="auto" w:fill="22789A" w:themeFill="accent1"/>
                <w:noWrap/>
              </w:tcPr>
              <w:p w14:paraId="1D459BFE" w14:textId="77777777" w:rsidR="00830FDC" w:rsidRPr="00844EE1" w:rsidRDefault="00830FDC" w:rsidP="00D0090A">
                <w:pPr>
                  <w:pStyle w:val="Tableheader"/>
                  <w:jc w:val="right"/>
                  <w:rPr>
                    <w:sz w:val="16"/>
                    <w:szCs w:val="12"/>
                  </w:rPr>
                </w:pPr>
                <w:r w:rsidRPr="00844EE1">
                  <w:rPr>
                    <w:sz w:val="16"/>
                    <w:szCs w:val="12"/>
                  </w:rPr>
                  <w:t>O</w:t>
                </w:r>
              </w:p>
            </w:tc>
            <w:tc>
              <w:tcPr>
                <w:tcW w:w="630" w:type="dxa"/>
                <w:tcBorders>
                  <w:top w:val="nil"/>
                  <w:left w:val="nil"/>
                  <w:bottom w:val="single" w:sz="4" w:space="0" w:color="595A5B"/>
                  <w:right w:val="nil"/>
                </w:tcBorders>
                <w:shd w:val="clear" w:color="auto" w:fill="22789A" w:themeFill="accent1"/>
                <w:noWrap/>
              </w:tcPr>
              <w:p w14:paraId="127E25A2" w14:textId="77777777" w:rsidR="00830FDC" w:rsidRPr="00844EE1" w:rsidRDefault="00830FDC" w:rsidP="00D0090A">
                <w:pPr>
                  <w:pStyle w:val="Tableheader"/>
                  <w:jc w:val="right"/>
                  <w:rPr>
                    <w:sz w:val="16"/>
                    <w:szCs w:val="12"/>
                  </w:rPr>
                </w:pPr>
                <w:r w:rsidRPr="00844EE1">
                  <w:rPr>
                    <w:sz w:val="16"/>
                    <w:szCs w:val="12"/>
                  </w:rPr>
                  <w:t>P</w:t>
                </w:r>
              </w:p>
            </w:tc>
            <w:tc>
              <w:tcPr>
                <w:tcW w:w="631" w:type="dxa"/>
                <w:tcBorders>
                  <w:top w:val="nil"/>
                  <w:left w:val="nil"/>
                  <w:bottom w:val="single" w:sz="4" w:space="0" w:color="595A5B"/>
                  <w:right w:val="nil"/>
                </w:tcBorders>
                <w:shd w:val="clear" w:color="auto" w:fill="22789A" w:themeFill="accent1"/>
                <w:noWrap/>
              </w:tcPr>
              <w:p w14:paraId="0C7680D6" w14:textId="77777777" w:rsidR="00830FDC" w:rsidRPr="00844EE1" w:rsidRDefault="00830FDC" w:rsidP="00D0090A">
                <w:pPr>
                  <w:pStyle w:val="Tableheader"/>
                  <w:jc w:val="right"/>
                  <w:rPr>
                    <w:sz w:val="16"/>
                    <w:szCs w:val="12"/>
                  </w:rPr>
                </w:pPr>
                <w:r w:rsidRPr="00844EE1">
                  <w:rPr>
                    <w:sz w:val="16"/>
                    <w:szCs w:val="12"/>
                  </w:rPr>
                  <w:t>Q</w:t>
                </w:r>
              </w:p>
            </w:tc>
            <w:tc>
              <w:tcPr>
                <w:tcW w:w="630" w:type="dxa"/>
                <w:tcBorders>
                  <w:top w:val="nil"/>
                  <w:left w:val="nil"/>
                  <w:bottom w:val="single" w:sz="4" w:space="0" w:color="595A5B"/>
                  <w:right w:val="nil"/>
                </w:tcBorders>
                <w:shd w:val="clear" w:color="auto" w:fill="22789A" w:themeFill="accent1"/>
                <w:noWrap/>
              </w:tcPr>
              <w:p w14:paraId="39394212" w14:textId="77777777" w:rsidR="00830FDC" w:rsidRPr="00844EE1" w:rsidRDefault="00830FDC" w:rsidP="00D0090A">
                <w:pPr>
                  <w:pStyle w:val="Tableheader"/>
                  <w:jc w:val="right"/>
                  <w:rPr>
                    <w:sz w:val="16"/>
                    <w:szCs w:val="12"/>
                  </w:rPr>
                </w:pPr>
                <w:r w:rsidRPr="00844EE1">
                  <w:rPr>
                    <w:sz w:val="16"/>
                    <w:szCs w:val="12"/>
                  </w:rPr>
                  <w:t>R</w:t>
                </w:r>
              </w:p>
            </w:tc>
            <w:tc>
              <w:tcPr>
                <w:tcW w:w="1229" w:type="dxa"/>
                <w:tcBorders>
                  <w:top w:val="nil"/>
                  <w:left w:val="nil"/>
                  <w:bottom w:val="single" w:sz="4" w:space="0" w:color="595A5B"/>
                  <w:right w:val="nil"/>
                </w:tcBorders>
                <w:shd w:val="clear" w:color="auto" w:fill="22789A" w:themeFill="accent1"/>
                <w:noWrap/>
              </w:tcPr>
              <w:p w14:paraId="64A88C72" w14:textId="77777777" w:rsidR="00830FDC" w:rsidRPr="00844EE1" w:rsidRDefault="00830FDC" w:rsidP="00D0090A">
                <w:pPr>
                  <w:pStyle w:val="Tableheader"/>
                  <w:jc w:val="right"/>
                  <w:rPr>
                    <w:sz w:val="16"/>
                    <w:szCs w:val="12"/>
                  </w:rPr>
                </w:pPr>
                <w:r w:rsidRPr="00844EE1">
                  <w:rPr>
                    <w:sz w:val="16"/>
                    <w:szCs w:val="12"/>
                  </w:rPr>
                  <w:t>S</w:t>
                </w:r>
              </w:p>
            </w:tc>
          </w:tr>
          <w:tr w:rsidR="00830FDC" w:rsidRPr="00F63634" w14:paraId="37B8CD75" w14:textId="77777777" w:rsidTr="00D0090A">
            <w:trPr>
              <w:trHeight w:val="225"/>
            </w:trPr>
            <w:tc>
              <w:tcPr>
                <w:tcW w:w="1460" w:type="dxa"/>
                <w:tcBorders>
                  <w:top w:val="single" w:sz="4" w:space="0" w:color="595A5B"/>
                  <w:left w:val="nil"/>
                  <w:bottom w:val="single" w:sz="4" w:space="0" w:color="95B3D7"/>
                  <w:right w:val="nil"/>
                </w:tcBorders>
                <w:shd w:val="clear" w:color="auto" w:fill="CAE7F3" w:themeFill="accent1" w:themeFillTint="33"/>
                <w:noWrap/>
                <w:vAlign w:val="bottom"/>
                <w:hideMark/>
              </w:tcPr>
              <w:p w14:paraId="55022D2D" w14:textId="77777777" w:rsidR="00830FDC" w:rsidRPr="00792A3F" w:rsidRDefault="00830FDC" w:rsidP="00D0090A">
                <w:pPr>
                  <w:pStyle w:val="Tabletext"/>
                  <w:rPr>
                    <w:b/>
                    <w:color w:val="595A5B" w:themeColor="text1"/>
                    <w:sz w:val="12"/>
                    <w:szCs w:val="16"/>
                    <w:lang w:eastAsia="en-AU"/>
                  </w:rPr>
                </w:pPr>
                <w:r w:rsidRPr="00792A3F">
                  <w:rPr>
                    <w:b/>
                    <w:color w:val="595A5B" w:themeColor="text1"/>
                    <w:sz w:val="12"/>
                    <w:szCs w:val="16"/>
                    <w:lang w:eastAsia="en-AU"/>
                  </w:rPr>
                  <w:t>Australian Capital Territory</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4F8C03EB"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59.3</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497F2FC7"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6.5</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2F58C43A"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66.2</w:t>
                </w:r>
              </w:p>
            </w:tc>
            <w:tc>
              <w:tcPr>
                <w:tcW w:w="631" w:type="dxa"/>
                <w:tcBorders>
                  <w:top w:val="single" w:sz="4" w:space="0" w:color="595A5B"/>
                  <w:left w:val="nil"/>
                  <w:bottom w:val="single" w:sz="4" w:space="0" w:color="95B3D7"/>
                  <w:right w:val="nil"/>
                </w:tcBorders>
                <w:shd w:val="clear" w:color="auto" w:fill="CAE7F3" w:themeFill="accent1" w:themeFillTint="33"/>
                <w:noWrap/>
                <w:vAlign w:val="bottom"/>
                <w:hideMark/>
              </w:tcPr>
              <w:p w14:paraId="7B6CC43A"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14.7</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16B0D923"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826.8</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1986D521"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61.2</w:t>
                </w:r>
              </w:p>
            </w:tc>
            <w:tc>
              <w:tcPr>
                <w:tcW w:w="631" w:type="dxa"/>
                <w:tcBorders>
                  <w:top w:val="single" w:sz="4" w:space="0" w:color="595A5B"/>
                  <w:left w:val="nil"/>
                  <w:bottom w:val="single" w:sz="4" w:space="0" w:color="95B3D7"/>
                  <w:right w:val="nil"/>
                </w:tcBorders>
                <w:shd w:val="clear" w:color="auto" w:fill="CAE7F3" w:themeFill="accent1" w:themeFillTint="33"/>
                <w:noWrap/>
                <w:vAlign w:val="bottom"/>
                <w:hideMark/>
              </w:tcPr>
              <w:p w14:paraId="64AB1C6B"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216.8</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136E0F03"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226.2</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0042AD47"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235.0</w:t>
                </w:r>
              </w:p>
            </w:tc>
            <w:tc>
              <w:tcPr>
                <w:tcW w:w="631" w:type="dxa"/>
                <w:tcBorders>
                  <w:top w:val="single" w:sz="4" w:space="0" w:color="595A5B"/>
                  <w:left w:val="nil"/>
                  <w:bottom w:val="single" w:sz="4" w:space="0" w:color="95B3D7"/>
                  <w:right w:val="nil"/>
                </w:tcBorders>
                <w:shd w:val="clear" w:color="auto" w:fill="CAE7F3" w:themeFill="accent1" w:themeFillTint="33"/>
                <w:noWrap/>
                <w:vAlign w:val="bottom"/>
                <w:hideMark/>
              </w:tcPr>
              <w:p w14:paraId="18FE1F56"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43.7</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6804F5F7"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251.2</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215CF721"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265.0</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06817659"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622.0</w:t>
                </w:r>
              </w:p>
            </w:tc>
            <w:tc>
              <w:tcPr>
                <w:tcW w:w="631" w:type="dxa"/>
                <w:tcBorders>
                  <w:top w:val="single" w:sz="4" w:space="0" w:color="595A5B"/>
                  <w:left w:val="nil"/>
                  <w:bottom w:val="single" w:sz="4" w:space="0" w:color="95B3D7"/>
                  <w:right w:val="nil"/>
                </w:tcBorders>
                <w:shd w:val="clear" w:color="auto" w:fill="CAE7F3" w:themeFill="accent1" w:themeFillTint="33"/>
                <w:noWrap/>
                <w:vAlign w:val="bottom"/>
                <w:hideMark/>
              </w:tcPr>
              <w:p w14:paraId="2FA5E124"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205.8</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09BAED62"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26.2</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63319121"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70.3</w:t>
                </w:r>
              </w:p>
            </w:tc>
            <w:tc>
              <w:tcPr>
                <w:tcW w:w="631" w:type="dxa"/>
                <w:tcBorders>
                  <w:top w:val="single" w:sz="4" w:space="0" w:color="595A5B"/>
                  <w:left w:val="nil"/>
                  <w:bottom w:val="single" w:sz="4" w:space="0" w:color="95B3D7"/>
                  <w:right w:val="nil"/>
                </w:tcBorders>
                <w:shd w:val="clear" w:color="auto" w:fill="CAE7F3" w:themeFill="accent1" w:themeFillTint="33"/>
                <w:noWrap/>
                <w:vAlign w:val="bottom"/>
                <w:hideMark/>
              </w:tcPr>
              <w:p w14:paraId="7F999898"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189.0</w:t>
                </w:r>
              </w:p>
            </w:tc>
            <w:tc>
              <w:tcPr>
                <w:tcW w:w="630" w:type="dxa"/>
                <w:tcBorders>
                  <w:top w:val="single" w:sz="4" w:space="0" w:color="595A5B"/>
                  <w:left w:val="nil"/>
                  <w:bottom w:val="single" w:sz="4" w:space="0" w:color="95B3D7"/>
                  <w:right w:val="nil"/>
                </w:tcBorders>
                <w:shd w:val="clear" w:color="auto" w:fill="CAE7F3" w:themeFill="accent1" w:themeFillTint="33"/>
                <w:noWrap/>
                <w:vAlign w:val="bottom"/>
                <w:hideMark/>
              </w:tcPr>
              <w:p w14:paraId="427FF7DA"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57.7</w:t>
                </w:r>
              </w:p>
            </w:tc>
            <w:tc>
              <w:tcPr>
                <w:tcW w:w="1229" w:type="dxa"/>
                <w:tcBorders>
                  <w:top w:val="single" w:sz="4" w:space="0" w:color="595A5B"/>
                  <w:left w:val="nil"/>
                  <w:bottom w:val="single" w:sz="4" w:space="0" w:color="95B3D7"/>
                  <w:right w:val="nil"/>
                </w:tcBorders>
                <w:shd w:val="clear" w:color="auto" w:fill="CAE7F3" w:themeFill="accent1" w:themeFillTint="33"/>
                <w:noWrap/>
                <w:vAlign w:val="bottom"/>
                <w:hideMark/>
              </w:tcPr>
              <w:p w14:paraId="4254511E" w14:textId="77777777" w:rsidR="00830FDC" w:rsidRPr="00792A3F" w:rsidRDefault="00830FDC" w:rsidP="00D0090A">
                <w:pPr>
                  <w:pStyle w:val="Tabletext"/>
                  <w:jc w:val="right"/>
                  <w:rPr>
                    <w:b/>
                    <w:color w:val="595A5B" w:themeColor="text1"/>
                    <w:sz w:val="12"/>
                    <w:szCs w:val="16"/>
                    <w:lang w:eastAsia="en-AU"/>
                  </w:rPr>
                </w:pPr>
                <w:r w:rsidRPr="00792A3F">
                  <w:rPr>
                    <w:b/>
                    <w:color w:val="595A5B" w:themeColor="text1"/>
                    <w:sz w:val="12"/>
                    <w:szCs w:val="16"/>
                    <w:lang w:eastAsia="en-AU"/>
                  </w:rPr>
                  <w:t>148.2</w:t>
                </w:r>
              </w:p>
            </w:tc>
          </w:tr>
          <w:tr w:rsidR="00830FDC" w:rsidRPr="00F63634" w14:paraId="659FA483" w14:textId="77777777" w:rsidTr="00D0090A">
            <w:trPr>
              <w:trHeight w:val="225"/>
            </w:trPr>
            <w:tc>
              <w:tcPr>
                <w:tcW w:w="1460" w:type="dxa"/>
                <w:tcBorders>
                  <w:top w:val="nil"/>
                  <w:left w:val="nil"/>
                  <w:bottom w:val="nil"/>
                  <w:right w:val="nil"/>
                </w:tcBorders>
                <w:shd w:val="clear" w:color="auto" w:fill="CAE7F3" w:themeFill="accent1" w:themeFillTint="33"/>
                <w:noWrap/>
                <w:vAlign w:val="bottom"/>
              </w:tcPr>
              <w:p w14:paraId="47AEC803"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Australian Capital Territory</w:t>
                </w:r>
              </w:p>
            </w:tc>
            <w:tc>
              <w:tcPr>
                <w:tcW w:w="630" w:type="dxa"/>
                <w:tcBorders>
                  <w:top w:val="nil"/>
                  <w:left w:val="nil"/>
                  <w:bottom w:val="nil"/>
                  <w:right w:val="nil"/>
                </w:tcBorders>
                <w:shd w:val="clear" w:color="auto" w:fill="CAE7F3" w:themeFill="accent1" w:themeFillTint="33"/>
                <w:noWrap/>
                <w:vAlign w:val="bottom"/>
              </w:tcPr>
              <w:p w14:paraId="173BF20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57.8</w:t>
                </w:r>
              </w:p>
            </w:tc>
            <w:tc>
              <w:tcPr>
                <w:tcW w:w="630" w:type="dxa"/>
                <w:tcBorders>
                  <w:top w:val="nil"/>
                  <w:left w:val="nil"/>
                  <w:bottom w:val="nil"/>
                  <w:right w:val="nil"/>
                </w:tcBorders>
                <w:shd w:val="clear" w:color="auto" w:fill="CAE7F3" w:themeFill="accent1" w:themeFillTint="33"/>
                <w:noWrap/>
                <w:vAlign w:val="bottom"/>
              </w:tcPr>
              <w:p w14:paraId="71C0052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6.5</w:t>
                </w:r>
              </w:p>
            </w:tc>
            <w:tc>
              <w:tcPr>
                <w:tcW w:w="630" w:type="dxa"/>
                <w:tcBorders>
                  <w:top w:val="nil"/>
                  <w:left w:val="nil"/>
                  <w:bottom w:val="nil"/>
                  <w:right w:val="nil"/>
                </w:tcBorders>
                <w:shd w:val="clear" w:color="auto" w:fill="CAE7F3" w:themeFill="accent1" w:themeFillTint="33"/>
                <w:noWrap/>
                <w:vAlign w:val="bottom"/>
              </w:tcPr>
              <w:p w14:paraId="6E93700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64.0</w:t>
                </w:r>
              </w:p>
            </w:tc>
            <w:tc>
              <w:tcPr>
                <w:tcW w:w="631" w:type="dxa"/>
                <w:tcBorders>
                  <w:top w:val="nil"/>
                  <w:left w:val="nil"/>
                  <w:bottom w:val="nil"/>
                  <w:right w:val="nil"/>
                </w:tcBorders>
                <w:shd w:val="clear" w:color="auto" w:fill="CAE7F3" w:themeFill="accent1" w:themeFillTint="33"/>
                <w:noWrap/>
                <w:vAlign w:val="bottom"/>
              </w:tcPr>
              <w:p w14:paraId="293CBC7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14.2</w:t>
                </w:r>
              </w:p>
            </w:tc>
            <w:tc>
              <w:tcPr>
                <w:tcW w:w="630" w:type="dxa"/>
                <w:tcBorders>
                  <w:top w:val="nil"/>
                  <w:left w:val="nil"/>
                  <w:bottom w:val="nil"/>
                  <w:right w:val="nil"/>
                </w:tcBorders>
                <w:shd w:val="clear" w:color="auto" w:fill="CAE7F3" w:themeFill="accent1" w:themeFillTint="33"/>
                <w:noWrap/>
                <w:vAlign w:val="bottom"/>
              </w:tcPr>
              <w:p w14:paraId="1A17F76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822.2</w:t>
                </w:r>
              </w:p>
            </w:tc>
            <w:tc>
              <w:tcPr>
                <w:tcW w:w="630" w:type="dxa"/>
                <w:tcBorders>
                  <w:top w:val="nil"/>
                  <w:left w:val="nil"/>
                  <w:bottom w:val="nil"/>
                  <w:right w:val="nil"/>
                </w:tcBorders>
                <w:shd w:val="clear" w:color="auto" w:fill="CAE7F3" w:themeFill="accent1" w:themeFillTint="33"/>
                <w:noWrap/>
                <w:vAlign w:val="bottom"/>
              </w:tcPr>
              <w:p w14:paraId="247BFFA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59.7</w:t>
                </w:r>
              </w:p>
            </w:tc>
            <w:tc>
              <w:tcPr>
                <w:tcW w:w="631" w:type="dxa"/>
                <w:tcBorders>
                  <w:top w:val="nil"/>
                  <w:left w:val="nil"/>
                  <w:bottom w:val="nil"/>
                  <w:right w:val="nil"/>
                </w:tcBorders>
                <w:shd w:val="clear" w:color="auto" w:fill="CAE7F3" w:themeFill="accent1" w:themeFillTint="33"/>
                <w:noWrap/>
                <w:vAlign w:val="bottom"/>
              </w:tcPr>
              <w:p w14:paraId="440B17C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208.7</w:t>
                </w:r>
              </w:p>
            </w:tc>
            <w:tc>
              <w:tcPr>
                <w:tcW w:w="630" w:type="dxa"/>
                <w:tcBorders>
                  <w:top w:val="nil"/>
                  <w:left w:val="nil"/>
                  <w:bottom w:val="nil"/>
                  <w:right w:val="nil"/>
                </w:tcBorders>
                <w:shd w:val="clear" w:color="auto" w:fill="CAE7F3" w:themeFill="accent1" w:themeFillTint="33"/>
                <w:noWrap/>
                <w:vAlign w:val="bottom"/>
              </w:tcPr>
              <w:p w14:paraId="789B5DD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213.8</w:t>
                </w:r>
              </w:p>
            </w:tc>
            <w:tc>
              <w:tcPr>
                <w:tcW w:w="630" w:type="dxa"/>
                <w:tcBorders>
                  <w:top w:val="nil"/>
                  <w:left w:val="nil"/>
                  <w:bottom w:val="nil"/>
                  <w:right w:val="nil"/>
                </w:tcBorders>
                <w:shd w:val="clear" w:color="auto" w:fill="CAE7F3" w:themeFill="accent1" w:themeFillTint="33"/>
                <w:noWrap/>
                <w:vAlign w:val="bottom"/>
              </w:tcPr>
              <w:p w14:paraId="7B6CF92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231.7</w:t>
                </w:r>
              </w:p>
            </w:tc>
            <w:tc>
              <w:tcPr>
                <w:tcW w:w="631" w:type="dxa"/>
                <w:tcBorders>
                  <w:top w:val="nil"/>
                  <w:left w:val="nil"/>
                  <w:bottom w:val="nil"/>
                  <w:right w:val="nil"/>
                </w:tcBorders>
                <w:shd w:val="clear" w:color="auto" w:fill="CAE7F3" w:themeFill="accent1" w:themeFillTint="33"/>
                <w:noWrap/>
                <w:vAlign w:val="bottom"/>
              </w:tcPr>
              <w:p w14:paraId="1E9FD9A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42.3</w:t>
                </w:r>
              </w:p>
            </w:tc>
            <w:tc>
              <w:tcPr>
                <w:tcW w:w="630" w:type="dxa"/>
                <w:tcBorders>
                  <w:top w:val="nil"/>
                  <w:left w:val="nil"/>
                  <w:bottom w:val="nil"/>
                  <w:right w:val="nil"/>
                </w:tcBorders>
                <w:shd w:val="clear" w:color="auto" w:fill="CAE7F3" w:themeFill="accent1" w:themeFillTint="33"/>
                <w:noWrap/>
                <w:vAlign w:val="bottom"/>
              </w:tcPr>
              <w:p w14:paraId="756D152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246.0</w:t>
                </w:r>
              </w:p>
            </w:tc>
            <w:tc>
              <w:tcPr>
                <w:tcW w:w="630" w:type="dxa"/>
                <w:tcBorders>
                  <w:top w:val="nil"/>
                  <w:left w:val="nil"/>
                  <w:bottom w:val="nil"/>
                  <w:right w:val="nil"/>
                </w:tcBorders>
                <w:shd w:val="clear" w:color="auto" w:fill="CAE7F3" w:themeFill="accent1" w:themeFillTint="33"/>
                <w:noWrap/>
                <w:vAlign w:val="bottom"/>
              </w:tcPr>
              <w:p w14:paraId="74D1A2A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260.8</w:t>
                </w:r>
              </w:p>
            </w:tc>
            <w:tc>
              <w:tcPr>
                <w:tcW w:w="630" w:type="dxa"/>
                <w:tcBorders>
                  <w:top w:val="nil"/>
                  <w:left w:val="nil"/>
                  <w:bottom w:val="nil"/>
                  <w:right w:val="nil"/>
                </w:tcBorders>
                <w:shd w:val="clear" w:color="auto" w:fill="CAE7F3" w:themeFill="accent1" w:themeFillTint="33"/>
                <w:noWrap/>
                <w:vAlign w:val="bottom"/>
              </w:tcPr>
              <w:p w14:paraId="2959DC1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615.0</w:t>
                </w:r>
              </w:p>
            </w:tc>
            <w:tc>
              <w:tcPr>
                <w:tcW w:w="631" w:type="dxa"/>
                <w:tcBorders>
                  <w:top w:val="nil"/>
                  <w:left w:val="nil"/>
                  <w:bottom w:val="nil"/>
                  <w:right w:val="nil"/>
                </w:tcBorders>
                <w:shd w:val="clear" w:color="auto" w:fill="CAE7F3" w:themeFill="accent1" w:themeFillTint="33"/>
                <w:noWrap/>
                <w:vAlign w:val="bottom"/>
              </w:tcPr>
              <w:p w14:paraId="775CA50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202.8</w:t>
                </w:r>
              </w:p>
            </w:tc>
            <w:tc>
              <w:tcPr>
                <w:tcW w:w="630" w:type="dxa"/>
                <w:tcBorders>
                  <w:top w:val="nil"/>
                  <w:left w:val="nil"/>
                  <w:bottom w:val="nil"/>
                  <w:right w:val="nil"/>
                </w:tcBorders>
                <w:shd w:val="clear" w:color="auto" w:fill="CAE7F3" w:themeFill="accent1" w:themeFillTint="33"/>
                <w:noWrap/>
                <w:vAlign w:val="bottom"/>
              </w:tcPr>
              <w:p w14:paraId="383425D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25.7</w:t>
                </w:r>
              </w:p>
            </w:tc>
            <w:tc>
              <w:tcPr>
                <w:tcW w:w="630" w:type="dxa"/>
                <w:tcBorders>
                  <w:top w:val="nil"/>
                  <w:left w:val="nil"/>
                  <w:bottom w:val="nil"/>
                  <w:right w:val="nil"/>
                </w:tcBorders>
                <w:shd w:val="clear" w:color="auto" w:fill="CAE7F3" w:themeFill="accent1" w:themeFillTint="33"/>
                <w:noWrap/>
                <w:vAlign w:val="bottom"/>
              </w:tcPr>
              <w:p w14:paraId="439C350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68.8</w:t>
                </w:r>
              </w:p>
            </w:tc>
            <w:tc>
              <w:tcPr>
                <w:tcW w:w="631" w:type="dxa"/>
                <w:tcBorders>
                  <w:top w:val="nil"/>
                  <w:left w:val="nil"/>
                  <w:bottom w:val="nil"/>
                  <w:right w:val="nil"/>
                </w:tcBorders>
                <w:shd w:val="clear" w:color="auto" w:fill="CAE7F3" w:themeFill="accent1" w:themeFillTint="33"/>
                <w:noWrap/>
                <w:vAlign w:val="bottom"/>
              </w:tcPr>
              <w:p w14:paraId="5AAAD61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184.7</w:t>
                </w:r>
              </w:p>
            </w:tc>
            <w:tc>
              <w:tcPr>
                <w:tcW w:w="630" w:type="dxa"/>
                <w:tcBorders>
                  <w:top w:val="nil"/>
                  <w:left w:val="nil"/>
                  <w:bottom w:val="nil"/>
                  <w:right w:val="nil"/>
                </w:tcBorders>
                <w:shd w:val="clear" w:color="auto" w:fill="CAE7F3" w:themeFill="accent1" w:themeFillTint="33"/>
                <w:noWrap/>
                <w:vAlign w:val="bottom"/>
              </w:tcPr>
              <w:p w14:paraId="66E3D89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56.2</w:t>
                </w:r>
              </w:p>
            </w:tc>
            <w:tc>
              <w:tcPr>
                <w:tcW w:w="1229" w:type="dxa"/>
                <w:tcBorders>
                  <w:top w:val="nil"/>
                  <w:left w:val="nil"/>
                  <w:bottom w:val="nil"/>
                  <w:right w:val="nil"/>
                </w:tcBorders>
                <w:shd w:val="clear" w:color="auto" w:fill="CAE7F3" w:themeFill="accent1" w:themeFillTint="33"/>
                <w:noWrap/>
                <w:vAlign w:val="bottom"/>
              </w:tcPr>
              <w:p w14:paraId="4DF9077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144.3</w:t>
                </w:r>
              </w:p>
            </w:tc>
          </w:tr>
          <w:tr w:rsidR="00830FDC" w:rsidRPr="00F63634" w14:paraId="52187AED" w14:textId="77777777" w:rsidTr="00D0090A">
            <w:trPr>
              <w:trHeight w:val="225"/>
            </w:trPr>
            <w:tc>
              <w:tcPr>
                <w:tcW w:w="1460" w:type="dxa"/>
                <w:tcBorders>
                  <w:top w:val="nil"/>
                  <w:left w:val="nil"/>
                  <w:bottom w:val="single" w:sz="8" w:space="0" w:color="595A5B"/>
                  <w:right w:val="nil"/>
                </w:tcBorders>
                <w:shd w:val="clear" w:color="auto" w:fill="CAE7F3" w:themeFill="accent1" w:themeFillTint="33"/>
                <w:noWrap/>
                <w:vAlign w:val="bottom"/>
                <w:hideMark/>
              </w:tcPr>
              <w:p w14:paraId="38771859"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Special Purpose Codes SA4 (ACT)</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4BEDD13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1.5</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7D81193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0.0</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5CB1C0E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2.2</w:t>
                </w:r>
              </w:p>
            </w:tc>
            <w:tc>
              <w:tcPr>
                <w:tcW w:w="631" w:type="dxa"/>
                <w:tcBorders>
                  <w:top w:val="nil"/>
                  <w:left w:val="nil"/>
                  <w:bottom w:val="single" w:sz="8" w:space="0" w:color="595A5B"/>
                  <w:right w:val="nil"/>
                </w:tcBorders>
                <w:shd w:val="clear" w:color="auto" w:fill="CAE7F3" w:themeFill="accent1" w:themeFillTint="33"/>
                <w:noWrap/>
                <w:vAlign w:val="bottom"/>
                <w:hideMark/>
              </w:tcPr>
              <w:p w14:paraId="2A41467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0.5</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2539FF9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4.7</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3D0EA64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1.5</w:t>
                </w:r>
              </w:p>
            </w:tc>
            <w:tc>
              <w:tcPr>
                <w:tcW w:w="631" w:type="dxa"/>
                <w:tcBorders>
                  <w:top w:val="nil"/>
                  <w:left w:val="nil"/>
                  <w:bottom w:val="single" w:sz="8" w:space="0" w:color="595A5B"/>
                  <w:right w:val="nil"/>
                </w:tcBorders>
                <w:shd w:val="clear" w:color="auto" w:fill="CAE7F3" w:themeFill="accent1" w:themeFillTint="33"/>
                <w:noWrap/>
                <w:vAlign w:val="bottom"/>
                <w:hideMark/>
              </w:tcPr>
              <w:p w14:paraId="760D157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8.2</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6EFDF1E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12.3</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1F367CF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3.3</w:t>
                </w:r>
              </w:p>
            </w:tc>
            <w:tc>
              <w:tcPr>
                <w:tcW w:w="631" w:type="dxa"/>
                <w:tcBorders>
                  <w:top w:val="nil"/>
                  <w:left w:val="nil"/>
                  <w:bottom w:val="single" w:sz="8" w:space="0" w:color="595A5B"/>
                  <w:right w:val="nil"/>
                </w:tcBorders>
                <w:shd w:val="clear" w:color="auto" w:fill="CAE7F3" w:themeFill="accent1" w:themeFillTint="33"/>
                <w:noWrap/>
                <w:vAlign w:val="bottom"/>
                <w:hideMark/>
              </w:tcPr>
              <w:p w14:paraId="086408C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00B1DBB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5.2</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4245D28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0BA9FB2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7.0</w:t>
                </w:r>
              </w:p>
            </w:tc>
            <w:tc>
              <w:tcPr>
                <w:tcW w:w="631" w:type="dxa"/>
                <w:tcBorders>
                  <w:top w:val="nil"/>
                  <w:left w:val="nil"/>
                  <w:bottom w:val="single" w:sz="8" w:space="0" w:color="595A5B"/>
                  <w:right w:val="nil"/>
                </w:tcBorders>
                <w:shd w:val="clear" w:color="auto" w:fill="CAE7F3" w:themeFill="accent1" w:themeFillTint="33"/>
                <w:noWrap/>
                <w:vAlign w:val="bottom"/>
                <w:hideMark/>
              </w:tcPr>
              <w:p w14:paraId="1314ED6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3.0</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24E3261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0.5</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3937F16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1.5</w:t>
                </w:r>
              </w:p>
            </w:tc>
            <w:tc>
              <w:tcPr>
                <w:tcW w:w="631" w:type="dxa"/>
                <w:tcBorders>
                  <w:top w:val="nil"/>
                  <w:left w:val="nil"/>
                  <w:bottom w:val="single" w:sz="8" w:space="0" w:color="595A5B"/>
                  <w:right w:val="nil"/>
                </w:tcBorders>
                <w:shd w:val="clear" w:color="auto" w:fill="CAE7F3" w:themeFill="accent1" w:themeFillTint="33"/>
                <w:noWrap/>
                <w:vAlign w:val="bottom"/>
                <w:hideMark/>
              </w:tcPr>
              <w:p w14:paraId="3234E21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4.3</w:t>
                </w:r>
              </w:p>
            </w:tc>
            <w:tc>
              <w:tcPr>
                <w:tcW w:w="630" w:type="dxa"/>
                <w:tcBorders>
                  <w:top w:val="nil"/>
                  <w:left w:val="nil"/>
                  <w:bottom w:val="single" w:sz="8" w:space="0" w:color="595A5B"/>
                  <w:right w:val="nil"/>
                </w:tcBorders>
                <w:shd w:val="clear" w:color="auto" w:fill="CAE7F3" w:themeFill="accent1" w:themeFillTint="33"/>
                <w:noWrap/>
                <w:vAlign w:val="bottom"/>
                <w:hideMark/>
              </w:tcPr>
              <w:p w14:paraId="31D29F3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1.5</w:t>
                </w:r>
              </w:p>
            </w:tc>
            <w:tc>
              <w:tcPr>
                <w:tcW w:w="1229" w:type="dxa"/>
                <w:tcBorders>
                  <w:top w:val="nil"/>
                  <w:left w:val="nil"/>
                  <w:bottom w:val="single" w:sz="8" w:space="0" w:color="595A5B"/>
                  <w:right w:val="nil"/>
                </w:tcBorders>
                <w:shd w:val="clear" w:color="auto" w:fill="CAE7F3" w:themeFill="accent1" w:themeFillTint="33"/>
                <w:noWrap/>
                <w:vAlign w:val="bottom"/>
                <w:hideMark/>
              </w:tcPr>
              <w:p w14:paraId="7832DB6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3.8</w:t>
                </w:r>
              </w:p>
            </w:tc>
          </w:tr>
          <w:tr w:rsidR="00830FDC" w:rsidRPr="00F63634" w14:paraId="0C18F66C" w14:textId="77777777" w:rsidTr="00D0090A">
            <w:trPr>
              <w:trHeight w:val="225"/>
            </w:trPr>
            <w:tc>
              <w:tcPr>
                <w:tcW w:w="1460" w:type="dxa"/>
                <w:tcBorders>
                  <w:top w:val="single" w:sz="8" w:space="0" w:color="595A5B"/>
                  <w:left w:val="nil"/>
                  <w:right w:val="nil"/>
                </w:tcBorders>
                <w:shd w:val="clear" w:color="auto" w:fill="CAE7F3" w:themeFill="accent1" w:themeFillTint="33"/>
                <w:noWrap/>
                <w:vAlign w:val="bottom"/>
                <w:hideMark/>
              </w:tcPr>
              <w:p w14:paraId="1030B509" w14:textId="77777777" w:rsidR="00830FDC" w:rsidRPr="00792A3F" w:rsidRDefault="00830FDC" w:rsidP="00D0090A">
                <w:pPr>
                  <w:pStyle w:val="Tabletext"/>
                  <w:rPr>
                    <w:b/>
                    <w:sz w:val="12"/>
                    <w:szCs w:val="16"/>
                    <w:lang w:eastAsia="en-AU"/>
                  </w:rPr>
                </w:pPr>
                <w:r w:rsidRPr="00792A3F">
                  <w:rPr>
                    <w:b/>
                    <w:sz w:val="12"/>
                    <w:szCs w:val="16"/>
                    <w:lang w:eastAsia="en-AU"/>
                  </w:rPr>
                  <w:t>New South Wales</w:t>
                </w:r>
              </w:p>
            </w:tc>
            <w:tc>
              <w:tcPr>
                <w:tcW w:w="630" w:type="dxa"/>
                <w:tcBorders>
                  <w:top w:val="single" w:sz="8" w:space="0" w:color="595A5B"/>
                  <w:left w:val="nil"/>
                  <w:right w:val="nil"/>
                </w:tcBorders>
                <w:shd w:val="clear" w:color="auto" w:fill="CAE7F3" w:themeFill="accent1" w:themeFillTint="33"/>
                <w:noWrap/>
                <w:vAlign w:val="bottom"/>
                <w:hideMark/>
              </w:tcPr>
              <w:p w14:paraId="379DD311" w14:textId="77777777" w:rsidR="00830FDC" w:rsidRPr="00792A3F" w:rsidRDefault="00830FDC" w:rsidP="00D0090A">
                <w:pPr>
                  <w:pStyle w:val="Tabletext"/>
                  <w:jc w:val="right"/>
                  <w:rPr>
                    <w:b/>
                    <w:sz w:val="12"/>
                    <w:szCs w:val="16"/>
                    <w:lang w:eastAsia="en-AU"/>
                  </w:rPr>
                </w:pPr>
                <w:r w:rsidRPr="00792A3F">
                  <w:rPr>
                    <w:b/>
                    <w:sz w:val="12"/>
                    <w:szCs w:val="16"/>
                    <w:lang w:eastAsia="en-AU"/>
                  </w:rPr>
                  <w:t>4398.8</w:t>
                </w:r>
              </w:p>
            </w:tc>
            <w:tc>
              <w:tcPr>
                <w:tcW w:w="630" w:type="dxa"/>
                <w:tcBorders>
                  <w:top w:val="single" w:sz="8" w:space="0" w:color="595A5B"/>
                  <w:left w:val="nil"/>
                  <w:right w:val="nil"/>
                </w:tcBorders>
                <w:shd w:val="clear" w:color="auto" w:fill="CAE7F3" w:themeFill="accent1" w:themeFillTint="33"/>
                <w:noWrap/>
                <w:vAlign w:val="bottom"/>
                <w:hideMark/>
              </w:tcPr>
              <w:p w14:paraId="3CB700E0" w14:textId="77777777" w:rsidR="00830FDC" w:rsidRPr="00792A3F" w:rsidRDefault="00830FDC" w:rsidP="00D0090A">
                <w:pPr>
                  <w:pStyle w:val="Tabletext"/>
                  <w:jc w:val="right"/>
                  <w:rPr>
                    <w:b/>
                    <w:sz w:val="12"/>
                    <w:szCs w:val="16"/>
                    <w:lang w:eastAsia="en-AU"/>
                  </w:rPr>
                </w:pPr>
                <w:r w:rsidRPr="00792A3F">
                  <w:rPr>
                    <w:b/>
                    <w:sz w:val="12"/>
                    <w:szCs w:val="16"/>
                    <w:lang w:eastAsia="en-AU"/>
                  </w:rPr>
                  <w:t>260.8</w:t>
                </w:r>
              </w:p>
            </w:tc>
            <w:tc>
              <w:tcPr>
                <w:tcW w:w="630" w:type="dxa"/>
                <w:tcBorders>
                  <w:top w:val="single" w:sz="8" w:space="0" w:color="595A5B"/>
                  <w:left w:val="nil"/>
                  <w:right w:val="nil"/>
                </w:tcBorders>
                <w:shd w:val="clear" w:color="auto" w:fill="CAE7F3" w:themeFill="accent1" w:themeFillTint="33"/>
                <w:noWrap/>
                <w:vAlign w:val="bottom"/>
                <w:hideMark/>
              </w:tcPr>
              <w:p w14:paraId="53A97913" w14:textId="77777777" w:rsidR="00830FDC" w:rsidRPr="00792A3F" w:rsidRDefault="00830FDC" w:rsidP="00D0090A">
                <w:pPr>
                  <w:pStyle w:val="Tabletext"/>
                  <w:jc w:val="right"/>
                  <w:rPr>
                    <w:b/>
                    <w:sz w:val="12"/>
                    <w:szCs w:val="16"/>
                    <w:lang w:eastAsia="en-AU"/>
                  </w:rPr>
                </w:pPr>
                <w:r w:rsidRPr="00792A3F">
                  <w:rPr>
                    <w:b/>
                    <w:sz w:val="12"/>
                    <w:szCs w:val="16"/>
                    <w:lang w:eastAsia="en-AU"/>
                  </w:rPr>
                  <w:t>2759.7</w:t>
                </w:r>
              </w:p>
            </w:tc>
            <w:tc>
              <w:tcPr>
                <w:tcW w:w="631" w:type="dxa"/>
                <w:tcBorders>
                  <w:top w:val="single" w:sz="8" w:space="0" w:color="595A5B"/>
                  <w:left w:val="nil"/>
                  <w:right w:val="nil"/>
                </w:tcBorders>
                <w:shd w:val="clear" w:color="auto" w:fill="CAE7F3" w:themeFill="accent1" w:themeFillTint="33"/>
                <w:noWrap/>
                <w:vAlign w:val="bottom"/>
                <w:hideMark/>
              </w:tcPr>
              <w:p w14:paraId="2796B6BB" w14:textId="77777777" w:rsidR="00830FDC" w:rsidRPr="00792A3F" w:rsidRDefault="00830FDC" w:rsidP="00D0090A">
                <w:pPr>
                  <w:pStyle w:val="Tabletext"/>
                  <w:jc w:val="right"/>
                  <w:rPr>
                    <w:b/>
                    <w:sz w:val="12"/>
                    <w:szCs w:val="16"/>
                    <w:lang w:eastAsia="en-AU"/>
                  </w:rPr>
                </w:pPr>
                <w:r w:rsidRPr="00792A3F">
                  <w:rPr>
                    <w:b/>
                    <w:sz w:val="12"/>
                    <w:szCs w:val="16"/>
                    <w:lang w:eastAsia="en-AU"/>
                  </w:rPr>
                  <w:t>336.8</w:t>
                </w:r>
              </w:p>
            </w:tc>
            <w:tc>
              <w:tcPr>
                <w:tcW w:w="630" w:type="dxa"/>
                <w:tcBorders>
                  <w:top w:val="single" w:sz="8" w:space="0" w:color="595A5B"/>
                  <w:left w:val="nil"/>
                  <w:right w:val="nil"/>
                </w:tcBorders>
                <w:shd w:val="clear" w:color="auto" w:fill="CAE7F3" w:themeFill="accent1" w:themeFillTint="33"/>
                <w:noWrap/>
                <w:vAlign w:val="bottom"/>
                <w:hideMark/>
              </w:tcPr>
              <w:p w14:paraId="5BECDBD4" w14:textId="77777777" w:rsidR="00830FDC" w:rsidRPr="00792A3F" w:rsidRDefault="00830FDC" w:rsidP="00D0090A">
                <w:pPr>
                  <w:pStyle w:val="Tabletext"/>
                  <w:jc w:val="right"/>
                  <w:rPr>
                    <w:b/>
                    <w:sz w:val="12"/>
                    <w:szCs w:val="16"/>
                    <w:lang w:eastAsia="en-AU"/>
                  </w:rPr>
                </w:pPr>
                <w:r w:rsidRPr="00792A3F">
                  <w:rPr>
                    <w:b/>
                    <w:sz w:val="10"/>
                    <w:szCs w:val="16"/>
                    <w:lang w:eastAsia="en-AU"/>
                  </w:rPr>
                  <w:t>15234.8</w:t>
                </w:r>
              </w:p>
            </w:tc>
            <w:tc>
              <w:tcPr>
                <w:tcW w:w="630" w:type="dxa"/>
                <w:tcBorders>
                  <w:top w:val="single" w:sz="8" w:space="0" w:color="595A5B"/>
                  <w:left w:val="nil"/>
                  <w:right w:val="nil"/>
                </w:tcBorders>
                <w:shd w:val="clear" w:color="auto" w:fill="CAE7F3" w:themeFill="accent1" w:themeFillTint="33"/>
                <w:noWrap/>
                <w:vAlign w:val="bottom"/>
                <w:hideMark/>
              </w:tcPr>
              <w:p w14:paraId="28BA4130" w14:textId="77777777" w:rsidR="00830FDC" w:rsidRPr="00792A3F" w:rsidRDefault="00830FDC" w:rsidP="00D0090A">
                <w:pPr>
                  <w:pStyle w:val="Tabletext"/>
                  <w:jc w:val="right"/>
                  <w:rPr>
                    <w:b/>
                    <w:sz w:val="12"/>
                    <w:szCs w:val="16"/>
                    <w:lang w:eastAsia="en-AU"/>
                  </w:rPr>
                </w:pPr>
                <w:r w:rsidRPr="00792A3F">
                  <w:rPr>
                    <w:b/>
                    <w:sz w:val="12"/>
                    <w:szCs w:val="16"/>
                    <w:lang w:eastAsia="en-AU"/>
                  </w:rPr>
                  <w:t>3553.7</w:t>
                </w:r>
              </w:p>
            </w:tc>
            <w:tc>
              <w:tcPr>
                <w:tcW w:w="631" w:type="dxa"/>
                <w:tcBorders>
                  <w:top w:val="single" w:sz="8" w:space="0" w:color="595A5B"/>
                  <w:left w:val="nil"/>
                  <w:right w:val="nil"/>
                </w:tcBorders>
                <w:shd w:val="clear" w:color="auto" w:fill="CAE7F3" w:themeFill="accent1" w:themeFillTint="33"/>
                <w:noWrap/>
                <w:vAlign w:val="bottom"/>
                <w:hideMark/>
              </w:tcPr>
              <w:p w14:paraId="0C639ADE" w14:textId="77777777" w:rsidR="00830FDC" w:rsidRPr="00792A3F" w:rsidRDefault="00830FDC" w:rsidP="00D0090A">
                <w:pPr>
                  <w:pStyle w:val="Tabletext"/>
                  <w:jc w:val="right"/>
                  <w:rPr>
                    <w:b/>
                    <w:sz w:val="12"/>
                    <w:szCs w:val="16"/>
                    <w:lang w:eastAsia="en-AU"/>
                  </w:rPr>
                </w:pPr>
                <w:r w:rsidRPr="00792A3F">
                  <w:rPr>
                    <w:b/>
                    <w:sz w:val="12"/>
                    <w:szCs w:val="16"/>
                    <w:lang w:eastAsia="en-AU"/>
                  </w:rPr>
                  <w:t>6650.8</w:t>
                </w:r>
              </w:p>
            </w:tc>
            <w:tc>
              <w:tcPr>
                <w:tcW w:w="630" w:type="dxa"/>
                <w:tcBorders>
                  <w:top w:val="single" w:sz="8" w:space="0" w:color="595A5B"/>
                  <w:left w:val="nil"/>
                  <w:right w:val="nil"/>
                </w:tcBorders>
                <w:shd w:val="clear" w:color="auto" w:fill="CAE7F3" w:themeFill="accent1" w:themeFillTint="33"/>
                <w:noWrap/>
                <w:vAlign w:val="bottom"/>
                <w:hideMark/>
              </w:tcPr>
              <w:p w14:paraId="6438F49D" w14:textId="77777777" w:rsidR="00830FDC" w:rsidRPr="00792A3F" w:rsidRDefault="00830FDC" w:rsidP="00D0090A">
                <w:pPr>
                  <w:pStyle w:val="Tabletext"/>
                  <w:jc w:val="right"/>
                  <w:rPr>
                    <w:b/>
                    <w:sz w:val="12"/>
                    <w:szCs w:val="16"/>
                    <w:lang w:eastAsia="en-AU"/>
                  </w:rPr>
                </w:pPr>
                <w:r w:rsidRPr="00792A3F">
                  <w:rPr>
                    <w:b/>
                    <w:sz w:val="12"/>
                    <w:szCs w:val="16"/>
                    <w:lang w:eastAsia="en-AU"/>
                  </w:rPr>
                  <w:t>4880.7</w:t>
                </w:r>
              </w:p>
            </w:tc>
            <w:tc>
              <w:tcPr>
                <w:tcW w:w="630" w:type="dxa"/>
                <w:tcBorders>
                  <w:top w:val="single" w:sz="8" w:space="0" w:color="595A5B"/>
                  <w:left w:val="nil"/>
                  <w:right w:val="nil"/>
                </w:tcBorders>
                <w:shd w:val="clear" w:color="auto" w:fill="CAE7F3" w:themeFill="accent1" w:themeFillTint="33"/>
                <w:noWrap/>
                <w:vAlign w:val="bottom"/>
                <w:hideMark/>
              </w:tcPr>
              <w:p w14:paraId="780D0D30" w14:textId="77777777" w:rsidR="00830FDC" w:rsidRPr="00792A3F" w:rsidRDefault="00830FDC" w:rsidP="00D0090A">
                <w:pPr>
                  <w:pStyle w:val="Tabletext"/>
                  <w:jc w:val="right"/>
                  <w:rPr>
                    <w:b/>
                    <w:sz w:val="10"/>
                    <w:szCs w:val="16"/>
                    <w:lang w:eastAsia="en-AU"/>
                  </w:rPr>
                </w:pPr>
                <w:r w:rsidRPr="00792A3F">
                  <w:rPr>
                    <w:b/>
                    <w:sz w:val="10"/>
                    <w:szCs w:val="16"/>
                    <w:lang w:eastAsia="en-AU"/>
                  </w:rPr>
                  <w:t>5680.7</w:t>
                </w:r>
              </w:p>
            </w:tc>
            <w:tc>
              <w:tcPr>
                <w:tcW w:w="631" w:type="dxa"/>
                <w:tcBorders>
                  <w:top w:val="single" w:sz="8" w:space="0" w:color="595A5B"/>
                  <w:left w:val="nil"/>
                  <w:right w:val="nil"/>
                </w:tcBorders>
                <w:shd w:val="clear" w:color="auto" w:fill="CAE7F3" w:themeFill="accent1" w:themeFillTint="33"/>
                <w:noWrap/>
                <w:vAlign w:val="bottom"/>
                <w:hideMark/>
              </w:tcPr>
              <w:p w14:paraId="27BFE8B2" w14:textId="77777777" w:rsidR="00830FDC" w:rsidRPr="00792A3F" w:rsidRDefault="00830FDC" w:rsidP="00D0090A">
                <w:pPr>
                  <w:pStyle w:val="Tabletext"/>
                  <w:jc w:val="right"/>
                  <w:rPr>
                    <w:b/>
                    <w:sz w:val="12"/>
                    <w:szCs w:val="16"/>
                    <w:lang w:eastAsia="en-AU"/>
                  </w:rPr>
                </w:pPr>
                <w:r w:rsidRPr="00792A3F">
                  <w:rPr>
                    <w:b/>
                    <w:sz w:val="12"/>
                    <w:szCs w:val="16"/>
                    <w:lang w:eastAsia="en-AU"/>
                  </w:rPr>
                  <w:t>1268.7</w:t>
                </w:r>
              </w:p>
            </w:tc>
            <w:tc>
              <w:tcPr>
                <w:tcW w:w="630" w:type="dxa"/>
                <w:tcBorders>
                  <w:top w:val="single" w:sz="8" w:space="0" w:color="595A5B"/>
                  <w:left w:val="nil"/>
                  <w:right w:val="nil"/>
                </w:tcBorders>
                <w:shd w:val="clear" w:color="auto" w:fill="CAE7F3" w:themeFill="accent1" w:themeFillTint="33"/>
                <w:noWrap/>
                <w:vAlign w:val="bottom"/>
                <w:hideMark/>
              </w:tcPr>
              <w:p w14:paraId="084EAAB1" w14:textId="77777777" w:rsidR="00830FDC" w:rsidRPr="00792A3F" w:rsidRDefault="00830FDC" w:rsidP="00D0090A">
                <w:pPr>
                  <w:pStyle w:val="Tabletext"/>
                  <w:jc w:val="right"/>
                  <w:rPr>
                    <w:b/>
                    <w:sz w:val="12"/>
                    <w:szCs w:val="16"/>
                    <w:lang w:eastAsia="en-AU"/>
                  </w:rPr>
                </w:pPr>
                <w:r w:rsidRPr="00792A3F">
                  <w:rPr>
                    <w:b/>
                    <w:sz w:val="12"/>
                    <w:szCs w:val="16"/>
                    <w:lang w:eastAsia="en-AU"/>
                  </w:rPr>
                  <w:t>8040.8</w:t>
                </w:r>
              </w:p>
            </w:tc>
            <w:tc>
              <w:tcPr>
                <w:tcW w:w="630" w:type="dxa"/>
                <w:tcBorders>
                  <w:top w:val="single" w:sz="8" w:space="0" w:color="595A5B"/>
                  <w:left w:val="nil"/>
                  <w:right w:val="nil"/>
                </w:tcBorders>
                <w:shd w:val="clear" w:color="auto" w:fill="CAE7F3" w:themeFill="accent1" w:themeFillTint="33"/>
                <w:noWrap/>
                <w:vAlign w:val="bottom"/>
                <w:hideMark/>
              </w:tcPr>
              <w:p w14:paraId="4CF6FA5A" w14:textId="77777777" w:rsidR="00830FDC" w:rsidRPr="00792A3F" w:rsidRDefault="00830FDC" w:rsidP="00D0090A">
                <w:pPr>
                  <w:pStyle w:val="Tabletext"/>
                  <w:jc w:val="right"/>
                  <w:rPr>
                    <w:b/>
                    <w:sz w:val="10"/>
                    <w:szCs w:val="16"/>
                    <w:lang w:eastAsia="en-AU"/>
                  </w:rPr>
                </w:pPr>
                <w:r w:rsidRPr="00792A3F">
                  <w:rPr>
                    <w:b/>
                    <w:sz w:val="10"/>
                    <w:szCs w:val="16"/>
                    <w:lang w:eastAsia="en-AU"/>
                  </w:rPr>
                  <w:t>7266.5</w:t>
                </w:r>
              </w:p>
            </w:tc>
            <w:tc>
              <w:tcPr>
                <w:tcW w:w="630" w:type="dxa"/>
                <w:tcBorders>
                  <w:top w:val="single" w:sz="8" w:space="0" w:color="595A5B"/>
                  <w:left w:val="nil"/>
                  <w:right w:val="nil"/>
                </w:tcBorders>
                <w:shd w:val="clear" w:color="auto" w:fill="CAE7F3" w:themeFill="accent1" w:themeFillTint="33"/>
                <w:noWrap/>
                <w:vAlign w:val="bottom"/>
                <w:hideMark/>
              </w:tcPr>
              <w:p w14:paraId="39EF356C" w14:textId="77777777" w:rsidR="00830FDC" w:rsidRPr="00792A3F" w:rsidRDefault="00830FDC" w:rsidP="00D0090A">
                <w:pPr>
                  <w:pStyle w:val="Tabletext"/>
                  <w:jc w:val="right"/>
                  <w:rPr>
                    <w:b/>
                    <w:sz w:val="12"/>
                    <w:szCs w:val="16"/>
                    <w:lang w:eastAsia="en-AU"/>
                  </w:rPr>
                </w:pPr>
                <w:r w:rsidRPr="00792A3F">
                  <w:rPr>
                    <w:b/>
                    <w:sz w:val="10"/>
                    <w:szCs w:val="16"/>
                    <w:lang w:eastAsia="en-AU"/>
                  </w:rPr>
                  <w:t>12534.3</w:t>
                </w:r>
              </w:p>
            </w:tc>
            <w:tc>
              <w:tcPr>
                <w:tcW w:w="631" w:type="dxa"/>
                <w:tcBorders>
                  <w:top w:val="single" w:sz="8" w:space="0" w:color="595A5B"/>
                  <w:left w:val="nil"/>
                  <w:right w:val="nil"/>
                </w:tcBorders>
                <w:shd w:val="clear" w:color="auto" w:fill="CAE7F3" w:themeFill="accent1" w:themeFillTint="33"/>
                <w:noWrap/>
                <w:vAlign w:val="bottom"/>
                <w:hideMark/>
              </w:tcPr>
              <w:p w14:paraId="28E14B33" w14:textId="77777777" w:rsidR="00830FDC" w:rsidRPr="00792A3F" w:rsidRDefault="00830FDC" w:rsidP="00D0090A">
                <w:pPr>
                  <w:pStyle w:val="Tabletext"/>
                  <w:jc w:val="right"/>
                  <w:rPr>
                    <w:b/>
                    <w:sz w:val="12"/>
                    <w:szCs w:val="16"/>
                    <w:lang w:eastAsia="en-AU"/>
                  </w:rPr>
                </w:pPr>
                <w:r w:rsidRPr="00792A3F">
                  <w:rPr>
                    <w:b/>
                    <w:sz w:val="12"/>
                    <w:szCs w:val="16"/>
                    <w:lang w:eastAsia="en-AU"/>
                  </w:rPr>
                  <w:t>4949.3</w:t>
                </w:r>
              </w:p>
            </w:tc>
            <w:tc>
              <w:tcPr>
                <w:tcW w:w="630" w:type="dxa"/>
                <w:tcBorders>
                  <w:top w:val="single" w:sz="8" w:space="0" w:color="595A5B"/>
                  <w:left w:val="nil"/>
                  <w:right w:val="nil"/>
                </w:tcBorders>
                <w:shd w:val="clear" w:color="auto" w:fill="CAE7F3" w:themeFill="accent1" w:themeFillTint="33"/>
                <w:noWrap/>
                <w:vAlign w:val="bottom"/>
                <w:hideMark/>
              </w:tcPr>
              <w:p w14:paraId="660EAAA2" w14:textId="77777777" w:rsidR="00830FDC" w:rsidRPr="00792A3F" w:rsidRDefault="00830FDC" w:rsidP="00D0090A">
                <w:pPr>
                  <w:pStyle w:val="Tabletext"/>
                  <w:jc w:val="right"/>
                  <w:rPr>
                    <w:b/>
                    <w:sz w:val="12"/>
                    <w:szCs w:val="16"/>
                    <w:lang w:eastAsia="en-AU"/>
                  </w:rPr>
                </w:pPr>
                <w:r w:rsidRPr="00792A3F">
                  <w:rPr>
                    <w:b/>
                    <w:sz w:val="12"/>
                    <w:szCs w:val="16"/>
                    <w:lang w:eastAsia="en-AU"/>
                  </w:rPr>
                  <w:t>571.8</w:t>
                </w:r>
              </w:p>
            </w:tc>
            <w:tc>
              <w:tcPr>
                <w:tcW w:w="630" w:type="dxa"/>
                <w:tcBorders>
                  <w:top w:val="single" w:sz="8" w:space="0" w:color="595A5B"/>
                  <w:left w:val="nil"/>
                  <w:right w:val="nil"/>
                </w:tcBorders>
                <w:shd w:val="clear" w:color="auto" w:fill="CAE7F3" w:themeFill="accent1" w:themeFillTint="33"/>
                <w:noWrap/>
                <w:vAlign w:val="bottom"/>
                <w:hideMark/>
              </w:tcPr>
              <w:p w14:paraId="5BB4F126" w14:textId="77777777" w:rsidR="00830FDC" w:rsidRPr="00792A3F" w:rsidRDefault="00830FDC" w:rsidP="00D0090A">
                <w:pPr>
                  <w:pStyle w:val="Tabletext"/>
                  <w:jc w:val="right"/>
                  <w:rPr>
                    <w:b/>
                    <w:sz w:val="12"/>
                    <w:szCs w:val="16"/>
                    <w:lang w:eastAsia="en-AU"/>
                  </w:rPr>
                </w:pPr>
                <w:r w:rsidRPr="00792A3F">
                  <w:rPr>
                    <w:b/>
                    <w:sz w:val="12"/>
                    <w:szCs w:val="16"/>
                    <w:lang w:eastAsia="en-AU"/>
                  </w:rPr>
                  <w:t>1344.0</w:t>
                </w:r>
              </w:p>
            </w:tc>
            <w:tc>
              <w:tcPr>
                <w:tcW w:w="631" w:type="dxa"/>
                <w:tcBorders>
                  <w:top w:val="single" w:sz="8" w:space="0" w:color="595A5B"/>
                  <w:left w:val="nil"/>
                  <w:right w:val="nil"/>
                </w:tcBorders>
                <w:shd w:val="clear" w:color="auto" w:fill="CAE7F3" w:themeFill="accent1" w:themeFillTint="33"/>
                <w:noWrap/>
                <w:vAlign w:val="bottom"/>
                <w:hideMark/>
              </w:tcPr>
              <w:p w14:paraId="47943903" w14:textId="77777777" w:rsidR="00830FDC" w:rsidRPr="00792A3F" w:rsidRDefault="00830FDC" w:rsidP="00D0090A">
                <w:pPr>
                  <w:pStyle w:val="Tabletext"/>
                  <w:jc w:val="right"/>
                  <w:rPr>
                    <w:b/>
                    <w:sz w:val="12"/>
                    <w:szCs w:val="16"/>
                    <w:lang w:eastAsia="en-AU"/>
                  </w:rPr>
                </w:pPr>
                <w:r w:rsidRPr="00792A3F">
                  <w:rPr>
                    <w:b/>
                    <w:sz w:val="12"/>
                    <w:szCs w:val="16"/>
                    <w:lang w:eastAsia="en-AU"/>
                  </w:rPr>
                  <w:t>3965.0</w:t>
                </w:r>
              </w:p>
            </w:tc>
            <w:tc>
              <w:tcPr>
                <w:tcW w:w="630" w:type="dxa"/>
                <w:tcBorders>
                  <w:top w:val="single" w:sz="8" w:space="0" w:color="595A5B"/>
                  <w:left w:val="nil"/>
                  <w:right w:val="nil"/>
                </w:tcBorders>
                <w:shd w:val="clear" w:color="auto" w:fill="CAE7F3" w:themeFill="accent1" w:themeFillTint="33"/>
                <w:noWrap/>
                <w:vAlign w:val="bottom"/>
                <w:hideMark/>
              </w:tcPr>
              <w:p w14:paraId="1C5C0BBF" w14:textId="77777777" w:rsidR="00830FDC" w:rsidRPr="00792A3F" w:rsidRDefault="00830FDC" w:rsidP="00D0090A">
                <w:pPr>
                  <w:pStyle w:val="Tabletext"/>
                  <w:jc w:val="right"/>
                  <w:rPr>
                    <w:b/>
                    <w:sz w:val="12"/>
                    <w:szCs w:val="16"/>
                    <w:lang w:eastAsia="en-AU"/>
                  </w:rPr>
                </w:pPr>
                <w:r w:rsidRPr="00792A3F">
                  <w:rPr>
                    <w:b/>
                    <w:sz w:val="10"/>
                    <w:szCs w:val="16"/>
                    <w:lang w:eastAsia="en-AU"/>
                  </w:rPr>
                  <w:t>1372.8</w:t>
                </w:r>
              </w:p>
            </w:tc>
            <w:tc>
              <w:tcPr>
                <w:tcW w:w="1229" w:type="dxa"/>
                <w:tcBorders>
                  <w:top w:val="single" w:sz="8" w:space="0" w:color="595A5B"/>
                  <w:left w:val="nil"/>
                  <w:right w:val="nil"/>
                </w:tcBorders>
                <w:shd w:val="clear" w:color="auto" w:fill="CAE7F3" w:themeFill="accent1" w:themeFillTint="33"/>
                <w:noWrap/>
                <w:vAlign w:val="bottom"/>
                <w:hideMark/>
              </w:tcPr>
              <w:p w14:paraId="123B6832" w14:textId="77777777" w:rsidR="00830FDC" w:rsidRPr="00792A3F" w:rsidRDefault="00830FDC" w:rsidP="00D0090A">
                <w:pPr>
                  <w:pStyle w:val="Tabletext"/>
                  <w:jc w:val="right"/>
                  <w:rPr>
                    <w:b/>
                    <w:sz w:val="12"/>
                    <w:szCs w:val="16"/>
                    <w:lang w:eastAsia="en-AU"/>
                  </w:rPr>
                </w:pPr>
                <w:r w:rsidRPr="00792A3F">
                  <w:rPr>
                    <w:b/>
                    <w:sz w:val="12"/>
                    <w:szCs w:val="16"/>
                    <w:lang w:eastAsia="en-AU"/>
                  </w:rPr>
                  <w:t>3860.7</w:t>
                </w:r>
              </w:p>
            </w:tc>
          </w:tr>
          <w:tr w:rsidR="00830FDC" w:rsidRPr="00F63634" w14:paraId="438B2790" w14:textId="77777777" w:rsidTr="00D0090A">
            <w:trPr>
              <w:trHeight w:val="291"/>
            </w:trPr>
            <w:tc>
              <w:tcPr>
                <w:tcW w:w="1460" w:type="dxa"/>
                <w:tcBorders>
                  <w:left w:val="nil"/>
                  <w:bottom w:val="nil"/>
                  <w:right w:val="nil"/>
                </w:tcBorders>
                <w:shd w:val="clear" w:color="auto" w:fill="CAE7F3" w:themeFill="accent1" w:themeFillTint="33"/>
                <w:noWrap/>
                <w:vAlign w:val="bottom"/>
                <w:hideMark/>
              </w:tcPr>
              <w:p w14:paraId="34B23FD0"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Capital Region</w:t>
                </w:r>
              </w:p>
            </w:tc>
            <w:tc>
              <w:tcPr>
                <w:tcW w:w="630" w:type="dxa"/>
                <w:tcBorders>
                  <w:left w:val="nil"/>
                  <w:bottom w:val="nil"/>
                  <w:right w:val="nil"/>
                </w:tcBorders>
                <w:shd w:val="clear" w:color="auto" w:fill="CAE7F3" w:themeFill="accent1" w:themeFillTint="33"/>
                <w:noWrap/>
                <w:vAlign w:val="bottom"/>
                <w:hideMark/>
              </w:tcPr>
              <w:p w14:paraId="3546D95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353.0</w:t>
                </w:r>
              </w:p>
            </w:tc>
            <w:tc>
              <w:tcPr>
                <w:tcW w:w="630" w:type="dxa"/>
                <w:tcBorders>
                  <w:left w:val="nil"/>
                  <w:bottom w:val="nil"/>
                  <w:right w:val="nil"/>
                </w:tcBorders>
                <w:shd w:val="clear" w:color="auto" w:fill="CAE7F3" w:themeFill="accent1" w:themeFillTint="33"/>
                <w:noWrap/>
                <w:vAlign w:val="bottom"/>
                <w:hideMark/>
              </w:tcPr>
              <w:p w14:paraId="7A0CC31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8.5</w:t>
                </w:r>
              </w:p>
            </w:tc>
            <w:tc>
              <w:tcPr>
                <w:tcW w:w="630" w:type="dxa"/>
                <w:tcBorders>
                  <w:left w:val="nil"/>
                  <w:bottom w:val="nil"/>
                  <w:right w:val="nil"/>
                </w:tcBorders>
                <w:shd w:val="clear" w:color="auto" w:fill="CAE7F3" w:themeFill="accent1" w:themeFillTint="33"/>
                <w:noWrap/>
                <w:vAlign w:val="bottom"/>
                <w:hideMark/>
              </w:tcPr>
              <w:p w14:paraId="56A4ECB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60.0</w:t>
                </w:r>
              </w:p>
            </w:tc>
            <w:tc>
              <w:tcPr>
                <w:tcW w:w="631" w:type="dxa"/>
                <w:tcBorders>
                  <w:left w:val="nil"/>
                  <w:bottom w:val="nil"/>
                  <w:right w:val="nil"/>
                </w:tcBorders>
                <w:shd w:val="clear" w:color="auto" w:fill="CAE7F3" w:themeFill="accent1" w:themeFillTint="33"/>
                <w:noWrap/>
                <w:vAlign w:val="bottom"/>
                <w:hideMark/>
              </w:tcPr>
              <w:p w14:paraId="101A44D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9.5</w:t>
                </w:r>
              </w:p>
            </w:tc>
            <w:tc>
              <w:tcPr>
                <w:tcW w:w="630" w:type="dxa"/>
                <w:tcBorders>
                  <w:left w:val="nil"/>
                  <w:bottom w:val="nil"/>
                  <w:right w:val="nil"/>
                </w:tcBorders>
                <w:shd w:val="clear" w:color="auto" w:fill="CAE7F3" w:themeFill="accent1" w:themeFillTint="33"/>
                <w:noWrap/>
                <w:vAlign w:val="bottom"/>
                <w:hideMark/>
              </w:tcPr>
              <w:p w14:paraId="5AD0629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451.5</w:t>
                </w:r>
              </w:p>
            </w:tc>
            <w:tc>
              <w:tcPr>
                <w:tcW w:w="630" w:type="dxa"/>
                <w:tcBorders>
                  <w:left w:val="nil"/>
                  <w:bottom w:val="nil"/>
                  <w:right w:val="nil"/>
                </w:tcBorders>
                <w:shd w:val="clear" w:color="auto" w:fill="CAE7F3" w:themeFill="accent1" w:themeFillTint="33"/>
                <w:noWrap/>
                <w:vAlign w:val="bottom"/>
                <w:hideMark/>
              </w:tcPr>
              <w:p w14:paraId="0764382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42.3</w:t>
                </w:r>
              </w:p>
            </w:tc>
            <w:tc>
              <w:tcPr>
                <w:tcW w:w="631" w:type="dxa"/>
                <w:tcBorders>
                  <w:left w:val="nil"/>
                  <w:bottom w:val="nil"/>
                  <w:right w:val="nil"/>
                </w:tcBorders>
                <w:shd w:val="clear" w:color="auto" w:fill="CAE7F3" w:themeFill="accent1" w:themeFillTint="33"/>
                <w:noWrap/>
                <w:vAlign w:val="bottom"/>
                <w:hideMark/>
              </w:tcPr>
              <w:p w14:paraId="2ACB8B4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140.2</w:t>
                </w:r>
              </w:p>
            </w:tc>
            <w:tc>
              <w:tcPr>
                <w:tcW w:w="630" w:type="dxa"/>
                <w:tcBorders>
                  <w:left w:val="nil"/>
                  <w:bottom w:val="nil"/>
                  <w:right w:val="nil"/>
                </w:tcBorders>
                <w:shd w:val="clear" w:color="auto" w:fill="CAE7F3" w:themeFill="accent1" w:themeFillTint="33"/>
                <w:noWrap/>
                <w:vAlign w:val="bottom"/>
                <w:hideMark/>
              </w:tcPr>
              <w:p w14:paraId="5DAA414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137.3</w:t>
                </w:r>
              </w:p>
            </w:tc>
            <w:tc>
              <w:tcPr>
                <w:tcW w:w="630" w:type="dxa"/>
                <w:tcBorders>
                  <w:left w:val="nil"/>
                  <w:bottom w:val="nil"/>
                  <w:right w:val="nil"/>
                </w:tcBorders>
                <w:shd w:val="clear" w:color="auto" w:fill="CAE7F3" w:themeFill="accent1" w:themeFillTint="33"/>
                <w:noWrap/>
                <w:vAlign w:val="bottom"/>
                <w:hideMark/>
              </w:tcPr>
              <w:p w14:paraId="679867D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126.8</w:t>
                </w:r>
              </w:p>
            </w:tc>
            <w:tc>
              <w:tcPr>
                <w:tcW w:w="631" w:type="dxa"/>
                <w:tcBorders>
                  <w:left w:val="nil"/>
                  <w:bottom w:val="nil"/>
                  <w:right w:val="nil"/>
                </w:tcBorders>
                <w:shd w:val="clear" w:color="auto" w:fill="CAE7F3" w:themeFill="accent1" w:themeFillTint="33"/>
                <w:noWrap/>
                <w:vAlign w:val="bottom"/>
                <w:hideMark/>
              </w:tcPr>
              <w:p w14:paraId="5CD46B6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13.3</w:t>
                </w:r>
              </w:p>
            </w:tc>
            <w:tc>
              <w:tcPr>
                <w:tcW w:w="630" w:type="dxa"/>
                <w:tcBorders>
                  <w:left w:val="nil"/>
                  <w:bottom w:val="nil"/>
                  <w:right w:val="nil"/>
                </w:tcBorders>
                <w:shd w:val="clear" w:color="auto" w:fill="CAE7F3" w:themeFill="accent1" w:themeFillTint="33"/>
                <w:noWrap/>
                <w:vAlign w:val="bottom"/>
                <w:hideMark/>
              </w:tcPr>
              <w:p w14:paraId="5C297FD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108.3</w:t>
                </w:r>
              </w:p>
            </w:tc>
            <w:tc>
              <w:tcPr>
                <w:tcW w:w="630" w:type="dxa"/>
                <w:tcBorders>
                  <w:left w:val="nil"/>
                  <w:bottom w:val="nil"/>
                  <w:right w:val="nil"/>
                </w:tcBorders>
                <w:shd w:val="clear" w:color="auto" w:fill="CAE7F3" w:themeFill="accent1" w:themeFillTint="33"/>
                <w:noWrap/>
                <w:vAlign w:val="bottom"/>
                <w:hideMark/>
              </w:tcPr>
              <w:p w14:paraId="3F1A867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128.5</w:t>
                </w:r>
              </w:p>
            </w:tc>
            <w:tc>
              <w:tcPr>
                <w:tcW w:w="630" w:type="dxa"/>
                <w:tcBorders>
                  <w:left w:val="nil"/>
                  <w:bottom w:val="nil"/>
                  <w:right w:val="nil"/>
                </w:tcBorders>
                <w:shd w:val="clear" w:color="auto" w:fill="CAE7F3" w:themeFill="accent1" w:themeFillTint="33"/>
                <w:noWrap/>
                <w:vAlign w:val="bottom"/>
                <w:hideMark/>
              </w:tcPr>
              <w:p w14:paraId="77A56CE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188.5</w:t>
                </w:r>
              </w:p>
            </w:tc>
            <w:tc>
              <w:tcPr>
                <w:tcW w:w="631" w:type="dxa"/>
                <w:tcBorders>
                  <w:left w:val="nil"/>
                  <w:bottom w:val="nil"/>
                  <w:right w:val="nil"/>
                </w:tcBorders>
                <w:shd w:val="clear" w:color="auto" w:fill="CAE7F3" w:themeFill="accent1" w:themeFillTint="33"/>
                <w:noWrap/>
                <w:vAlign w:val="bottom"/>
                <w:hideMark/>
              </w:tcPr>
              <w:p w14:paraId="204ED1E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83.8</w:t>
                </w:r>
              </w:p>
            </w:tc>
            <w:tc>
              <w:tcPr>
                <w:tcW w:w="630" w:type="dxa"/>
                <w:tcBorders>
                  <w:left w:val="nil"/>
                  <w:bottom w:val="nil"/>
                  <w:right w:val="nil"/>
                </w:tcBorders>
                <w:shd w:val="clear" w:color="auto" w:fill="CAE7F3" w:themeFill="accent1" w:themeFillTint="33"/>
                <w:noWrap/>
                <w:vAlign w:val="bottom"/>
                <w:hideMark/>
              </w:tcPr>
              <w:p w14:paraId="0AD8310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11.3</w:t>
                </w:r>
              </w:p>
            </w:tc>
            <w:tc>
              <w:tcPr>
                <w:tcW w:w="630" w:type="dxa"/>
                <w:tcBorders>
                  <w:left w:val="nil"/>
                  <w:bottom w:val="nil"/>
                  <w:right w:val="nil"/>
                </w:tcBorders>
                <w:shd w:val="clear" w:color="auto" w:fill="CAE7F3" w:themeFill="accent1" w:themeFillTint="33"/>
                <w:noWrap/>
                <w:vAlign w:val="bottom"/>
                <w:hideMark/>
              </w:tcPr>
              <w:p w14:paraId="22DD179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26.7</w:t>
                </w:r>
              </w:p>
            </w:tc>
            <w:tc>
              <w:tcPr>
                <w:tcW w:w="631" w:type="dxa"/>
                <w:tcBorders>
                  <w:left w:val="nil"/>
                  <w:bottom w:val="nil"/>
                  <w:right w:val="nil"/>
                </w:tcBorders>
                <w:shd w:val="clear" w:color="auto" w:fill="CAE7F3" w:themeFill="accent1" w:themeFillTint="33"/>
                <w:noWrap/>
                <w:vAlign w:val="bottom"/>
                <w:hideMark/>
              </w:tcPr>
              <w:p w14:paraId="16DF752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61.8</w:t>
                </w:r>
              </w:p>
            </w:tc>
            <w:tc>
              <w:tcPr>
                <w:tcW w:w="630" w:type="dxa"/>
                <w:tcBorders>
                  <w:left w:val="nil"/>
                  <w:bottom w:val="nil"/>
                  <w:right w:val="nil"/>
                </w:tcBorders>
                <w:shd w:val="clear" w:color="auto" w:fill="CAE7F3" w:themeFill="accent1" w:themeFillTint="33"/>
                <w:noWrap/>
                <w:vAlign w:val="bottom"/>
                <w:hideMark/>
              </w:tcPr>
              <w:p w14:paraId="159DCC2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33.0</w:t>
                </w:r>
              </w:p>
            </w:tc>
            <w:tc>
              <w:tcPr>
                <w:tcW w:w="1229" w:type="dxa"/>
                <w:tcBorders>
                  <w:left w:val="nil"/>
                  <w:bottom w:val="nil"/>
                  <w:right w:val="nil"/>
                </w:tcBorders>
                <w:shd w:val="clear" w:color="auto" w:fill="CAE7F3" w:themeFill="accent1" w:themeFillTint="33"/>
                <w:noWrap/>
                <w:vAlign w:val="bottom"/>
                <w:hideMark/>
              </w:tcPr>
              <w:p w14:paraId="61ACF6F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89.7</w:t>
                </w:r>
              </w:p>
            </w:tc>
          </w:tr>
          <w:tr w:rsidR="00830FDC" w:rsidRPr="00F63634" w14:paraId="61FDF441"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C79A43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Central Coast</w:t>
                </w:r>
              </w:p>
            </w:tc>
            <w:tc>
              <w:tcPr>
                <w:tcW w:w="630" w:type="dxa"/>
                <w:tcBorders>
                  <w:top w:val="nil"/>
                  <w:left w:val="nil"/>
                  <w:bottom w:val="nil"/>
                  <w:right w:val="nil"/>
                </w:tcBorders>
                <w:shd w:val="clear" w:color="auto" w:fill="CAE7F3" w:themeFill="accent1" w:themeFillTint="33"/>
                <w:noWrap/>
                <w:vAlign w:val="bottom"/>
                <w:hideMark/>
              </w:tcPr>
              <w:p w14:paraId="719EABB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53.5</w:t>
                </w:r>
              </w:p>
            </w:tc>
            <w:tc>
              <w:tcPr>
                <w:tcW w:w="630" w:type="dxa"/>
                <w:tcBorders>
                  <w:top w:val="nil"/>
                  <w:left w:val="nil"/>
                  <w:bottom w:val="nil"/>
                  <w:right w:val="nil"/>
                </w:tcBorders>
                <w:shd w:val="clear" w:color="auto" w:fill="CAE7F3" w:themeFill="accent1" w:themeFillTint="33"/>
                <w:noWrap/>
                <w:vAlign w:val="bottom"/>
                <w:hideMark/>
              </w:tcPr>
              <w:p w14:paraId="6F2DCF4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7.0</w:t>
                </w:r>
              </w:p>
            </w:tc>
            <w:tc>
              <w:tcPr>
                <w:tcW w:w="630" w:type="dxa"/>
                <w:tcBorders>
                  <w:top w:val="nil"/>
                  <w:left w:val="nil"/>
                  <w:bottom w:val="nil"/>
                  <w:right w:val="nil"/>
                </w:tcBorders>
                <w:shd w:val="clear" w:color="auto" w:fill="CAE7F3" w:themeFill="accent1" w:themeFillTint="33"/>
                <w:noWrap/>
                <w:vAlign w:val="bottom"/>
                <w:hideMark/>
              </w:tcPr>
              <w:p w14:paraId="4B770F7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98.8</w:t>
                </w:r>
              </w:p>
            </w:tc>
            <w:tc>
              <w:tcPr>
                <w:tcW w:w="631" w:type="dxa"/>
                <w:tcBorders>
                  <w:top w:val="nil"/>
                  <w:left w:val="nil"/>
                  <w:bottom w:val="nil"/>
                  <w:right w:val="nil"/>
                </w:tcBorders>
                <w:shd w:val="clear" w:color="auto" w:fill="CAE7F3" w:themeFill="accent1" w:themeFillTint="33"/>
                <w:noWrap/>
                <w:vAlign w:val="bottom"/>
                <w:hideMark/>
              </w:tcPr>
              <w:p w14:paraId="31986B1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11.2</w:t>
                </w:r>
              </w:p>
            </w:tc>
            <w:tc>
              <w:tcPr>
                <w:tcW w:w="630" w:type="dxa"/>
                <w:tcBorders>
                  <w:top w:val="nil"/>
                  <w:left w:val="nil"/>
                  <w:bottom w:val="nil"/>
                  <w:right w:val="nil"/>
                </w:tcBorders>
                <w:shd w:val="clear" w:color="auto" w:fill="CAE7F3" w:themeFill="accent1" w:themeFillTint="33"/>
                <w:noWrap/>
                <w:vAlign w:val="bottom"/>
                <w:hideMark/>
              </w:tcPr>
              <w:p w14:paraId="3F515A0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665.7</w:t>
                </w:r>
              </w:p>
            </w:tc>
            <w:tc>
              <w:tcPr>
                <w:tcW w:w="630" w:type="dxa"/>
                <w:tcBorders>
                  <w:top w:val="nil"/>
                  <w:left w:val="nil"/>
                  <w:bottom w:val="nil"/>
                  <w:right w:val="nil"/>
                </w:tcBorders>
                <w:shd w:val="clear" w:color="auto" w:fill="CAE7F3" w:themeFill="accent1" w:themeFillTint="33"/>
                <w:noWrap/>
                <w:vAlign w:val="bottom"/>
                <w:hideMark/>
              </w:tcPr>
              <w:p w14:paraId="2EF77E0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81.2</w:t>
                </w:r>
              </w:p>
            </w:tc>
            <w:tc>
              <w:tcPr>
                <w:tcW w:w="631" w:type="dxa"/>
                <w:tcBorders>
                  <w:top w:val="nil"/>
                  <w:left w:val="nil"/>
                  <w:bottom w:val="nil"/>
                  <w:right w:val="nil"/>
                </w:tcBorders>
                <w:shd w:val="clear" w:color="auto" w:fill="CAE7F3" w:themeFill="accent1" w:themeFillTint="33"/>
                <w:noWrap/>
                <w:vAlign w:val="bottom"/>
                <w:hideMark/>
              </w:tcPr>
              <w:p w14:paraId="67A9E6C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208.2</w:t>
                </w:r>
              </w:p>
            </w:tc>
            <w:tc>
              <w:tcPr>
                <w:tcW w:w="630" w:type="dxa"/>
                <w:tcBorders>
                  <w:top w:val="nil"/>
                  <w:left w:val="nil"/>
                  <w:bottom w:val="nil"/>
                  <w:right w:val="nil"/>
                </w:tcBorders>
                <w:shd w:val="clear" w:color="auto" w:fill="CAE7F3" w:themeFill="accent1" w:themeFillTint="33"/>
                <w:noWrap/>
                <w:vAlign w:val="bottom"/>
                <w:hideMark/>
              </w:tcPr>
              <w:p w14:paraId="7C07F24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150.7</w:t>
                </w:r>
              </w:p>
            </w:tc>
            <w:tc>
              <w:tcPr>
                <w:tcW w:w="630" w:type="dxa"/>
                <w:tcBorders>
                  <w:top w:val="nil"/>
                  <w:left w:val="nil"/>
                  <w:bottom w:val="nil"/>
                  <w:right w:val="nil"/>
                </w:tcBorders>
                <w:shd w:val="clear" w:color="auto" w:fill="CAE7F3" w:themeFill="accent1" w:themeFillTint="33"/>
                <w:noWrap/>
                <w:vAlign w:val="bottom"/>
                <w:hideMark/>
              </w:tcPr>
              <w:p w14:paraId="57E77E2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144.2</w:t>
                </w:r>
              </w:p>
            </w:tc>
            <w:tc>
              <w:tcPr>
                <w:tcW w:w="631" w:type="dxa"/>
                <w:tcBorders>
                  <w:top w:val="nil"/>
                  <w:left w:val="nil"/>
                  <w:bottom w:val="nil"/>
                  <w:right w:val="nil"/>
                </w:tcBorders>
                <w:shd w:val="clear" w:color="auto" w:fill="CAE7F3" w:themeFill="accent1" w:themeFillTint="33"/>
                <w:noWrap/>
                <w:vAlign w:val="bottom"/>
                <w:hideMark/>
              </w:tcPr>
              <w:p w14:paraId="66DF02D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30.7</w:t>
                </w:r>
              </w:p>
            </w:tc>
            <w:tc>
              <w:tcPr>
                <w:tcW w:w="630" w:type="dxa"/>
                <w:tcBorders>
                  <w:top w:val="nil"/>
                  <w:left w:val="nil"/>
                  <w:bottom w:val="nil"/>
                  <w:right w:val="nil"/>
                </w:tcBorders>
                <w:shd w:val="clear" w:color="auto" w:fill="CAE7F3" w:themeFill="accent1" w:themeFillTint="33"/>
                <w:noWrap/>
                <w:vAlign w:val="bottom"/>
                <w:hideMark/>
              </w:tcPr>
              <w:p w14:paraId="147C00A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215.2</w:t>
                </w:r>
              </w:p>
            </w:tc>
            <w:tc>
              <w:tcPr>
                <w:tcW w:w="630" w:type="dxa"/>
                <w:tcBorders>
                  <w:top w:val="nil"/>
                  <w:left w:val="nil"/>
                  <w:bottom w:val="nil"/>
                  <w:right w:val="nil"/>
                </w:tcBorders>
                <w:shd w:val="clear" w:color="auto" w:fill="CAE7F3" w:themeFill="accent1" w:themeFillTint="33"/>
                <w:noWrap/>
                <w:vAlign w:val="bottom"/>
                <w:hideMark/>
              </w:tcPr>
              <w:p w14:paraId="7432537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195.0</w:t>
                </w:r>
              </w:p>
            </w:tc>
            <w:tc>
              <w:tcPr>
                <w:tcW w:w="630" w:type="dxa"/>
                <w:tcBorders>
                  <w:top w:val="nil"/>
                  <w:left w:val="nil"/>
                  <w:bottom w:val="nil"/>
                  <w:right w:val="nil"/>
                </w:tcBorders>
                <w:shd w:val="clear" w:color="auto" w:fill="CAE7F3" w:themeFill="accent1" w:themeFillTint="33"/>
                <w:noWrap/>
                <w:vAlign w:val="bottom"/>
                <w:hideMark/>
              </w:tcPr>
              <w:p w14:paraId="49B8268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366.2</w:t>
                </w:r>
              </w:p>
            </w:tc>
            <w:tc>
              <w:tcPr>
                <w:tcW w:w="631" w:type="dxa"/>
                <w:tcBorders>
                  <w:top w:val="nil"/>
                  <w:left w:val="nil"/>
                  <w:bottom w:val="nil"/>
                  <w:right w:val="nil"/>
                </w:tcBorders>
                <w:shd w:val="clear" w:color="auto" w:fill="CAE7F3" w:themeFill="accent1" w:themeFillTint="33"/>
                <w:noWrap/>
                <w:vAlign w:val="bottom"/>
                <w:hideMark/>
              </w:tcPr>
              <w:p w14:paraId="38AA513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146.7</w:t>
                </w:r>
              </w:p>
            </w:tc>
            <w:tc>
              <w:tcPr>
                <w:tcW w:w="630" w:type="dxa"/>
                <w:tcBorders>
                  <w:top w:val="nil"/>
                  <w:left w:val="nil"/>
                  <w:bottom w:val="nil"/>
                  <w:right w:val="nil"/>
                </w:tcBorders>
                <w:shd w:val="clear" w:color="auto" w:fill="CAE7F3" w:themeFill="accent1" w:themeFillTint="33"/>
                <w:noWrap/>
                <w:vAlign w:val="bottom"/>
                <w:hideMark/>
              </w:tcPr>
              <w:p w14:paraId="78FAC52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19.7</w:t>
                </w:r>
              </w:p>
            </w:tc>
            <w:tc>
              <w:tcPr>
                <w:tcW w:w="630" w:type="dxa"/>
                <w:tcBorders>
                  <w:top w:val="nil"/>
                  <w:left w:val="nil"/>
                  <w:bottom w:val="nil"/>
                  <w:right w:val="nil"/>
                </w:tcBorders>
                <w:shd w:val="clear" w:color="auto" w:fill="CAE7F3" w:themeFill="accent1" w:themeFillTint="33"/>
                <w:noWrap/>
                <w:vAlign w:val="bottom"/>
                <w:hideMark/>
              </w:tcPr>
              <w:p w14:paraId="476B6ED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49.2</w:t>
                </w:r>
              </w:p>
            </w:tc>
            <w:tc>
              <w:tcPr>
                <w:tcW w:w="631" w:type="dxa"/>
                <w:tcBorders>
                  <w:top w:val="nil"/>
                  <w:left w:val="nil"/>
                  <w:bottom w:val="nil"/>
                  <w:right w:val="nil"/>
                </w:tcBorders>
                <w:shd w:val="clear" w:color="auto" w:fill="CAE7F3" w:themeFill="accent1" w:themeFillTint="33"/>
                <w:noWrap/>
                <w:vAlign w:val="bottom"/>
                <w:hideMark/>
              </w:tcPr>
              <w:p w14:paraId="7F892FE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128.8</w:t>
                </w:r>
              </w:p>
            </w:tc>
            <w:tc>
              <w:tcPr>
                <w:tcW w:w="630" w:type="dxa"/>
                <w:tcBorders>
                  <w:top w:val="nil"/>
                  <w:left w:val="nil"/>
                  <w:bottom w:val="nil"/>
                  <w:right w:val="nil"/>
                </w:tcBorders>
                <w:shd w:val="clear" w:color="auto" w:fill="CAE7F3" w:themeFill="accent1" w:themeFillTint="33"/>
                <w:noWrap/>
                <w:vAlign w:val="bottom"/>
                <w:hideMark/>
              </w:tcPr>
              <w:p w14:paraId="4CFFE1C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43.8</w:t>
                </w:r>
              </w:p>
            </w:tc>
            <w:tc>
              <w:tcPr>
                <w:tcW w:w="1229" w:type="dxa"/>
                <w:tcBorders>
                  <w:top w:val="nil"/>
                  <w:left w:val="nil"/>
                  <w:bottom w:val="nil"/>
                  <w:right w:val="nil"/>
                </w:tcBorders>
                <w:shd w:val="clear" w:color="auto" w:fill="CAE7F3" w:themeFill="accent1" w:themeFillTint="33"/>
                <w:noWrap/>
                <w:vAlign w:val="bottom"/>
                <w:hideMark/>
              </w:tcPr>
              <w:p w14:paraId="0F84500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145.3</w:t>
                </w:r>
              </w:p>
            </w:tc>
          </w:tr>
          <w:tr w:rsidR="00830FDC" w:rsidRPr="00F63634" w14:paraId="7922C86F"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6903CCD"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Central West</w:t>
                </w:r>
              </w:p>
            </w:tc>
            <w:tc>
              <w:tcPr>
                <w:tcW w:w="630" w:type="dxa"/>
                <w:tcBorders>
                  <w:top w:val="nil"/>
                  <w:left w:val="nil"/>
                  <w:bottom w:val="nil"/>
                  <w:right w:val="nil"/>
                </w:tcBorders>
                <w:shd w:val="clear" w:color="auto" w:fill="CAE7F3" w:themeFill="accent1" w:themeFillTint="33"/>
                <w:noWrap/>
                <w:vAlign w:val="bottom"/>
                <w:hideMark/>
              </w:tcPr>
              <w:p w14:paraId="4679607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432.0</w:t>
                </w:r>
              </w:p>
            </w:tc>
            <w:tc>
              <w:tcPr>
                <w:tcW w:w="630" w:type="dxa"/>
                <w:tcBorders>
                  <w:top w:val="nil"/>
                  <w:left w:val="nil"/>
                  <w:bottom w:val="nil"/>
                  <w:right w:val="nil"/>
                </w:tcBorders>
                <w:shd w:val="clear" w:color="auto" w:fill="CAE7F3" w:themeFill="accent1" w:themeFillTint="33"/>
                <w:noWrap/>
                <w:vAlign w:val="bottom"/>
                <w:hideMark/>
              </w:tcPr>
              <w:p w14:paraId="397750F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12.8</w:t>
                </w:r>
              </w:p>
            </w:tc>
            <w:tc>
              <w:tcPr>
                <w:tcW w:w="630" w:type="dxa"/>
                <w:tcBorders>
                  <w:top w:val="nil"/>
                  <w:left w:val="nil"/>
                  <w:bottom w:val="nil"/>
                  <w:right w:val="nil"/>
                </w:tcBorders>
                <w:shd w:val="clear" w:color="auto" w:fill="CAE7F3" w:themeFill="accent1" w:themeFillTint="33"/>
                <w:noWrap/>
                <w:vAlign w:val="bottom"/>
                <w:hideMark/>
              </w:tcPr>
              <w:p w14:paraId="316AA88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65.2</w:t>
                </w:r>
              </w:p>
            </w:tc>
            <w:tc>
              <w:tcPr>
                <w:tcW w:w="631" w:type="dxa"/>
                <w:tcBorders>
                  <w:top w:val="nil"/>
                  <w:left w:val="nil"/>
                  <w:bottom w:val="nil"/>
                  <w:right w:val="nil"/>
                </w:tcBorders>
                <w:shd w:val="clear" w:color="auto" w:fill="CAE7F3" w:themeFill="accent1" w:themeFillTint="33"/>
                <w:noWrap/>
                <w:vAlign w:val="bottom"/>
                <w:hideMark/>
              </w:tcPr>
              <w:p w14:paraId="63CFA90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8.0</w:t>
                </w:r>
              </w:p>
            </w:tc>
            <w:tc>
              <w:tcPr>
                <w:tcW w:w="630" w:type="dxa"/>
                <w:tcBorders>
                  <w:top w:val="nil"/>
                  <w:left w:val="nil"/>
                  <w:bottom w:val="nil"/>
                  <w:right w:val="nil"/>
                </w:tcBorders>
                <w:shd w:val="clear" w:color="auto" w:fill="CAE7F3" w:themeFill="accent1" w:themeFillTint="33"/>
                <w:noWrap/>
                <w:vAlign w:val="bottom"/>
                <w:hideMark/>
              </w:tcPr>
              <w:p w14:paraId="3094E3B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297.5</w:t>
                </w:r>
              </w:p>
            </w:tc>
            <w:tc>
              <w:tcPr>
                <w:tcW w:w="630" w:type="dxa"/>
                <w:tcBorders>
                  <w:top w:val="nil"/>
                  <w:left w:val="nil"/>
                  <w:bottom w:val="nil"/>
                  <w:right w:val="nil"/>
                </w:tcBorders>
                <w:shd w:val="clear" w:color="auto" w:fill="CAE7F3" w:themeFill="accent1" w:themeFillTint="33"/>
                <w:noWrap/>
                <w:vAlign w:val="bottom"/>
                <w:hideMark/>
              </w:tcPr>
              <w:p w14:paraId="5AF0995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41.0</w:t>
                </w:r>
              </w:p>
            </w:tc>
            <w:tc>
              <w:tcPr>
                <w:tcW w:w="631" w:type="dxa"/>
                <w:tcBorders>
                  <w:top w:val="nil"/>
                  <w:left w:val="nil"/>
                  <w:bottom w:val="nil"/>
                  <w:right w:val="nil"/>
                </w:tcBorders>
                <w:shd w:val="clear" w:color="auto" w:fill="CAE7F3" w:themeFill="accent1" w:themeFillTint="33"/>
                <w:noWrap/>
                <w:vAlign w:val="bottom"/>
                <w:hideMark/>
              </w:tcPr>
              <w:p w14:paraId="5B38028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123.8</w:t>
                </w:r>
              </w:p>
            </w:tc>
            <w:tc>
              <w:tcPr>
                <w:tcW w:w="630" w:type="dxa"/>
                <w:tcBorders>
                  <w:top w:val="nil"/>
                  <w:left w:val="nil"/>
                  <w:bottom w:val="nil"/>
                  <w:right w:val="nil"/>
                </w:tcBorders>
                <w:shd w:val="clear" w:color="auto" w:fill="CAE7F3" w:themeFill="accent1" w:themeFillTint="33"/>
                <w:noWrap/>
                <w:vAlign w:val="bottom"/>
                <w:hideMark/>
              </w:tcPr>
              <w:p w14:paraId="0EC630B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113.0</w:t>
                </w:r>
              </w:p>
            </w:tc>
            <w:tc>
              <w:tcPr>
                <w:tcW w:w="630" w:type="dxa"/>
                <w:tcBorders>
                  <w:top w:val="nil"/>
                  <w:left w:val="nil"/>
                  <w:bottom w:val="nil"/>
                  <w:right w:val="nil"/>
                </w:tcBorders>
                <w:shd w:val="clear" w:color="auto" w:fill="CAE7F3" w:themeFill="accent1" w:themeFillTint="33"/>
                <w:noWrap/>
                <w:vAlign w:val="bottom"/>
                <w:hideMark/>
              </w:tcPr>
              <w:p w14:paraId="64489CD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119.5</w:t>
                </w:r>
              </w:p>
            </w:tc>
            <w:tc>
              <w:tcPr>
                <w:tcW w:w="631" w:type="dxa"/>
                <w:tcBorders>
                  <w:top w:val="nil"/>
                  <w:left w:val="nil"/>
                  <w:bottom w:val="nil"/>
                  <w:right w:val="nil"/>
                </w:tcBorders>
                <w:shd w:val="clear" w:color="auto" w:fill="CAE7F3" w:themeFill="accent1" w:themeFillTint="33"/>
                <w:noWrap/>
                <w:vAlign w:val="bottom"/>
                <w:hideMark/>
              </w:tcPr>
              <w:p w14:paraId="50B70B8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10.0</w:t>
                </w:r>
              </w:p>
            </w:tc>
            <w:tc>
              <w:tcPr>
                <w:tcW w:w="630" w:type="dxa"/>
                <w:tcBorders>
                  <w:top w:val="nil"/>
                  <w:left w:val="nil"/>
                  <w:bottom w:val="nil"/>
                  <w:right w:val="nil"/>
                </w:tcBorders>
                <w:shd w:val="clear" w:color="auto" w:fill="CAE7F3" w:themeFill="accent1" w:themeFillTint="33"/>
                <w:noWrap/>
                <w:vAlign w:val="bottom"/>
                <w:hideMark/>
              </w:tcPr>
              <w:p w14:paraId="1941FED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94.8</w:t>
                </w:r>
              </w:p>
            </w:tc>
            <w:tc>
              <w:tcPr>
                <w:tcW w:w="630" w:type="dxa"/>
                <w:tcBorders>
                  <w:top w:val="nil"/>
                  <w:left w:val="nil"/>
                  <w:bottom w:val="nil"/>
                  <w:right w:val="nil"/>
                </w:tcBorders>
                <w:shd w:val="clear" w:color="auto" w:fill="CAE7F3" w:themeFill="accent1" w:themeFillTint="33"/>
                <w:noWrap/>
                <w:vAlign w:val="bottom"/>
                <w:hideMark/>
              </w:tcPr>
              <w:p w14:paraId="13D9DB1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115.7</w:t>
                </w:r>
              </w:p>
            </w:tc>
            <w:tc>
              <w:tcPr>
                <w:tcW w:w="630" w:type="dxa"/>
                <w:tcBorders>
                  <w:top w:val="nil"/>
                  <w:left w:val="nil"/>
                  <w:bottom w:val="nil"/>
                  <w:right w:val="nil"/>
                </w:tcBorders>
                <w:shd w:val="clear" w:color="auto" w:fill="CAE7F3" w:themeFill="accent1" w:themeFillTint="33"/>
                <w:noWrap/>
                <w:vAlign w:val="bottom"/>
                <w:hideMark/>
              </w:tcPr>
              <w:p w14:paraId="27B7C80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126.7</w:t>
                </w:r>
              </w:p>
            </w:tc>
            <w:tc>
              <w:tcPr>
                <w:tcW w:w="631" w:type="dxa"/>
                <w:tcBorders>
                  <w:top w:val="nil"/>
                  <w:left w:val="nil"/>
                  <w:bottom w:val="nil"/>
                  <w:right w:val="nil"/>
                </w:tcBorders>
                <w:shd w:val="clear" w:color="auto" w:fill="CAE7F3" w:themeFill="accent1" w:themeFillTint="33"/>
                <w:noWrap/>
                <w:vAlign w:val="bottom"/>
                <w:hideMark/>
              </w:tcPr>
              <w:p w14:paraId="5082260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62.7</w:t>
                </w:r>
              </w:p>
            </w:tc>
            <w:tc>
              <w:tcPr>
                <w:tcW w:w="630" w:type="dxa"/>
                <w:tcBorders>
                  <w:top w:val="nil"/>
                  <w:left w:val="nil"/>
                  <w:bottom w:val="nil"/>
                  <w:right w:val="nil"/>
                </w:tcBorders>
                <w:shd w:val="clear" w:color="auto" w:fill="CAE7F3" w:themeFill="accent1" w:themeFillTint="33"/>
                <w:noWrap/>
                <w:vAlign w:val="bottom"/>
                <w:hideMark/>
              </w:tcPr>
              <w:p w14:paraId="2BFA118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9.7</w:t>
                </w:r>
              </w:p>
            </w:tc>
            <w:tc>
              <w:tcPr>
                <w:tcW w:w="630" w:type="dxa"/>
                <w:tcBorders>
                  <w:top w:val="nil"/>
                  <w:left w:val="nil"/>
                  <w:bottom w:val="nil"/>
                  <w:right w:val="nil"/>
                </w:tcBorders>
                <w:shd w:val="clear" w:color="auto" w:fill="CAE7F3" w:themeFill="accent1" w:themeFillTint="33"/>
                <w:noWrap/>
                <w:vAlign w:val="bottom"/>
                <w:hideMark/>
              </w:tcPr>
              <w:p w14:paraId="337EE48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18.3</w:t>
                </w:r>
              </w:p>
            </w:tc>
            <w:tc>
              <w:tcPr>
                <w:tcW w:w="631" w:type="dxa"/>
                <w:tcBorders>
                  <w:top w:val="nil"/>
                  <w:left w:val="nil"/>
                  <w:bottom w:val="nil"/>
                  <w:right w:val="nil"/>
                </w:tcBorders>
                <w:shd w:val="clear" w:color="auto" w:fill="CAE7F3" w:themeFill="accent1" w:themeFillTint="33"/>
                <w:noWrap/>
                <w:vAlign w:val="bottom"/>
                <w:hideMark/>
              </w:tcPr>
              <w:p w14:paraId="2611ADE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68.2</w:t>
                </w:r>
              </w:p>
            </w:tc>
            <w:tc>
              <w:tcPr>
                <w:tcW w:w="630" w:type="dxa"/>
                <w:tcBorders>
                  <w:top w:val="nil"/>
                  <w:left w:val="nil"/>
                  <w:bottom w:val="nil"/>
                  <w:right w:val="nil"/>
                </w:tcBorders>
                <w:shd w:val="clear" w:color="auto" w:fill="CAE7F3" w:themeFill="accent1" w:themeFillTint="33"/>
                <w:noWrap/>
                <w:vAlign w:val="bottom"/>
                <w:hideMark/>
              </w:tcPr>
              <w:p w14:paraId="0F49BD8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22.3</w:t>
                </w:r>
              </w:p>
            </w:tc>
            <w:tc>
              <w:tcPr>
                <w:tcW w:w="1229" w:type="dxa"/>
                <w:tcBorders>
                  <w:top w:val="nil"/>
                  <w:left w:val="nil"/>
                  <w:bottom w:val="nil"/>
                  <w:right w:val="nil"/>
                </w:tcBorders>
                <w:shd w:val="clear" w:color="auto" w:fill="CAE7F3" w:themeFill="accent1" w:themeFillTint="33"/>
                <w:noWrap/>
                <w:vAlign w:val="bottom"/>
                <w:hideMark/>
              </w:tcPr>
              <w:p w14:paraId="1AF9B85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96.8</w:t>
                </w:r>
              </w:p>
            </w:tc>
          </w:tr>
          <w:tr w:rsidR="00830FDC" w:rsidRPr="00F63634" w14:paraId="7CE7B3BF"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67045C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Coffs Harbour</w:t>
                </w:r>
                <w:r>
                  <w:rPr>
                    <w:color w:val="595A5B" w:themeColor="text1"/>
                    <w:sz w:val="12"/>
                    <w:szCs w:val="16"/>
                    <w:lang w:eastAsia="en-AU"/>
                  </w:rPr>
                  <w:t xml:space="preserve"> —</w:t>
                </w:r>
                <w:r w:rsidRPr="009820E8">
                  <w:rPr>
                    <w:color w:val="595A5B" w:themeColor="text1"/>
                    <w:sz w:val="12"/>
                    <w:szCs w:val="16"/>
                    <w:lang w:eastAsia="en-AU"/>
                  </w:rPr>
                  <w:t xml:space="preserve"> </w:t>
                </w:r>
                <w:r w:rsidRPr="00792A3F">
                  <w:rPr>
                    <w:color w:val="595A5B" w:themeColor="text1"/>
                    <w:sz w:val="12"/>
                    <w:szCs w:val="16"/>
                    <w:lang w:eastAsia="en-AU"/>
                  </w:rPr>
                  <w:t>Grafton</w:t>
                </w:r>
              </w:p>
            </w:tc>
            <w:tc>
              <w:tcPr>
                <w:tcW w:w="630" w:type="dxa"/>
                <w:tcBorders>
                  <w:top w:val="nil"/>
                  <w:left w:val="nil"/>
                  <w:bottom w:val="nil"/>
                  <w:right w:val="nil"/>
                </w:tcBorders>
                <w:shd w:val="clear" w:color="auto" w:fill="CAE7F3" w:themeFill="accent1" w:themeFillTint="33"/>
                <w:noWrap/>
                <w:vAlign w:val="bottom"/>
                <w:hideMark/>
              </w:tcPr>
              <w:p w14:paraId="5C32D6D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145.5</w:t>
                </w:r>
              </w:p>
            </w:tc>
            <w:tc>
              <w:tcPr>
                <w:tcW w:w="630" w:type="dxa"/>
                <w:tcBorders>
                  <w:top w:val="nil"/>
                  <w:left w:val="nil"/>
                  <w:bottom w:val="nil"/>
                  <w:right w:val="nil"/>
                </w:tcBorders>
                <w:shd w:val="clear" w:color="auto" w:fill="CAE7F3" w:themeFill="accent1" w:themeFillTint="33"/>
                <w:noWrap/>
                <w:vAlign w:val="bottom"/>
                <w:hideMark/>
              </w:tcPr>
              <w:p w14:paraId="2569ACC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5.0</w:t>
                </w:r>
              </w:p>
            </w:tc>
            <w:tc>
              <w:tcPr>
                <w:tcW w:w="630" w:type="dxa"/>
                <w:tcBorders>
                  <w:top w:val="nil"/>
                  <w:left w:val="nil"/>
                  <w:bottom w:val="nil"/>
                  <w:right w:val="nil"/>
                </w:tcBorders>
                <w:shd w:val="clear" w:color="auto" w:fill="CAE7F3" w:themeFill="accent1" w:themeFillTint="33"/>
                <w:noWrap/>
                <w:vAlign w:val="bottom"/>
                <w:hideMark/>
              </w:tcPr>
              <w:p w14:paraId="62156B7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42.0</w:t>
                </w:r>
              </w:p>
            </w:tc>
            <w:tc>
              <w:tcPr>
                <w:tcW w:w="631" w:type="dxa"/>
                <w:tcBorders>
                  <w:top w:val="nil"/>
                  <w:left w:val="nil"/>
                  <w:bottom w:val="nil"/>
                  <w:right w:val="nil"/>
                </w:tcBorders>
                <w:shd w:val="clear" w:color="auto" w:fill="CAE7F3" w:themeFill="accent1" w:themeFillTint="33"/>
                <w:noWrap/>
                <w:vAlign w:val="bottom"/>
                <w:hideMark/>
              </w:tcPr>
              <w:p w14:paraId="6AC877A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w:t>
                </w:r>
              </w:p>
            </w:tc>
            <w:tc>
              <w:tcPr>
                <w:tcW w:w="630" w:type="dxa"/>
                <w:tcBorders>
                  <w:top w:val="nil"/>
                  <w:left w:val="nil"/>
                  <w:bottom w:val="nil"/>
                  <w:right w:val="nil"/>
                </w:tcBorders>
                <w:shd w:val="clear" w:color="auto" w:fill="CAE7F3" w:themeFill="accent1" w:themeFillTint="33"/>
                <w:noWrap/>
                <w:vAlign w:val="bottom"/>
                <w:hideMark/>
              </w:tcPr>
              <w:p w14:paraId="27A3A0E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215.8</w:t>
                </w:r>
              </w:p>
            </w:tc>
            <w:tc>
              <w:tcPr>
                <w:tcW w:w="630" w:type="dxa"/>
                <w:tcBorders>
                  <w:top w:val="nil"/>
                  <w:left w:val="nil"/>
                  <w:bottom w:val="nil"/>
                  <w:right w:val="nil"/>
                </w:tcBorders>
                <w:shd w:val="clear" w:color="auto" w:fill="CAE7F3" w:themeFill="accent1" w:themeFillTint="33"/>
                <w:noWrap/>
                <w:vAlign w:val="bottom"/>
                <w:hideMark/>
              </w:tcPr>
              <w:p w14:paraId="4B5FB5C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26.5</w:t>
                </w:r>
              </w:p>
            </w:tc>
            <w:tc>
              <w:tcPr>
                <w:tcW w:w="631" w:type="dxa"/>
                <w:tcBorders>
                  <w:top w:val="nil"/>
                  <w:left w:val="nil"/>
                  <w:bottom w:val="nil"/>
                  <w:right w:val="nil"/>
                </w:tcBorders>
                <w:shd w:val="clear" w:color="auto" w:fill="CAE7F3" w:themeFill="accent1" w:themeFillTint="33"/>
                <w:noWrap/>
                <w:vAlign w:val="bottom"/>
                <w:hideMark/>
              </w:tcPr>
              <w:p w14:paraId="31CD453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88.3</w:t>
                </w:r>
              </w:p>
            </w:tc>
            <w:tc>
              <w:tcPr>
                <w:tcW w:w="630" w:type="dxa"/>
                <w:tcBorders>
                  <w:top w:val="nil"/>
                  <w:left w:val="nil"/>
                  <w:bottom w:val="nil"/>
                  <w:right w:val="nil"/>
                </w:tcBorders>
                <w:shd w:val="clear" w:color="auto" w:fill="CAE7F3" w:themeFill="accent1" w:themeFillTint="33"/>
                <w:noWrap/>
                <w:vAlign w:val="bottom"/>
                <w:hideMark/>
              </w:tcPr>
              <w:p w14:paraId="2AE467F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75.7</w:t>
                </w:r>
              </w:p>
            </w:tc>
            <w:tc>
              <w:tcPr>
                <w:tcW w:w="630" w:type="dxa"/>
                <w:tcBorders>
                  <w:top w:val="nil"/>
                  <w:left w:val="nil"/>
                  <w:bottom w:val="nil"/>
                  <w:right w:val="nil"/>
                </w:tcBorders>
                <w:shd w:val="clear" w:color="auto" w:fill="CAE7F3" w:themeFill="accent1" w:themeFillTint="33"/>
                <w:noWrap/>
                <w:vAlign w:val="bottom"/>
                <w:hideMark/>
              </w:tcPr>
              <w:p w14:paraId="1774DED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62.8</w:t>
                </w:r>
              </w:p>
            </w:tc>
            <w:tc>
              <w:tcPr>
                <w:tcW w:w="631" w:type="dxa"/>
                <w:tcBorders>
                  <w:top w:val="nil"/>
                  <w:left w:val="nil"/>
                  <w:bottom w:val="nil"/>
                  <w:right w:val="nil"/>
                </w:tcBorders>
                <w:shd w:val="clear" w:color="auto" w:fill="CAE7F3" w:themeFill="accent1" w:themeFillTint="33"/>
                <w:noWrap/>
                <w:vAlign w:val="bottom"/>
                <w:hideMark/>
              </w:tcPr>
              <w:p w14:paraId="7995F13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12.2</w:t>
                </w:r>
              </w:p>
            </w:tc>
            <w:tc>
              <w:tcPr>
                <w:tcW w:w="630" w:type="dxa"/>
                <w:tcBorders>
                  <w:top w:val="nil"/>
                  <w:left w:val="nil"/>
                  <w:bottom w:val="nil"/>
                  <w:right w:val="nil"/>
                </w:tcBorders>
                <w:shd w:val="clear" w:color="auto" w:fill="CAE7F3" w:themeFill="accent1" w:themeFillTint="33"/>
                <w:noWrap/>
                <w:vAlign w:val="bottom"/>
                <w:hideMark/>
              </w:tcPr>
              <w:p w14:paraId="0852ADC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74.0</w:t>
                </w:r>
              </w:p>
            </w:tc>
            <w:tc>
              <w:tcPr>
                <w:tcW w:w="630" w:type="dxa"/>
                <w:tcBorders>
                  <w:top w:val="nil"/>
                  <w:left w:val="nil"/>
                  <w:bottom w:val="nil"/>
                  <w:right w:val="nil"/>
                </w:tcBorders>
                <w:shd w:val="clear" w:color="auto" w:fill="CAE7F3" w:themeFill="accent1" w:themeFillTint="33"/>
                <w:noWrap/>
                <w:vAlign w:val="bottom"/>
                <w:hideMark/>
              </w:tcPr>
              <w:p w14:paraId="66E1A87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84.7</w:t>
                </w:r>
              </w:p>
            </w:tc>
            <w:tc>
              <w:tcPr>
                <w:tcW w:w="630" w:type="dxa"/>
                <w:tcBorders>
                  <w:top w:val="nil"/>
                  <w:left w:val="nil"/>
                  <w:bottom w:val="nil"/>
                  <w:right w:val="nil"/>
                </w:tcBorders>
                <w:shd w:val="clear" w:color="auto" w:fill="CAE7F3" w:themeFill="accent1" w:themeFillTint="33"/>
                <w:noWrap/>
                <w:vAlign w:val="bottom"/>
                <w:hideMark/>
              </w:tcPr>
              <w:p w14:paraId="7A09FDF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89.2</w:t>
                </w:r>
              </w:p>
            </w:tc>
            <w:tc>
              <w:tcPr>
                <w:tcW w:w="631" w:type="dxa"/>
                <w:tcBorders>
                  <w:top w:val="nil"/>
                  <w:left w:val="nil"/>
                  <w:bottom w:val="nil"/>
                  <w:right w:val="nil"/>
                </w:tcBorders>
                <w:shd w:val="clear" w:color="auto" w:fill="CAE7F3" w:themeFill="accent1" w:themeFillTint="33"/>
                <w:noWrap/>
                <w:vAlign w:val="bottom"/>
                <w:hideMark/>
              </w:tcPr>
              <w:p w14:paraId="6C616AF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49.5</w:t>
                </w:r>
              </w:p>
            </w:tc>
            <w:tc>
              <w:tcPr>
                <w:tcW w:w="630" w:type="dxa"/>
                <w:tcBorders>
                  <w:top w:val="nil"/>
                  <w:left w:val="nil"/>
                  <w:bottom w:val="nil"/>
                  <w:right w:val="nil"/>
                </w:tcBorders>
                <w:shd w:val="clear" w:color="auto" w:fill="CAE7F3" w:themeFill="accent1" w:themeFillTint="33"/>
                <w:noWrap/>
                <w:vAlign w:val="bottom"/>
                <w:hideMark/>
              </w:tcPr>
              <w:p w14:paraId="7051450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5.0</w:t>
                </w:r>
              </w:p>
            </w:tc>
            <w:tc>
              <w:tcPr>
                <w:tcW w:w="630" w:type="dxa"/>
                <w:tcBorders>
                  <w:top w:val="nil"/>
                  <w:left w:val="nil"/>
                  <w:bottom w:val="nil"/>
                  <w:right w:val="nil"/>
                </w:tcBorders>
                <w:shd w:val="clear" w:color="auto" w:fill="CAE7F3" w:themeFill="accent1" w:themeFillTint="33"/>
                <w:noWrap/>
                <w:vAlign w:val="bottom"/>
                <w:hideMark/>
              </w:tcPr>
              <w:p w14:paraId="78D2A39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13.5</w:t>
                </w:r>
              </w:p>
            </w:tc>
            <w:tc>
              <w:tcPr>
                <w:tcW w:w="631" w:type="dxa"/>
                <w:tcBorders>
                  <w:top w:val="nil"/>
                  <w:left w:val="nil"/>
                  <w:bottom w:val="nil"/>
                  <w:right w:val="nil"/>
                </w:tcBorders>
                <w:shd w:val="clear" w:color="auto" w:fill="CAE7F3" w:themeFill="accent1" w:themeFillTint="33"/>
                <w:noWrap/>
                <w:vAlign w:val="bottom"/>
                <w:hideMark/>
              </w:tcPr>
              <w:p w14:paraId="43D9D32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61.8</w:t>
                </w:r>
              </w:p>
            </w:tc>
            <w:tc>
              <w:tcPr>
                <w:tcW w:w="630" w:type="dxa"/>
                <w:tcBorders>
                  <w:top w:val="nil"/>
                  <w:left w:val="nil"/>
                  <w:bottom w:val="nil"/>
                  <w:right w:val="nil"/>
                </w:tcBorders>
                <w:shd w:val="clear" w:color="auto" w:fill="CAE7F3" w:themeFill="accent1" w:themeFillTint="33"/>
                <w:noWrap/>
                <w:vAlign w:val="bottom"/>
                <w:hideMark/>
              </w:tcPr>
              <w:p w14:paraId="16868B8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19.5</w:t>
                </w:r>
              </w:p>
            </w:tc>
            <w:tc>
              <w:tcPr>
                <w:tcW w:w="1229" w:type="dxa"/>
                <w:tcBorders>
                  <w:top w:val="nil"/>
                  <w:left w:val="nil"/>
                  <w:bottom w:val="nil"/>
                  <w:right w:val="nil"/>
                </w:tcBorders>
                <w:shd w:val="clear" w:color="auto" w:fill="CAE7F3" w:themeFill="accent1" w:themeFillTint="33"/>
                <w:noWrap/>
                <w:vAlign w:val="bottom"/>
                <w:hideMark/>
              </w:tcPr>
              <w:p w14:paraId="42A2DC3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60.2</w:t>
                </w:r>
              </w:p>
            </w:tc>
          </w:tr>
          <w:tr w:rsidR="00830FDC" w:rsidRPr="00F63634" w14:paraId="19642521"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5FE7B14D"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Far West and Orana</w:t>
                </w:r>
              </w:p>
            </w:tc>
            <w:tc>
              <w:tcPr>
                <w:tcW w:w="630" w:type="dxa"/>
                <w:tcBorders>
                  <w:top w:val="nil"/>
                  <w:left w:val="nil"/>
                  <w:bottom w:val="nil"/>
                  <w:right w:val="nil"/>
                </w:tcBorders>
                <w:shd w:val="clear" w:color="auto" w:fill="CAE7F3" w:themeFill="accent1" w:themeFillTint="33"/>
                <w:noWrap/>
                <w:vAlign w:val="bottom"/>
                <w:hideMark/>
              </w:tcPr>
              <w:p w14:paraId="5689CE2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338.7</w:t>
                </w:r>
              </w:p>
            </w:tc>
            <w:tc>
              <w:tcPr>
                <w:tcW w:w="630" w:type="dxa"/>
                <w:tcBorders>
                  <w:top w:val="nil"/>
                  <w:left w:val="nil"/>
                  <w:bottom w:val="nil"/>
                  <w:right w:val="nil"/>
                </w:tcBorders>
                <w:shd w:val="clear" w:color="auto" w:fill="CAE7F3" w:themeFill="accent1" w:themeFillTint="33"/>
                <w:noWrap/>
                <w:vAlign w:val="bottom"/>
                <w:hideMark/>
              </w:tcPr>
              <w:p w14:paraId="7FB7BA8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11.8</w:t>
                </w:r>
              </w:p>
            </w:tc>
            <w:tc>
              <w:tcPr>
                <w:tcW w:w="630" w:type="dxa"/>
                <w:tcBorders>
                  <w:top w:val="nil"/>
                  <w:left w:val="nil"/>
                  <w:bottom w:val="nil"/>
                  <w:right w:val="nil"/>
                </w:tcBorders>
                <w:shd w:val="clear" w:color="auto" w:fill="CAE7F3" w:themeFill="accent1" w:themeFillTint="33"/>
                <w:noWrap/>
                <w:vAlign w:val="bottom"/>
                <w:hideMark/>
              </w:tcPr>
              <w:p w14:paraId="467C155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23.2</w:t>
                </w:r>
              </w:p>
            </w:tc>
            <w:tc>
              <w:tcPr>
                <w:tcW w:w="631" w:type="dxa"/>
                <w:tcBorders>
                  <w:top w:val="nil"/>
                  <w:left w:val="nil"/>
                  <w:bottom w:val="nil"/>
                  <w:right w:val="nil"/>
                </w:tcBorders>
                <w:shd w:val="clear" w:color="auto" w:fill="CAE7F3" w:themeFill="accent1" w:themeFillTint="33"/>
                <w:noWrap/>
                <w:vAlign w:val="bottom"/>
                <w:hideMark/>
              </w:tcPr>
              <w:p w14:paraId="214AFF3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7.2</w:t>
                </w:r>
              </w:p>
            </w:tc>
            <w:tc>
              <w:tcPr>
                <w:tcW w:w="630" w:type="dxa"/>
                <w:tcBorders>
                  <w:top w:val="nil"/>
                  <w:left w:val="nil"/>
                  <w:bottom w:val="nil"/>
                  <w:right w:val="nil"/>
                </w:tcBorders>
                <w:shd w:val="clear" w:color="auto" w:fill="CAE7F3" w:themeFill="accent1" w:themeFillTint="33"/>
                <w:noWrap/>
                <w:vAlign w:val="bottom"/>
                <w:hideMark/>
              </w:tcPr>
              <w:p w14:paraId="552E010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163.5</w:t>
                </w:r>
              </w:p>
            </w:tc>
            <w:tc>
              <w:tcPr>
                <w:tcW w:w="630" w:type="dxa"/>
                <w:tcBorders>
                  <w:top w:val="nil"/>
                  <w:left w:val="nil"/>
                  <w:bottom w:val="nil"/>
                  <w:right w:val="nil"/>
                </w:tcBorders>
                <w:shd w:val="clear" w:color="auto" w:fill="CAE7F3" w:themeFill="accent1" w:themeFillTint="33"/>
                <w:noWrap/>
                <w:vAlign w:val="bottom"/>
                <w:hideMark/>
              </w:tcPr>
              <w:p w14:paraId="60EA42C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25.2</w:t>
                </w:r>
              </w:p>
            </w:tc>
            <w:tc>
              <w:tcPr>
                <w:tcW w:w="631" w:type="dxa"/>
                <w:tcBorders>
                  <w:top w:val="nil"/>
                  <w:left w:val="nil"/>
                  <w:bottom w:val="nil"/>
                  <w:right w:val="nil"/>
                </w:tcBorders>
                <w:shd w:val="clear" w:color="auto" w:fill="CAE7F3" w:themeFill="accent1" w:themeFillTint="33"/>
                <w:noWrap/>
                <w:vAlign w:val="bottom"/>
                <w:hideMark/>
              </w:tcPr>
              <w:p w14:paraId="1610D95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62.8</w:t>
                </w:r>
              </w:p>
            </w:tc>
            <w:tc>
              <w:tcPr>
                <w:tcW w:w="630" w:type="dxa"/>
                <w:tcBorders>
                  <w:top w:val="nil"/>
                  <w:left w:val="nil"/>
                  <w:bottom w:val="nil"/>
                  <w:right w:val="nil"/>
                </w:tcBorders>
                <w:shd w:val="clear" w:color="auto" w:fill="CAE7F3" w:themeFill="accent1" w:themeFillTint="33"/>
                <w:noWrap/>
                <w:vAlign w:val="bottom"/>
                <w:hideMark/>
              </w:tcPr>
              <w:p w14:paraId="1F6D7FB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77.2</w:t>
                </w:r>
              </w:p>
            </w:tc>
            <w:tc>
              <w:tcPr>
                <w:tcW w:w="630" w:type="dxa"/>
                <w:tcBorders>
                  <w:top w:val="nil"/>
                  <w:left w:val="nil"/>
                  <w:bottom w:val="nil"/>
                  <w:right w:val="nil"/>
                </w:tcBorders>
                <w:shd w:val="clear" w:color="auto" w:fill="CAE7F3" w:themeFill="accent1" w:themeFillTint="33"/>
                <w:noWrap/>
                <w:vAlign w:val="bottom"/>
                <w:hideMark/>
              </w:tcPr>
              <w:p w14:paraId="46C89AE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71.8</w:t>
                </w:r>
              </w:p>
            </w:tc>
            <w:tc>
              <w:tcPr>
                <w:tcW w:w="631" w:type="dxa"/>
                <w:tcBorders>
                  <w:top w:val="nil"/>
                  <w:left w:val="nil"/>
                  <w:bottom w:val="nil"/>
                  <w:right w:val="nil"/>
                </w:tcBorders>
                <w:shd w:val="clear" w:color="auto" w:fill="CAE7F3" w:themeFill="accent1" w:themeFillTint="33"/>
                <w:noWrap/>
                <w:vAlign w:val="bottom"/>
                <w:hideMark/>
              </w:tcPr>
              <w:p w14:paraId="18EB04C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w:t>
                </w:r>
              </w:p>
            </w:tc>
            <w:tc>
              <w:tcPr>
                <w:tcW w:w="630" w:type="dxa"/>
                <w:tcBorders>
                  <w:top w:val="nil"/>
                  <w:left w:val="nil"/>
                  <w:bottom w:val="nil"/>
                  <w:right w:val="nil"/>
                </w:tcBorders>
                <w:shd w:val="clear" w:color="auto" w:fill="CAE7F3" w:themeFill="accent1" w:themeFillTint="33"/>
                <w:noWrap/>
                <w:vAlign w:val="bottom"/>
                <w:hideMark/>
              </w:tcPr>
              <w:p w14:paraId="0B22377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58.2</w:t>
                </w:r>
              </w:p>
            </w:tc>
            <w:tc>
              <w:tcPr>
                <w:tcW w:w="630" w:type="dxa"/>
                <w:tcBorders>
                  <w:top w:val="nil"/>
                  <w:left w:val="nil"/>
                  <w:bottom w:val="nil"/>
                  <w:right w:val="nil"/>
                </w:tcBorders>
                <w:shd w:val="clear" w:color="auto" w:fill="CAE7F3" w:themeFill="accent1" w:themeFillTint="33"/>
                <w:noWrap/>
                <w:vAlign w:val="bottom"/>
                <w:hideMark/>
              </w:tcPr>
              <w:p w14:paraId="3AB73B9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71.5</w:t>
                </w:r>
              </w:p>
            </w:tc>
            <w:tc>
              <w:tcPr>
                <w:tcW w:w="630" w:type="dxa"/>
                <w:tcBorders>
                  <w:top w:val="nil"/>
                  <w:left w:val="nil"/>
                  <w:bottom w:val="nil"/>
                  <w:right w:val="nil"/>
                </w:tcBorders>
                <w:shd w:val="clear" w:color="auto" w:fill="CAE7F3" w:themeFill="accent1" w:themeFillTint="33"/>
                <w:noWrap/>
                <w:vAlign w:val="bottom"/>
                <w:hideMark/>
              </w:tcPr>
              <w:p w14:paraId="22758B1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56.0</w:t>
                </w:r>
              </w:p>
            </w:tc>
            <w:tc>
              <w:tcPr>
                <w:tcW w:w="631" w:type="dxa"/>
                <w:tcBorders>
                  <w:top w:val="nil"/>
                  <w:left w:val="nil"/>
                  <w:bottom w:val="nil"/>
                  <w:right w:val="nil"/>
                </w:tcBorders>
                <w:shd w:val="clear" w:color="auto" w:fill="CAE7F3" w:themeFill="accent1" w:themeFillTint="33"/>
                <w:noWrap/>
                <w:vAlign w:val="bottom"/>
                <w:hideMark/>
              </w:tcPr>
              <w:p w14:paraId="1264A6A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33.8</w:t>
                </w:r>
              </w:p>
            </w:tc>
            <w:tc>
              <w:tcPr>
                <w:tcW w:w="630" w:type="dxa"/>
                <w:tcBorders>
                  <w:top w:val="nil"/>
                  <w:left w:val="nil"/>
                  <w:bottom w:val="nil"/>
                  <w:right w:val="nil"/>
                </w:tcBorders>
                <w:shd w:val="clear" w:color="auto" w:fill="CAE7F3" w:themeFill="accent1" w:themeFillTint="33"/>
                <w:noWrap/>
                <w:vAlign w:val="bottom"/>
                <w:hideMark/>
              </w:tcPr>
              <w:p w14:paraId="3A5B07B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5.0</w:t>
                </w:r>
              </w:p>
            </w:tc>
            <w:tc>
              <w:tcPr>
                <w:tcW w:w="630" w:type="dxa"/>
                <w:tcBorders>
                  <w:top w:val="nil"/>
                  <w:left w:val="nil"/>
                  <w:bottom w:val="nil"/>
                  <w:right w:val="nil"/>
                </w:tcBorders>
                <w:shd w:val="clear" w:color="auto" w:fill="CAE7F3" w:themeFill="accent1" w:themeFillTint="33"/>
                <w:noWrap/>
                <w:vAlign w:val="bottom"/>
                <w:hideMark/>
              </w:tcPr>
              <w:p w14:paraId="51442BF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12.7</w:t>
                </w:r>
              </w:p>
            </w:tc>
            <w:tc>
              <w:tcPr>
                <w:tcW w:w="631" w:type="dxa"/>
                <w:tcBorders>
                  <w:top w:val="nil"/>
                  <w:left w:val="nil"/>
                  <w:bottom w:val="nil"/>
                  <w:right w:val="nil"/>
                </w:tcBorders>
                <w:shd w:val="clear" w:color="auto" w:fill="CAE7F3" w:themeFill="accent1" w:themeFillTint="33"/>
                <w:noWrap/>
                <w:vAlign w:val="bottom"/>
                <w:hideMark/>
              </w:tcPr>
              <w:p w14:paraId="3F582BF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51.5</w:t>
                </w:r>
              </w:p>
            </w:tc>
            <w:tc>
              <w:tcPr>
                <w:tcW w:w="630" w:type="dxa"/>
                <w:tcBorders>
                  <w:top w:val="nil"/>
                  <w:left w:val="nil"/>
                  <w:bottom w:val="nil"/>
                  <w:right w:val="nil"/>
                </w:tcBorders>
                <w:shd w:val="clear" w:color="auto" w:fill="CAE7F3" w:themeFill="accent1" w:themeFillTint="33"/>
                <w:noWrap/>
                <w:vAlign w:val="bottom"/>
                <w:hideMark/>
              </w:tcPr>
              <w:p w14:paraId="349BEFF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11.2</w:t>
                </w:r>
              </w:p>
            </w:tc>
            <w:tc>
              <w:tcPr>
                <w:tcW w:w="1229" w:type="dxa"/>
                <w:tcBorders>
                  <w:top w:val="nil"/>
                  <w:left w:val="nil"/>
                  <w:bottom w:val="nil"/>
                  <w:right w:val="nil"/>
                </w:tcBorders>
                <w:shd w:val="clear" w:color="auto" w:fill="CAE7F3" w:themeFill="accent1" w:themeFillTint="33"/>
                <w:noWrap/>
                <w:vAlign w:val="bottom"/>
                <w:hideMark/>
              </w:tcPr>
              <w:p w14:paraId="5D51778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56.0</w:t>
                </w:r>
              </w:p>
            </w:tc>
          </w:tr>
          <w:tr w:rsidR="00830FDC" w:rsidRPr="00F63634" w14:paraId="696750E1"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1F132B7"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Hunter Valley exc Newcastle</w:t>
                </w:r>
              </w:p>
            </w:tc>
            <w:tc>
              <w:tcPr>
                <w:tcW w:w="630" w:type="dxa"/>
                <w:tcBorders>
                  <w:top w:val="nil"/>
                  <w:left w:val="nil"/>
                  <w:bottom w:val="nil"/>
                  <w:right w:val="nil"/>
                </w:tcBorders>
                <w:shd w:val="clear" w:color="auto" w:fill="CAE7F3" w:themeFill="accent1" w:themeFillTint="33"/>
                <w:noWrap/>
                <w:vAlign w:val="bottom"/>
                <w:hideMark/>
              </w:tcPr>
              <w:p w14:paraId="0D33542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210.0</w:t>
                </w:r>
              </w:p>
            </w:tc>
            <w:tc>
              <w:tcPr>
                <w:tcW w:w="630" w:type="dxa"/>
                <w:tcBorders>
                  <w:top w:val="nil"/>
                  <w:left w:val="nil"/>
                  <w:bottom w:val="nil"/>
                  <w:right w:val="nil"/>
                </w:tcBorders>
                <w:shd w:val="clear" w:color="auto" w:fill="CAE7F3" w:themeFill="accent1" w:themeFillTint="33"/>
                <w:noWrap/>
                <w:vAlign w:val="bottom"/>
                <w:hideMark/>
              </w:tcPr>
              <w:p w14:paraId="052FFC1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14.8</w:t>
                </w:r>
              </w:p>
            </w:tc>
            <w:tc>
              <w:tcPr>
                <w:tcW w:w="630" w:type="dxa"/>
                <w:tcBorders>
                  <w:top w:val="nil"/>
                  <w:left w:val="nil"/>
                  <w:bottom w:val="nil"/>
                  <w:right w:val="nil"/>
                </w:tcBorders>
                <w:shd w:val="clear" w:color="auto" w:fill="CAE7F3" w:themeFill="accent1" w:themeFillTint="33"/>
                <w:noWrap/>
                <w:vAlign w:val="bottom"/>
                <w:hideMark/>
              </w:tcPr>
              <w:p w14:paraId="1CE6C05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82.2</w:t>
                </w:r>
              </w:p>
            </w:tc>
            <w:tc>
              <w:tcPr>
                <w:tcW w:w="631" w:type="dxa"/>
                <w:tcBorders>
                  <w:top w:val="nil"/>
                  <w:left w:val="nil"/>
                  <w:bottom w:val="nil"/>
                  <w:right w:val="nil"/>
                </w:tcBorders>
                <w:shd w:val="clear" w:color="auto" w:fill="CAE7F3" w:themeFill="accent1" w:themeFillTint="33"/>
                <w:noWrap/>
                <w:vAlign w:val="bottom"/>
                <w:hideMark/>
              </w:tcPr>
              <w:p w14:paraId="5B6EB0F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8.3</w:t>
                </w:r>
              </w:p>
            </w:tc>
            <w:tc>
              <w:tcPr>
                <w:tcW w:w="630" w:type="dxa"/>
                <w:tcBorders>
                  <w:top w:val="nil"/>
                  <w:left w:val="nil"/>
                  <w:bottom w:val="nil"/>
                  <w:right w:val="nil"/>
                </w:tcBorders>
                <w:shd w:val="clear" w:color="auto" w:fill="CAE7F3" w:themeFill="accent1" w:themeFillTint="33"/>
                <w:noWrap/>
                <w:vAlign w:val="bottom"/>
                <w:hideMark/>
              </w:tcPr>
              <w:p w14:paraId="4087ACE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343.0</w:t>
                </w:r>
              </w:p>
            </w:tc>
            <w:tc>
              <w:tcPr>
                <w:tcW w:w="630" w:type="dxa"/>
                <w:tcBorders>
                  <w:top w:val="nil"/>
                  <w:left w:val="nil"/>
                  <w:bottom w:val="nil"/>
                  <w:right w:val="nil"/>
                </w:tcBorders>
                <w:shd w:val="clear" w:color="auto" w:fill="CAE7F3" w:themeFill="accent1" w:themeFillTint="33"/>
                <w:noWrap/>
                <w:vAlign w:val="bottom"/>
                <w:hideMark/>
              </w:tcPr>
              <w:p w14:paraId="3000E41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45.5</w:t>
                </w:r>
              </w:p>
            </w:tc>
            <w:tc>
              <w:tcPr>
                <w:tcW w:w="631" w:type="dxa"/>
                <w:tcBorders>
                  <w:top w:val="nil"/>
                  <w:left w:val="nil"/>
                  <w:bottom w:val="nil"/>
                  <w:right w:val="nil"/>
                </w:tcBorders>
                <w:shd w:val="clear" w:color="auto" w:fill="CAE7F3" w:themeFill="accent1" w:themeFillTint="33"/>
                <w:noWrap/>
                <w:vAlign w:val="bottom"/>
                <w:hideMark/>
              </w:tcPr>
              <w:p w14:paraId="2D3B662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139.0</w:t>
                </w:r>
              </w:p>
            </w:tc>
            <w:tc>
              <w:tcPr>
                <w:tcW w:w="630" w:type="dxa"/>
                <w:tcBorders>
                  <w:top w:val="nil"/>
                  <w:left w:val="nil"/>
                  <w:bottom w:val="nil"/>
                  <w:right w:val="nil"/>
                </w:tcBorders>
                <w:shd w:val="clear" w:color="auto" w:fill="CAE7F3" w:themeFill="accent1" w:themeFillTint="33"/>
                <w:noWrap/>
                <w:vAlign w:val="bottom"/>
                <w:hideMark/>
              </w:tcPr>
              <w:p w14:paraId="5ACBB70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123.0</w:t>
                </w:r>
              </w:p>
            </w:tc>
            <w:tc>
              <w:tcPr>
                <w:tcW w:w="630" w:type="dxa"/>
                <w:tcBorders>
                  <w:top w:val="nil"/>
                  <w:left w:val="nil"/>
                  <w:bottom w:val="nil"/>
                  <w:right w:val="nil"/>
                </w:tcBorders>
                <w:shd w:val="clear" w:color="auto" w:fill="CAE7F3" w:themeFill="accent1" w:themeFillTint="33"/>
                <w:noWrap/>
                <w:vAlign w:val="bottom"/>
                <w:hideMark/>
              </w:tcPr>
              <w:p w14:paraId="543A140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121.7</w:t>
                </w:r>
              </w:p>
            </w:tc>
            <w:tc>
              <w:tcPr>
                <w:tcW w:w="631" w:type="dxa"/>
                <w:tcBorders>
                  <w:top w:val="nil"/>
                  <w:left w:val="nil"/>
                  <w:bottom w:val="nil"/>
                  <w:right w:val="nil"/>
                </w:tcBorders>
                <w:shd w:val="clear" w:color="auto" w:fill="CAE7F3" w:themeFill="accent1" w:themeFillTint="33"/>
                <w:noWrap/>
                <w:vAlign w:val="bottom"/>
                <w:hideMark/>
              </w:tcPr>
              <w:p w14:paraId="531E89F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14.0</w:t>
                </w:r>
              </w:p>
            </w:tc>
            <w:tc>
              <w:tcPr>
                <w:tcW w:w="630" w:type="dxa"/>
                <w:tcBorders>
                  <w:top w:val="nil"/>
                  <w:left w:val="nil"/>
                  <w:bottom w:val="nil"/>
                  <w:right w:val="nil"/>
                </w:tcBorders>
                <w:shd w:val="clear" w:color="auto" w:fill="CAE7F3" w:themeFill="accent1" w:themeFillTint="33"/>
                <w:noWrap/>
                <w:vAlign w:val="bottom"/>
                <w:hideMark/>
              </w:tcPr>
              <w:p w14:paraId="559F782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180.7</w:t>
                </w:r>
              </w:p>
            </w:tc>
            <w:tc>
              <w:tcPr>
                <w:tcW w:w="630" w:type="dxa"/>
                <w:tcBorders>
                  <w:top w:val="nil"/>
                  <w:left w:val="nil"/>
                  <w:bottom w:val="nil"/>
                  <w:right w:val="nil"/>
                </w:tcBorders>
                <w:shd w:val="clear" w:color="auto" w:fill="CAE7F3" w:themeFill="accent1" w:themeFillTint="33"/>
                <w:noWrap/>
                <w:vAlign w:val="bottom"/>
                <w:hideMark/>
              </w:tcPr>
              <w:p w14:paraId="61D195E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154.2</w:t>
                </w:r>
              </w:p>
            </w:tc>
            <w:tc>
              <w:tcPr>
                <w:tcW w:w="630" w:type="dxa"/>
                <w:tcBorders>
                  <w:top w:val="nil"/>
                  <w:left w:val="nil"/>
                  <w:bottom w:val="nil"/>
                  <w:right w:val="nil"/>
                </w:tcBorders>
                <w:shd w:val="clear" w:color="auto" w:fill="CAE7F3" w:themeFill="accent1" w:themeFillTint="33"/>
                <w:noWrap/>
                <w:vAlign w:val="bottom"/>
                <w:hideMark/>
              </w:tcPr>
              <w:p w14:paraId="4070DD6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190.7</w:t>
                </w:r>
              </w:p>
            </w:tc>
            <w:tc>
              <w:tcPr>
                <w:tcW w:w="631" w:type="dxa"/>
                <w:tcBorders>
                  <w:top w:val="nil"/>
                  <w:left w:val="nil"/>
                  <w:bottom w:val="nil"/>
                  <w:right w:val="nil"/>
                </w:tcBorders>
                <w:shd w:val="clear" w:color="auto" w:fill="CAE7F3" w:themeFill="accent1" w:themeFillTint="33"/>
                <w:noWrap/>
                <w:vAlign w:val="bottom"/>
                <w:hideMark/>
              </w:tcPr>
              <w:p w14:paraId="44EA25B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112.2</w:t>
                </w:r>
              </w:p>
            </w:tc>
            <w:tc>
              <w:tcPr>
                <w:tcW w:w="630" w:type="dxa"/>
                <w:tcBorders>
                  <w:top w:val="nil"/>
                  <w:left w:val="nil"/>
                  <w:bottom w:val="nil"/>
                  <w:right w:val="nil"/>
                </w:tcBorders>
                <w:shd w:val="clear" w:color="auto" w:fill="CAE7F3" w:themeFill="accent1" w:themeFillTint="33"/>
                <w:noWrap/>
                <w:vAlign w:val="bottom"/>
                <w:hideMark/>
              </w:tcPr>
              <w:p w14:paraId="65B49B0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12.0</w:t>
                </w:r>
              </w:p>
            </w:tc>
            <w:tc>
              <w:tcPr>
                <w:tcW w:w="630" w:type="dxa"/>
                <w:tcBorders>
                  <w:top w:val="nil"/>
                  <w:left w:val="nil"/>
                  <w:bottom w:val="nil"/>
                  <w:right w:val="nil"/>
                </w:tcBorders>
                <w:shd w:val="clear" w:color="auto" w:fill="CAE7F3" w:themeFill="accent1" w:themeFillTint="33"/>
                <w:noWrap/>
                <w:vAlign w:val="bottom"/>
                <w:hideMark/>
              </w:tcPr>
              <w:p w14:paraId="5CACC11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28.0</w:t>
                </w:r>
              </w:p>
            </w:tc>
            <w:tc>
              <w:tcPr>
                <w:tcW w:w="631" w:type="dxa"/>
                <w:tcBorders>
                  <w:top w:val="nil"/>
                  <w:left w:val="nil"/>
                  <w:bottom w:val="nil"/>
                  <w:right w:val="nil"/>
                </w:tcBorders>
                <w:shd w:val="clear" w:color="auto" w:fill="CAE7F3" w:themeFill="accent1" w:themeFillTint="33"/>
                <w:noWrap/>
                <w:vAlign w:val="bottom"/>
                <w:hideMark/>
              </w:tcPr>
              <w:p w14:paraId="6A79B11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69.3</w:t>
                </w:r>
              </w:p>
            </w:tc>
            <w:tc>
              <w:tcPr>
                <w:tcW w:w="630" w:type="dxa"/>
                <w:tcBorders>
                  <w:top w:val="nil"/>
                  <w:left w:val="nil"/>
                  <w:bottom w:val="nil"/>
                  <w:right w:val="nil"/>
                </w:tcBorders>
                <w:shd w:val="clear" w:color="auto" w:fill="CAE7F3" w:themeFill="accent1" w:themeFillTint="33"/>
                <w:noWrap/>
                <w:vAlign w:val="bottom"/>
                <w:hideMark/>
              </w:tcPr>
              <w:p w14:paraId="598B3EE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33.3</w:t>
                </w:r>
              </w:p>
            </w:tc>
            <w:tc>
              <w:tcPr>
                <w:tcW w:w="1229" w:type="dxa"/>
                <w:tcBorders>
                  <w:top w:val="nil"/>
                  <w:left w:val="nil"/>
                  <w:bottom w:val="nil"/>
                  <w:right w:val="nil"/>
                </w:tcBorders>
                <w:shd w:val="clear" w:color="auto" w:fill="CAE7F3" w:themeFill="accent1" w:themeFillTint="33"/>
                <w:noWrap/>
                <w:vAlign w:val="bottom"/>
                <w:hideMark/>
              </w:tcPr>
              <w:p w14:paraId="4DF920A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135.5</w:t>
                </w:r>
              </w:p>
            </w:tc>
          </w:tr>
          <w:tr w:rsidR="00830FDC" w:rsidRPr="00F63634" w14:paraId="2A4D3BB7"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B96C53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Illawarra</w:t>
                </w:r>
              </w:p>
            </w:tc>
            <w:tc>
              <w:tcPr>
                <w:tcW w:w="630" w:type="dxa"/>
                <w:tcBorders>
                  <w:top w:val="nil"/>
                  <w:left w:val="nil"/>
                  <w:bottom w:val="nil"/>
                  <w:right w:val="nil"/>
                </w:tcBorders>
                <w:shd w:val="clear" w:color="auto" w:fill="CAE7F3" w:themeFill="accent1" w:themeFillTint="33"/>
                <w:noWrap/>
                <w:vAlign w:val="bottom"/>
                <w:hideMark/>
              </w:tcPr>
              <w:p w14:paraId="2219BEE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67.2</w:t>
                </w:r>
              </w:p>
            </w:tc>
            <w:tc>
              <w:tcPr>
                <w:tcW w:w="630" w:type="dxa"/>
                <w:tcBorders>
                  <w:top w:val="nil"/>
                  <w:left w:val="nil"/>
                  <w:bottom w:val="nil"/>
                  <w:right w:val="nil"/>
                </w:tcBorders>
                <w:shd w:val="clear" w:color="auto" w:fill="CAE7F3" w:themeFill="accent1" w:themeFillTint="33"/>
                <w:noWrap/>
                <w:vAlign w:val="bottom"/>
                <w:hideMark/>
              </w:tcPr>
              <w:p w14:paraId="50BC920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7.8</w:t>
                </w:r>
              </w:p>
            </w:tc>
            <w:tc>
              <w:tcPr>
                <w:tcW w:w="630" w:type="dxa"/>
                <w:tcBorders>
                  <w:top w:val="nil"/>
                  <w:left w:val="nil"/>
                  <w:bottom w:val="nil"/>
                  <w:right w:val="nil"/>
                </w:tcBorders>
                <w:shd w:val="clear" w:color="auto" w:fill="CAE7F3" w:themeFill="accent1" w:themeFillTint="33"/>
                <w:noWrap/>
                <w:vAlign w:val="bottom"/>
                <w:hideMark/>
              </w:tcPr>
              <w:p w14:paraId="6D3B240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70.3</w:t>
                </w:r>
              </w:p>
            </w:tc>
            <w:tc>
              <w:tcPr>
                <w:tcW w:w="631" w:type="dxa"/>
                <w:tcBorders>
                  <w:top w:val="nil"/>
                  <w:left w:val="nil"/>
                  <w:bottom w:val="nil"/>
                  <w:right w:val="nil"/>
                </w:tcBorders>
                <w:shd w:val="clear" w:color="auto" w:fill="CAE7F3" w:themeFill="accent1" w:themeFillTint="33"/>
                <w:noWrap/>
                <w:vAlign w:val="bottom"/>
                <w:hideMark/>
              </w:tcPr>
              <w:p w14:paraId="10E1382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9.2</w:t>
                </w:r>
              </w:p>
            </w:tc>
            <w:tc>
              <w:tcPr>
                <w:tcW w:w="630" w:type="dxa"/>
                <w:tcBorders>
                  <w:top w:val="nil"/>
                  <w:left w:val="nil"/>
                  <w:bottom w:val="nil"/>
                  <w:right w:val="nil"/>
                </w:tcBorders>
                <w:shd w:val="clear" w:color="auto" w:fill="CAE7F3" w:themeFill="accent1" w:themeFillTint="33"/>
                <w:noWrap/>
                <w:vAlign w:val="bottom"/>
                <w:hideMark/>
              </w:tcPr>
              <w:p w14:paraId="2B34A29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441.2</w:t>
                </w:r>
              </w:p>
            </w:tc>
            <w:tc>
              <w:tcPr>
                <w:tcW w:w="630" w:type="dxa"/>
                <w:tcBorders>
                  <w:top w:val="nil"/>
                  <w:left w:val="nil"/>
                  <w:bottom w:val="nil"/>
                  <w:right w:val="nil"/>
                </w:tcBorders>
                <w:shd w:val="clear" w:color="auto" w:fill="CAE7F3" w:themeFill="accent1" w:themeFillTint="33"/>
                <w:noWrap/>
                <w:vAlign w:val="bottom"/>
                <w:hideMark/>
              </w:tcPr>
              <w:p w14:paraId="1D4D391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62.2</w:t>
                </w:r>
              </w:p>
            </w:tc>
            <w:tc>
              <w:tcPr>
                <w:tcW w:w="631" w:type="dxa"/>
                <w:tcBorders>
                  <w:top w:val="nil"/>
                  <w:left w:val="nil"/>
                  <w:bottom w:val="nil"/>
                  <w:right w:val="nil"/>
                </w:tcBorders>
                <w:shd w:val="clear" w:color="auto" w:fill="CAE7F3" w:themeFill="accent1" w:themeFillTint="33"/>
                <w:noWrap/>
                <w:vAlign w:val="bottom"/>
                <w:hideMark/>
              </w:tcPr>
              <w:p w14:paraId="36940BD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171.7</w:t>
                </w:r>
              </w:p>
            </w:tc>
            <w:tc>
              <w:tcPr>
                <w:tcW w:w="630" w:type="dxa"/>
                <w:tcBorders>
                  <w:top w:val="nil"/>
                  <w:left w:val="nil"/>
                  <w:bottom w:val="nil"/>
                  <w:right w:val="nil"/>
                </w:tcBorders>
                <w:shd w:val="clear" w:color="auto" w:fill="CAE7F3" w:themeFill="accent1" w:themeFillTint="33"/>
                <w:noWrap/>
                <w:vAlign w:val="bottom"/>
                <w:hideMark/>
              </w:tcPr>
              <w:p w14:paraId="6896DA7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130.3</w:t>
                </w:r>
              </w:p>
            </w:tc>
            <w:tc>
              <w:tcPr>
                <w:tcW w:w="630" w:type="dxa"/>
                <w:tcBorders>
                  <w:top w:val="nil"/>
                  <w:left w:val="nil"/>
                  <w:bottom w:val="nil"/>
                  <w:right w:val="nil"/>
                </w:tcBorders>
                <w:shd w:val="clear" w:color="auto" w:fill="CAE7F3" w:themeFill="accent1" w:themeFillTint="33"/>
                <w:noWrap/>
                <w:vAlign w:val="bottom"/>
                <w:hideMark/>
              </w:tcPr>
              <w:p w14:paraId="7E48239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116.8</w:t>
                </w:r>
              </w:p>
            </w:tc>
            <w:tc>
              <w:tcPr>
                <w:tcW w:w="631" w:type="dxa"/>
                <w:tcBorders>
                  <w:top w:val="nil"/>
                  <w:left w:val="nil"/>
                  <w:bottom w:val="nil"/>
                  <w:right w:val="nil"/>
                </w:tcBorders>
                <w:shd w:val="clear" w:color="auto" w:fill="CAE7F3" w:themeFill="accent1" w:themeFillTint="33"/>
                <w:noWrap/>
                <w:vAlign w:val="bottom"/>
                <w:hideMark/>
              </w:tcPr>
              <w:p w14:paraId="308ACE5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19.3</w:t>
                </w:r>
              </w:p>
            </w:tc>
            <w:tc>
              <w:tcPr>
                <w:tcW w:w="630" w:type="dxa"/>
                <w:tcBorders>
                  <w:top w:val="nil"/>
                  <w:left w:val="nil"/>
                  <w:bottom w:val="nil"/>
                  <w:right w:val="nil"/>
                </w:tcBorders>
                <w:shd w:val="clear" w:color="auto" w:fill="CAE7F3" w:themeFill="accent1" w:themeFillTint="33"/>
                <w:noWrap/>
                <w:vAlign w:val="bottom"/>
                <w:hideMark/>
              </w:tcPr>
              <w:p w14:paraId="581BDD1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180.2</w:t>
                </w:r>
              </w:p>
            </w:tc>
            <w:tc>
              <w:tcPr>
                <w:tcW w:w="630" w:type="dxa"/>
                <w:tcBorders>
                  <w:top w:val="nil"/>
                  <w:left w:val="nil"/>
                  <w:bottom w:val="nil"/>
                  <w:right w:val="nil"/>
                </w:tcBorders>
                <w:shd w:val="clear" w:color="auto" w:fill="CAE7F3" w:themeFill="accent1" w:themeFillTint="33"/>
                <w:noWrap/>
                <w:vAlign w:val="bottom"/>
                <w:hideMark/>
              </w:tcPr>
              <w:p w14:paraId="3FFCA4C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166.2</w:t>
                </w:r>
              </w:p>
            </w:tc>
            <w:tc>
              <w:tcPr>
                <w:tcW w:w="630" w:type="dxa"/>
                <w:tcBorders>
                  <w:top w:val="nil"/>
                  <w:left w:val="nil"/>
                  <w:bottom w:val="nil"/>
                  <w:right w:val="nil"/>
                </w:tcBorders>
                <w:shd w:val="clear" w:color="auto" w:fill="CAE7F3" w:themeFill="accent1" w:themeFillTint="33"/>
                <w:noWrap/>
                <w:vAlign w:val="bottom"/>
                <w:hideMark/>
              </w:tcPr>
              <w:p w14:paraId="5A492FD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261.7</w:t>
                </w:r>
              </w:p>
            </w:tc>
            <w:tc>
              <w:tcPr>
                <w:tcW w:w="631" w:type="dxa"/>
                <w:tcBorders>
                  <w:top w:val="nil"/>
                  <w:left w:val="nil"/>
                  <w:bottom w:val="nil"/>
                  <w:right w:val="nil"/>
                </w:tcBorders>
                <w:shd w:val="clear" w:color="auto" w:fill="CAE7F3" w:themeFill="accent1" w:themeFillTint="33"/>
                <w:noWrap/>
                <w:vAlign w:val="bottom"/>
                <w:hideMark/>
              </w:tcPr>
              <w:p w14:paraId="44BD3FF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103.2</w:t>
                </w:r>
              </w:p>
            </w:tc>
            <w:tc>
              <w:tcPr>
                <w:tcW w:w="630" w:type="dxa"/>
                <w:tcBorders>
                  <w:top w:val="nil"/>
                  <w:left w:val="nil"/>
                  <w:bottom w:val="nil"/>
                  <w:right w:val="nil"/>
                </w:tcBorders>
                <w:shd w:val="clear" w:color="auto" w:fill="CAE7F3" w:themeFill="accent1" w:themeFillTint="33"/>
                <w:noWrap/>
                <w:vAlign w:val="bottom"/>
                <w:hideMark/>
              </w:tcPr>
              <w:p w14:paraId="2B4CDAE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13.7</w:t>
                </w:r>
              </w:p>
            </w:tc>
            <w:tc>
              <w:tcPr>
                <w:tcW w:w="630" w:type="dxa"/>
                <w:tcBorders>
                  <w:top w:val="nil"/>
                  <w:left w:val="nil"/>
                  <w:bottom w:val="nil"/>
                  <w:right w:val="nil"/>
                </w:tcBorders>
                <w:shd w:val="clear" w:color="auto" w:fill="CAE7F3" w:themeFill="accent1" w:themeFillTint="33"/>
                <w:noWrap/>
                <w:vAlign w:val="bottom"/>
                <w:hideMark/>
              </w:tcPr>
              <w:p w14:paraId="3E768B6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43.8</w:t>
                </w:r>
              </w:p>
            </w:tc>
            <w:tc>
              <w:tcPr>
                <w:tcW w:w="631" w:type="dxa"/>
                <w:tcBorders>
                  <w:top w:val="nil"/>
                  <w:left w:val="nil"/>
                  <w:bottom w:val="nil"/>
                  <w:right w:val="nil"/>
                </w:tcBorders>
                <w:shd w:val="clear" w:color="auto" w:fill="CAE7F3" w:themeFill="accent1" w:themeFillTint="33"/>
                <w:noWrap/>
                <w:vAlign w:val="bottom"/>
                <w:hideMark/>
              </w:tcPr>
              <w:p w14:paraId="64CF1D8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127.2</w:t>
                </w:r>
              </w:p>
            </w:tc>
            <w:tc>
              <w:tcPr>
                <w:tcW w:w="630" w:type="dxa"/>
                <w:tcBorders>
                  <w:top w:val="nil"/>
                  <w:left w:val="nil"/>
                  <w:bottom w:val="nil"/>
                  <w:right w:val="nil"/>
                </w:tcBorders>
                <w:shd w:val="clear" w:color="auto" w:fill="CAE7F3" w:themeFill="accent1" w:themeFillTint="33"/>
                <w:noWrap/>
                <w:vAlign w:val="bottom"/>
                <w:hideMark/>
              </w:tcPr>
              <w:p w14:paraId="78AC8A7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35.7</w:t>
                </w:r>
              </w:p>
            </w:tc>
            <w:tc>
              <w:tcPr>
                <w:tcW w:w="1229" w:type="dxa"/>
                <w:tcBorders>
                  <w:top w:val="nil"/>
                  <w:left w:val="nil"/>
                  <w:bottom w:val="nil"/>
                  <w:right w:val="nil"/>
                </w:tcBorders>
                <w:shd w:val="clear" w:color="auto" w:fill="CAE7F3" w:themeFill="accent1" w:themeFillTint="33"/>
                <w:noWrap/>
                <w:vAlign w:val="bottom"/>
                <w:hideMark/>
              </w:tcPr>
              <w:p w14:paraId="0E493A4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120.3</w:t>
                </w:r>
              </w:p>
            </w:tc>
          </w:tr>
          <w:tr w:rsidR="00830FDC" w:rsidRPr="00F63634" w14:paraId="3225E655"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FF89C5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Mid North Coast</w:t>
                </w:r>
              </w:p>
            </w:tc>
            <w:tc>
              <w:tcPr>
                <w:tcW w:w="630" w:type="dxa"/>
                <w:tcBorders>
                  <w:top w:val="nil"/>
                  <w:left w:val="nil"/>
                  <w:bottom w:val="nil"/>
                  <w:right w:val="nil"/>
                </w:tcBorders>
                <w:shd w:val="clear" w:color="auto" w:fill="CAE7F3" w:themeFill="accent1" w:themeFillTint="33"/>
                <w:noWrap/>
                <w:vAlign w:val="bottom"/>
                <w:hideMark/>
              </w:tcPr>
              <w:p w14:paraId="2F93A78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212.0</w:t>
                </w:r>
              </w:p>
            </w:tc>
            <w:tc>
              <w:tcPr>
                <w:tcW w:w="630" w:type="dxa"/>
                <w:tcBorders>
                  <w:top w:val="nil"/>
                  <w:left w:val="nil"/>
                  <w:bottom w:val="nil"/>
                  <w:right w:val="nil"/>
                </w:tcBorders>
                <w:shd w:val="clear" w:color="auto" w:fill="CAE7F3" w:themeFill="accent1" w:themeFillTint="33"/>
                <w:noWrap/>
                <w:vAlign w:val="bottom"/>
                <w:hideMark/>
              </w:tcPr>
              <w:p w14:paraId="4E8EB6B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6.0</w:t>
                </w:r>
              </w:p>
            </w:tc>
            <w:tc>
              <w:tcPr>
                <w:tcW w:w="630" w:type="dxa"/>
                <w:tcBorders>
                  <w:top w:val="nil"/>
                  <w:left w:val="nil"/>
                  <w:bottom w:val="nil"/>
                  <w:right w:val="nil"/>
                </w:tcBorders>
                <w:shd w:val="clear" w:color="auto" w:fill="CAE7F3" w:themeFill="accent1" w:themeFillTint="33"/>
                <w:noWrap/>
                <w:vAlign w:val="bottom"/>
                <w:hideMark/>
              </w:tcPr>
              <w:p w14:paraId="5405628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52.0</w:t>
                </w:r>
              </w:p>
            </w:tc>
            <w:tc>
              <w:tcPr>
                <w:tcW w:w="631" w:type="dxa"/>
                <w:tcBorders>
                  <w:top w:val="nil"/>
                  <w:left w:val="nil"/>
                  <w:bottom w:val="nil"/>
                  <w:right w:val="nil"/>
                </w:tcBorders>
                <w:shd w:val="clear" w:color="auto" w:fill="CAE7F3" w:themeFill="accent1" w:themeFillTint="33"/>
                <w:noWrap/>
                <w:vAlign w:val="bottom"/>
                <w:hideMark/>
              </w:tcPr>
              <w:p w14:paraId="6DA298A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7.2</w:t>
                </w:r>
              </w:p>
            </w:tc>
            <w:tc>
              <w:tcPr>
                <w:tcW w:w="630" w:type="dxa"/>
                <w:tcBorders>
                  <w:top w:val="nil"/>
                  <w:left w:val="nil"/>
                  <w:bottom w:val="nil"/>
                  <w:right w:val="nil"/>
                </w:tcBorders>
                <w:shd w:val="clear" w:color="auto" w:fill="CAE7F3" w:themeFill="accent1" w:themeFillTint="33"/>
                <w:noWrap/>
                <w:vAlign w:val="bottom"/>
                <w:hideMark/>
              </w:tcPr>
              <w:p w14:paraId="11C7524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324.2</w:t>
                </w:r>
              </w:p>
            </w:tc>
            <w:tc>
              <w:tcPr>
                <w:tcW w:w="630" w:type="dxa"/>
                <w:tcBorders>
                  <w:top w:val="nil"/>
                  <w:left w:val="nil"/>
                  <w:bottom w:val="nil"/>
                  <w:right w:val="nil"/>
                </w:tcBorders>
                <w:shd w:val="clear" w:color="auto" w:fill="CAE7F3" w:themeFill="accent1" w:themeFillTint="33"/>
                <w:noWrap/>
                <w:vAlign w:val="bottom"/>
                <w:hideMark/>
              </w:tcPr>
              <w:p w14:paraId="26AC415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37.5</w:t>
                </w:r>
              </w:p>
            </w:tc>
            <w:tc>
              <w:tcPr>
                <w:tcW w:w="631" w:type="dxa"/>
                <w:tcBorders>
                  <w:top w:val="nil"/>
                  <w:left w:val="nil"/>
                  <w:bottom w:val="nil"/>
                  <w:right w:val="nil"/>
                </w:tcBorders>
                <w:shd w:val="clear" w:color="auto" w:fill="CAE7F3" w:themeFill="accent1" w:themeFillTint="33"/>
                <w:noWrap/>
                <w:vAlign w:val="bottom"/>
                <w:hideMark/>
              </w:tcPr>
              <w:p w14:paraId="39536E6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127.7</w:t>
                </w:r>
              </w:p>
            </w:tc>
            <w:tc>
              <w:tcPr>
                <w:tcW w:w="630" w:type="dxa"/>
                <w:tcBorders>
                  <w:top w:val="nil"/>
                  <w:left w:val="nil"/>
                  <w:bottom w:val="nil"/>
                  <w:right w:val="nil"/>
                </w:tcBorders>
                <w:shd w:val="clear" w:color="auto" w:fill="CAE7F3" w:themeFill="accent1" w:themeFillTint="33"/>
                <w:noWrap/>
                <w:vAlign w:val="bottom"/>
                <w:hideMark/>
              </w:tcPr>
              <w:p w14:paraId="50BEA64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112.2</w:t>
                </w:r>
              </w:p>
            </w:tc>
            <w:tc>
              <w:tcPr>
                <w:tcW w:w="630" w:type="dxa"/>
                <w:tcBorders>
                  <w:top w:val="nil"/>
                  <w:left w:val="nil"/>
                  <w:bottom w:val="nil"/>
                  <w:right w:val="nil"/>
                </w:tcBorders>
                <w:shd w:val="clear" w:color="auto" w:fill="CAE7F3" w:themeFill="accent1" w:themeFillTint="33"/>
                <w:noWrap/>
                <w:vAlign w:val="bottom"/>
                <w:hideMark/>
              </w:tcPr>
              <w:p w14:paraId="3CFCE0B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101.5</w:t>
                </w:r>
              </w:p>
            </w:tc>
            <w:tc>
              <w:tcPr>
                <w:tcW w:w="631" w:type="dxa"/>
                <w:tcBorders>
                  <w:top w:val="nil"/>
                  <w:left w:val="nil"/>
                  <w:bottom w:val="nil"/>
                  <w:right w:val="nil"/>
                </w:tcBorders>
                <w:shd w:val="clear" w:color="auto" w:fill="CAE7F3" w:themeFill="accent1" w:themeFillTint="33"/>
                <w:noWrap/>
                <w:vAlign w:val="bottom"/>
                <w:hideMark/>
              </w:tcPr>
              <w:p w14:paraId="4C464CF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11.8</w:t>
                </w:r>
              </w:p>
            </w:tc>
            <w:tc>
              <w:tcPr>
                <w:tcW w:w="630" w:type="dxa"/>
                <w:tcBorders>
                  <w:top w:val="nil"/>
                  <w:left w:val="nil"/>
                  <w:bottom w:val="nil"/>
                  <w:right w:val="nil"/>
                </w:tcBorders>
                <w:shd w:val="clear" w:color="auto" w:fill="CAE7F3" w:themeFill="accent1" w:themeFillTint="33"/>
                <w:noWrap/>
                <w:vAlign w:val="bottom"/>
                <w:hideMark/>
              </w:tcPr>
              <w:p w14:paraId="400349D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94.3</w:t>
                </w:r>
              </w:p>
            </w:tc>
            <w:tc>
              <w:tcPr>
                <w:tcW w:w="630" w:type="dxa"/>
                <w:tcBorders>
                  <w:top w:val="nil"/>
                  <w:left w:val="nil"/>
                  <w:bottom w:val="nil"/>
                  <w:right w:val="nil"/>
                </w:tcBorders>
                <w:shd w:val="clear" w:color="auto" w:fill="CAE7F3" w:themeFill="accent1" w:themeFillTint="33"/>
                <w:noWrap/>
                <w:vAlign w:val="bottom"/>
                <w:hideMark/>
              </w:tcPr>
              <w:p w14:paraId="59349A1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109.0</w:t>
                </w:r>
              </w:p>
            </w:tc>
            <w:tc>
              <w:tcPr>
                <w:tcW w:w="630" w:type="dxa"/>
                <w:tcBorders>
                  <w:top w:val="nil"/>
                  <w:left w:val="nil"/>
                  <w:bottom w:val="nil"/>
                  <w:right w:val="nil"/>
                </w:tcBorders>
                <w:shd w:val="clear" w:color="auto" w:fill="CAE7F3" w:themeFill="accent1" w:themeFillTint="33"/>
                <w:noWrap/>
                <w:vAlign w:val="bottom"/>
                <w:hideMark/>
              </w:tcPr>
              <w:p w14:paraId="52084E2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124.3</w:t>
                </w:r>
              </w:p>
            </w:tc>
            <w:tc>
              <w:tcPr>
                <w:tcW w:w="631" w:type="dxa"/>
                <w:tcBorders>
                  <w:top w:val="nil"/>
                  <w:left w:val="nil"/>
                  <w:bottom w:val="nil"/>
                  <w:right w:val="nil"/>
                </w:tcBorders>
                <w:shd w:val="clear" w:color="auto" w:fill="CAE7F3" w:themeFill="accent1" w:themeFillTint="33"/>
                <w:noWrap/>
                <w:vAlign w:val="bottom"/>
                <w:hideMark/>
              </w:tcPr>
              <w:p w14:paraId="23AB1A4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66.3</w:t>
                </w:r>
              </w:p>
            </w:tc>
            <w:tc>
              <w:tcPr>
                <w:tcW w:w="630" w:type="dxa"/>
                <w:tcBorders>
                  <w:top w:val="nil"/>
                  <w:left w:val="nil"/>
                  <w:bottom w:val="nil"/>
                  <w:right w:val="nil"/>
                </w:tcBorders>
                <w:shd w:val="clear" w:color="auto" w:fill="CAE7F3" w:themeFill="accent1" w:themeFillTint="33"/>
                <w:noWrap/>
                <w:vAlign w:val="bottom"/>
                <w:hideMark/>
              </w:tcPr>
              <w:p w14:paraId="761C66D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10.0</w:t>
                </w:r>
              </w:p>
            </w:tc>
            <w:tc>
              <w:tcPr>
                <w:tcW w:w="630" w:type="dxa"/>
                <w:tcBorders>
                  <w:top w:val="nil"/>
                  <w:left w:val="nil"/>
                  <w:bottom w:val="nil"/>
                  <w:right w:val="nil"/>
                </w:tcBorders>
                <w:shd w:val="clear" w:color="auto" w:fill="CAE7F3" w:themeFill="accent1" w:themeFillTint="33"/>
                <w:noWrap/>
                <w:vAlign w:val="bottom"/>
                <w:hideMark/>
              </w:tcPr>
              <w:p w14:paraId="3AA23DC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20.2</w:t>
                </w:r>
              </w:p>
            </w:tc>
            <w:tc>
              <w:tcPr>
                <w:tcW w:w="631" w:type="dxa"/>
                <w:tcBorders>
                  <w:top w:val="nil"/>
                  <w:left w:val="nil"/>
                  <w:bottom w:val="nil"/>
                  <w:right w:val="nil"/>
                </w:tcBorders>
                <w:shd w:val="clear" w:color="auto" w:fill="CAE7F3" w:themeFill="accent1" w:themeFillTint="33"/>
                <w:noWrap/>
                <w:vAlign w:val="bottom"/>
                <w:hideMark/>
              </w:tcPr>
              <w:p w14:paraId="7D28653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95.7</w:t>
                </w:r>
              </w:p>
            </w:tc>
            <w:tc>
              <w:tcPr>
                <w:tcW w:w="630" w:type="dxa"/>
                <w:tcBorders>
                  <w:top w:val="nil"/>
                  <w:left w:val="nil"/>
                  <w:bottom w:val="nil"/>
                  <w:right w:val="nil"/>
                </w:tcBorders>
                <w:shd w:val="clear" w:color="auto" w:fill="CAE7F3" w:themeFill="accent1" w:themeFillTint="33"/>
                <w:noWrap/>
                <w:vAlign w:val="bottom"/>
                <w:hideMark/>
              </w:tcPr>
              <w:p w14:paraId="11BECC3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24.5</w:t>
                </w:r>
              </w:p>
            </w:tc>
            <w:tc>
              <w:tcPr>
                <w:tcW w:w="1229" w:type="dxa"/>
                <w:tcBorders>
                  <w:top w:val="nil"/>
                  <w:left w:val="nil"/>
                  <w:bottom w:val="nil"/>
                  <w:right w:val="nil"/>
                </w:tcBorders>
                <w:shd w:val="clear" w:color="auto" w:fill="CAE7F3" w:themeFill="accent1" w:themeFillTint="33"/>
                <w:noWrap/>
                <w:vAlign w:val="bottom"/>
                <w:hideMark/>
              </w:tcPr>
              <w:p w14:paraId="5FAE05E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94.0</w:t>
                </w:r>
              </w:p>
            </w:tc>
          </w:tr>
          <w:tr w:rsidR="00830FDC" w:rsidRPr="00F63634" w14:paraId="4B688C6F"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3021C2C"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Murray</w:t>
                </w:r>
              </w:p>
            </w:tc>
            <w:tc>
              <w:tcPr>
                <w:tcW w:w="630" w:type="dxa"/>
                <w:tcBorders>
                  <w:top w:val="nil"/>
                  <w:left w:val="nil"/>
                  <w:bottom w:val="nil"/>
                  <w:right w:val="nil"/>
                </w:tcBorders>
                <w:shd w:val="clear" w:color="auto" w:fill="CAE7F3" w:themeFill="accent1" w:themeFillTint="33"/>
                <w:noWrap/>
                <w:vAlign w:val="bottom"/>
                <w:hideMark/>
              </w:tcPr>
              <w:p w14:paraId="32FFC74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251.2</w:t>
                </w:r>
              </w:p>
            </w:tc>
            <w:tc>
              <w:tcPr>
                <w:tcW w:w="630" w:type="dxa"/>
                <w:tcBorders>
                  <w:top w:val="nil"/>
                  <w:left w:val="nil"/>
                  <w:bottom w:val="nil"/>
                  <w:right w:val="nil"/>
                </w:tcBorders>
                <w:shd w:val="clear" w:color="auto" w:fill="CAE7F3" w:themeFill="accent1" w:themeFillTint="33"/>
                <w:noWrap/>
                <w:vAlign w:val="bottom"/>
                <w:hideMark/>
              </w:tcPr>
              <w:p w14:paraId="198C11C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5.5</w:t>
                </w:r>
              </w:p>
            </w:tc>
            <w:tc>
              <w:tcPr>
                <w:tcW w:w="630" w:type="dxa"/>
                <w:tcBorders>
                  <w:top w:val="nil"/>
                  <w:left w:val="nil"/>
                  <w:bottom w:val="nil"/>
                  <w:right w:val="nil"/>
                </w:tcBorders>
                <w:shd w:val="clear" w:color="auto" w:fill="CAE7F3" w:themeFill="accent1" w:themeFillTint="33"/>
                <w:noWrap/>
                <w:vAlign w:val="bottom"/>
                <w:hideMark/>
              </w:tcPr>
              <w:p w14:paraId="2D93FC1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38.0</w:t>
                </w:r>
              </w:p>
            </w:tc>
            <w:tc>
              <w:tcPr>
                <w:tcW w:w="631" w:type="dxa"/>
                <w:tcBorders>
                  <w:top w:val="nil"/>
                  <w:left w:val="nil"/>
                  <w:bottom w:val="nil"/>
                  <w:right w:val="nil"/>
                </w:tcBorders>
                <w:shd w:val="clear" w:color="auto" w:fill="CAE7F3" w:themeFill="accent1" w:themeFillTint="33"/>
                <w:noWrap/>
                <w:vAlign w:val="bottom"/>
                <w:hideMark/>
              </w:tcPr>
              <w:p w14:paraId="213A68D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39.5</w:t>
                </w:r>
              </w:p>
            </w:tc>
            <w:tc>
              <w:tcPr>
                <w:tcW w:w="630" w:type="dxa"/>
                <w:tcBorders>
                  <w:top w:val="nil"/>
                  <w:left w:val="nil"/>
                  <w:bottom w:val="nil"/>
                  <w:right w:val="nil"/>
                </w:tcBorders>
                <w:shd w:val="clear" w:color="auto" w:fill="CAE7F3" w:themeFill="accent1" w:themeFillTint="33"/>
                <w:noWrap/>
                <w:vAlign w:val="bottom"/>
                <w:hideMark/>
              </w:tcPr>
              <w:p w14:paraId="58D5480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181.0</w:t>
                </w:r>
              </w:p>
            </w:tc>
            <w:tc>
              <w:tcPr>
                <w:tcW w:w="630" w:type="dxa"/>
                <w:tcBorders>
                  <w:top w:val="nil"/>
                  <w:left w:val="nil"/>
                  <w:bottom w:val="nil"/>
                  <w:right w:val="nil"/>
                </w:tcBorders>
                <w:shd w:val="clear" w:color="auto" w:fill="CAE7F3" w:themeFill="accent1" w:themeFillTint="33"/>
                <w:noWrap/>
                <w:vAlign w:val="bottom"/>
                <w:hideMark/>
              </w:tcPr>
              <w:p w14:paraId="09388C9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25.7</w:t>
                </w:r>
              </w:p>
            </w:tc>
            <w:tc>
              <w:tcPr>
                <w:tcW w:w="631" w:type="dxa"/>
                <w:tcBorders>
                  <w:top w:val="nil"/>
                  <w:left w:val="nil"/>
                  <w:bottom w:val="nil"/>
                  <w:right w:val="nil"/>
                </w:tcBorders>
                <w:shd w:val="clear" w:color="auto" w:fill="CAE7F3" w:themeFill="accent1" w:themeFillTint="33"/>
                <w:noWrap/>
                <w:vAlign w:val="bottom"/>
                <w:hideMark/>
              </w:tcPr>
              <w:p w14:paraId="5976F74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69.7</w:t>
                </w:r>
              </w:p>
            </w:tc>
            <w:tc>
              <w:tcPr>
                <w:tcW w:w="630" w:type="dxa"/>
                <w:tcBorders>
                  <w:top w:val="nil"/>
                  <w:left w:val="nil"/>
                  <w:bottom w:val="nil"/>
                  <w:right w:val="nil"/>
                </w:tcBorders>
                <w:shd w:val="clear" w:color="auto" w:fill="CAE7F3" w:themeFill="accent1" w:themeFillTint="33"/>
                <w:noWrap/>
                <w:vAlign w:val="bottom"/>
                <w:hideMark/>
              </w:tcPr>
              <w:p w14:paraId="43F8C73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67.7</w:t>
                </w:r>
              </w:p>
            </w:tc>
            <w:tc>
              <w:tcPr>
                <w:tcW w:w="630" w:type="dxa"/>
                <w:tcBorders>
                  <w:top w:val="nil"/>
                  <w:left w:val="nil"/>
                  <w:bottom w:val="nil"/>
                  <w:right w:val="nil"/>
                </w:tcBorders>
                <w:shd w:val="clear" w:color="auto" w:fill="CAE7F3" w:themeFill="accent1" w:themeFillTint="33"/>
                <w:noWrap/>
                <w:vAlign w:val="bottom"/>
                <w:hideMark/>
              </w:tcPr>
              <w:p w14:paraId="39FE745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67.7</w:t>
                </w:r>
              </w:p>
            </w:tc>
            <w:tc>
              <w:tcPr>
                <w:tcW w:w="631" w:type="dxa"/>
                <w:tcBorders>
                  <w:top w:val="nil"/>
                  <w:left w:val="nil"/>
                  <w:bottom w:val="nil"/>
                  <w:right w:val="nil"/>
                </w:tcBorders>
                <w:shd w:val="clear" w:color="auto" w:fill="CAE7F3" w:themeFill="accent1" w:themeFillTint="33"/>
                <w:noWrap/>
                <w:vAlign w:val="bottom"/>
                <w:hideMark/>
              </w:tcPr>
              <w:p w14:paraId="71C15F9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w:t>
                </w:r>
              </w:p>
            </w:tc>
            <w:tc>
              <w:tcPr>
                <w:tcW w:w="630" w:type="dxa"/>
                <w:tcBorders>
                  <w:top w:val="nil"/>
                  <w:left w:val="nil"/>
                  <w:bottom w:val="nil"/>
                  <w:right w:val="nil"/>
                </w:tcBorders>
                <w:shd w:val="clear" w:color="auto" w:fill="CAE7F3" w:themeFill="accent1" w:themeFillTint="33"/>
                <w:noWrap/>
                <w:vAlign w:val="bottom"/>
                <w:hideMark/>
              </w:tcPr>
              <w:p w14:paraId="227D93C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79.2</w:t>
                </w:r>
              </w:p>
            </w:tc>
            <w:tc>
              <w:tcPr>
                <w:tcW w:w="630" w:type="dxa"/>
                <w:tcBorders>
                  <w:top w:val="nil"/>
                  <w:left w:val="nil"/>
                  <w:bottom w:val="nil"/>
                  <w:right w:val="nil"/>
                </w:tcBorders>
                <w:shd w:val="clear" w:color="auto" w:fill="CAE7F3" w:themeFill="accent1" w:themeFillTint="33"/>
                <w:noWrap/>
                <w:vAlign w:val="bottom"/>
                <w:hideMark/>
              </w:tcPr>
              <w:p w14:paraId="469B047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93.5</w:t>
                </w:r>
              </w:p>
            </w:tc>
            <w:tc>
              <w:tcPr>
                <w:tcW w:w="630" w:type="dxa"/>
                <w:tcBorders>
                  <w:top w:val="nil"/>
                  <w:left w:val="nil"/>
                  <w:bottom w:val="nil"/>
                  <w:right w:val="nil"/>
                </w:tcBorders>
                <w:shd w:val="clear" w:color="auto" w:fill="CAE7F3" w:themeFill="accent1" w:themeFillTint="33"/>
                <w:noWrap/>
                <w:vAlign w:val="bottom"/>
                <w:hideMark/>
              </w:tcPr>
              <w:p w14:paraId="44066A5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75.7</w:t>
                </w:r>
              </w:p>
            </w:tc>
            <w:tc>
              <w:tcPr>
                <w:tcW w:w="631" w:type="dxa"/>
                <w:tcBorders>
                  <w:top w:val="nil"/>
                  <w:left w:val="nil"/>
                  <w:bottom w:val="nil"/>
                  <w:right w:val="nil"/>
                </w:tcBorders>
                <w:shd w:val="clear" w:color="auto" w:fill="CAE7F3" w:themeFill="accent1" w:themeFillTint="33"/>
                <w:noWrap/>
                <w:vAlign w:val="bottom"/>
                <w:hideMark/>
              </w:tcPr>
              <w:p w14:paraId="452B9A0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35.3</w:t>
                </w:r>
              </w:p>
            </w:tc>
            <w:tc>
              <w:tcPr>
                <w:tcW w:w="630" w:type="dxa"/>
                <w:tcBorders>
                  <w:top w:val="nil"/>
                  <w:left w:val="nil"/>
                  <w:bottom w:val="nil"/>
                  <w:right w:val="nil"/>
                </w:tcBorders>
                <w:shd w:val="clear" w:color="auto" w:fill="CAE7F3" w:themeFill="accent1" w:themeFillTint="33"/>
                <w:noWrap/>
                <w:vAlign w:val="bottom"/>
                <w:hideMark/>
              </w:tcPr>
              <w:p w14:paraId="34BFC38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6.3</w:t>
                </w:r>
              </w:p>
            </w:tc>
            <w:tc>
              <w:tcPr>
                <w:tcW w:w="630" w:type="dxa"/>
                <w:tcBorders>
                  <w:top w:val="nil"/>
                  <w:left w:val="nil"/>
                  <w:bottom w:val="nil"/>
                  <w:right w:val="nil"/>
                </w:tcBorders>
                <w:shd w:val="clear" w:color="auto" w:fill="CAE7F3" w:themeFill="accent1" w:themeFillTint="33"/>
                <w:noWrap/>
                <w:vAlign w:val="bottom"/>
                <w:hideMark/>
              </w:tcPr>
              <w:p w14:paraId="3BBCB72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12.5</w:t>
                </w:r>
              </w:p>
            </w:tc>
            <w:tc>
              <w:tcPr>
                <w:tcW w:w="631" w:type="dxa"/>
                <w:tcBorders>
                  <w:top w:val="nil"/>
                  <w:left w:val="nil"/>
                  <w:bottom w:val="nil"/>
                  <w:right w:val="nil"/>
                </w:tcBorders>
                <w:shd w:val="clear" w:color="auto" w:fill="CAE7F3" w:themeFill="accent1" w:themeFillTint="33"/>
                <w:noWrap/>
                <w:vAlign w:val="bottom"/>
                <w:hideMark/>
              </w:tcPr>
              <w:p w14:paraId="51CA69D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47.3</w:t>
                </w:r>
              </w:p>
            </w:tc>
            <w:tc>
              <w:tcPr>
                <w:tcW w:w="630" w:type="dxa"/>
                <w:tcBorders>
                  <w:top w:val="nil"/>
                  <w:left w:val="nil"/>
                  <w:bottom w:val="nil"/>
                  <w:right w:val="nil"/>
                </w:tcBorders>
                <w:shd w:val="clear" w:color="auto" w:fill="CAE7F3" w:themeFill="accent1" w:themeFillTint="33"/>
                <w:noWrap/>
                <w:vAlign w:val="bottom"/>
                <w:hideMark/>
              </w:tcPr>
              <w:p w14:paraId="5D4A684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13.7</w:t>
                </w:r>
              </w:p>
            </w:tc>
            <w:tc>
              <w:tcPr>
                <w:tcW w:w="1229" w:type="dxa"/>
                <w:tcBorders>
                  <w:top w:val="nil"/>
                  <w:left w:val="nil"/>
                  <w:bottom w:val="nil"/>
                  <w:right w:val="nil"/>
                </w:tcBorders>
                <w:shd w:val="clear" w:color="auto" w:fill="CAE7F3" w:themeFill="accent1" w:themeFillTint="33"/>
                <w:noWrap/>
                <w:vAlign w:val="bottom"/>
                <w:hideMark/>
              </w:tcPr>
              <w:p w14:paraId="0A8FD84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55.0</w:t>
                </w:r>
              </w:p>
            </w:tc>
          </w:tr>
          <w:tr w:rsidR="00830FDC" w:rsidRPr="00F63634" w14:paraId="43A53EB8"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4E04F1A"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New England and North West</w:t>
                </w:r>
              </w:p>
            </w:tc>
            <w:tc>
              <w:tcPr>
                <w:tcW w:w="630" w:type="dxa"/>
                <w:tcBorders>
                  <w:top w:val="nil"/>
                  <w:left w:val="nil"/>
                  <w:bottom w:val="nil"/>
                  <w:right w:val="nil"/>
                </w:tcBorders>
                <w:shd w:val="clear" w:color="auto" w:fill="CAE7F3" w:themeFill="accent1" w:themeFillTint="33"/>
                <w:noWrap/>
                <w:vAlign w:val="bottom"/>
                <w:hideMark/>
              </w:tcPr>
              <w:p w14:paraId="2C47449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510.7</w:t>
                </w:r>
              </w:p>
            </w:tc>
            <w:tc>
              <w:tcPr>
                <w:tcW w:w="630" w:type="dxa"/>
                <w:tcBorders>
                  <w:top w:val="nil"/>
                  <w:left w:val="nil"/>
                  <w:bottom w:val="nil"/>
                  <w:right w:val="nil"/>
                </w:tcBorders>
                <w:shd w:val="clear" w:color="auto" w:fill="CAE7F3" w:themeFill="accent1" w:themeFillTint="33"/>
                <w:noWrap/>
                <w:vAlign w:val="bottom"/>
                <w:hideMark/>
              </w:tcPr>
              <w:p w14:paraId="451EBB1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8.5</w:t>
                </w:r>
              </w:p>
            </w:tc>
            <w:tc>
              <w:tcPr>
                <w:tcW w:w="630" w:type="dxa"/>
                <w:tcBorders>
                  <w:top w:val="nil"/>
                  <w:left w:val="nil"/>
                  <w:bottom w:val="nil"/>
                  <w:right w:val="nil"/>
                </w:tcBorders>
                <w:shd w:val="clear" w:color="auto" w:fill="CAE7F3" w:themeFill="accent1" w:themeFillTint="33"/>
                <w:noWrap/>
                <w:vAlign w:val="bottom"/>
                <w:hideMark/>
              </w:tcPr>
              <w:p w14:paraId="46FBDBE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47.5</w:t>
                </w:r>
              </w:p>
            </w:tc>
            <w:tc>
              <w:tcPr>
                <w:tcW w:w="631" w:type="dxa"/>
                <w:tcBorders>
                  <w:top w:val="nil"/>
                  <w:left w:val="nil"/>
                  <w:bottom w:val="nil"/>
                  <w:right w:val="nil"/>
                </w:tcBorders>
                <w:shd w:val="clear" w:color="auto" w:fill="CAE7F3" w:themeFill="accent1" w:themeFillTint="33"/>
                <w:noWrap/>
                <w:vAlign w:val="bottom"/>
                <w:hideMark/>
              </w:tcPr>
              <w:p w14:paraId="472F635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5.5</w:t>
                </w:r>
              </w:p>
            </w:tc>
            <w:tc>
              <w:tcPr>
                <w:tcW w:w="630" w:type="dxa"/>
                <w:tcBorders>
                  <w:top w:val="nil"/>
                  <w:left w:val="nil"/>
                  <w:bottom w:val="nil"/>
                  <w:right w:val="nil"/>
                </w:tcBorders>
                <w:shd w:val="clear" w:color="auto" w:fill="CAE7F3" w:themeFill="accent1" w:themeFillTint="33"/>
                <w:noWrap/>
                <w:vAlign w:val="bottom"/>
                <w:hideMark/>
              </w:tcPr>
              <w:p w14:paraId="0002CC3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271.5</w:t>
                </w:r>
              </w:p>
            </w:tc>
            <w:tc>
              <w:tcPr>
                <w:tcW w:w="630" w:type="dxa"/>
                <w:tcBorders>
                  <w:top w:val="nil"/>
                  <w:left w:val="nil"/>
                  <w:bottom w:val="nil"/>
                  <w:right w:val="nil"/>
                </w:tcBorders>
                <w:shd w:val="clear" w:color="auto" w:fill="CAE7F3" w:themeFill="accent1" w:themeFillTint="33"/>
                <w:noWrap/>
                <w:vAlign w:val="bottom"/>
                <w:hideMark/>
              </w:tcPr>
              <w:p w14:paraId="0660F1A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42.3</w:t>
                </w:r>
              </w:p>
            </w:tc>
            <w:tc>
              <w:tcPr>
                <w:tcW w:w="631" w:type="dxa"/>
                <w:tcBorders>
                  <w:top w:val="nil"/>
                  <w:left w:val="nil"/>
                  <w:bottom w:val="nil"/>
                  <w:right w:val="nil"/>
                </w:tcBorders>
                <w:shd w:val="clear" w:color="auto" w:fill="CAE7F3" w:themeFill="accent1" w:themeFillTint="33"/>
                <w:noWrap/>
                <w:vAlign w:val="bottom"/>
                <w:hideMark/>
              </w:tcPr>
              <w:p w14:paraId="5023A32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113.0</w:t>
                </w:r>
              </w:p>
            </w:tc>
            <w:tc>
              <w:tcPr>
                <w:tcW w:w="630" w:type="dxa"/>
                <w:tcBorders>
                  <w:top w:val="nil"/>
                  <w:left w:val="nil"/>
                  <w:bottom w:val="nil"/>
                  <w:right w:val="nil"/>
                </w:tcBorders>
                <w:shd w:val="clear" w:color="auto" w:fill="CAE7F3" w:themeFill="accent1" w:themeFillTint="33"/>
                <w:noWrap/>
                <w:vAlign w:val="bottom"/>
                <w:hideMark/>
              </w:tcPr>
              <w:p w14:paraId="0237172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93.5</w:t>
                </w:r>
              </w:p>
            </w:tc>
            <w:tc>
              <w:tcPr>
                <w:tcW w:w="630" w:type="dxa"/>
                <w:tcBorders>
                  <w:top w:val="nil"/>
                  <w:left w:val="nil"/>
                  <w:bottom w:val="nil"/>
                  <w:right w:val="nil"/>
                </w:tcBorders>
                <w:shd w:val="clear" w:color="auto" w:fill="CAE7F3" w:themeFill="accent1" w:themeFillTint="33"/>
                <w:noWrap/>
                <w:vAlign w:val="bottom"/>
                <w:hideMark/>
              </w:tcPr>
              <w:p w14:paraId="167F5FC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105.3</w:t>
                </w:r>
              </w:p>
            </w:tc>
            <w:tc>
              <w:tcPr>
                <w:tcW w:w="631" w:type="dxa"/>
                <w:tcBorders>
                  <w:top w:val="nil"/>
                  <w:left w:val="nil"/>
                  <w:bottom w:val="nil"/>
                  <w:right w:val="nil"/>
                </w:tcBorders>
                <w:shd w:val="clear" w:color="auto" w:fill="CAE7F3" w:themeFill="accent1" w:themeFillTint="33"/>
                <w:noWrap/>
                <w:vAlign w:val="bottom"/>
                <w:hideMark/>
              </w:tcPr>
              <w:p w14:paraId="2F8A026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12.3</w:t>
                </w:r>
              </w:p>
            </w:tc>
            <w:tc>
              <w:tcPr>
                <w:tcW w:w="630" w:type="dxa"/>
                <w:tcBorders>
                  <w:top w:val="nil"/>
                  <w:left w:val="nil"/>
                  <w:bottom w:val="nil"/>
                  <w:right w:val="nil"/>
                </w:tcBorders>
                <w:shd w:val="clear" w:color="auto" w:fill="CAE7F3" w:themeFill="accent1" w:themeFillTint="33"/>
                <w:noWrap/>
                <w:vAlign w:val="bottom"/>
                <w:hideMark/>
              </w:tcPr>
              <w:p w14:paraId="5C8B013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100.0</w:t>
                </w:r>
              </w:p>
            </w:tc>
            <w:tc>
              <w:tcPr>
                <w:tcW w:w="630" w:type="dxa"/>
                <w:tcBorders>
                  <w:top w:val="nil"/>
                  <w:left w:val="nil"/>
                  <w:bottom w:val="nil"/>
                  <w:right w:val="nil"/>
                </w:tcBorders>
                <w:shd w:val="clear" w:color="auto" w:fill="CAE7F3" w:themeFill="accent1" w:themeFillTint="33"/>
                <w:noWrap/>
                <w:vAlign w:val="bottom"/>
                <w:hideMark/>
              </w:tcPr>
              <w:p w14:paraId="5BBB302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125.3</w:t>
                </w:r>
              </w:p>
            </w:tc>
            <w:tc>
              <w:tcPr>
                <w:tcW w:w="630" w:type="dxa"/>
                <w:tcBorders>
                  <w:top w:val="nil"/>
                  <w:left w:val="nil"/>
                  <w:bottom w:val="nil"/>
                  <w:right w:val="nil"/>
                </w:tcBorders>
                <w:shd w:val="clear" w:color="auto" w:fill="CAE7F3" w:themeFill="accent1" w:themeFillTint="33"/>
                <w:noWrap/>
                <w:vAlign w:val="bottom"/>
                <w:hideMark/>
              </w:tcPr>
              <w:p w14:paraId="3732AAA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117.7</w:t>
                </w:r>
              </w:p>
            </w:tc>
            <w:tc>
              <w:tcPr>
                <w:tcW w:w="631" w:type="dxa"/>
                <w:tcBorders>
                  <w:top w:val="nil"/>
                  <w:left w:val="nil"/>
                  <w:bottom w:val="nil"/>
                  <w:right w:val="nil"/>
                </w:tcBorders>
                <w:shd w:val="clear" w:color="auto" w:fill="CAE7F3" w:themeFill="accent1" w:themeFillTint="33"/>
                <w:noWrap/>
                <w:vAlign w:val="bottom"/>
                <w:hideMark/>
              </w:tcPr>
              <w:p w14:paraId="2DC9666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57.8</w:t>
                </w:r>
              </w:p>
            </w:tc>
            <w:tc>
              <w:tcPr>
                <w:tcW w:w="630" w:type="dxa"/>
                <w:tcBorders>
                  <w:top w:val="nil"/>
                  <w:left w:val="nil"/>
                  <w:bottom w:val="nil"/>
                  <w:right w:val="nil"/>
                </w:tcBorders>
                <w:shd w:val="clear" w:color="auto" w:fill="CAE7F3" w:themeFill="accent1" w:themeFillTint="33"/>
                <w:noWrap/>
                <w:vAlign w:val="bottom"/>
                <w:hideMark/>
              </w:tcPr>
              <w:p w14:paraId="226ACE9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9.2</w:t>
                </w:r>
              </w:p>
            </w:tc>
            <w:tc>
              <w:tcPr>
                <w:tcW w:w="630" w:type="dxa"/>
                <w:tcBorders>
                  <w:top w:val="nil"/>
                  <w:left w:val="nil"/>
                  <w:bottom w:val="nil"/>
                  <w:right w:val="nil"/>
                </w:tcBorders>
                <w:shd w:val="clear" w:color="auto" w:fill="CAE7F3" w:themeFill="accent1" w:themeFillTint="33"/>
                <w:noWrap/>
                <w:vAlign w:val="bottom"/>
                <w:hideMark/>
              </w:tcPr>
              <w:p w14:paraId="768562A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18.5</w:t>
                </w:r>
              </w:p>
            </w:tc>
            <w:tc>
              <w:tcPr>
                <w:tcW w:w="631" w:type="dxa"/>
                <w:tcBorders>
                  <w:top w:val="nil"/>
                  <w:left w:val="nil"/>
                  <w:bottom w:val="nil"/>
                  <w:right w:val="nil"/>
                </w:tcBorders>
                <w:shd w:val="clear" w:color="auto" w:fill="CAE7F3" w:themeFill="accent1" w:themeFillTint="33"/>
                <w:noWrap/>
                <w:vAlign w:val="bottom"/>
                <w:hideMark/>
              </w:tcPr>
              <w:p w14:paraId="7625B58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71.3</w:t>
                </w:r>
              </w:p>
            </w:tc>
            <w:tc>
              <w:tcPr>
                <w:tcW w:w="630" w:type="dxa"/>
                <w:tcBorders>
                  <w:top w:val="nil"/>
                  <w:left w:val="nil"/>
                  <w:bottom w:val="nil"/>
                  <w:right w:val="nil"/>
                </w:tcBorders>
                <w:shd w:val="clear" w:color="auto" w:fill="CAE7F3" w:themeFill="accent1" w:themeFillTint="33"/>
                <w:noWrap/>
                <w:vAlign w:val="bottom"/>
                <w:hideMark/>
              </w:tcPr>
              <w:p w14:paraId="1FB1930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25.7</w:t>
                </w:r>
              </w:p>
            </w:tc>
            <w:tc>
              <w:tcPr>
                <w:tcW w:w="1229" w:type="dxa"/>
                <w:tcBorders>
                  <w:top w:val="nil"/>
                  <w:left w:val="nil"/>
                  <w:bottom w:val="nil"/>
                  <w:right w:val="nil"/>
                </w:tcBorders>
                <w:shd w:val="clear" w:color="auto" w:fill="CAE7F3" w:themeFill="accent1" w:themeFillTint="33"/>
                <w:noWrap/>
                <w:vAlign w:val="bottom"/>
                <w:hideMark/>
              </w:tcPr>
              <w:p w14:paraId="7A63043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90.8</w:t>
                </w:r>
              </w:p>
            </w:tc>
          </w:tr>
          <w:tr w:rsidR="00830FDC" w:rsidRPr="00F63634" w14:paraId="41687223"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563EE30"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Newcastle and Lake Macquarie</w:t>
                </w:r>
              </w:p>
            </w:tc>
            <w:tc>
              <w:tcPr>
                <w:tcW w:w="630" w:type="dxa"/>
                <w:tcBorders>
                  <w:top w:val="nil"/>
                  <w:left w:val="nil"/>
                  <w:bottom w:val="nil"/>
                  <w:right w:val="nil"/>
                </w:tcBorders>
                <w:shd w:val="clear" w:color="auto" w:fill="CAE7F3" w:themeFill="accent1" w:themeFillTint="33"/>
                <w:noWrap/>
                <w:vAlign w:val="bottom"/>
                <w:hideMark/>
              </w:tcPr>
              <w:p w14:paraId="55B57D0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38.7</w:t>
                </w:r>
              </w:p>
            </w:tc>
            <w:tc>
              <w:tcPr>
                <w:tcW w:w="630" w:type="dxa"/>
                <w:tcBorders>
                  <w:top w:val="nil"/>
                  <w:left w:val="nil"/>
                  <w:bottom w:val="nil"/>
                  <w:right w:val="nil"/>
                </w:tcBorders>
                <w:shd w:val="clear" w:color="auto" w:fill="CAE7F3" w:themeFill="accent1" w:themeFillTint="33"/>
                <w:noWrap/>
                <w:vAlign w:val="bottom"/>
                <w:hideMark/>
              </w:tcPr>
              <w:p w14:paraId="2E8979D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14.3</w:t>
                </w:r>
              </w:p>
            </w:tc>
            <w:tc>
              <w:tcPr>
                <w:tcW w:w="630" w:type="dxa"/>
                <w:tcBorders>
                  <w:top w:val="nil"/>
                  <w:left w:val="nil"/>
                  <w:bottom w:val="nil"/>
                  <w:right w:val="nil"/>
                </w:tcBorders>
                <w:shd w:val="clear" w:color="auto" w:fill="CAE7F3" w:themeFill="accent1" w:themeFillTint="33"/>
                <w:noWrap/>
                <w:vAlign w:val="bottom"/>
                <w:hideMark/>
              </w:tcPr>
              <w:p w14:paraId="6B13E4D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90.7</w:t>
                </w:r>
              </w:p>
            </w:tc>
            <w:tc>
              <w:tcPr>
                <w:tcW w:w="631" w:type="dxa"/>
                <w:tcBorders>
                  <w:top w:val="nil"/>
                  <w:left w:val="nil"/>
                  <w:bottom w:val="nil"/>
                  <w:right w:val="nil"/>
                </w:tcBorders>
                <w:shd w:val="clear" w:color="auto" w:fill="CAE7F3" w:themeFill="accent1" w:themeFillTint="33"/>
                <w:noWrap/>
                <w:vAlign w:val="bottom"/>
                <w:hideMark/>
              </w:tcPr>
              <w:p w14:paraId="753F5E6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12.2</w:t>
                </w:r>
              </w:p>
            </w:tc>
            <w:tc>
              <w:tcPr>
                <w:tcW w:w="630" w:type="dxa"/>
                <w:tcBorders>
                  <w:top w:val="nil"/>
                  <w:left w:val="nil"/>
                  <w:bottom w:val="nil"/>
                  <w:right w:val="nil"/>
                </w:tcBorders>
                <w:shd w:val="clear" w:color="auto" w:fill="CAE7F3" w:themeFill="accent1" w:themeFillTint="33"/>
                <w:noWrap/>
                <w:vAlign w:val="bottom"/>
                <w:hideMark/>
              </w:tcPr>
              <w:p w14:paraId="1B1676B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533.8</w:t>
                </w:r>
              </w:p>
            </w:tc>
            <w:tc>
              <w:tcPr>
                <w:tcW w:w="630" w:type="dxa"/>
                <w:tcBorders>
                  <w:top w:val="nil"/>
                  <w:left w:val="nil"/>
                  <w:bottom w:val="nil"/>
                  <w:right w:val="nil"/>
                </w:tcBorders>
                <w:shd w:val="clear" w:color="auto" w:fill="CAE7F3" w:themeFill="accent1" w:themeFillTint="33"/>
                <w:noWrap/>
                <w:vAlign w:val="bottom"/>
                <w:hideMark/>
              </w:tcPr>
              <w:p w14:paraId="47D4C20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79.8</w:t>
                </w:r>
              </w:p>
            </w:tc>
            <w:tc>
              <w:tcPr>
                <w:tcW w:w="631" w:type="dxa"/>
                <w:tcBorders>
                  <w:top w:val="nil"/>
                  <w:left w:val="nil"/>
                  <w:bottom w:val="nil"/>
                  <w:right w:val="nil"/>
                </w:tcBorders>
                <w:shd w:val="clear" w:color="auto" w:fill="CAE7F3" w:themeFill="accent1" w:themeFillTint="33"/>
                <w:noWrap/>
                <w:vAlign w:val="bottom"/>
                <w:hideMark/>
              </w:tcPr>
              <w:p w14:paraId="4823D92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212.2</w:t>
                </w:r>
              </w:p>
            </w:tc>
            <w:tc>
              <w:tcPr>
                <w:tcW w:w="630" w:type="dxa"/>
                <w:tcBorders>
                  <w:top w:val="nil"/>
                  <w:left w:val="nil"/>
                  <w:bottom w:val="nil"/>
                  <w:right w:val="nil"/>
                </w:tcBorders>
                <w:shd w:val="clear" w:color="auto" w:fill="CAE7F3" w:themeFill="accent1" w:themeFillTint="33"/>
                <w:noWrap/>
                <w:vAlign w:val="bottom"/>
                <w:hideMark/>
              </w:tcPr>
              <w:p w14:paraId="224DEAB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165.5</w:t>
                </w:r>
              </w:p>
            </w:tc>
            <w:tc>
              <w:tcPr>
                <w:tcW w:w="630" w:type="dxa"/>
                <w:tcBorders>
                  <w:top w:val="nil"/>
                  <w:left w:val="nil"/>
                  <w:bottom w:val="nil"/>
                  <w:right w:val="nil"/>
                </w:tcBorders>
                <w:shd w:val="clear" w:color="auto" w:fill="CAE7F3" w:themeFill="accent1" w:themeFillTint="33"/>
                <w:noWrap/>
                <w:vAlign w:val="bottom"/>
                <w:hideMark/>
              </w:tcPr>
              <w:p w14:paraId="2231F72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165.0</w:t>
                </w:r>
              </w:p>
            </w:tc>
            <w:tc>
              <w:tcPr>
                <w:tcW w:w="631" w:type="dxa"/>
                <w:tcBorders>
                  <w:top w:val="nil"/>
                  <w:left w:val="nil"/>
                  <w:bottom w:val="nil"/>
                  <w:right w:val="nil"/>
                </w:tcBorders>
                <w:shd w:val="clear" w:color="auto" w:fill="CAE7F3" w:themeFill="accent1" w:themeFillTint="33"/>
                <w:noWrap/>
                <w:vAlign w:val="bottom"/>
                <w:hideMark/>
              </w:tcPr>
              <w:p w14:paraId="71E42F8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25.3</w:t>
                </w:r>
              </w:p>
            </w:tc>
            <w:tc>
              <w:tcPr>
                <w:tcW w:w="630" w:type="dxa"/>
                <w:tcBorders>
                  <w:top w:val="nil"/>
                  <w:left w:val="nil"/>
                  <w:bottom w:val="nil"/>
                  <w:right w:val="nil"/>
                </w:tcBorders>
                <w:shd w:val="clear" w:color="auto" w:fill="CAE7F3" w:themeFill="accent1" w:themeFillTint="33"/>
                <w:noWrap/>
                <w:vAlign w:val="bottom"/>
                <w:hideMark/>
              </w:tcPr>
              <w:p w14:paraId="59FFE7A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327.5</w:t>
                </w:r>
              </w:p>
            </w:tc>
            <w:tc>
              <w:tcPr>
                <w:tcW w:w="630" w:type="dxa"/>
                <w:tcBorders>
                  <w:top w:val="nil"/>
                  <w:left w:val="nil"/>
                  <w:bottom w:val="nil"/>
                  <w:right w:val="nil"/>
                </w:tcBorders>
                <w:shd w:val="clear" w:color="auto" w:fill="CAE7F3" w:themeFill="accent1" w:themeFillTint="33"/>
                <w:noWrap/>
                <w:vAlign w:val="bottom"/>
                <w:hideMark/>
              </w:tcPr>
              <w:p w14:paraId="496769C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242.5</w:t>
                </w:r>
              </w:p>
            </w:tc>
            <w:tc>
              <w:tcPr>
                <w:tcW w:w="630" w:type="dxa"/>
                <w:tcBorders>
                  <w:top w:val="nil"/>
                  <w:left w:val="nil"/>
                  <w:bottom w:val="nil"/>
                  <w:right w:val="nil"/>
                </w:tcBorders>
                <w:shd w:val="clear" w:color="auto" w:fill="CAE7F3" w:themeFill="accent1" w:themeFillTint="33"/>
                <w:noWrap/>
                <w:vAlign w:val="bottom"/>
                <w:hideMark/>
              </w:tcPr>
              <w:p w14:paraId="1F50FAC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403.7</w:t>
                </w:r>
              </w:p>
            </w:tc>
            <w:tc>
              <w:tcPr>
                <w:tcW w:w="631" w:type="dxa"/>
                <w:tcBorders>
                  <w:top w:val="nil"/>
                  <w:left w:val="nil"/>
                  <w:bottom w:val="nil"/>
                  <w:right w:val="nil"/>
                </w:tcBorders>
                <w:shd w:val="clear" w:color="auto" w:fill="CAE7F3" w:themeFill="accent1" w:themeFillTint="33"/>
                <w:noWrap/>
                <w:vAlign w:val="bottom"/>
                <w:hideMark/>
              </w:tcPr>
              <w:p w14:paraId="00B0E90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149.2</w:t>
                </w:r>
              </w:p>
            </w:tc>
            <w:tc>
              <w:tcPr>
                <w:tcW w:w="630" w:type="dxa"/>
                <w:tcBorders>
                  <w:top w:val="nil"/>
                  <w:left w:val="nil"/>
                  <w:bottom w:val="nil"/>
                  <w:right w:val="nil"/>
                </w:tcBorders>
                <w:shd w:val="clear" w:color="auto" w:fill="CAE7F3" w:themeFill="accent1" w:themeFillTint="33"/>
                <w:noWrap/>
                <w:vAlign w:val="bottom"/>
                <w:hideMark/>
              </w:tcPr>
              <w:p w14:paraId="1DE8716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14.7</w:t>
                </w:r>
              </w:p>
            </w:tc>
            <w:tc>
              <w:tcPr>
                <w:tcW w:w="630" w:type="dxa"/>
                <w:tcBorders>
                  <w:top w:val="nil"/>
                  <w:left w:val="nil"/>
                  <w:bottom w:val="nil"/>
                  <w:right w:val="nil"/>
                </w:tcBorders>
                <w:shd w:val="clear" w:color="auto" w:fill="CAE7F3" w:themeFill="accent1" w:themeFillTint="33"/>
                <w:noWrap/>
                <w:vAlign w:val="bottom"/>
                <w:hideMark/>
              </w:tcPr>
              <w:p w14:paraId="79528D2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51.7</w:t>
                </w:r>
              </w:p>
            </w:tc>
            <w:tc>
              <w:tcPr>
                <w:tcW w:w="631" w:type="dxa"/>
                <w:tcBorders>
                  <w:top w:val="nil"/>
                  <w:left w:val="nil"/>
                  <w:bottom w:val="nil"/>
                  <w:right w:val="nil"/>
                </w:tcBorders>
                <w:shd w:val="clear" w:color="auto" w:fill="CAE7F3" w:themeFill="accent1" w:themeFillTint="33"/>
                <w:noWrap/>
                <w:vAlign w:val="bottom"/>
                <w:hideMark/>
              </w:tcPr>
              <w:p w14:paraId="6EFDDA4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201.8</w:t>
                </w:r>
              </w:p>
            </w:tc>
            <w:tc>
              <w:tcPr>
                <w:tcW w:w="630" w:type="dxa"/>
                <w:tcBorders>
                  <w:top w:val="nil"/>
                  <w:left w:val="nil"/>
                  <w:bottom w:val="nil"/>
                  <w:right w:val="nil"/>
                </w:tcBorders>
                <w:shd w:val="clear" w:color="auto" w:fill="CAE7F3" w:themeFill="accent1" w:themeFillTint="33"/>
                <w:noWrap/>
                <w:vAlign w:val="bottom"/>
                <w:hideMark/>
              </w:tcPr>
              <w:p w14:paraId="1BAB0A5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54.0</w:t>
                </w:r>
              </w:p>
            </w:tc>
            <w:tc>
              <w:tcPr>
                <w:tcW w:w="1229" w:type="dxa"/>
                <w:tcBorders>
                  <w:top w:val="nil"/>
                  <w:left w:val="nil"/>
                  <w:bottom w:val="nil"/>
                  <w:right w:val="nil"/>
                </w:tcBorders>
                <w:shd w:val="clear" w:color="auto" w:fill="CAE7F3" w:themeFill="accent1" w:themeFillTint="33"/>
                <w:noWrap/>
                <w:vAlign w:val="bottom"/>
                <w:hideMark/>
              </w:tcPr>
              <w:p w14:paraId="0BB888E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149.2</w:t>
                </w:r>
              </w:p>
            </w:tc>
          </w:tr>
          <w:tr w:rsidR="00830FDC" w:rsidRPr="00F63634" w14:paraId="37C58166"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5EEF845A"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Richmond</w:t>
                </w:r>
                <w:r>
                  <w:rPr>
                    <w:color w:val="595A5B" w:themeColor="text1"/>
                    <w:sz w:val="12"/>
                    <w:szCs w:val="16"/>
                    <w:lang w:eastAsia="en-AU"/>
                  </w:rPr>
                  <w:t xml:space="preserve"> —</w:t>
                </w:r>
                <w:r w:rsidRPr="009820E8">
                  <w:rPr>
                    <w:color w:val="595A5B" w:themeColor="text1"/>
                    <w:sz w:val="12"/>
                    <w:szCs w:val="16"/>
                    <w:lang w:eastAsia="en-AU"/>
                  </w:rPr>
                  <w:t xml:space="preserve"> </w:t>
                </w:r>
                <w:r w:rsidRPr="00792A3F">
                  <w:rPr>
                    <w:color w:val="595A5B" w:themeColor="text1"/>
                    <w:sz w:val="12"/>
                    <w:szCs w:val="16"/>
                    <w:lang w:eastAsia="en-AU"/>
                  </w:rPr>
                  <w:t>Tweed</w:t>
                </w:r>
              </w:p>
            </w:tc>
            <w:tc>
              <w:tcPr>
                <w:tcW w:w="630" w:type="dxa"/>
                <w:tcBorders>
                  <w:top w:val="nil"/>
                  <w:left w:val="nil"/>
                  <w:bottom w:val="nil"/>
                  <w:right w:val="nil"/>
                </w:tcBorders>
                <w:shd w:val="clear" w:color="auto" w:fill="CAE7F3" w:themeFill="accent1" w:themeFillTint="33"/>
                <w:noWrap/>
                <w:vAlign w:val="bottom"/>
                <w:hideMark/>
              </w:tcPr>
              <w:p w14:paraId="25B5502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251.3</w:t>
                </w:r>
              </w:p>
            </w:tc>
            <w:tc>
              <w:tcPr>
                <w:tcW w:w="630" w:type="dxa"/>
                <w:tcBorders>
                  <w:top w:val="nil"/>
                  <w:left w:val="nil"/>
                  <w:bottom w:val="nil"/>
                  <w:right w:val="nil"/>
                </w:tcBorders>
                <w:shd w:val="clear" w:color="auto" w:fill="CAE7F3" w:themeFill="accent1" w:themeFillTint="33"/>
                <w:noWrap/>
                <w:vAlign w:val="bottom"/>
                <w:hideMark/>
              </w:tcPr>
              <w:p w14:paraId="37D0D1B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7.8</w:t>
                </w:r>
              </w:p>
            </w:tc>
            <w:tc>
              <w:tcPr>
                <w:tcW w:w="630" w:type="dxa"/>
                <w:tcBorders>
                  <w:top w:val="nil"/>
                  <w:left w:val="nil"/>
                  <w:bottom w:val="nil"/>
                  <w:right w:val="nil"/>
                </w:tcBorders>
                <w:shd w:val="clear" w:color="auto" w:fill="CAE7F3" w:themeFill="accent1" w:themeFillTint="33"/>
                <w:noWrap/>
                <w:vAlign w:val="bottom"/>
                <w:hideMark/>
              </w:tcPr>
              <w:p w14:paraId="610B3D3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91.3</w:t>
                </w:r>
              </w:p>
            </w:tc>
            <w:tc>
              <w:tcPr>
                <w:tcW w:w="631" w:type="dxa"/>
                <w:tcBorders>
                  <w:top w:val="nil"/>
                  <w:left w:val="nil"/>
                  <w:bottom w:val="nil"/>
                  <w:right w:val="nil"/>
                </w:tcBorders>
                <w:shd w:val="clear" w:color="auto" w:fill="CAE7F3" w:themeFill="accent1" w:themeFillTint="33"/>
                <w:noWrap/>
                <w:vAlign w:val="bottom"/>
                <w:hideMark/>
              </w:tcPr>
              <w:p w14:paraId="0739377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5.8</w:t>
                </w:r>
              </w:p>
            </w:tc>
            <w:tc>
              <w:tcPr>
                <w:tcW w:w="630" w:type="dxa"/>
                <w:tcBorders>
                  <w:top w:val="nil"/>
                  <w:left w:val="nil"/>
                  <w:bottom w:val="nil"/>
                  <w:right w:val="nil"/>
                </w:tcBorders>
                <w:shd w:val="clear" w:color="auto" w:fill="CAE7F3" w:themeFill="accent1" w:themeFillTint="33"/>
                <w:noWrap/>
                <w:vAlign w:val="bottom"/>
                <w:hideMark/>
              </w:tcPr>
              <w:p w14:paraId="3912603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440.3</w:t>
                </w:r>
              </w:p>
            </w:tc>
            <w:tc>
              <w:tcPr>
                <w:tcW w:w="630" w:type="dxa"/>
                <w:tcBorders>
                  <w:top w:val="nil"/>
                  <w:left w:val="nil"/>
                  <w:bottom w:val="nil"/>
                  <w:right w:val="nil"/>
                </w:tcBorders>
                <w:shd w:val="clear" w:color="auto" w:fill="CAE7F3" w:themeFill="accent1" w:themeFillTint="33"/>
                <w:noWrap/>
                <w:vAlign w:val="bottom"/>
                <w:hideMark/>
              </w:tcPr>
              <w:p w14:paraId="11022BD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70.7</w:t>
                </w:r>
              </w:p>
            </w:tc>
            <w:tc>
              <w:tcPr>
                <w:tcW w:w="631" w:type="dxa"/>
                <w:tcBorders>
                  <w:top w:val="nil"/>
                  <w:left w:val="nil"/>
                  <w:bottom w:val="nil"/>
                  <w:right w:val="nil"/>
                </w:tcBorders>
                <w:shd w:val="clear" w:color="auto" w:fill="CAE7F3" w:themeFill="accent1" w:themeFillTint="33"/>
                <w:noWrap/>
                <w:vAlign w:val="bottom"/>
                <w:hideMark/>
              </w:tcPr>
              <w:p w14:paraId="1B57EB3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185.2</w:t>
                </w:r>
              </w:p>
            </w:tc>
            <w:tc>
              <w:tcPr>
                <w:tcW w:w="630" w:type="dxa"/>
                <w:tcBorders>
                  <w:top w:val="nil"/>
                  <w:left w:val="nil"/>
                  <w:bottom w:val="nil"/>
                  <w:right w:val="nil"/>
                </w:tcBorders>
                <w:shd w:val="clear" w:color="auto" w:fill="CAE7F3" w:themeFill="accent1" w:themeFillTint="33"/>
                <w:noWrap/>
                <w:vAlign w:val="bottom"/>
                <w:hideMark/>
              </w:tcPr>
              <w:p w14:paraId="16E73AE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149.2</w:t>
                </w:r>
              </w:p>
            </w:tc>
            <w:tc>
              <w:tcPr>
                <w:tcW w:w="630" w:type="dxa"/>
                <w:tcBorders>
                  <w:top w:val="nil"/>
                  <w:left w:val="nil"/>
                  <w:bottom w:val="nil"/>
                  <w:right w:val="nil"/>
                </w:tcBorders>
                <w:shd w:val="clear" w:color="auto" w:fill="CAE7F3" w:themeFill="accent1" w:themeFillTint="33"/>
                <w:noWrap/>
                <w:vAlign w:val="bottom"/>
                <w:hideMark/>
              </w:tcPr>
              <w:p w14:paraId="3FCA8F6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115.5</w:t>
                </w:r>
              </w:p>
            </w:tc>
            <w:tc>
              <w:tcPr>
                <w:tcW w:w="631" w:type="dxa"/>
                <w:tcBorders>
                  <w:top w:val="nil"/>
                  <w:left w:val="nil"/>
                  <w:bottom w:val="nil"/>
                  <w:right w:val="nil"/>
                </w:tcBorders>
                <w:shd w:val="clear" w:color="auto" w:fill="CAE7F3" w:themeFill="accent1" w:themeFillTint="33"/>
                <w:noWrap/>
                <w:vAlign w:val="bottom"/>
                <w:hideMark/>
              </w:tcPr>
              <w:p w14:paraId="58ECF93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32.7</w:t>
                </w:r>
              </w:p>
            </w:tc>
            <w:tc>
              <w:tcPr>
                <w:tcW w:w="630" w:type="dxa"/>
                <w:tcBorders>
                  <w:top w:val="nil"/>
                  <w:left w:val="nil"/>
                  <w:bottom w:val="nil"/>
                  <w:right w:val="nil"/>
                </w:tcBorders>
                <w:shd w:val="clear" w:color="auto" w:fill="CAE7F3" w:themeFill="accent1" w:themeFillTint="33"/>
                <w:noWrap/>
                <w:vAlign w:val="bottom"/>
                <w:hideMark/>
              </w:tcPr>
              <w:p w14:paraId="1621FB7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148.3</w:t>
                </w:r>
              </w:p>
            </w:tc>
            <w:tc>
              <w:tcPr>
                <w:tcW w:w="630" w:type="dxa"/>
                <w:tcBorders>
                  <w:top w:val="nil"/>
                  <w:left w:val="nil"/>
                  <w:bottom w:val="nil"/>
                  <w:right w:val="nil"/>
                </w:tcBorders>
                <w:shd w:val="clear" w:color="auto" w:fill="CAE7F3" w:themeFill="accent1" w:themeFillTint="33"/>
                <w:noWrap/>
                <w:vAlign w:val="bottom"/>
                <w:hideMark/>
              </w:tcPr>
              <w:p w14:paraId="30B9C6F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181.5</w:t>
                </w:r>
              </w:p>
            </w:tc>
            <w:tc>
              <w:tcPr>
                <w:tcW w:w="630" w:type="dxa"/>
                <w:tcBorders>
                  <w:top w:val="nil"/>
                  <w:left w:val="nil"/>
                  <w:bottom w:val="nil"/>
                  <w:right w:val="nil"/>
                </w:tcBorders>
                <w:shd w:val="clear" w:color="auto" w:fill="CAE7F3" w:themeFill="accent1" w:themeFillTint="33"/>
                <w:noWrap/>
                <w:vAlign w:val="bottom"/>
                <w:hideMark/>
              </w:tcPr>
              <w:p w14:paraId="6212184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253.8</w:t>
                </w:r>
              </w:p>
            </w:tc>
            <w:tc>
              <w:tcPr>
                <w:tcW w:w="631" w:type="dxa"/>
                <w:tcBorders>
                  <w:top w:val="nil"/>
                  <w:left w:val="nil"/>
                  <w:bottom w:val="nil"/>
                  <w:right w:val="nil"/>
                </w:tcBorders>
                <w:shd w:val="clear" w:color="auto" w:fill="CAE7F3" w:themeFill="accent1" w:themeFillTint="33"/>
                <w:noWrap/>
                <w:vAlign w:val="bottom"/>
                <w:hideMark/>
              </w:tcPr>
              <w:p w14:paraId="6B39C72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109.0</w:t>
                </w:r>
              </w:p>
            </w:tc>
            <w:tc>
              <w:tcPr>
                <w:tcW w:w="630" w:type="dxa"/>
                <w:tcBorders>
                  <w:top w:val="nil"/>
                  <w:left w:val="nil"/>
                  <w:bottom w:val="nil"/>
                  <w:right w:val="nil"/>
                </w:tcBorders>
                <w:shd w:val="clear" w:color="auto" w:fill="CAE7F3" w:themeFill="accent1" w:themeFillTint="33"/>
                <w:noWrap/>
                <w:vAlign w:val="bottom"/>
                <w:hideMark/>
              </w:tcPr>
              <w:p w14:paraId="229B5827"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9.3</w:t>
                </w:r>
              </w:p>
            </w:tc>
            <w:tc>
              <w:tcPr>
                <w:tcW w:w="630" w:type="dxa"/>
                <w:tcBorders>
                  <w:top w:val="nil"/>
                  <w:left w:val="nil"/>
                  <w:bottom w:val="nil"/>
                  <w:right w:val="nil"/>
                </w:tcBorders>
                <w:shd w:val="clear" w:color="auto" w:fill="CAE7F3" w:themeFill="accent1" w:themeFillTint="33"/>
                <w:noWrap/>
                <w:vAlign w:val="bottom"/>
                <w:hideMark/>
              </w:tcPr>
              <w:p w14:paraId="3C91903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39.3</w:t>
                </w:r>
              </w:p>
            </w:tc>
            <w:tc>
              <w:tcPr>
                <w:tcW w:w="631" w:type="dxa"/>
                <w:tcBorders>
                  <w:top w:val="nil"/>
                  <w:left w:val="nil"/>
                  <w:bottom w:val="nil"/>
                  <w:right w:val="nil"/>
                </w:tcBorders>
                <w:shd w:val="clear" w:color="auto" w:fill="CAE7F3" w:themeFill="accent1" w:themeFillTint="33"/>
                <w:noWrap/>
                <w:vAlign w:val="bottom"/>
                <w:hideMark/>
              </w:tcPr>
              <w:p w14:paraId="37570CE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128.5</w:t>
                </w:r>
              </w:p>
            </w:tc>
            <w:tc>
              <w:tcPr>
                <w:tcW w:w="630" w:type="dxa"/>
                <w:tcBorders>
                  <w:top w:val="nil"/>
                  <w:left w:val="nil"/>
                  <w:bottom w:val="nil"/>
                  <w:right w:val="nil"/>
                </w:tcBorders>
                <w:shd w:val="clear" w:color="auto" w:fill="CAE7F3" w:themeFill="accent1" w:themeFillTint="33"/>
                <w:noWrap/>
                <w:vAlign w:val="bottom"/>
                <w:hideMark/>
              </w:tcPr>
              <w:p w14:paraId="2196380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44.8</w:t>
                </w:r>
              </w:p>
            </w:tc>
            <w:tc>
              <w:tcPr>
                <w:tcW w:w="1229" w:type="dxa"/>
                <w:tcBorders>
                  <w:top w:val="nil"/>
                  <w:left w:val="nil"/>
                  <w:bottom w:val="nil"/>
                  <w:right w:val="nil"/>
                </w:tcBorders>
                <w:shd w:val="clear" w:color="auto" w:fill="CAE7F3" w:themeFill="accent1" w:themeFillTint="33"/>
                <w:noWrap/>
                <w:vAlign w:val="bottom"/>
                <w:hideMark/>
              </w:tcPr>
              <w:p w14:paraId="1AF157E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110.5</w:t>
                </w:r>
              </w:p>
            </w:tc>
          </w:tr>
          <w:tr w:rsidR="00830FDC" w:rsidRPr="00F63634" w14:paraId="0596817F"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F01E90B"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Riverina</w:t>
                </w:r>
              </w:p>
            </w:tc>
            <w:tc>
              <w:tcPr>
                <w:tcW w:w="630" w:type="dxa"/>
                <w:tcBorders>
                  <w:top w:val="nil"/>
                  <w:left w:val="nil"/>
                  <w:bottom w:val="nil"/>
                  <w:right w:val="nil"/>
                </w:tcBorders>
                <w:shd w:val="clear" w:color="auto" w:fill="CAE7F3" w:themeFill="accent1" w:themeFillTint="33"/>
                <w:noWrap/>
                <w:vAlign w:val="bottom"/>
                <w:hideMark/>
              </w:tcPr>
              <w:p w14:paraId="77560D4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371.7</w:t>
                </w:r>
              </w:p>
            </w:tc>
            <w:tc>
              <w:tcPr>
                <w:tcW w:w="630" w:type="dxa"/>
                <w:tcBorders>
                  <w:top w:val="nil"/>
                  <w:left w:val="nil"/>
                  <w:bottom w:val="nil"/>
                  <w:right w:val="nil"/>
                </w:tcBorders>
                <w:shd w:val="clear" w:color="auto" w:fill="CAE7F3" w:themeFill="accent1" w:themeFillTint="33"/>
                <w:noWrap/>
                <w:vAlign w:val="bottom"/>
                <w:hideMark/>
              </w:tcPr>
              <w:p w14:paraId="3B49600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5.3</w:t>
                </w:r>
              </w:p>
            </w:tc>
            <w:tc>
              <w:tcPr>
                <w:tcW w:w="630" w:type="dxa"/>
                <w:tcBorders>
                  <w:top w:val="nil"/>
                  <w:left w:val="nil"/>
                  <w:bottom w:val="nil"/>
                  <w:right w:val="nil"/>
                </w:tcBorders>
                <w:shd w:val="clear" w:color="auto" w:fill="CAE7F3" w:themeFill="accent1" w:themeFillTint="33"/>
                <w:noWrap/>
                <w:vAlign w:val="bottom"/>
                <w:hideMark/>
              </w:tcPr>
              <w:p w14:paraId="08F5953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59.8</w:t>
                </w:r>
              </w:p>
            </w:tc>
            <w:tc>
              <w:tcPr>
                <w:tcW w:w="631" w:type="dxa"/>
                <w:tcBorders>
                  <w:top w:val="nil"/>
                  <w:left w:val="nil"/>
                  <w:bottom w:val="nil"/>
                  <w:right w:val="nil"/>
                </w:tcBorders>
                <w:shd w:val="clear" w:color="auto" w:fill="CAE7F3" w:themeFill="accent1" w:themeFillTint="33"/>
                <w:noWrap/>
                <w:vAlign w:val="bottom"/>
                <w:hideMark/>
              </w:tcPr>
              <w:p w14:paraId="506AC41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6.2</w:t>
                </w:r>
              </w:p>
            </w:tc>
            <w:tc>
              <w:tcPr>
                <w:tcW w:w="630" w:type="dxa"/>
                <w:tcBorders>
                  <w:top w:val="nil"/>
                  <w:left w:val="nil"/>
                  <w:bottom w:val="nil"/>
                  <w:right w:val="nil"/>
                </w:tcBorders>
                <w:shd w:val="clear" w:color="auto" w:fill="CAE7F3" w:themeFill="accent1" w:themeFillTint="33"/>
                <w:noWrap/>
                <w:vAlign w:val="bottom"/>
                <w:hideMark/>
              </w:tcPr>
              <w:p w14:paraId="2AF2518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238.5</w:t>
                </w:r>
              </w:p>
            </w:tc>
            <w:tc>
              <w:tcPr>
                <w:tcW w:w="630" w:type="dxa"/>
                <w:tcBorders>
                  <w:top w:val="nil"/>
                  <w:left w:val="nil"/>
                  <w:bottom w:val="nil"/>
                  <w:right w:val="nil"/>
                </w:tcBorders>
                <w:shd w:val="clear" w:color="auto" w:fill="CAE7F3" w:themeFill="accent1" w:themeFillTint="33"/>
                <w:noWrap/>
                <w:vAlign w:val="bottom"/>
                <w:hideMark/>
              </w:tcPr>
              <w:p w14:paraId="2D2F268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42.0</w:t>
                </w:r>
              </w:p>
            </w:tc>
            <w:tc>
              <w:tcPr>
                <w:tcW w:w="631" w:type="dxa"/>
                <w:tcBorders>
                  <w:top w:val="nil"/>
                  <w:left w:val="nil"/>
                  <w:bottom w:val="nil"/>
                  <w:right w:val="nil"/>
                </w:tcBorders>
                <w:shd w:val="clear" w:color="auto" w:fill="CAE7F3" w:themeFill="accent1" w:themeFillTint="33"/>
                <w:noWrap/>
                <w:vAlign w:val="bottom"/>
                <w:hideMark/>
              </w:tcPr>
              <w:p w14:paraId="04E4D0A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90.3</w:t>
                </w:r>
              </w:p>
            </w:tc>
            <w:tc>
              <w:tcPr>
                <w:tcW w:w="630" w:type="dxa"/>
                <w:tcBorders>
                  <w:top w:val="nil"/>
                  <w:left w:val="nil"/>
                  <w:bottom w:val="nil"/>
                  <w:right w:val="nil"/>
                </w:tcBorders>
                <w:shd w:val="clear" w:color="auto" w:fill="CAE7F3" w:themeFill="accent1" w:themeFillTint="33"/>
                <w:noWrap/>
                <w:vAlign w:val="bottom"/>
                <w:hideMark/>
              </w:tcPr>
              <w:p w14:paraId="5925231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80.2</w:t>
                </w:r>
              </w:p>
            </w:tc>
            <w:tc>
              <w:tcPr>
                <w:tcW w:w="630" w:type="dxa"/>
                <w:tcBorders>
                  <w:top w:val="nil"/>
                  <w:left w:val="nil"/>
                  <w:bottom w:val="nil"/>
                  <w:right w:val="nil"/>
                </w:tcBorders>
                <w:shd w:val="clear" w:color="auto" w:fill="CAE7F3" w:themeFill="accent1" w:themeFillTint="33"/>
                <w:noWrap/>
                <w:vAlign w:val="bottom"/>
                <w:hideMark/>
              </w:tcPr>
              <w:p w14:paraId="00C0A27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93.2</w:t>
                </w:r>
              </w:p>
            </w:tc>
            <w:tc>
              <w:tcPr>
                <w:tcW w:w="631" w:type="dxa"/>
                <w:tcBorders>
                  <w:top w:val="nil"/>
                  <w:left w:val="nil"/>
                  <w:bottom w:val="nil"/>
                  <w:right w:val="nil"/>
                </w:tcBorders>
                <w:shd w:val="clear" w:color="auto" w:fill="CAE7F3" w:themeFill="accent1" w:themeFillTint="33"/>
                <w:noWrap/>
                <w:vAlign w:val="bottom"/>
                <w:hideMark/>
              </w:tcPr>
              <w:p w14:paraId="792693E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5.8</w:t>
                </w:r>
              </w:p>
            </w:tc>
            <w:tc>
              <w:tcPr>
                <w:tcW w:w="630" w:type="dxa"/>
                <w:tcBorders>
                  <w:top w:val="nil"/>
                  <w:left w:val="nil"/>
                  <w:bottom w:val="nil"/>
                  <w:right w:val="nil"/>
                </w:tcBorders>
                <w:shd w:val="clear" w:color="auto" w:fill="CAE7F3" w:themeFill="accent1" w:themeFillTint="33"/>
                <w:noWrap/>
                <w:vAlign w:val="bottom"/>
                <w:hideMark/>
              </w:tcPr>
              <w:p w14:paraId="58045CA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123.3</w:t>
                </w:r>
              </w:p>
            </w:tc>
            <w:tc>
              <w:tcPr>
                <w:tcW w:w="630" w:type="dxa"/>
                <w:tcBorders>
                  <w:top w:val="nil"/>
                  <w:left w:val="nil"/>
                  <w:bottom w:val="nil"/>
                  <w:right w:val="nil"/>
                </w:tcBorders>
                <w:shd w:val="clear" w:color="auto" w:fill="CAE7F3" w:themeFill="accent1" w:themeFillTint="33"/>
                <w:noWrap/>
                <w:vAlign w:val="bottom"/>
                <w:hideMark/>
              </w:tcPr>
              <w:p w14:paraId="3A64764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107.2</w:t>
                </w:r>
              </w:p>
            </w:tc>
            <w:tc>
              <w:tcPr>
                <w:tcW w:w="630" w:type="dxa"/>
                <w:tcBorders>
                  <w:top w:val="nil"/>
                  <w:left w:val="nil"/>
                  <w:bottom w:val="nil"/>
                  <w:right w:val="nil"/>
                </w:tcBorders>
                <w:shd w:val="clear" w:color="auto" w:fill="CAE7F3" w:themeFill="accent1" w:themeFillTint="33"/>
                <w:noWrap/>
                <w:vAlign w:val="bottom"/>
                <w:hideMark/>
              </w:tcPr>
              <w:p w14:paraId="3B1A26F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84.0</w:t>
                </w:r>
              </w:p>
            </w:tc>
            <w:tc>
              <w:tcPr>
                <w:tcW w:w="631" w:type="dxa"/>
                <w:tcBorders>
                  <w:top w:val="nil"/>
                  <w:left w:val="nil"/>
                  <w:bottom w:val="nil"/>
                  <w:right w:val="nil"/>
                </w:tcBorders>
                <w:shd w:val="clear" w:color="auto" w:fill="CAE7F3" w:themeFill="accent1" w:themeFillTint="33"/>
                <w:noWrap/>
                <w:vAlign w:val="bottom"/>
                <w:hideMark/>
              </w:tcPr>
              <w:p w14:paraId="7555627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54.5</w:t>
                </w:r>
              </w:p>
            </w:tc>
            <w:tc>
              <w:tcPr>
                <w:tcW w:w="630" w:type="dxa"/>
                <w:tcBorders>
                  <w:top w:val="nil"/>
                  <w:left w:val="nil"/>
                  <w:bottom w:val="nil"/>
                  <w:right w:val="nil"/>
                </w:tcBorders>
                <w:shd w:val="clear" w:color="auto" w:fill="CAE7F3" w:themeFill="accent1" w:themeFillTint="33"/>
                <w:noWrap/>
                <w:vAlign w:val="bottom"/>
                <w:hideMark/>
              </w:tcPr>
              <w:p w14:paraId="67AE4FE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7.0</w:t>
                </w:r>
              </w:p>
            </w:tc>
            <w:tc>
              <w:tcPr>
                <w:tcW w:w="630" w:type="dxa"/>
                <w:tcBorders>
                  <w:top w:val="nil"/>
                  <w:left w:val="nil"/>
                  <w:bottom w:val="nil"/>
                  <w:right w:val="nil"/>
                </w:tcBorders>
                <w:shd w:val="clear" w:color="auto" w:fill="CAE7F3" w:themeFill="accent1" w:themeFillTint="33"/>
                <w:noWrap/>
                <w:vAlign w:val="bottom"/>
                <w:hideMark/>
              </w:tcPr>
              <w:p w14:paraId="253D575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12.8</w:t>
                </w:r>
              </w:p>
            </w:tc>
            <w:tc>
              <w:tcPr>
                <w:tcW w:w="631" w:type="dxa"/>
                <w:tcBorders>
                  <w:top w:val="nil"/>
                  <w:left w:val="nil"/>
                  <w:bottom w:val="nil"/>
                  <w:right w:val="nil"/>
                </w:tcBorders>
                <w:shd w:val="clear" w:color="auto" w:fill="CAE7F3" w:themeFill="accent1" w:themeFillTint="33"/>
                <w:noWrap/>
                <w:vAlign w:val="bottom"/>
                <w:hideMark/>
              </w:tcPr>
              <w:p w14:paraId="3D4D9F4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64.2</w:t>
                </w:r>
              </w:p>
            </w:tc>
            <w:tc>
              <w:tcPr>
                <w:tcW w:w="630" w:type="dxa"/>
                <w:tcBorders>
                  <w:top w:val="nil"/>
                  <w:left w:val="nil"/>
                  <w:bottom w:val="nil"/>
                  <w:right w:val="nil"/>
                </w:tcBorders>
                <w:shd w:val="clear" w:color="auto" w:fill="CAE7F3" w:themeFill="accent1" w:themeFillTint="33"/>
                <w:noWrap/>
                <w:vAlign w:val="bottom"/>
                <w:hideMark/>
              </w:tcPr>
              <w:p w14:paraId="65E4DA8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16.2</w:t>
                </w:r>
              </w:p>
            </w:tc>
            <w:tc>
              <w:tcPr>
                <w:tcW w:w="1229" w:type="dxa"/>
                <w:tcBorders>
                  <w:top w:val="nil"/>
                  <w:left w:val="nil"/>
                  <w:bottom w:val="nil"/>
                  <w:right w:val="nil"/>
                </w:tcBorders>
                <w:shd w:val="clear" w:color="auto" w:fill="CAE7F3" w:themeFill="accent1" w:themeFillTint="33"/>
                <w:noWrap/>
                <w:vAlign w:val="bottom"/>
                <w:hideMark/>
              </w:tcPr>
              <w:p w14:paraId="17A08EE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70.3</w:t>
                </w:r>
              </w:p>
            </w:tc>
          </w:tr>
          <w:tr w:rsidR="00830FDC" w:rsidRPr="00F63634" w14:paraId="6EC96DE9"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9F28F3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Southern Highlands and Shoalhaven</w:t>
                </w:r>
              </w:p>
            </w:tc>
            <w:tc>
              <w:tcPr>
                <w:tcW w:w="630" w:type="dxa"/>
                <w:tcBorders>
                  <w:top w:val="nil"/>
                  <w:left w:val="nil"/>
                  <w:bottom w:val="nil"/>
                  <w:right w:val="nil"/>
                </w:tcBorders>
                <w:shd w:val="clear" w:color="auto" w:fill="CAE7F3" w:themeFill="accent1" w:themeFillTint="33"/>
                <w:noWrap/>
                <w:vAlign w:val="bottom"/>
                <w:hideMark/>
              </w:tcPr>
              <w:p w14:paraId="696E40D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87.2</w:t>
                </w:r>
              </w:p>
            </w:tc>
            <w:tc>
              <w:tcPr>
                <w:tcW w:w="630" w:type="dxa"/>
                <w:tcBorders>
                  <w:top w:val="nil"/>
                  <w:left w:val="nil"/>
                  <w:bottom w:val="nil"/>
                  <w:right w:val="nil"/>
                </w:tcBorders>
                <w:shd w:val="clear" w:color="auto" w:fill="CAE7F3" w:themeFill="accent1" w:themeFillTint="33"/>
                <w:noWrap/>
                <w:vAlign w:val="bottom"/>
                <w:hideMark/>
              </w:tcPr>
              <w:p w14:paraId="45BB94E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4.7</w:t>
                </w:r>
              </w:p>
            </w:tc>
            <w:tc>
              <w:tcPr>
                <w:tcW w:w="630" w:type="dxa"/>
                <w:tcBorders>
                  <w:top w:val="nil"/>
                  <w:left w:val="nil"/>
                  <w:bottom w:val="nil"/>
                  <w:right w:val="nil"/>
                </w:tcBorders>
                <w:shd w:val="clear" w:color="auto" w:fill="CAE7F3" w:themeFill="accent1" w:themeFillTint="33"/>
                <w:noWrap/>
                <w:vAlign w:val="bottom"/>
                <w:hideMark/>
              </w:tcPr>
              <w:p w14:paraId="484B953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49.5</w:t>
                </w:r>
              </w:p>
            </w:tc>
            <w:tc>
              <w:tcPr>
                <w:tcW w:w="631" w:type="dxa"/>
                <w:tcBorders>
                  <w:top w:val="nil"/>
                  <w:left w:val="nil"/>
                  <w:bottom w:val="nil"/>
                  <w:right w:val="nil"/>
                </w:tcBorders>
                <w:shd w:val="clear" w:color="auto" w:fill="CAE7F3" w:themeFill="accent1" w:themeFillTint="33"/>
                <w:noWrap/>
                <w:vAlign w:val="bottom"/>
                <w:hideMark/>
              </w:tcPr>
              <w:p w14:paraId="16A752A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5.3</w:t>
                </w:r>
              </w:p>
            </w:tc>
            <w:tc>
              <w:tcPr>
                <w:tcW w:w="630" w:type="dxa"/>
                <w:tcBorders>
                  <w:top w:val="nil"/>
                  <w:left w:val="nil"/>
                  <w:bottom w:val="nil"/>
                  <w:right w:val="nil"/>
                </w:tcBorders>
                <w:shd w:val="clear" w:color="auto" w:fill="CAE7F3" w:themeFill="accent1" w:themeFillTint="33"/>
                <w:noWrap/>
                <w:vAlign w:val="bottom"/>
                <w:hideMark/>
              </w:tcPr>
              <w:p w14:paraId="2C1A2F4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252.7</w:t>
                </w:r>
              </w:p>
            </w:tc>
            <w:tc>
              <w:tcPr>
                <w:tcW w:w="630" w:type="dxa"/>
                <w:tcBorders>
                  <w:top w:val="nil"/>
                  <w:left w:val="nil"/>
                  <w:bottom w:val="nil"/>
                  <w:right w:val="nil"/>
                </w:tcBorders>
                <w:shd w:val="clear" w:color="auto" w:fill="CAE7F3" w:themeFill="accent1" w:themeFillTint="33"/>
                <w:noWrap/>
                <w:vAlign w:val="bottom"/>
                <w:hideMark/>
              </w:tcPr>
              <w:p w14:paraId="039383A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35.7</w:t>
                </w:r>
              </w:p>
            </w:tc>
            <w:tc>
              <w:tcPr>
                <w:tcW w:w="631" w:type="dxa"/>
                <w:tcBorders>
                  <w:top w:val="nil"/>
                  <w:left w:val="nil"/>
                  <w:bottom w:val="nil"/>
                  <w:right w:val="nil"/>
                </w:tcBorders>
                <w:shd w:val="clear" w:color="auto" w:fill="CAE7F3" w:themeFill="accent1" w:themeFillTint="33"/>
                <w:noWrap/>
                <w:vAlign w:val="bottom"/>
                <w:hideMark/>
              </w:tcPr>
              <w:p w14:paraId="4D2DF8C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118.0</w:t>
                </w:r>
              </w:p>
            </w:tc>
            <w:tc>
              <w:tcPr>
                <w:tcW w:w="630" w:type="dxa"/>
                <w:tcBorders>
                  <w:top w:val="nil"/>
                  <w:left w:val="nil"/>
                  <w:bottom w:val="nil"/>
                  <w:right w:val="nil"/>
                </w:tcBorders>
                <w:shd w:val="clear" w:color="auto" w:fill="CAE7F3" w:themeFill="accent1" w:themeFillTint="33"/>
                <w:noWrap/>
                <w:vAlign w:val="bottom"/>
                <w:hideMark/>
              </w:tcPr>
              <w:p w14:paraId="77AEC29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90.2</w:t>
                </w:r>
              </w:p>
            </w:tc>
            <w:tc>
              <w:tcPr>
                <w:tcW w:w="630" w:type="dxa"/>
                <w:tcBorders>
                  <w:top w:val="nil"/>
                  <w:left w:val="nil"/>
                  <w:bottom w:val="nil"/>
                  <w:right w:val="nil"/>
                </w:tcBorders>
                <w:shd w:val="clear" w:color="auto" w:fill="CAE7F3" w:themeFill="accent1" w:themeFillTint="33"/>
                <w:noWrap/>
                <w:vAlign w:val="bottom"/>
                <w:hideMark/>
              </w:tcPr>
              <w:p w14:paraId="066BE6D6"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61.2</w:t>
                </w:r>
              </w:p>
            </w:tc>
            <w:tc>
              <w:tcPr>
                <w:tcW w:w="631" w:type="dxa"/>
                <w:tcBorders>
                  <w:top w:val="nil"/>
                  <w:left w:val="nil"/>
                  <w:bottom w:val="nil"/>
                  <w:right w:val="nil"/>
                </w:tcBorders>
                <w:shd w:val="clear" w:color="auto" w:fill="CAE7F3" w:themeFill="accent1" w:themeFillTint="33"/>
                <w:noWrap/>
                <w:vAlign w:val="bottom"/>
                <w:hideMark/>
              </w:tcPr>
              <w:p w14:paraId="74835A68"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11.7</w:t>
                </w:r>
              </w:p>
            </w:tc>
            <w:tc>
              <w:tcPr>
                <w:tcW w:w="630" w:type="dxa"/>
                <w:tcBorders>
                  <w:top w:val="nil"/>
                  <w:left w:val="nil"/>
                  <w:bottom w:val="nil"/>
                  <w:right w:val="nil"/>
                </w:tcBorders>
                <w:shd w:val="clear" w:color="auto" w:fill="CAE7F3" w:themeFill="accent1" w:themeFillTint="33"/>
                <w:noWrap/>
                <w:vAlign w:val="bottom"/>
                <w:hideMark/>
              </w:tcPr>
              <w:p w14:paraId="6E30509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98.2</w:t>
                </w:r>
              </w:p>
            </w:tc>
            <w:tc>
              <w:tcPr>
                <w:tcW w:w="630" w:type="dxa"/>
                <w:tcBorders>
                  <w:top w:val="nil"/>
                  <w:left w:val="nil"/>
                  <w:bottom w:val="nil"/>
                  <w:right w:val="nil"/>
                </w:tcBorders>
                <w:shd w:val="clear" w:color="auto" w:fill="CAE7F3" w:themeFill="accent1" w:themeFillTint="33"/>
                <w:noWrap/>
                <w:vAlign w:val="bottom"/>
                <w:hideMark/>
              </w:tcPr>
              <w:p w14:paraId="4E90F17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99.2</w:t>
                </w:r>
              </w:p>
            </w:tc>
            <w:tc>
              <w:tcPr>
                <w:tcW w:w="630" w:type="dxa"/>
                <w:tcBorders>
                  <w:top w:val="nil"/>
                  <w:left w:val="nil"/>
                  <w:bottom w:val="nil"/>
                  <w:right w:val="nil"/>
                </w:tcBorders>
                <w:shd w:val="clear" w:color="auto" w:fill="CAE7F3" w:themeFill="accent1" w:themeFillTint="33"/>
                <w:noWrap/>
                <w:vAlign w:val="bottom"/>
                <w:hideMark/>
              </w:tcPr>
              <w:p w14:paraId="298D6EF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134.2</w:t>
                </w:r>
              </w:p>
            </w:tc>
            <w:tc>
              <w:tcPr>
                <w:tcW w:w="631" w:type="dxa"/>
                <w:tcBorders>
                  <w:top w:val="nil"/>
                  <w:left w:val="nil"/>
                  <w:bottom w:val="nil"/>
                  <w:right w:val="nil"/>
                </w:tcBorders>
                <w:shd w:val="clear" w:color="auto" w:fill="CAE7F3" w:themeFill="accent1" w:themeFillTint="33"/>
                <w:noWrap/>
                <w:vAlign w:val="bottom"/>
                <w:hideMark/>
              </w:tcPr>
              <w:p w14:paraId="31E73E7E"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52.2</w:t>
                </w:r>
              </w:p>
            </w:tc>
            <w:tc>
              <w:tcPr>
                <w:tcW w:w="630" w:type="dxa"/>
                <w:tcBorders>
                  <w:top w:val="nil"/>
                  <w:left w:val="nil"/>
                  <w:bottom w:val="nil"/>
                  <w:right w:val="nil"/>
                </w:tcBorders>
                <w:shd w:val="clear" w:color="auto" w:fill="CAE7F3" w:themeFill="accent1" w:themeFillTint="33"/>
                <w:noWrap/>
                <w:vAlign w:val="bottom"/>
                <w:hideMark/>
              </w:tcPr>
              <w:p w14:paraId="0F55412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6.5</w:t>
                </w:r>
              </w:p>
            </w:tc>
            <w:tc>
              <w:tcPr>
                <w:tcW w:w="630" w:type="dxa"/>
                <w:tcBorders>
                  <w:top w:val="nil"/>
                  <w:left w:val="nil"/>
                  <w:bottom w:val="nil"/>
                  <w:right w:val="nil"/>
                </w:tcBorders>
                <w:shd w:val="clear" w:color="auto" w:fill="CAE7F3" w:themeFill="accent1" w:themeFillTint="33"/>
                <w:noWrap/>
                <w:vAlign w:val="bottom"/>
                <w:hideMark/>
              </w:tcPr>
              <w:p w14:paraId="54B1B67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20.5</w:t>
                </w:r>
              </w:p>
            </w:tc>
            <w:tc>
              <w:tcPr>
                <w:tcW w:w="631" w:type="dxa"/>
                <w:tcBorders>
                  <w:top w:val="nil"/>
                  <w:left w:val="nil"/>
                  <w:bottom w:val="nil"/>
                  <w:right w:val="nil"/>
                </w:tcBorders>
                <w:shd w:val="clear" w:color="auto" w:fill="CAE7F3" w:themeFill="accent1" w:themeFillTint="33"/>
                <w:noWrap/>
                <w:vAlign w:val="bottom"/>
                <w:hideMark/>
              </w:tcPr>
              <w:p w14:paraId="40B27ECD"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54.3</w:t>
                </w:r>
              </w:p>
            </w:tc>
            <w:tc>
              <w:tcPr>
                <w:tcW w:w="630" w:type="dxa"/>
                <w:tcBorders>
                  <w:top w:val="nil"/>
                  <w:left w:val="nil"/>
                  <w:bottom w:val="nil"/>
                  <w:right w:val="nil"/>
                </w:tcBorders>
                <w:shd w:val="clear" w:color="auto" w:fill="CAE7F3" w:themeFill="accent1" w:themeFillTint="33"/>
                <w:noWrap/>
                <w:vAlign w:val="bottom"/>
                <w:hideMark/>
              </w:tcPr>
              <w:p w14:paraId="1AB74A74"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20.5</w:t>
                </w:r>
              </w:p>
            </w:tc>
            <w:tc>
              <w:tcPr>
                <w:tcW w:w="1229" w:type="dxa"/>
                <w:tcBorders>
                  <w:top w:val="nil"/>
                  <w:left w:val="nil"/>
                  <w:bottom w:val="nil"/>
                  <w:right w:val="nil"/>
                </w:tcBorders>
                <w:shd w:val="clear" w:color="auto" w:fill="CAE7F3" w:themeFill="accent1" w:themeFillTint="33"/>
                <w:noWrap/>
                <w:vAlign w:val="bottom"/>
                <w:hideMark/>
              </w:tcPr>
              <w:p w14:paraId="04AFFEA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57.2</w:t>
                </w:r>
              </w:p>
            </w:tc>
          </w:tr>
          <w:tr w:rsidR="00830FDC" w:rsidRPr="00F63634" w14:paraId="57FCD020"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08A7FA7"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Special Purpose Codes SA4 (NSW)</w:t>
                </w:r>
              </w:p>
            </w:tc>
            <w:tc>
              <w:tcPr>
                <w:tcW w:w="630" w:type="dxa"/>
                <w:tcBorders>
                  <w:top w:val="nil"/>
                  <w:left w:val="nil"/>
                  <w:bottom w:val="nil"/>
                  <w:right w:val="nil"/>
                </w:tcBorders>
                <w:shd w:val="clear" w:color="auto" w:fill="CAE7F3" w:themeFill="accent1" w:themeFillTint="33"/>
                <w:noWrap/>
                <w:vAlign w:val="bottom"/>
                <w:hideMark/>
              </w:tcPr>
              <w:p w14:paraId="1C4FF4D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207.7</w:t>
                </w:r>
              </w:p>
            </w:tc>
            <w:tc>
              <w:tcPr>
                <w:tcW w:w="630" w:type="dxa"/>
                <w:tcBorders>
                  <w:top w:val="nil"/>
                  <w:left w:val="nil"/>
                  <w:bottom w:val="nil"/>
                  <w:right w:val="nil"/>
                </w:tcBorders>
                <w:shd w:val="clear" w:color="auto" w:fill="CAE7F3" w:themeFill="accent1" w:themeFillTint="33"/>
                <w:noWrap/>
                <w:vAlign w:val="bottom"/>
                <w:hideMark/>
              </w:tcPr>
              <w:p w14:paraId="426FFD3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7.5</w:t>
                </w:r>
              </w:p>
            </w:tc>
            <w:tc>
              <w:tcPr>
                <w:tcW w:w="630" w:type="dxa"/>
                <w:tcBorders>
                  <w:top w:val="nil"/>
                  <w:left w:val="nil"/>
                  <w:bottom w:val="nil"/>
                  <w:right w:val="nil"/>
                </w:tcBorders>
                <w:shd w:val="clear" w:color="auto" w:fill="CAE7F3" w:themeFill="accent1" w:themeFillTint="33"/>
                <w:noWrap/>
                <w:vAlign w:val="bottom"/>
                <w:hideMark/>
              </w:tcPr>
              <w:p w14:paraId="5D53355F"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37.2</w:t>
                </w:r>
              </w:p>
            </w:tc>
            <w:tc>
              <w:tcPr>
                <w:tcW w:w="631" w:type="dxa"/>
                <w:tcBorders>
                  <w:top w:val="nil"/>
                  <w:left w:val="nil"/>
                  <w:bottom w:val="nil"/>
                  <w:right w:val="nil"/>
                </w:tcBorders>
                <w:shd w:val="clear" w:color="auto" w:fill="CAE7F3" w:themeFill="accent1" w:themeFillTint="33"/>
                <w:noWrap/>
                <w:vAlign w:val="bottom"/>
                <w:hideMark/>
              </w:tcPr>
              <w:p w14:paraId="5C33756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4.7</w:t>
                </w:r>
              </w:p>
            </w:tc>
            <w:tc>
              <w:tcPr>
                <w:tcW w:w="630" w:type="dxa"/>
                <w:tcBorders>
                  <w:top w:val="nil"/>
                  <w:left w:val="nil"/>
                  <w:bottom w:val="nil"/>
                  <w:right w:val="nil"/>
                </w:tcBorders>
                <w:shd w:val="clear" w:color="auto" w:fill="CAE7F3" w:themeFill="accent1" w:themeFillTint="33"/>
                <w:noWrap/>
                <w:vAlign w:val="bottom"/>
                <w:hideMark/>
              </w:tcPr>
              <w:p w14:paraId="3D2B958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71.0</w:t>
                </w:r>
              </w:p>
            </w:tc>
            <w:tc>
              <w:tcPr>
                <w:tcW w:w="630" w:type="dxa"/>
                <w:tcBorders>
                  <w:top w:val="nil"/>
                  <w:left w:val="nil"/>
                  <w:bottom w:val="nil"/>
                  <w:right w:val="nil"/>
                </w:tcBorders>
                <w:shd w:val="clear" w:color="auto" w:fill="CAE7F3" w:themeFill="accent1" w:themeFillTint="33"/>
                <w:noWrap/>
                <w:vAlign w:val="bottom"/>
                <w:hideMark/>
              </w:tcPr>
              <w:p w14:paraId="4C1372B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55.2</w:t>
                </w:r>
              </w:p>
            </w:tc>
            <w:tc>
              <w:tcPr>
                <w:tcW w:w="631" w:type="dxa"/>
                <w:tcBorders>
                  <w:top w:val="nil"/>
                  <w:left w:val="nil"/>
                  <w:bottom w:val="nil"/>
                  <w:right w:val="nil"/>
                </w:tcBorders>
                <w:shd w:val="clear" w:color="auto" w:fill="CAE7F3" w:themeFill="accent1" w:themeFillTint="33"/>
                <w:noWrap/>
                <w:vAlign w:val="bottom"/>
                <w:hideMark/>
              </w:tcPr>
              <w:p w14:paraId="2123E1A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61.3</w:t>
                </w:r>
              </w:p>
            </w:tc>
            <w:tc>
              <w:tcPr>
                <w:tcW w:w="630" w:type="dxa"/>
                <w:tcBorders>
                  <w:top w:val="nil"/>
                  <w:left w:val="nil"/>
                  <w:bottom w:val="nil"/>
                  <w:right w:val="nil"/>
                </w:tcBorders>
                <w:shd w:val="clear" w:color="auto" w:fill="CAE7F3" w:themeFill="accent1" w:themeFillTint="33"/>
                <w:noWrap/>
                <w:vAlign w:val="bottom"/>
                <w:hideMark/>
              </w:tcPr>
              <w:p w14:paraId="7895302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48.2</w:t>
                </w:r>
              </w:p>
            </w:tc>
            <w:tc>
              <w:tcPr>
                <w:tcW w:w="630" w:type="dxa"/>
                <w:tcBorders>
                  <w:top w:val="nil"/>
                  <w:left w:val="nil"/>
                  <w:bottom w:val="nil"/>
                  <w:right w:val="nil"/>
                </w:tcBorders>
                <w:shd w:val="clear" w:color="auto" w:fill="CAE7F3" w:themeFill="accent1" w:themeFillTint="33"/>
                <w:noWrap/>
                <w:vAlign w:val="bottom"/>
                <w:hideMark/>
              </w:tcPr>
              <w:p w14:paraId="0E64B8D0"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44.0</w:t>
                </w:r>
              </w:p>
            </w:tc>
            <w:tc>
              <w:tcPr>
                <w:tcW w:w="631" w:type="dxa"/>
                <w:tcBorders>
                  <w:top w:val="nil"/>
                  <w:left w:val="nil"/>
                  <w:bottom w:val="nil"/>
                  <w:right w:val="nil"/>
                </w:tcBorders>
                <w:shd w:val="clear" w:color="auto" w:fill="CAE7F3" w:themeFill="accent1" w:themeFillTint="33"/>
                <w:noWrap/>
                <w:vAlign w:val="bottom"/>
                <w:hideMark/>
              </w:tcPr>
              <w:p w14:paraId="4912AE0C"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14.3</w:t>
                </w:r>
              </w:p>
            </w:tc>
            <w:tc>
              <w:tcPr>
                <w:tcW w:w="630" w:type="dxa"/>
                <w:tcBorders>
                  <w:top w:val="nil"/>
                  <w:left w:val="nil"/>
                  <w:bottom w:val="nil"/>
                  <w:right w:val="nil"/>
                </w:tcBorders>
                <w:shd w:val="clear" w:color="auto" w:fill="CAE7F3" w:themeFill="accent1" w:themeFillTint="33"/>
                <w:noWrap/>
                <w:vAlign w:val="bottom"/>
                <w:hideMark/>
              </w:tcPr>
              <w:p w14:paraId="6CABDBD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54.7</w:t>
                </w:r>
              </w:p>
            </w:tc>
            <w:tc>
              <w:tcPr>
                <w:tcW w:w="630" w:type="dxa"/>
                <w:tcBorders>
                  <w:top w:val="nil"/>
                  <w:left w:val="nil"/>
                  <w:bottom w:val="nil"/>
                  <w:right w:val="nil"/>
                </w:tcBorders>
                <w:shd w:val="clear" w:color="auto" w:fill="CAE7F3" w:themeFill="accent1" w:themeFillTint="33"/>
                <w:noWrap/>
                <w:vAlign w:val="bottom"/>
                <w:hideMark/>
              </w:tcPr>
              <w:p w14:paraId="181D02D9"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64.8</w:t>
                </w:r>
              </w:p>
            </w:tc>
            <w:tc>
              <w:tcPr>
                <w:tcW w:w="630" w:type="dxa"/>
                <w:tcBorders>
                  <w:top w:val="nil"/>
                  <w:left w:val="nil"/>
                  <w:bottom w:val="nil"/>
                  <w:right w:val="nil"/>
                </w:tcBorders>
                <w:shd w:val="clear" w:color="auto" w:fill="CAE7F3" w:themeFill="accent1" w:themeFillTint="33"/>
                <w:noWrap/>
                <w:vAlign w:val="bottom"/>
                <w:hideMark/>
              </w:tcPr>
              <w:p w14:paraId="2C03068A"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73.3</w:t>
                </w:r>
              </w:p>
            </w:tc>
            <w:tc>
              <w:tcPr>
                <w:tcW w:w="631" w:type="dxa"/>
                <w:tcBorders>
                  <w:top w:val="nil"/>
                  <w:left w:val="nil"/>
                  <w:bottom w:val="nil"/>
                  <w:right w:val="nil"/>
                </w:tcBorders>
                <w:shd w:val="clear" w:color="auto" w:fill="CAE7F3" w:themeFill="accent1" w:themeFillTint="33"/>
                <w:noWrap/>
                <w:vAlign w:val="bottom"/>
                <w:hideMark/>
              </w:tcPr>
              <w:p w14:paraId="0B1EAF75"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30.8</w:t>
                </w:r>
              </w:p>
            </w:tc>
            <w:tc>
              <w:tcPr>
                <w:tcW w:w="630" w:type="dxa"/>
                <w:tcBorders>
                  <w:top w:val="nil"/>
                  <w:left w:val="nil"/>
                  <w:bottom w:val="nil"/>
                  <w:right w:val="nil"/>
                </w:tcBorders>
                <w:shd w:val="clear" w:color="auto" w:fill="CAE7F3" w:themeFill="accent1" w:themeFillTint="33"/>
                <w:noWrap/>
                <w:vAlign w:val="bottom"/>
                <w:hideMark/>
              </w:tcPr>
              <w:p w14:paraId="333DCE62"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3.0</w:t>
                </w:r>
              </w:p>
            </w:tc>
            <w:tc>
              <w:tcPr>
                <w:tcW w:w="630" w:type="dxa"/>
                <w:tcBorders>
                  <w:top w:val="nil"/>
                  <w:left w:val="nil"/>
                  <w:bottom w:val="nil"/>
                  <w:right w:val="nil"/>
                </w:tcBorders>
                <w:shd w:val="clear" w:color="auto" w:fill="CAE7F3" w:themeFill="accent1" w:themeFillTint="33"/>
                <w:noWrap/>
                <w:vAlign w:val="bottom"/>
                <w:hideMark/>
              </w:tcPr>
              <w:p w14:paraId="652345E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11.7</w:t>
                </w:r>
              </w:p>
            </w:tc>
            <w:tc>
              <w:tcPr>
                <w:tcW w:w="631" w:type="dxa"/>
                <w:tcBorders>
                  <w:top w:val="nil"/>
                  <w:left w:val="nil"/>
                  <w:bottom w:val="nil"/>
                  <w:right w:val="nil"/>
                </w:tcBorders>
                <w:shd w:val="clear" w:color="auto" w:fill="CAE7F3" w:themeFill="accent1" w:themeFillTint="33"/>
                <w:noWrap/>
                <w:vAlign w:val="bottom"/>
                <w:hideMark/>
              </w:tcPr>
              <w:p w14:paraId="153D0FD3"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39.3</w:t>
                </w:r>
              </w:p>
            </w:tc>
            <w:tc>
              <w:tcPr>
                <w:tcW w:w="630" w:type="dxa"/>
                <w:tcBorders>
                  <w:top w:val="nil"/>
                  <w:left w:val="nil"/>
                  <w:bottom w:val="nil"/>
                  <w:right w:val="nil"/>
                </w:tcBorders>
                <w:shd w:val="clear" w:color="auto" w:fill="CAE7F3" w:themeFill="accent1" w:themeFillTint="33"/>
                <w:noWrap/>
                <w:vAlign w:val="bottom"/>
                <w:hideMark/>
              </w:tcPr>
              <w:p w14:paraId="6294DCE1"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21.7</w:t>
                </w:r>
              </w:p>
            </w:tc>
            <w:tc>
              <w:tcPr>
                <w:tcW w:w="1229" w:type="dxa"/>
                <w:tcBorders>
                  <w:top w:val="nil"/>
                  <w:left w:val="nil"/>
                  <w:bottom w:val="nil"/>
                  <w:right w:val="nil"/>
                </w:tcBorders>
                <w:shd w:val="clear" w:color="auto" w:fill="CAE7F3" w:themeFill="accent1" w:themeFillTint="33"/>
                <w:noWrap/>
                <w:vAlign w:val="bottom"/>
                <w:hideMark/>
              </w:tcPr>
              <w:p w14:paraId="03EA8BAB" w14:textId="77777777" w:rsidR="00830FDC" w:rsidRPr="00792A3F" w:rsidRDefault="00830FDC" w:rsidP="00D0090A">
                <w:pPr>
                  <w:pStyle w:val="Tabletext"/>
                  <w:jc w:val="right"/>
                  <w:rPr>
                    <w:color w:val="595A5B" w:themeColor="text1"/>
                    <w:sz w:val="12"/>
                    <w:szCs w:val="16"/>
                    <w:lang w:eastAsia="en-AU"/>
                  </w:rPr>
                </w:pPr>
                <w:r w:rsidRPr="00792A3F">
                  <w:rPr>
                    <w:color w:val="595A5B" w:themeColor="text1"/>
                    <w:sz w:val="12"/>
                    <w:szCs w:val="16"/>
                    <w:lang w:eastAsia="en-AU"/>
                  </w:rPr>
                  <w:t>27.5</w:t>
                </w:r>
              </w:p>
            </w:tc>
          </w:tr>
        </w:tbl>
        <w:p w14:paraId="18C92D86" w14:textId="599D7F15" w:rsidR="00830FDC" w:rsidRDefault="00830FDC" w:rsidP="00830FDC">
          <w:pPr>
            <w:pStyle w:val="CaptionWide"/>
          </w:pPr>
          <w:r w:rsidRPr="000618FB">
            <w:t xml:space="preserve">Table </w:t>
          </w:r>
          <w:r>
            <w:t xml:space="preserve">B2 </w:t>
          </w:r>
          <w:r>
            <w:rPr>
              <w:noProof/>
            </w:rPr>
            <w:t>continued</w:t>
          </w:r>
          <w:r>
            <w:t>: Annual business entries by ANZSIC divisions, averaged financial years ending</w:t>
          </w:r>
          <w:r w:rsidR="00FE4E3E">
            <w:t xml:space="preserve"> in June 2009 to June 2014, by s</w:t>
          </w:r>
          <w:r>
            <w:t>tate and SA4 regions</w:t>
          </w:r>
        </w:p>
        <w:tbl>
          <w:tblPr>
            <w:tblW w:w="14034" w:type="dxa"/>
            <w:tblInd w:w="108" w:type="dxa"/>
            <w:shd w:val="clear" w:color="auto" w:fill="CAE7F3" w:themeFill="accent1" w:themeFillTint="33"/>
            <w:tblLayout w:type="fixed"/>
            <w:tblLook w:val="04A0" w:firstRow="1" w:lastRow="0" w:firstColumn="1" w:lastColumn="0" w:noHBand="0" w:noVBand="1"/>
          </w:tblPr>
          <w:tblGrid>
            <w:gridCol w:w="1460"/>
            <w:gridCol w:w="661"/>
            <w:gridCol w:w="662"/>
            <w:gridCol w:w="662"/>
            <w:gridCol w:w="662"/>
            <w:gridCol w:w="661"/>
            <w:gridCol w:w="662"/>
            <w:gridCol w:w="662"/>
            <w:gridCol w:w="662"/>
            <w:gridCol w:w="662"/>
            <w:gridCol w:w="661"/>
            <w:gridCol w:w="662"/>
            <w:gridCol w:w="662"/>
            <w:gridCol w:w="662"/>
            <w:gridCol w:w="662"/>
            <w:gridCol w:w="661"/>
            <w:gridCol w:w="662"/>
            <w:gridCol w:w="662"/>
            <w:gridCol w:w="662"/>
            <w:gridCol w:w="662"/>
          </w:tblGrid>
          <w:tr w:rsidR="00830FDC" w:rsidRPr="00F63634" w14:paraId="6F4743AF" w14:textId="77777777" w:rsidTr="00D0090A">
            <w:trPr>
              <w:trHeight w:val="1823"/>
            </w:trPr>
            <w:tc>
              <w:tcPr>
                <w:tcW w:w="1460" w:type="dxa"/>
                <w:tcBorders>
                  <w:top w:val="nil"/>
                  <w:left w:val="nil"/>
                  <w:bottom w:val="single" w:sz="4" w:space="0" w:color="95B3D7"/>
                  <w:right w:val="nil"/>
                </w:tcBorders>
                <w:shd w:val="clear" w:color="auto" w:fill="22789A" w:themeFill="accent1"/>
                <w:noWrap/>
                <w:vAlign w:val="bottom"/>
              </w:tcPr>
              <w:p w14:paraId="78E4359C" w14:textId="77777777" w:rsidR="00830FDC" w:rsidRPr="00F47853" w:rsidRDefault="00830FDC" w:rsidP="00D0090A">
                <w:pPr>
                  <w:pStyle w:val="Tabletext"/>
                  <w:rPr>
                    <w:sz w:val="14"/>
                    <w:szCs w:val="16"/>
                    <w:lang w:eastAsia="en-AU"/>
                  </w:rPr>
                </w:pPr>
              </w:p>
            </w:tc>
            <w:tc>
              <w:tcPr>
                <w:tcW w:w="661" w:type="dxa"/>
                <w:tcBorders>
                  <w:top w:val="nil"/>
                  <w:left w:val="nil"/>
                  <w:bottom w:val="single" w:sz="4" w:space="0" w:color="95B3D7"/>
                  <w:right w:val="nil"/>
                </w:tcBorders>
                <w:shd w:val="clear" w:color="auto" w:fill="22789A" w:themeFill="accent1"/>
                <w:noWrap/>
                <w:textDirection w:val="btLr"/>
                <w:vAlign w:val="center"/>
              </w:tcPr>
              <w:p w14:paraId="65E989E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Agriculture, Forestry and Fishing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4B5C098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24E5889C"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Manufacturing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14B68DFC"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Electricity, Gas, Water and Waste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3A71B0B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Construction</w:t>
                </w:r>
              </w:p>
            </w:tc>
            <w:tc>
              <w:tcPr>
                <w:tcW w:w="662" w:type="dxa"/>
                <w:tcBorders>
                  <w:top w:val="nil"/>
                  <w:left w:val="nil"/>
                  <w:bottom w:val="single" w:sz="4" w:space="0" w:color="95B3D7"/>
                  <w:right w:val="nil"/>
                </w:tcBorders>
                <w:shd w:val="clear" w:color="auto" w:fill="22789A" w:themeFill="accent1"/>
                <w:noWrap/>
                <w:textDirection w:val="btLr"/>
                <w:vAlign w:val="center"/>
              </w:tcPr>
              <w:p w14:paraId="369486B0"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Wholesale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7AFFE89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Retail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468B2D8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Accommodation and Food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645EFFFE"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Transport, Postal and Warehousing</w:t>
                </w:r>
              </w:p>
            </w:tc>
            <w:tc>
              <w:tcPr>
                <w:tcW w:w="661" w:type="dxa"/>
                <w:tcBorders>
                  <w:top w:val="nil"/>
                  <w:left w:val="nil"/>
                  <w:bottom w:val="single" w:sz="4" w:space="0" w:color="95B3D7"/>
                  <w:right w:val="nil"/>
                </w:tcBorders>
                <w:shd w:val="clear" w:color="auto" w:fill="22789A" w:themeFill="accent1"/>
                <w:noWrap/>
                <w:textDirection w:val="btLr"/>
                <w:vAlign w:val="center"/>
              </w:tcPr>
              <w:p w14:paraId="2B8F8C9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Information Media and Telecommunications</w:t>
                </w:r>
              </w:p>
            </w:tc>
            <w:tc>
              <w:tcPr>
                <w:tcW w:w="662" w:type="dxa"/>
                <w:tcBorders>
                  <w:top w:val="nil"/>
                  <w:left w:val="nil"/>
                  <w:bottom w:val="single" w:sz="4" w:space="0" w:color="95B3D7"/>
                  <w:right w:val="nil"/>
                </w:tcBorders>
                <w:shd w:val="clear" w:color="auto" w:fill="22789A" w:themeFill="accent1"/>
                <w:noWrap/>
                <w:textDirection w:val="btLr"/>
                <w:vAlign w:val="center"/>
              </w:tcPr>
              <w:p w14:paraId="3D11441D"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Financial and Insurance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5A6EDC6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Rental, Hiring and Real Estate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6A0A73B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Professional, Scientific and Technical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2E074AC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Administrative and Support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68CD108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Public Administration and Safety</w:t>
                </w:r>
              </w:p>
            </w:tc>
            <w:tc>
              <w:tcPr>
                <w:tcW w:w="662" w:type="dxa"/>
                <w:tcBorders>
                  <w:top w:val="nil"/>
                  <w:left w:val="nil"/>
                  <w:bottom w:val="single" w:sz="4" w:space="0" w:color="95B3D7"/>
                  <w:right w:val="nil"/>
                </w:tcBorders>
                <w:shd w:val="clear" w:color="auto" w:fill="22789A" w:themeFill="accent1"/>
                <w:noWrap/>
                <w:textDirection w:val="btLr"/>
                <w:vAlign w:val="center"/>
              </w:tcPr>
              <w:p w14:paraId="1DFF1F00"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Education and Training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5F54F95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Health Care and Social Assistance</w:t>
                </w:r>
              </w:p>
            </w:tc>
            <w:tc>
              <w:tcPr>
                <w:tcW w:w="662" w:type="dxa"/>
                <w:tcBorders>
                  <w:top w:val="nil"/>
                  <w:left w:val="nil"/>
                  <w:bottom w:val="single" w:sz="4" w:space="0" w:color="95B3D7"/>
                  <w:right w:val="nil"/>
                </w:tcBorders>
                <w:shd w:val="clear" w:color="auto" w:fill="22789A" w:themeFill="accent1"/>
                <w:noWrap/>
                <w:textDirection w:val="btLr"/>
                <w:vAlign w:val="center"/>
              </w:tcPr>
              <w:p w14:paraId="59EDB314"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Arts and Recreation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0EFBDC8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Other Services</w:t>
                </w:r>
              </w:p>
            </w:tc>
          </w:tr>
          <w:tr w:rsidR="00830FDC" w:rsidRPr="00F63634" w14:paraId="125C7F4C" w14:textId="77777777" w:rsidTr="00D0090A">
            <w:trPr>
              <w:trHeight w:val="225"/>
            </w:trPr>
            <w:tc>
              <w:tcPr>
                <w:tcW w:w="1460" w:type="dxa"/>
                <w:tcBorders>
                  <w:top w:val="nil"/>
                  <w:left w:val="nil"/>
                  <w:bottom w:val="single" w:sz="4" w:space="0" w:color="95B3D7"/>
                  <w:right w:val="nil"/>
                </w:tcBorders>
                <w:shd w:val="clear" w:color="auto" w:fill="22789A" w:themeFill="accent1"/>
                <w:noWrap/>
                <w:vAlign w:val="bottom"/>
              </w:tcPr>
              <w:p w14:paraId="1BFC9653" w14:textId="77777777" w:rsidR="00830FDC" w:rsidRPr="00844EE1" w:rsidRDefault="00830FDC" w:rsidP="00D0090A">
                <w:pPr>
                  <w:pStyle w:val="Tableheader"/>
                  <w:rPr>
                    <w:sz w:val="16"/>
                    <w:szCs w:val="12"/>
                    <w:lang w:eastAsia="en-AU"/>
                  </w:rPr>
                </w:pPr>
                <w:r w:rsidRPr="007D09BB">
                  <w:rPr>
                    <w:sz w:val="12"/>
                    <w:szCs w:val="12"/>
                    <w:lang w:eastAsia="en-AU"/>
                  </w:rPr>
                  <w:t>Region (State-SA4)</w:t>
                </w:r>
              </w:p>
            </w:tc>
            <w:tc>
              <w:tcPr>
                <w:tcW w:w="661" w:type="dxa"/>
                <w:tcBorders>
                  <w:top w:val="nil"/>
                  <w:left w:val="nil"/>
                  <w:bottom w:val="single" w:sz="4" w:space="0" w:color="95B3D7"/>
                  <w:right w:val="nil"/>
                </w:tcBorders>
                <w:shd w:val="clear" w:color="auto" w:fill="22789A" w:themeFill="accent1"/>
                <w:noWrap/>
              </w:tcPr>
              <w:p w14:paraId="441FAA78" w14:textId="77777777" w:rsidR="00830FDC" w:rsidRPr="00844EE1" w:rsidRDefault="00830FDC" w:rsidP="00D0090A">
                <w:pPr>
                  <w:pStyle w:val="Tableheader"/>
                  <w:jc w:val="right"/>
                  <w:rPr>
                    <w:sz w:val="16"/>
                    <w:szCs w:val="12"/>
                  </w:rPr>
                </w:pPr>
                <w:r w:rsidRPr="00844EE1">
                  <w:rPr>
                    <w:sz w:val="16"/>
                    <w:szCs w:val="12"/>
                  </w:rPr>
                  <w:t>A</w:t>
                </w:r>
              </w:p>
            </w:tc>
            <w:tc>
              <w:tcPr>
                <w:tcW w:w="662" w:type="dxa"/>
                <w:tcBorders>
                  <w:top w:val="nil"/>
                  <w:left w:val="nil"/>
                  <w:bottom w:val="single" w:sz="4" w:space="0" w:color="95B3D7"/>
                  <w:right w:val="nil"/>
                </w:tcBorders>
                <w:shd w:val="clear" w:color="auto" w:fill="22789A" w:themeFill="accent1"/>
                <w:noWrap/>
              </w:tcPr>
              <w:p w14:paraId="0DDB9FE7" w14:textId="77777777" w:rsidR="00830FDC" w:rsidRPr="00844EE1" w:rsidRDefault="00830FDC" w:rsidP="00D0090A">
                <w:pPr>
                  <w:pStyle w:val="Tableheader"/>
                  <w:jc w:val="right"/>
                  <w:rPr>
                    <w:sz w:val="16"/>
                    <w:szCs w:val="12"/>
                  </w:rPr>
                </w:pPr>
                <w:r w:rsidRPr="00844EE1">
                  <w:rPr>
                    <w:sz w:val="16"/>
                    <w:szCs w:val="12"/>
                  </w:rPr>
                  <w:t>B</w:t>
                </w:r>
              </w:p>
            </w:tc>
            <w:tc>
              <w:tcPr>
                <w:tcW w:w="662" w:type="dxa"/>
                <w:tcBorders>
                  <w:top w:val="nil"/>
                  <w:left w:val="nil"/>
                  <w:bottom w:val="single" w:sz="4" w:space="0" w:color="95B3D7"/>
                  <w:right w:val="nil"/>
                </w:tcBorders>
                <w:shd w:val="clear" w:color="auto" w:fill="22789A" w:themeFill="accent1"/>
                <w:noWrap/>
              </w:tcPr>
              <w:p w14:paraId="3D922062" w14:textId="77777777" w:rsidR="00830FDC" w:rsidRPr="00844EE1" w:rsidRDefault="00830FDC" w:rsidP="00D0090A">
                <w:pPr>
                  <w:pStyle w:val="Tableheader"/>
                  <w:jc w:val="right"/>
                  <w:rPr>
                    <w:sz w:val="16"/>
                    <w:szCs w:val="12"/>
                  </w:rPr>
                </w:pPr>
                <w:r w:rsidRPr="00844EE1">
                  <w:rPr>
                    <w:sz w:val="16"/>
                    <w:szCs w:val="12"/>
                  </w:rPr>
                  <w:t>C</w:t>
                </w:r>
              </w:p>
            </w:tc>
            <w:tc>
              <w:tcPr>
                <w:tcW w:w="662" w:type="dxa"/>
                <w:tcBorders>
                  <w:top w:val="nil"/>
                  <w:left w:val="nil"/>
                  <w:bottom w:val="single" w:sz="4" w:space="0" w:color="95B3D7"/>
                  <w:right w:val="nil"/>
                </w:tcBorders>
                <w:shd w:val="clear" w:color="auto" w:fill="22789A" w:themeFill="accent1"/>
                <w:noWrap/>
              </w:tcPr>
              <w:p w14:paraId="29F123AC" w14:textId="77777777" w:rsidR="00830FDC" w:rsidRPr="00844EE1" w:rsidRDefault="00830FDC" w:rsidP="00D0090A">
                <w:pPr>
                  <w:pStyle w:val="Tableheader"/>
                  <w:jc w:val="right"/>
                  <w:rPr>
                    <w:sz w:val="16"/>
                    <w:szCs w:val="12"/>
                  </w:rPr>
                </w:pPr>
                <w:r w:rsidRPr="00844EE1">
                  <w:rPr>
                    <w:sz w:val="16"/>
                    <w:szCs w:val="12"/>
                  </w:rPr>
                  <w:t>D</w:t>
                </w:r>
              </w:p>
            </w:tc>
            <w:tc>
              <w:tcPr>
                <w:tcW w:w="661" w:type="dxa"/>
                <w:tcBorders>
                  <w:top w:val="nil"/>
                  <w:left w:val="nil"/>
                  <w:bottom w:val="single" w:sz="4" w:space="0" w:color="95B3D7"/>
                  <w:right w:val="nil"/>
                </w:tcBorders>
                <w:shd w:val="clear" w:color="auto" w:fill="22789A" w:themeFill="accent1"/>
                <w:noWrap/>
              </w:tcPr>
              <w:p w14:paraId="22F24FAF" w14:textId="77777777" w:rsidR="00830FDC" w:rsidRPr="00844EE1" w:rsidRDefault="00830FDC" w:rsidP="00D0090A">
                <w:pPr>
                  <w:pStyle w:val="Tableheader"/>
                  <w:jc w:val="right"/>
                  <w:rPr>
                    <w:sz w:val="16"/>
                    <w:szCs w:val="12"/>
                  </w:rPr>
                </w:pPr>
                <w:r w:rsidRPr="00844EE1">
                  <w:rPr>
                    <w:sz w:val="16"/>
                    <w:szCs w:val="12"/>
                  </w:rPr>
                  <w:t>E</w:t>
                </w:r>
              </w:p>
            </w:tc>
            <w:tc>
              <w:tcPr>
                <w:tcW w:w="662" w:type="dxa"/>
                <w:tcBorders>
                  <w:top w:val="nil"/>
                  <w:left w:val="nil"/>
                  <w:bottom w:val="single" w:sz="4" w:space="0" w:color="95B3D7"/>
                  <w:right w:val="nil"/>
                </w:tcBorders>
                <w:shd w:val="clear" w:color="auto" w:fill="22789A" w:themeFill="accent1"/>
                <w:noWrap/>
              </w:tcPr>
              <w:p w14:paraId="44E7AA04" w14:textId="77777777" w:rsidR="00830FDC" w:rsidRPr="00844EE1" w:rsidRDefault="00830FDC" w:rsidP="00D0090A">
                <w:pPr>
                  <w:pStyle w:val="Tableheader"/>
                  <w:jc w:val="right"/>
                  <w:rPr>
                    <w:sz w:val="16"/>
                    <w:szCs w:val="12"/>
                  </w:rPr>
                </w:pPr>
                <w:r w:rsidRPr="00844EE1">
                  <w:rPr>
                    <w:sz w:val="16"/>
                    <w:szCs w:val="12"/>
                  </w:rPr>
                  <w:t>F</w:t>
                </w:r>
              </w:p>
            </w:tc>
            <w:tc>
              <w:tcPr>
                <w:tcW w:w="662" w:type="dxa"/>
                <w:tcBorders>
                  <w:top w:val="nil"/>
                  <w:left w:val="nil"/>
                  <w:bottom w:val="single" w:sz="4" w:space="0" w:color="95B3D7"/>
                  <w:right w:val="nil"/>
                </w:tcBorders>
                <w:shd w:val="clear" w:color="auto" w:fill="22789A" w:themeFill="accent1"/>
                <w:noWrap/>
              </w:tcPr>
              <w:p w14:paraId="06723333" w14:textId="77777777" w:rsidR="00830FDC" w:rsidRPr="00844EE1" w:rsidRDefault="00830FDC" w:rsidP="00D0090A">
                <w:pPr>
                  <w:pStyle w:val="Tableheader"/>
                  <w:jc w:val="right"/>
                  <w:rPr>
                    <w:sz w:val="16"/>
                    <w:szCs w:val="12"/>
                  </w:rPr>
                </w:pPr>
                <w:r w:rsidRPr="00844EE1">
                  <w:rPr>
                    <w:sz w:val="16"/>
                    <w:szCs w:val="12"/>
                  </w:rPr>
                  <w:t>G</w:t>
                </w:r>
              </w:p>
            </w:tc>
            <w:tc>
              <w:tcPr>
                <w:tcW w:w="662" w:type="dxa"/>
                <w:tcBorders>
                  <w:top w:val="nil"/>
                  <w:left w:val="nil"/>
                  <w:bottom w:val="single" w:sz="4" w:space="0" w:color="95B3D7"/>
                  <w:right w:val="nil"/>
                </w:tcBorders>
                <w:shd w:val="clear" w:color="auto" w:fill="22789A" w:themeFill="accent1"/>
                <w:noWrap/>
              </w:tcPr>
              <w:p w14:paraId="6622D389" w14:textId="77777777" w:rsidR="00830FDC" w:rsidRPr="00844EE1" w:rsidRDefault="00830FDC" w:rsidP="00D0090A">
                <w:pPr>
                  <w:pStyle w:val="Tableheader"/>
                  <w:jc w:val="right"/>
                  <w:rPr>
                    <w:sz w:val="16"/>
                    <w:szCs w:val="12"/>
                  </w:rPr>
                </w:pPr>
                <w:r w:rsidRPr="00844EE1">
                  <w:rPr>
                    <w:sz w:val="16"/>
                    <w:szCs w:val="12"/>
                  </w:rPr>
                  <w:t>H</w:t>
                </w:r>
              </w:p>
            </w:tc>
            <w:tc>
              <w:tcPr>
                <w:tcW w:w="662" w:type="dxa"/>
                <w:tcBorders>
                  <w:top w:val="nil"/>
                  <w:left w:val="nil"/>
                  <w:bottom w:val="single" w:sz="4" w:space="0" w:color="95B3D7"/>
                  <w:right w:val="nil"/>
                </w:tcBorders>
                <w:shd w:val="clear" w:color="auto" w:fill="22789A" w:themeFill="accent1"/>
                <w:noWrap/>
              </w:tcPr>
              <w:p w14:paraId="611A2ED2" w14:textId="77777777" w:rsidR="00830FDC" w:rsidRPr="00844EE1" w:rsidRDefault="00830FDC" w:rsidP="00D0090A">
                <w:pPr>
                  <w:pStyle w:val="Tableheader"/>
                  <w:jc w:val="right"/>
                  <w:rPr>
                    <w:sz w:val="16"/>
                    <w:szCs w:val="12"/>
                  </w:rPr>
                </w:pPr>
                <w:r w:rsidRPr="00844EE1">
                  <w:rPr>
                    <w:sz w:val="16"/>
                    <w:szCs w:val="12"/>
                  </w:rPr>
                  <w:t>I</w:t>
                </w:r>
              </w:p>
            </w:tc>
            <w:tc>
              <w:tcPr>
                <w:tcW w:w="661" w:type="dxa"/>
                <w:tcBorders>
                  <w:top w:val="nil"/>
                  <w:left w:val="nil"/>
                  <w:bottom w:val="single" w:sz="4" w:space="0" w:color="95B3D7"/>
                  <w:right w:val="nil"/>
                </w:tcBorders>
                <w:shd w:val="clear" w:color="auto" w:fill="22789A" w:themeFill="accent1"/>
                <w:noWrap/>
              </w:tcPr>
              <w:p w14:paraId="44831863" w14:textId="77777777" w:rsidR="00830FDC" w:rsidRPr="00844EE1" w:rsidRDefault="00830FDC" w:rsidP="00D0090A">
                <w:pPr>
                  <w:pStyle w:val="Tableheader"/>
                  <w:jc w:val="right"/>
                  <w:rPr>
                    <w:sz w:val="16"/>
                    <w:szCs w:val="12"/>
                  </w:rPr>
                </w:pPr>
                <w:r w:rsidRPr="00844EE1">
                  <w:rPr>
                    <w:sz w:val="16"/>
                    <w:szCs w:val="12"/>
                  </w:rPr>
                  <w:t>J</w:t>
                </w:r>
              </w:p>
            </w:tc>
            <w:tc>
              <w:tcPr>
                <w:tcW w:w="662" w:type="dxa"/>
                <w:tcBorders>
                  <w:top w:val="nil"/>
                  <w:left w:val="nil"/>
                  <w:bottom w:val="single" w:sz="4" w:space="0" w:color="95B3D7"/>
                  <w:right w:val="nil"/>
                </w:tcBorders>
                <w:shd w:val="clear" w:color="auto" w:fill="22789A" w:themeFill="accent1"/>
                <w:noWrap/>
              </w:tcPr>
              <w:p w14:paraId="744B6F98" w14:textId="77777777" w:rsidR="00830FDC" w:rsidRPr="00844EE1" w:rsidRDefault="00830FDC" w:rsidP="00D0090A">
                <w:pPr>
                  <w:pStyle w:val="Tableheader"/>
                  <w:jc w:val="right"/>
                  <w:rPr>
                    <w:sz w:val="16"/>
                    <w:szCs w:val="12"/>
                  </w:rPr>
                </w:pPr>
                <w:r w:rsidRPr="00844EE1">
                  <w:rPr>
                    <w:sz w:val="16"/>
                    <w:szCs w:val="12"/>
                  </w:rPr>
                  <w:t>K</w:t>
                </w:r>
              </w:p>
            </w:tc>
            <w:tc>
              <w:tcPr>
                <w:tcW w:w="662" w:type="dxa"/>
                <w:tcBorders>
                  <w:top w:val="nil"/>
                  <w:left w:val="nil"/>
                  <w:bottom w:val="single" w:sz="4" w:space="0" w:color="95B3D7"/>
                  <w:right w:val="nil"/>
                </w:tcBorders>
                <w:shd w:val="clear" w:color="auto" w:fill="22789A" w:themeFill="accent1"/>
                <w:noWrap/>
              </w:tcPr>
              <w:p w14:paraId="0D050E10" w14:textId="77777777" w:rsidR="00830FDC" w:rsidRPr="00844EE1" w:rsidRDefault="00830FDC" w:rsidP="00D0090A">
                <w:pPr>
                  <w:pStyle w:val="Tableheader"/>
                  <w:jc w:val="right"/>
                  <w:rPr>
                    <w:sz w:val="16"/>
                    <w:szCs w:val="12"/>
                  </w:rPr>
                </w:pPr>
                <w:r w:rsidRPr="00844EE1">
                  <w:rPr>
                    <w:sz w:val="16"/>
                    <w:szCs w:val="12"/>
                  </w:rPr>
                  <w:t>L</w:t>
                </w:r>
              </w:p>
            </w:tc>
            <w:tc>
              <w:tcPr>
                <w:tcW w:w="662" w:type="dxa"/>
                <w:tcBorders>
                  <w:top w:val="nil"/>
                  <w:left w:val="nil"/>
                  <w:bottom w:val="single" w:sz="4" w:space="0" w:color="95B3D7"/>
                  <w:right w:val="nil"/>
                </w:tcBorders>
                <w:shd w:val="clear" w:color="auto" w:fill="22789A" w:themeFill="accent1"/>
                <w:noWrap/>
              </w:tcPr>
              <w:p w14:paraId="15F92866" w14:textId="77777777" w:rsidR="00830FDC" w:rsidRPr="00844EE1" w:rsidRDefault="00830FDC" w:rsidP="00D0090A">
                <w:pPr>
                  <w:pStyle w:val="Tableheader"/>
                  <w:jc w:val="right"/>
                  <w:rPr>
                    <w:sz w:val="16"/>
                    <w:szCs w:val="12"/>
                  </w:rPr>
                </w:pPr>
                <w:r w:rsidRPr="00844EE1">
                  <w:rPr>
                    <w:sz w:val="16"/>
                    <w:szCs w:val="12"/>
                  </w:rPr>
                  <w:t>M</w:t>
                </w:r>
              </w:p>
            </w:tc>
            <w:tc>
              <w:tcPr>
                <w:tcW w:w="662" w:type="dxa"/>
                <w:tcBorders>
                  <w:top w:val="nil"/>
                  <w:left w:val="nil"/>
                  <w:bottom w:val="single" w:sz="4" w:space="0" w:color="95B3D7"/>
                  <w:right w:val="nil"/>
                </w:tcBorders>
                <w:shd w:val="clear" w:color="auto" w:fill="22789A" w:themeFill="accent1"/>
                <w:noWrap/>
              </w:tcPr>
              <w:p w14:paraId="128F8775" w14:textId="77777777" w:rsidR="00830FDC" w:rsidRPr="00844EE1" w:rsidRDefault="00830FDC" w:rsidP="00D0090A">
                <w:pPr>
                  <w:pStyle w:val="Tableheader"/>
                  <w:jc w:val="right"/>
                  <w:rPr>
                    <w:sz w:val="16"/>
                    <w:szCs w:val="12"/>
                  </w:rPr>
                </w:pPr>
                <w:r w:rsidRPr="00844EE1">
                  <w:rPr>
                    <w:sz w:val="16"/>
                    <w:szCs w:val="12"/>
                  </w:rPr>
                  <w:t>N</w:t>
                </w:r>
              </w:p>
            </w:tc>
            <w:tc>
              <w:tcPr>
                <w:tcW w:w="661" w:type="dxa"/>
                <w:tcBorders>
                  <w:top w:val="nil"/>
                  <w:left w:val="nil"/>
                  <w:bottom w:val="single" w:sz="4" w:space="0" w:color="95B3D7"/>
                  <w:right w:val="nil"/>
                </w:tcBorders>
                <w:shd w:val="clear" w:color="auto" w:fill="22789A" w:themeFill="accent1"/>
                <w:noWrap/>
              </w:tcPr>
              <w:p w14:paraId="274C4209" w14:textId="77777777" w:rsidR="00830FDC" w:rsidRPr="00844EE1" w:rsidRDefault="00830FDC" w:rsidP="00D0090A">
                <w:pPr>
                  <w:pStyle w:val="Tableheader"/>
                  <w:jc w:val="right"/>
                  <w:rPr>
                    <w:sz w:val="16"/>
                    <w:szCs w:val="12"/>
                  </w:rPr>
                </w:pPr>
                <w:r w:rsidRPr="00844EE1">
                  <w:rPr>
                    <w:sz w:val="16"/>
                    <w:szCs w:val="12"/>
                  </w:rPr>
                  <w:t>O</w:t>
                </w:r>
              </w:p>
            </w:tc>
            <w:tc>
              <w:tcPr>
                <w:tcW w:w="662" w:type="dxa"/>
                <w:tcBorders>
                  <w:top w:val="nil"/>
                  <w:left w:val="nil"/>
                  <w:bottom w:val="single" w:sz="4" w:space="0" w:color="95B3D7"/>
                  <w:right w:val="nil"/>
                </w:tcBorders>
                <w:shd w:val="clear" w:color="auto" w:fill="22789A" w:themeFill="accent1"/>
                <w:noWrap/>
              </w:tcPr>
              <w:p w14:paraId="338E2564" w14:textId="77777777" w:rsidR="00830FDC" w:rsidRPr="00844EE1" w:rsidRDefault="00830FDC" w:rsidP="00D0090A">
                <w:pPr>
                  <w:pStyle w:val="Tableheader"/>
                  <w:jc w:val="right"/>
                  <w:rPr>
                    <w:sz w:val="16"/>
                    <w:szCs w:val="12"/>
                  </w:rPr>
                </w:pPr>
                <w:r w:rsidRPr="00844EE1">
                  <w:rPr>
                    <w:sz w:val="16"/>
                    <w:szCs w:val="12"/>
                  </w:rPr>
                  <w:t>P</w:t>
                </w:r>
              </w:p>
            </w:tc>
            <w:tc>
              <w:tcPr>
                <w:tcW w:w="662" w:type="dxa"/>
                <w:tcBorders>
                  <w:top w:val="nil"/>
                  <w:left w:val="nil"/>
                  <w:bottom w:val="single" w:sz="4" w:space="0" w:color="95B3D7"/>
                  <w:right w:val="nil"/>
                </w:tcBorders>
                <w:shd w:val="clear" w:color="auto" w:fill="22789A" w:themeFill="accent1"/>
                <w:noWrap/>
              </w:tcPr>
              <w:p w14:paraId="6F3D4A29" w14:textId="77777777" w:rsidR="00830FDC" w:rsidRPr="00844EE1" w:rsidRDefault="00830FDC" w:rsidP="00D0090A">
                <w:pPr>
                  <w:pStyle w:val="Tableheader"/>
                  <w:jc w:val="right"/>
                  <w:rPr>
                    <w:sz w:val="16"/>
                    <w:szCs w:val="12"/>
                  </w:rPr>
                </w:pPr>
                <w:r w:rsidRPr="00844EE1">
                  <w:rPr>
                    <w:sz w:val="16"/>
                    <w:szCs w:val="12"/>
                  </w:rPr>
                  <w:t>Q</w:t>
                </w:r>
              </w:p>
            </w:tc>
            <w:tc>
              <w:tcPr>
                <w:tcW w:w="662" w:type="dxa"/>
                <w:tcBorders>
                  <w:top w:val="nil"/>
                  <w:left w:val="nil"/>
                  <w:bottom w:val="single" w:sz="4" w:space="0" w:color="95B3D7"/>
                  <w:right w:val="nil"/>
                </w:tcBorders>
                <w:shd w:val="clear" w:color="auto" w:fill="22789A" w:themeFill="accent1"/>
                <w:noWrap/>
              </w:tcPr>
              <w:p w14:paraId="1D53091F" w14:textId="77777777" w:rsidR="00830FDC" w:rsidRPr="00844EE1" w:rsidRDefault="00830FDC" w:rsidP="00D0090A">
                <w:pPr>
                  <w:pStyle w:val="Tableheader"/>
                  <w:jc w:val="right"/>
                  <w:rPr>
                    <w:sz w:val="16"/>
                    <w:szCs w:val="12"/>
                  </w:rPr>
                </w:pPr>
                <w:r w:rsidRPr="00844EE1">
                  <w:rPr>
                    <w:sz w:val="16"/>
                    <w:szCs w:val="12"/>
                  </w:rPr>
                  <w:t>R</w:t>
                </w:r>
              </w:p>
            </w:tc>
            <w:tc>
              <w:tcPr>
                <w:tcW w:w="662" w:type="dxa"/>
                <w:tcBorders>
                  <w:top w:val="nil"/>
                  <w:left w:val="nil"/>
                  <w:bottom w:val="single" w:sz="4" w:space="0" w:color="95B3D7"/>
                  <w:right w:val="nil"/>
                </w:tcBorders>
                <w:shd w:val="clear" w:color="auto" w:fill="22789A" w:themeFill="accent1"/>
                <w:noWrap/>
              </w:tcPr>
              <w:p w14:paraId="1591B86A" w14:textId="77777777" w:rsidR="00830FDC" w:rsidRPr="00844EE1" w:rsidRDefault="00830FDC" w:rsidP="00D0090A">
                <w:pPr>
                  <w:pStyle w:val="Tableheader"/>
                  <w:jc w:val="right"/>
                  <w:rPr>
                    <w:sz w:val="16"/>
                    <w:szCs w:val="12"/>
                  </w:rPr>
                </w:pPr>
                <w:r w:rsidRPr="00844EE1">
                  <w:rPr>
                    <w:sz w:val="16"/>
                    <w:szCs w:val="12"/>
                  </w:rPr>
                  <w:t>S</w:t>
                </w:r>
              </w:p>
            </w:tc>
          </w:tr>
          <w:tr w:rsidR="00830FDC" w:rsidRPr="00792A3F" w14:paraId="73D49B8B"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18C3059"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w:t>
                </w:r>
                <w:r w:rsidRPr="009820E8">
                  <w:rPr>
                    <w:color w:val="595A5B" w:themeColor="text1"/>
                    <w:sz w:val="12"/>
                    <w:szCs w:val="16"/>
                    <w:lang w:eastAsia="en-AU"/>
                  </w:rPr>
                  <w:t xml:space="preserve"> </w:t>
                </w:r>
                <w:r w:rsidRPr="00792A3F">
                  <w:rPr>
                    <w:color w:val="595A5B" w:themeColor="text1"/>
                    <w:sz w:val="12"/>
                    <w:szCs w:val="16"/>
                    <w:lang w:eastAsia="en-AU"/>
                  </w:rPr>
                  <w:t>Baulkham Hills and Hawkesbury</w:t>
                </w:r>
              </w:p>
            </w:tc>
            <w:tc>
              <w:tcPr>
                <w:tcW w:w="661" w:type="dxa"/>
                <w:tcBorders>
                  <w:top w:val="nil"/>
                  <w:left w:val="nil"/>
                  <w:bottom w:val="nil"/>
                  <w:right w:val="nil"/>
                </w:tcBorders>
                <w:shd w:val="clear" w:color="auto" w:fill="CAE7F3" w:themeFill="accent1" w:themeFillTint="33"/>
                <w:noWrap/>
                <w:vAlign w:val="bottom"/>
                <w:hideMark/>
              </w:tcPr>
              <w:p w14:paraId="7A27807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93.5</w:t>
                </w:r>
              </w:p>
            </w:tc>
            <w:tc>
              <w:tcPr>
                <w:tcW w:w="662" w:type="dxa"/>
                <w:tcBorders>
                  <w:top w:val="nil"/>
                  <w:left w:val="nil"/>
                  <w:bottom w:val="nil"/>
                  <w:right w:val="nil"/>
                </w:tcBorders>
                <w:shd w:val="clear" w:color="auto" w:fill="CAE7F3" w:themeFill="accent1" w:themeFillTint="33"/>
                <w:noWrap/>
                <w:vAlign w:val="bottom"/>
                <w:hideMark/>
              </w:tcPr>
              <w:p w14:paraId="5878A0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26ACDF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89.8</w:t>
                </w:r>
              </w:p>
            </w:tc>
            <w:tc>
              <w:tcPr>
                <w:tcW w:w="662" w:type="dxa"/>
                <w:tcBorders>
                  <w:top w:val="nil"/>
                  <w:left w:val="nil"/>
                  <w:bottom w:val="nil"/>
                  <w:right w:val="nil"/>
                </w:tcBorders>
                <w:shd w:val="clear" w:color="auto" w:fill="CAE7F3" w:themeFill="accent1" w:themeFillTint="33"/>
                <w:noWrap/>
                <w:vAlign w:val="bottom"/>
                <w:hideMark/>
              </w:tcPr>
              <w:p w14:paraId="50FEC2A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w:t>
                </w:r>
              </w:p>
            </w:tc>
            <w:tc>
              <w:tcPr>
                <w:tcW w:w="661" w:type="dxa"/>
                <w:tcBorders>
                  <w:top w:val="nil"/>
                  <w:left w:val="nil"/>
                  <w:bottom w:val="nil"/>
                  <w:right w:val="nil"/>
                </w:tcBorders>
                <w:shd w:val="clear" w:color="auto" w:fill="CAE7F3" w:themeFill="accent1" w:themeFillTint="33"/>
                <w:noWrap/>
                <w:vAlign w:val="bottom"/>
                <w:hideMark/>
              </w:tcPr>
              <w:p w14:paraId="587E069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577.3</w:t>
                </w:r>
              </w:p>
            </w:tc>
            <w:tc>
              <w:tcPr>
                <w:tcW w:w="662" w:type="dxa"/>
                <w:tcBorders>
                  <w:top w:val="nil"/>
                  <w:left w:val="nil"/>
                  <w:bottom w:val="nil"/>
                  <w:right w:val="nil"/>
                </w:tcBorders>
                <w:shd w:val="clear" w:color="auto" w:fill="CAE7F3" w:themeFill="accent1" w:themeFillTint="33"/>
                <w:noWrap/>
                <w:vAlign w:val="bottom"/>
                <w:hideMark/>
              </w:tcPr>
              <w:p w14:paraId="75CF8F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167.0</w:t>
                </w:r>
              </w:p>
            </w:tc>
            <w:tc>
              <w:tcPr>
                <w:tcW w:w="662" w:type="dxa"/>
                <w:tcBorders>
                  <w:top w:val="nil"/>
                  <w:left w:val="nil"/>
                  <w:bottom w:val="nil"/>
                  <w:right w:val="nil"/>
                </w:tcBorders>
                <w:shd w:val="clear" w:color="auto" w:fill="CAE7F3" w:themeFill="accent1" w:themeFillTint="33"/>
                <w:noWrap/>
                <w:vAlign w:val="bottom"/>
                <w:hideMark/>
              </w:tcPr>
              <w:p w14:paraId="36CA51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239.2</w:t>
                </w:r>
              </w:p>
            </w:tc>
            <w:tc>
              <w:tcPr>
                <w:tcW w:w="662" w:type="dxa"/>
                <w:tcBorders>
                  <w:top w:val="nil"/>
                  <w:left w:val="nil"/>
                  <w:bottom w:val="nil"/>
                  <w:right w:val="nil"/>
                </w:tcBorders>
                <w:shd w:val="clear" w:color="auto" w:fill="CAE7F3" w:themeFill="accent1" w:themeFillTint="33"/>
                <w:noWrap/>
                <w:vAlign w:val="bottom"/>
                <w:hideMark/>
              </w:tcPr>
              <w:p w14:paraId="0AA1AD1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110.8</w:t>
                </w:r>
              </w:p>
            </w:tc>
            <w:tc>
              <w:tcPr>
                <w:tcW w:w="662" w:type="dxa"/>
                <w:tcBorders>
                  <w:top w:val="nil"/>
                  <w:left w:val="nil"/>
                  <w:bottom w:val="nil"/>
                  <w:right w:val="nil"/>
                </w:tcBorders>
                <w:shd w:val="clear" w:color="auto" w:fill="CAE7F3" w:themeFill="accent1" w:themeFillTint="33"/>
                <w:noWrap/>
                <w:vAlign w:val="bottom"/>
                <w:hideMark/>
              </w:tcPr>
              <w:p w14:paraId="777B236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132.7</w:t>
                </w:r>
              </w:p>
            </w:tc>
            <w:tc>
              <w:tcPr>
                <w:tcW w:w="661" w:type="dxa"/>
                <w:tcBorders>
                  <w:top w:val="nil"/>
                  <w:left w:val="nil"/>
                  <w:bottom w:val="nil"/>
                  <w:right w:val="nil"/>
                </w:tcBorders>
                <w:shd w:val="clear" w:color="auto" w:fill="CAE7F3" w:themeFill="accent1" w:themeFillTint="33"/>
                <w:noWrap/>
                <w:vAlign w:val="bottom"/>
                <w:hideMark/>
              </w:tcPr>
              <w:p w14:paraId="4A0AEA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40.0</w:t>
                </w:r>
              </w:p>
            </w:tc>
            <w:tc>
              <w:tcPr>
                <w:tcW w:w="662" w:type="dxa"/>
                <w:tcBorders>
                  <w:top w:val="nil"/>
                  <w:left w:val="nil"/>
                  <w:bottom w:val="nil"/>
                  <w:right w:val="nil"/>
                </w:tcBorders>
                <w:shd w:val="clear" w:color="auto" w:fill="CAE7F3" w:themeFill="accent1" w:themeFillTint="33"/>
                <w:noWrap/>
                <w:vAlign w:val="bottom"/>
                <w:hideMark/>
              </w:tcPr>
              <w:p w14:paraId="1FC1223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354.0</w:t>
                </w:r>
              </w:p>
            </w:tc>
            <w:tc>
              <w:tcPr>
                <w:tcW w:w="662" w:type="dxa"/>
                <w:tcBorders>
                  <w:top w:val="nil"/>
                  <w:left w:val="nil"/>
                  <w:bottom w:val="nil"/>
                  <w:right w:val="nil"/>
                </w:tcBorders>
                <w:shd w:val="clear" w:color="auto" w:fill="CAE7F3" w:themeFill="accent1" w:themeFillTint="33"/>
                <w:noWrap/>
                <w:vAlign w:val="bottom"/>
                <w:hideMark/>
              </w:tcPr>
              <w:p w14:paraId="4F4AE5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304.5</w:t>
                </w:r>
              </w:p>
            </w:tc>
            <w:tc>
              <w:tcPr>
                <w:tcW w:w="662" w:type="dxa"/>
                <w:tcBorders>
                  <w:top w:val="nil"/>
                  <w:left w:val="nil"/>
                  <w:bottom w:val="nil"/>
                  <w:right w:val="nil"/>
                </w:tcBorders>
                <w:shd w:val="clear" w:color="auto" w:fill="CAE7F3" w:themeFill="accent1" w:themeFillTint="33"/>
                <w:noWrap/>
                <w:vAlign w:val="bottom"/>
                <w:hideMark/>
              </w:tcPr>
              <w:p w14:paraId="0750AF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541.2</w:t>
                </w:r>
              </w:p>
            </w:tc>
            <w:tc>
              <w:tcPr>
                <w:tcW w:w="662" w:type="dxa"/>
                <w:tcBorders>
                  <w:top w:val="nil"/>
                  <w:left w:val="nil"/>
                  <w:bottom w:val="nil"/>
                  <w:right w:val="nil"/>
                </w:tcBorders>
                <w:shd w:val="clear" w:color="auto" w:fill="CAE7F3" w:themeFill="accent1" w:themeFillTint="33"/>
                <w:noWrap/>
                <w:vAlign w:val="bottom"/>
                <w:hideMark/>
              </w:tcPr>
              <w:p w14:paraId="3D6632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150.8</w:t>
                </w:r>
              </w:p>
            </w:tc>
            <w:tc>
              <w:tcPr>
                <w:tcW w:w="661" w:type="dxa"/>
                <w:tcBorders>
                  <w:top w:val="nil"/>
                  <w:left w:val="nil"/>
                  <w:bottom w:val="nil"/>
                  <w:right w:val="nil"/>
                </w:tcBorders>
                <w:shd w:val="clear" w:color="auto" w:fill="CAE7F3" w:themeFill="accent1" w:themeFillTint="33"/>
                <w:noWrap/>
                <w:vAlign w:val="bottom"/>
                <w:hideMark/>
              </w:tcPr>
              <w:p w14:paraId="149AED9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19.0</w:t>
                </w:r>
              </w:p>
            </w:tc>
            <w:tc>
              <w:tcPr>
                <w:tcW w:w="662" w:type="dxa"/>
                <w:tcBorders>
                  <w:top w:val="nil"/>
                  <w:left w:val="nil"/>
                  <w:bottom w:val="nil"/>
                  <w:right w:val="nil"/>
                </w:tcBorders>
                <w:shd w:val="clear" w:color="auto" w:fill="CAE7F3" w:themeFill="accent1" w:themeFillTint="33"/>
                <w:noWrap/>
                <w:vAlign w:val="bottom"/>
                <w:hideMark/>
              </w:tcPr>
              <w:p w14:paraId="1698D3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59.7</w:t>
                </w:r>
              </w:p>
            </w:tc>
            <w:tc>
              <w:tcPr>
                <w:tcW w:w="662" w:type="dxa"/>
                <w:tcBorders>
                  <w:top w:val="nil"/>
                  <w:left w:val="nil"/>
                  <w:bottom w:val="nil"/>
                  <w:right w:val="nil"/>
                </w:tcBorders>
                <w:shd w:val="clear" w:color="auto" w:fill="CAE7F3" w:themeFill="accent1" w:themeFillTint="33"/>
                <w:noWrap/>
                <w:vAlign w:val="bottom"/>
                <w:hideMark/>
              </w:tcPr>
              <w:p w14:paraId="7FF6D1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149.3</w:t>
                </w:r>
              </w:p>
            </w:tc>
            <w:tc>
              <w:tcPr>
                <w:tcW w:w="662" w:type="dxa"/>
                <w:tcBorders>
                  <w:top w:val="nil"/>
                  <w:left w:val="nil"/>
                  <w:bottom w:val="nil"/>
                  <w:right w:val="nil"/>
                </w:tcBorders>
                <w:shd w:val="clear" w:color="auto" w:fill="CAE7F3" w:themeFill="accent1" w:themeFillTint="33"/>
                <w:noWrap/>
                <w:vAlign w:val="bottom"/>
                <w:hideMark/>
              </w:tcPr>
              <w:p w14:paraId="3ABEF41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42.5</w:t>
                </w:r>
              </w:p>
            </w:tc>
            <w:tc>
              <w:tcPr>
                <w:tcW w:w="662" w:type="dxa"/>
                <w:tcBorders>
                  <w:top w:val="nil"/>
                  <w:left w:val="nil"/>
                  <w:bottom w:val="nil"/>
                  <w:right w:val="nil"/>
                </w:tcBorders>
                <w:shd w:val="clear" w:color="auto" w:fill="CAE7F3" w:themeFill="accent1" w:themeFillTint="33"/>
                <w:noWrap/>
                <w:vAlign w:val="bottom"/>
                <w:hideMark/>
              </w:tcPr>
              <w:p w14:paraId="4AA695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122.2</w:t>
                </w:r>
              </w:p>
            </w:tc>
          </w:tr>
          <w:tr w:rsidR="00830FDC" w:rsidRPr="00792A3F" w14:paraId="34570B0B"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E6009C6"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Blacktown</w:t>
                </w:r>
              </w:p>
            </w:tc>
            <w:tc>
              <w:tcPr>
                <w:tcW w:w="661" w:type="dxa"/>
                <w:tcBorders>
                  <w:top w:val="nil"/>
                  <w:left w:val="nil"/>
                  <w:bottom w:val="nil"/>
                  <w:right w:val="nil"/>
                </w:tcBorders>
                <w:shd w:val="clear" w:color="auto" w:fill="CAE7F3" w:themeFill="accent1" w:themeFillTint="33"/>
                <w:noWrap/>
                <w:vAlign w:val="bottom"/>
                <w:hideMark/>
              </w:tcPr>
              <w:p w14:paraId="0563C8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38.3</w:t>
                </w:r>
              </w:p>
            </w:tc>
            <w:tc>
              <w:tcPr>
                <w:tcW w:w="662" w:type="dxa"/>
                <w:tcBorders>
                  <w:top w:val="nil"/>
                  <w:left w:val="nil"/>
                  <w:bottom w:val="nil"/>
                  <w:right w:val="nil"/>
                </w:tcBorders>
                <w:shd w:val="clear" w:color="auto" w:fill="CAE7F3" w:themeFill="accent1" w:themeFillTint="33"/>
                <w:noWrap/>
                <w:vAlign w:val="bottom"/>
                <w:hideMark/>
              </w:tcPr>
              <w:p w14:paraId="60107D1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w:t>
                </w:r>
              </w:p>
            </w:tc>
            <w:tc>
              <w:tcPr>
                <w:tcW w:w="662" w:type="dxa"/>
                <w:tcBorders>
                  <w:top w:val="nil"/>
                  <w:left w:val="nil"/>
                  <w:bottom w:val="nil"/>
                  <w:right w:val="nil"/>
                </w:tcBorders>
                <w:shd w:val="clear" w:color="auto" w:fill="CAE7F3" w:themeFill="accent1" w:themeFillTint="33"/>
                <w:noWrap/>
                <w:vAlign w:val="bottom"/>
                <w:hideMark/>
              </w:tcPr>
              <w:p w14:paraId="739CC9D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98.2</w:t>
                </w:r>
              </w:p>
            </w:tc>
            <w:tc>
              <w:tcPr>
                <w:tcW w:w="662" w:type="dxa"/>
                <w:tcBorders>
                  <w:top w:val="nil"/>
                  <w:left w:val="nil"/>
                  <w:bottom w:val="nil"/>
                  <w:right w:val="nil"/>
                </w:tcBorders>
                <w:shd w:val="clear" w:color="auto" w:fill="CAE7F3" w:themeFill="accent1" w:themeFillTint="33"/>
                <w:noWrap/>
                <w:vAlign w:val="bottom"/>
                <w:hideMark/>
              </w:tcPr>
              <w:p w14:paraId="60F7B3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w:t>
                </w:r>
              </w:p>
            </w:tc>
            <w:tc>
              <w:tcPr>
                <w:tcW w:w="661" w:type="dxa"/>
                <w:tcBorders>
                  <w:top w:val="nil"/>
                  <w:left w:val="nil"/>
                  <w:bottom w:val="nil"/>
                  <w:right w:val="nil"/>
                </w:tcBorders>
                <w:shd w:val="clear" w:color="auto" w:fill="CAE7F3" w:themeFill="accent1" w:themeFillTint="33"/>
                <w:noWrap/>
                <w:vAlign w:val="bottom"/>
                <w:hideMark/>
              </w:tcPr>
              <w:p w14:paraId="19A8DF9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558.8</w:t>
                </w:r>
              </w:p>
            </w:tc>
            <w:tc>
              <w:tcPr>
                <w:tcW w:w="662" w:type="dxa"/>
                <w:tcBorders>
                  <w:top w:val="nil"/>
                  <w:left w:val="nil"/>
                  <w:bottom w:val="nil"/>
                  <w:right w:val="nil"/>
                </w:tcBorders>
                <w:shd w:val="clear" w:color="auto" w:fill="CAE7F3" w:themeFill="accent1" w:themeFillTint="33"/>
                <w:noWrap/>
                <w:vAlign w:val="bottom"/>
                <w:hideMark/>
              </w:tcPr>
              <w:p w14:paraId="7E9741E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121.5</w:t>
                </w:r>
              </w:p>
            </w:tc>
            <w:tc>
              <w:tcPr>
                <w:tcW w:w="662" w:type="dxa"/>
                <w:tcBorders>
                  <w:top w:val="nil"/>
                  <w:left w:val="nil"/>
                  <w:bottom w:val="nil"/>
                  <w:right w:val="nil"/>
                </w:tcBorders>
                <w:shd w:val="clear" w:color="auto" w:fill="CAE7F3" w:themeFill="accent1" w:themeFillTint="33"/>
                <w:noWrap/>
                <w:vAlign w:val="bottom"/>
                <w:hideMark/>
              </w:tcPr>
              <w:p w14:paraId="0BC934A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227.5</w:t>
                </w:r>
              </w:p>
            </w:tc>
            <w:tc>
              <w:tcPr>
                <w:tcW w:w="662" w:type="dxa"/>
                <w:tcBorders>
                  <w:top w:val="nil"/>
                  <w:left w:val="nil"/>
                  <w:bottom w:val="nil"/>
                  <w:right w:val="nil"/>
                </w:tcBorders>
                <w:shd w:val="clear" w:color="auto" w:fill="CAE7F3" w:themeFill="accent1" w:themeFillTint="33"/>
                <w:noWrap/>
                <w:vAlign w:val="bottom"/>
                <w:hideMark/>
              </w:tcPr>
              <w:p w14:paraId="40F4F75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121.3</w:t>
                </w:r>
              </w:p>
            </w:tc>
            <w:tc>
              <w:tcPr>
                <w:tcW w:w="662" w:type="dxa"/>
                <w:tcBorders>
                  <w:top w:val="nil"/>
                  <w:left w:val="nil"/>
                  <w:bottom w:val="nil"/>
                  <w:right w:val="nil"/>
                </w:tcBorders>
                <w:shd w:val="clear" w:color="auto" w:fill="CAE7F3" w:themeFill="accent1" w:themeFillTint="33"/>
                <w:noWrap/>
                <w:vAlign w:val="bottom"/>
                <w:hideMark/>
              </w:tcPr>
              <w:p w14:paraId="10C222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414.0</w:t>
                </w:r>
              </w:p>
            </w:tc>
            <w:tc>
              <w:tcPr>
                <w:tcW w:w="661" w:type="dxa"/>
                <w:tcBorders>
                  <w:top w:val="nil"/>
                  <w:left w:val="nil"/>
                  <w:bottom w:val="nil"/>
                  <w:right w:val="nil"/>
                </w:tcBorders>
                <w:shd w:val="clear" w:color="auto" w:fill="CAE7F3" w:themeFill="accent1" w:themeFillTint="33"/>
                <w:noWrap/>
                <w:vAlign w:val="bottom"/>
                <w:hideMark/>
              </w:tcPr>
              <w:p w14:paraId="02C548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23.2</w:t>
                </w:r>
              </w:p>
            </w:tc>
            <w:tc>
              <w:tcPr>
                <w:tcW w:w="662" w:type="dxa"/>
                <w:tcBorders>
                  <w:top w:val="nil"/>
                  <w:left w:val="nil"/>
                  <w:bottom w:val="nil"/>
                  <w:right w:val="nil"/>
                </w:tcBorders>
                <w:shd w:val="clear" w:color="auto" w:fill="CAE7F3" w:themeFill="accent1" w:themeFillTint="33"/>
                <w:noWrap/>
                <w:vAlign w:val="bottom"/>
                <w:hideMark/>
              </w:tcPr>
              <w:p w14:paraId="6573D6F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159.0</w:t>
                </w:r>
              </w:p>
            </w:tc>
            <w:tc>
              <w:tcPr>
                <w:tcW w:w="662" w:type="dxa"/>
                <w:tcBorders>
                  <w:top w:val="nil"/>
                  <w:left w:val="nil"/>
                  <w:bottom w:val="nil"/>
                  <w:right w:val="nil"/>
                </w:tcBorders>
                <w:shd w:val="clear" w:color="auto" w:fill="CAE7F3" w:themeFill="accent1" w:themeFillTint="33"/>
                <w:noWrap/>
                <w:vAlign w:val="bottom"/>
                <w:hideMark/>
              </w:tcPr>
              <w:p w14:paraId="280A9A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140.5</w:t>
                </w:r>
              </w:p>
            </w:tc>
            <w:tc>
              <w:tcPr>
                <w:tcW w:w="662" w:type="dxa"/>
                <w:tcBorders>
                  <w:top w:val="nil"/>
                  <w:left w:val="nil"/>
                  <w:bottom w:val="nil"/>
                  <w:right w:val="nil"/>
                </w:tcBorders>
                <w:shd w:val="clear" w:color="auto" w:fill="CAE7F3" w:themeFill="accent1" w:themeFillTint="33"/>
                <w:noWrap/>
                <w:vAlign w:val="bottom"/>
                <w:hideMark/>
              </w:tcPr>
              <w:p w14:paraId="39D6DA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307.8</w:t>
                </w:r>
              </w:p>
            </w:tc>
            <w:tc>
              <w:tcPr>
                <w:tcW w:w="662" w:type="dxa"/>
                <w:tcBorders>
                  <w:top w:val="nil"/>
                  <w:left w:val="nil"/>
                  <w:bottom w:val="nil"/>
                  <w:right w:val="nil"/>
                </w:tcBorders>
                <w:shd w:val="clear" w:color="auto" w:fill="CAE7F3" w:themeFill="accent1" w:themeFillTint="33"/>
                <w:noWrap/>
                <w:vAlign w:val="bottom"/>
                <w:hideMark/>
              </w:tcPr>
              <w:p w14:paraId="028A2A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199.8</w:t>
                </w:r>
              </w:p>
            </w:tc>
            <w:tc>
              <w:tcPr>
                <w:tcW w:w="661" w:type="dxa"/>
                <w:tcBorders>
                  <w:top w:val="nil"/>
                  <w:left w:val="nil"/>
                  <w:bottom w:val="nil"/>
                  <w:right w:val="nil"/>
                </w:tcBorders>
                <w:shd w:val="clear" w:color="auto" w:fill="CAE7F3" w:themeFill="accent1" w:themeFillTint="33"/>
                <w:noWrap/>
                <w:vAlign w:val="bottom"/>
                <w:hideMark/>
              </w:tcPr>
              <w:p w14:paraId="0986EF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35.5</w:t>
                </w:r>
              </w:p>
            </w:tc>
            <w:tc>
              <w:tcPr>
                <w:tcW w:w="662" w:type="dxa"/>
                <w:tcBorders>
                  <w:top w:val="nil"/>
                  <w:left w:val="nil"/>
                  <w:bottom w:val="nil"/>
                  <w:right w:val="nil"/>
                </w:tcBorders>
                <w:shd w:val="clear" w:color="auto" w:fill="CAE7F3" w:themeFill="accent1" w:themeFillTint="33"/>
                <w:noWrap/>
                <w:vAlign w:val="bottom"/>
                <w:hideMark/>
              </w:tcPr>
              <w:p w14:paraId="188D75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35.0</w:t>
                </w:r>
              </w:p>
            </w:tc>
            <w:tc>
              <w:tcPr>
                <w:tcW w:w="662" w:type="dxa"/>
                <w:tcBorders>
                  <w:top w:val="nil"/>
                  <w:left w:val="nil"/>
                  <w:bottom w:val="nil"/>
                  <w:right w:val="nil"/>
                </w:tcBorders>
                <w:shd w:val="clear" w:color="auto" w:fill="CAE7F3" w:themeFill="accent1" w:themeFillTint="33"/>
                <w:noWrap/>
                <w:vAlign w:val="bottom"/>
                <w:hideMark/>
              </w:tcPr>
              <w:p w14:paraId="05F3E7C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105.5</w:t>
                </w:r>
              </w:p>
            </w:tc>
            <w:tc>
              <w:tcPr>
                <w:tcW w:w="662" w:type="dxa"/>
                <w:tcBorders>
                  <w:top w:val="nil"/>
                  <w:left w:val="nil"/>
                  <w:bottom w:val="nil"/>
                  <w:right w:val="nil"/>
                </w:tcBorders>
                <w:shd w:val="clear" w:color="auto" w:fill="CAE7F3" w:themeFill="accent1" w:themeFillTint="33"/>
                <w:noWrap/>
                <w:vAlign w:val="bottom"/>
                <w:hideMark/>
              </w:tcPr>
              <w:p w14:paraId="790EAF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32.0</w:t>
                </w:r>
              </w:p>
            </w:tc>
            <w:tc>
              <w:tcPr>
                <w:tcW w:w="662" w:type="dxa"/>
                <w:tcBorders>
                  <w:top w:val="nil"/>
                  <w:left w:val="nil"/>
                  <w:bottom w:val="nil"/>
                  <w:right w:val="nil"/>
                </w:tcBorders>
                <w:shd w:val="clear" w:color="auto" w:fill="CAE7F3" w:themeFill="accent1" w:themeFillTint="33"/>
                <w:noWrap/>
                <w:vAlign w:val="bottom"/>
                <w:hideMark/>
              </w:tcPr>
              <w:p w14:paraId="438084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154.7</w:t>
                </w:r>
              </w:p>
            </w:tc>
          </w:tr>
          <w:tr w:rsidR="00830FDC" w:rsidRPr="00792A3F" w14:paraId="7F503ED9"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A4F6570"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City and Inner South</w:t>
                </w:r>
              </w:p>
            </w:tc>
            <w:tc>
              <w:tcPr>
                <w:tcW w:w="661" w:type="dxa"/>
                <w:tcBorders>
                  <w:top w:val="nil"/>
                  <w:left w:val="nil"/>
                  <w:bottom w:val="nil"/>
                  <w:right w:val="nil"/>
                </w:tcBorders>
                <w:shd w:val="clear" w:color="auto" w:fill="CAE7F3" w:themeFill="accent1" w:themeFillTint="33"/>
                <w:noWrap/>
                <w:vAlign w:val="bottom"/>
                <w:hideMark/>
              </w:tcPr>
              <w:p w14:paraId="22F3354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93.8</w:t>
                </w:r>
              </w:p>
            </w:tc>
            <w:tc>
              <w:tcPr>
                <w:tcW w:w="662" w:type="dxa"/>
                <w:tcBorders>
                  <w:top w:val="nil"/>
                  <w:left w:val="nil"/>
                  <w:bottom w:val="nil"/>
                  <w:right w:val="nil"/>
                </w:tcBorders>
                <w:shd w:val="clear" w:color="auto" w:fill="CAE7F3" w:themeFill="accent1" w:themeFillTint="33"/>
                <w:noWrap/>
                <w:vAlign w:val="bottom"/>
                <w:hideMark/>
              </w:tcPr>
              <w:p w14:paraId="674EE7F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64.3</w:t>
                </w:r>
              </w:p>
            </w:tc>
            <w:tc>
              <w:tcPr>
                <w:tcW w:w="662" w:type="dxa"/>
                <w:tcBorders>
                  <w:top w:val="nil"/>
                  <w:left w:val="nil"/>
                  <w:bottom w:val="nil"/>
                  <w:right w:val="nil"/>
                </w:tcBorders>
                <w:shd w:val="clear" w:color="auto" w:fill="CAE7F3" w:themeFill="accent1" w:themeFillTint="33"/>
                <w:noWrap/>
                <w:vAlign w:val="bottom"/>
                <w:hideMark/>
              </w:tcPr>
              <w:p w14:paraId="5925B1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255.0</w:t>
                </w:r>
              </w:p>
            </w:tc>
            <w:tc>
              <w:tcPr>
                <w:tcW w:w="662" w:type="dxa"/>
                <w:tcBorders>
                  <w:top w:val="nil"/>
                  <w:left w:val="nil"/>
                  <w:bottom w:val="nil"/>
                  <w:right w:val="nil"/>
                </w:tcBorders>
                <w:shd w:val="clear" w:color="auto" w:fill="CAE7F3" w:themeFill="accent1" w:themeFillTint="33"/>
                <w:noWrap/>
                <w:vAlign w:val="bottom"/>
                <w:hideMark/>
              </w:tcPr>
              <w:p w14:paraId="1605C35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28.8</w:t>
                </w:r>
              </w:p>
            </w:tc>
            <w:tc>
              <w:tcPr>
                <w:tcW w:w="661" w:type="dxa"/>
                <w:tcBorders>
                  <w:top w:val="nil"/>
                  <w:left w:val="nil"/>
                  <w:bottom w:val="nil"/>
                  <w:right w:val="nil"/>
                </w:tcBorders>
                <w:shd w:val="clear" w:color="auto" w:fill="CAE7F3" w:themeFill="accent1" w:themeFillTint="33"/>
                <w:noWrap/>
                <w:vAlign w:val="bottom"/>
                <w:hideMark/>
              </w:tcPr>
              <w:p w14:paraId="7622EFD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863.5</w:t>
                </w:r>
              </w:p>
            </w:tc>
            <w:tc>
              <w:tcPr>
                <w:tcW w:w="662" w:type="dxa"/>
                <w:tcBorders>
                  <w:top w:val="nil"/>
                  <w:left w:val="nil"/>
                  <w:bottom w:val="nil"/>
                  <w:right w:val="nil"/>
                </w:tcBorders>
                <w:shd w:val="clear" w:color="auto" w:fill="CAE7F3" w:themeFill="accent1" w:themeFillTint="33"/>
                <w:noWrap/>
                <w:vAlign w:val="bottom"/>
                <w:hideMark/>
              </w:tcPr>
              <w:p w14:paraId="3557D6C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452.2</w:t>
                </w:r>
              </w:p>
            </w:tc>
            <w:tc>
              <w:tcPr>
                <w:tcW w:w="662" w:type="dxa"/>
                <w:tcBorders>
                  <w:top w:val="nil"/>
                  <w:left w:val="nil"/>
                  <w:bottom w:val="nil"/>
                  <w:right w:val="nil"/>
                </w:tcBorders>
                <w:shd w:val="clear" w:color="auto" w:fill="CAE7F3" w:themeFill="accent1" w:themeFillTint="33"/>
                <w:noWrap/>
                <w:vAlign w:val="bottom"/>
                <w:hideMark/>
              </w:tcPr>
              <w:p w14:paraId="05D7A22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715.8</w:t>
                </w:r>
              </w:p>
            </w:tc>
            <w:tc>
              <w:tcPr>
                <w:tcW w:w="662" w:type="dxa"/>
                <w:tcBorders>
                  <w:top w:val="nil"/>
                  <w:left w:val="nil"/>
                  <w:bottom w:val="nil"/>
                  <w:right w:val="nil"/>
                </w:tcBorders>
                <w:shd w:val="clear" w:color="auto" w:fill="CAE7F3" w:themeFill="accent1" w:themeFillTint="33"/>
                <w:noWrap/>
                <w:vAlign w:val="bottom"/>
                <w:hideMark/>
              </w:tcPr>
              <w:p w14:paraId="3C758B4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712.2</w:t>
                </w:r>
              </w:p>
            </w:tc>
            <w:tc>
              <w:tcPr>
                <w:tcW w:w="662" w:type="dxa"/>
                <w:tcBorders>
                  <w:top w:val="nil"/>
                  <w:left w:val="nil"/>
                  <w:bottom w:val="nil"/>
                  <w:right w:val="nil"/>
                </w:tcBorders>
                <w:shd w:val="clear" w:color="auto" w:fill="CAE7F3" w:themeFill="accent1" w:themeFillTint="33"/>
                <w:noWrap/>
                <w:vAlign w:val="bottom"/>
                <w:hideMark/>
              </w:tcPr>
              <w:p w14:paraId="046D61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302.2</w:t>
                </w:r>
              </w:p>
            </w:tc>
            <w:tc>
              <w:tcPr>
                <w:tcW w:w="661" w:type="dxa"/>
                <w:tcBorders>
                  <w:top w:val="nil"/>
                  <w:left w:val="nil"/>
                  <w:bottom w:val="nil"/>
                  <w:right w:val="nil"/>
                </w:tcBorders>
                <w:shd w:val="clear" w:color="auto" w:fill="CAE7F3" w:themeFill="accent1" w:themeFillTint="33"/>
                <w:noWrap/>
                <w:vAlign w:val="bottom"/>
                <w:hideMark/>
              </w:tcPr>
              <w:p w14:paraId="734D35E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269.5</w:t>
                </w:r>
              </w:p>
            </w:tc>
            <w:tc>
              <w:tcPr>
                <w:tcW w:w="662" w:type="dxa"/>
                <w:tcBorders>
                  <w:top w:val="nil"/>
                  <w:left w:val="nil"/>
                  <w:bottom w:val="nil"/>
                  <w:right w:val="nil"/>
                </w:tcBorders>
                <w:shd w:val="clear" w:color="auto" w:fill="CAE7F3" w:themeFill="accent1" w:themeFillTint="33"/>
                <w:noWrap/>
                <w:vAlign w:val="bottom"/>
                <w:hideMark/>
              </w:tcPr>
              <w:p w14:paraId="741AEA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1429.8</w:t>
                </w:r>
              </w:p>
            </w:tc>
            <w:tc>
              <w:tcPr>
                <w:tcW w:w="662" w:type="dxa"/>
                <w:tcBorders>
                  <w:top w:val="nil"/>
                  <w:left w:val="nil"/>
                  <w:bottom w:val="nil"/>
                  <w:right w:val="nil"/>
                </w:tcBorders>
                <w:shd w:val="clear" w:color="auto" w:fill="CAE7F3" w:themeFill="accent1" w:themeFillTint="33"/>
                <w:noWrap/>
                <w:vAlign w:val="bottom"/>
                <w:hideMark/>
              </w:tcPr>
              <w:p w14:paraId="47A1AC9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1051.7</w:t>
                </w:r>
              </w:p>
            </w:tc>
            <w:tc>
              <w:tcPr>
                <w:tcW w:w="662" w:type="dxa"/>
                <w:tcBorders>
                  <w:top w:val="nil"/>
                  <w:left w:val="nil"/>
                  <w:bottom w:val="nil"/>
                  <w:right w:val="nil"/>
                </w:tcBorders>
                <w:shd w:val="clear" w:color="auto" w:fill="CAE7F3" w:themeFill="accent1" w:themeFillTint="33"/>
                <w:noWrap/>
                <w:vAlign w:val="bottom"/>
                <w:hideMark/>
              </w:tcPr>
              <w:p w14:paraId="206659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1862.7</w:t>
                </w:r>
              </w:p>
            </w:tc>
            <w:tc>
              <w:tcPr>
                <w:tcW w:w="662" w:type="dxa"/>
                <w:tcBorders>
                  <w:top w:val="nil"/>
                  <w:left w:val="nil"/>
                  <w:bottom w:val="nil"/>
                  <w:right w:val="nil"/>
                </w:tcBorders>
                <w:shd w:val="clear" w:color="auto" w:fill="CAE7F3" w:themeFill="accent1" w:themeFillTint="33"/>
                <w:noWrap/>
                <w:vAlign w:val="bottom"/>
                <w:hideMark/>
              </w:tcPr>
              <w:p w14:paraId="1172EC7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622.5</w:t>
                </w:r>
              </w:p>
            </w:tc>
            <w:tc>
              <w:tcPr>
                <w:tcW w:w="661" w:type="dxa"/>
                <w:tcBorders>
                  <w:top w:val="nil"/>
                  <w:left w:val="nil"/>
                  <w:bottom w:val="nil"/>
                  <w:right w:val="nil"/>
                </w:tcBorders>
                <w:shd w:val="clear" w:color="auto" w:fill="CAE7F3" w:themeFill="accent1" w:themeFillTint="33"/>
                <w:noWrap/>
                <w:vAlign w:val="bottom"/>
                <w:hideMark/>
              </w:tcPr>
              <w:p w14:paraId="00E55EA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53.0</w:t>
                </w:r>
              </w:p>
            </w:tc>
            <w:tc>
              <w:tcPr>
                <w:tcW w:w="662" w:type="dxa"/>
                <w:tcBorders>
                  <w:top w:val="nil"/>
                  <w:left w:val="nil"/>
                  <w:bottom w:val="nil"/>
                  <w:right w:val="nil"/>
                </w:tcBorders>
                <w:shd w:val="clear" w:color="auto" w:fill="CAE7F3" w:themeFill="accent1" w:themeFillTint="33"/>
                <w:noWrap/>
                <w:vAlign w:val="bottom"/>
                <w:hideMark/>
              </w:tcPr>
              <w:p w14:paraId="7A6DF27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135.3</w:t>
                </w:r>
              </w:p>
            </w:tc>
            <w:tc>
              <w:tcPr>
                <w:tcW w:w="662" w:type="dxa"/>
                <w:tcBorders>
                  <w:top w:val="nil"/>
                  <w:left w:val="nil"/>
                  <w:bottom w:val="nil"/>
                  <w:right w:val="nil"/>
                </w:tcBorders>
                <w:shd w:val="clear" w:color="auto" w:fill="CAE7F3" w:themeFill="accent1" w:themeFillTint="33"/>
                <w:noWrap/>
                <w:vAlign w:val="bottom"/>
                <w:hideMark/>
              </w:tcPr>
              <w:p w14:paraId="66FB43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305.0</w:t>
                </w:r>
              </w:p>
            </w:tc>
            <w:tc>
              <w:tcPr>
                <w:tcW w:w="662" w:type="dxa"/>
                <w:tcBorders>
                  <w:top w:val="nil"/>
                  <w:left w:val="nil"/>
                  <w:bottom w:val="nil"/>
                  <w:right w:val="nil"/>
                </w:tcBorders>
                <w:shd w:val="clear" w:color="auto" w:fill="CAE7F3" w:themeFill="accent1" w:themeFillTint="33"/>
                <w:noWrap/>
                <w:vAlign w:val="bottom"/>
                <w:hideMark/>
              </w:tcPr>
              <w:p w14:paraId="505F384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187.3</w:t>
                </w:r>
              </w:p>
            </w:tc>
            <w:tc>
              <w:tcPr>
                <w:tcW w:w="662" w:type="dxa"/>
                <w:tcBorders>
                  <w:top w:val="nil"/>
                  <w:left w:val="nil"/>
                  <w:bottom w:val="nil"/>
                  <w:right w:val="nil"/>
                </w:tcBorders>
                <w:shd w:val="clear" w:color="auto" w:fill="CAE7F3" w:themeFill="accent1" w:themeFillTint="33"/>
                <w:noWrap/>
                <w:vAlign w:val="bottom"/>
                <w:hideMark/>
              </w:tcPr>
              <w:p w14:paraId="6FFE069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301.2</w:t>
                </w:r>
              </w:p>
            </w:tc>
          </w:tr>
          <w:tr w:rsidR="00830FDC" w:rsidRPr="00792A3F" w14:paraId="6D210C48"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488033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Eastern Suburbs</w:t>
                </w:r>
              </w:p>
            </w:tc>
            <w:tc>
              <w:tcPr>
                <w:tcW w:w="661" w:type="dxa"/>
                <w:tcBorders>
                  <w:top w:val="nil"/>
                  <w:left w:val="nil"/>
                  <w:bottom w:val="nil"/>
                  <w:right w:val="nil"/>
                </w:tcBorders>
                <w:shd w:val="clear" w:color="auto" w:fill="CAE7F3" w:themeFill="accent1" w:themeFillTint="33"/>
                <w:noWrap/>
                <w:vAlign w:val="bottom"/>
                <w:hideMark/>
              </w:tcPr>
              <w:p w14:paraId="30F137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63.7</w:t>
                </w:r>
              </w:p>
            </w:tc>
            <w:tc>
              <w:tcPr>
                <w:tcW w:w="662" w:type="dxa"/>
                <w:tcBorders>
                  <w:top w:val="nil"/>
                  <w:left w:val="nil"/>
                  <w:bottom w:val="nil"/>
                  <w:right w:val="nil"/>
                </w:tcBorders>
                <w:shd w:val="clear" w:color="auto" w:fill="CAE7F3" w:themeFill="accent1" w:themeFillTint="33"/>
                <w:noWrap/>
                <w:vAlign w:val="bottom"/>
                <w:hideMark/>
              </w:tcPr>
              <w:p w14:paraId="30E9B72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w:t>
                </w:r>
              </w:p>
            </w:tc>
            <w:tc>
              <w:tcPr>
                <w:tcW w:w="662" w:type="dxa"/>
                <w:tcBorders>
                  <w:top w:val="nil"/>
                  <w:left w:val="nil"/>
                  <w:bottom w:val="nil"/>
                  <w:right w:val="nil"/>
                </w:tcBorders>
                <w:shd w:val="clear" w:color="auto" w:fill="CAE7F3" w:themeFill="accent1" w:themeFillTint="33"/>
                <w:noWrap/>
                <w:vAlign w:val="bottom"/>
                <w:hideMark/>
              </w:tcPr>
              <w:p w14:paraId="11254F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76.0</w:t>
                </w:r>
              </w:p>
            </w:tc>
            <w:tc>
              <w:tcPr>
                <w:tcW w:w="662" w:type="dxa"/>
                <w:tcBorders>
                  <w:top w:val="nil"/>
                  <w:left w:val="nil"/>
                  <w:bottom w:val="nil"/>
                  <w:right w:val="nil"/>
                </w:tcBorders>
                <w:shd w:val="clear" w:color="auto" w:fill="CAE7F3" w:themeFill="accent1" w:themeFillTint="33"/>
                <w:noWrap/>
                <w:vAlign w:val="bottom"/>
                <w:hideMark/>
              </w:tcPr>
              <w:p w14:paraId="5F6AC1D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1" w:type="dxa"/>
                <w:tcBorders>
                  <w:top w:val="nil"/>
                  <w:left w:val="nil"/>
                  <w:bottom w:val="nil"/>
                  <w:right w:val="nil"/>
                </w:tcBorders>
                <w:shd w:val="clear" w:color="auto" w:fill="CAE7F3" w:themeFill="accent1" w:themeFillTint="33"/>
                <w:noWrap/>
                <w:vAlign w:val="bottom"/>
                <w:hideMark/>
              </w:tcPr>
              <w:p w14:paraId="1D9C71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482.2</w:t>
                </w:r>
              </w:p>
            </w:tc>
            <w:tc>
              <w:tcPr>
                <w:tcW w:w="662" w:type="dxa"/>
                <w:tcBorders>
                  <w:top w:val="nil"/>
                  <w:left w:val="nil"/>
                  <w:bottom w:val="nil"/>
                  <w:right w:val="nil"/>
                </w:tcBorders>
                <w:shd w:val="clear" w:color="auto" w:fill="CAE7F3" w:themeFill="accent1" w:themeFillTint="33"/>
                <w:noWrap/>
                <w:vAlign w:val="bottom"/>
                <w:hideMark/>
              </w:tcPr>
              <w:p w14:paraId="15B89E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168.2</w:t>
                </w:r>
              </w:p>
            </w:tc>
            <w:tc>
              <w:tcPr>
                <w:tcW w:w="662" w:type="dxa"/>
                <w:tcBorders>
                  <w:top w:val="nil"/>
                  <w:left w:val="nil"/>
                  <w:bottom w:val="nil"/>
                  <w:right w:val="nil"/>
                </w:tcBorders>
                <w:shd w:val="clear" w:color="auto" w:fill="CAE7F3" w:themeFill="accent1" w:themeFillTint="33"/>
                <w:noWrap/>
                <w:vAlign w:val="bottom"/>
                <w:hideMark/>
              </w:tcPr>
              <w:p w14:paraId="66B75C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277.5</w:t>
                </w:r>
              </w:p>
            </w:tc>
            <w:tc>
              <w:tcPr>
                <w:tcW w:w="662" w:type="dxa"/>
                <w:tcBorders>
                  <w:top w:val="nil"/>
                  <w:left w:val="nil"/>
                  <w:bottom w:val="nil"/>
                  <w:right w:val="nil"/>
                </w:tcBorders>
                <w:shd w:val="clear" w:color="auto" w:fill="CAE7F3" w:themeFill="accent1" w:themeFillTint="33"/>
                <w:noWrap/>
                <w:vAlign w:val="bottom"/>
                <w:hideMark/>
              </w:tcPr>
              <w:p w14:paraId="235C9F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224.5</w:t>
                </w:r>
              </w:p>
            </w:tc>
            <w:tc>
              <w:tcPr>
                <w:tcW w:w="662" w:type="dxa"/>
                <w:tcBorders>
                  <w:top w:val="nil"/>
                  <w:left w:val="nil"/>
                  <w:bottom w:val="nil"/>
                  <w:right w:val="nil"/>
                </w:tcBorders>
                <w:shd w:val="clear" w:color="auto" w:fill="CAE7F3" w:themeFill="accent1" w:themeFillTint="33"/>
                <w:noWrap/>
                <w:vAlign w:val="bottom"/>
                <w:hideMark/>
              </w:tcPr>
              <w:p w14:paraId="334DE46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102.0</w:t>
                </w:r>
              </w:p>
            </w:tc>
            <w:tc>
              <w:tcPr>
                <w:tcW w:w="661" w:type="dxa"/>
                <w:tcBorders>
                  <w:top w:val="nil"/>
                  <w:left w:val="nil"/>
                  <w:bottom w:val="nil"/>
                  <w:right w:val="nil"/>
                </w:tcBorders>
                <w:shd w:val="clear" w:color="auto" w:fill="CAE7F3" w:themeFill="accent1" w:themeFillTint="33"/>
                <w:noWrap/>
                <w:vAlign w:val="bottom"/>
                <w:hideMark/>
              </w:tcPr>
              <w:p w14:paraId="4E4100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153.7</w:t>
                </w:r>
              </w:p>
            </w:tc>
            <w:tc>
              <w:tcPr>
                <w:tcW w:w="662" w:type="dxa"/>
                <w:tcBorders>
                  <w:top w:val="nil"/>
                  <w:left w:val="nil"/>
                  <w:bottom w:val="nil"/>
                  <w:right w:val="nil"/>
                </w:tcBorders>
                <w:shd w:val="clear" w:color="auto" w:fill="CAE7F3" w:themeFill="accent1" w:themeFillTint="33"/>
                <w:noWrap/>
                <w:vAlign w:val="bottom"/>
                <w:hideMark/>
              </w:tcPr>
              <w:p w14:paraId="2EB7D6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447.2</w:t>
                </w:r>
              </w:p>
            </w:tc>
            <w:tc>
              <w:tcPr>
                <w:tcW w:w="662" w:type="dxa"/>
                <w:tcBorders>
                  <w:top w:val="nil"/>
                  <w:left w:val="nil"/>
                  <w:bottom w:val="nil"/>
                  <w:right w:val="nil"/>
                </w:tcBorders>
                <w:shd w:val="clear" w:color="auto" w:fill="CAE7F3" w:themeFill="accent1" w:themeFillTint="33"/>
                <w:noWrap/>
                <w:vAlign w:val="bottom"/>
                <w:hideMark/>
              </w:tcPr>
              <w:p w14:paraId="5DB2FA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401.3</w:t>
                </w:r>
              </w:p>
            </w:tc>
            <w:tc>
              <w:tcPr>
                <w:tcW w:w="662" w:type="dxa"/>
                <w:tcBorders>
                  <w:top w:val="nil"/>
                  <w:left w:val="nil"/>
                  <w:bottom w:val="nil"/>
                  <w:right w:val="nil"/>
                </w:tcBorders>
                <w:shd w:val="clear" w:color="auto" w:fill="CAE7F3" w:themeFill="accent1" w:themeFillTint="33"/>
                <w:noWrap/>
                <w:vAlign w:val="bottom"/>
                <w:hideMark/>
              </w:tcPr>
              <w:p w14:paraId="3638F4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895.8</w:t>
                </w:r>
              </w:p>
            </w:tc>
            <w:tc>
              <w:tcPr>
                <w:tcW w:w="662" w:type="dxa"/>
                <w:tcBorders>
                  <w:top w:val="nil"/>
                  <w:left w:val="nil"/>
                  <w:bottom w:val="nil"/>
                  <w:right w:val="nil"/>
                </w:tcBorders>
                <w:shd w:val="clear" w:color="auto" w:fill="CAE7F3" w:themeFill="accent1" w:themeFillTint="33"/>
                <w:noWrap/>
                <w:vAlign w:val="bottom"/>
                <w:hideMark/>
              </w:tcPr>
              <w:p w14:paraId="4207AF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216.3</w:t>
                </w:r>
              </w:p>
            </w:tc>
            <w:tc>
              <w:tcPr>
                <w:tcW w:w="661" w:type="dxa"/>
                <w:tcBorders>
                  <w:top w:val="nil"/>
                  <w:left w:val="nil"/>
                  <w:bottom w:val="nil"/>
                  <w:right w:val="nil"/>
                </w:tcBorders>
                <w:shd w:val="clear" w:color="auto" w:fill="CAE7F3" w:themeFill="accent1" w:themeFillTint="33"/>
                <w:noWrap/>
                <w:vAlign w:val="bottom"/>
                <w:hideMark/>
              </w:tcPr>
              <w:p w14:paraId="3BD1AC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w:t>
                </w:r>
              </w:p>
            </w:tc>
            <w:tc>
              <w:tcPr>
                <w:tcW w:w="662" w:type="dxa"/>
                <w:tcBorders>
                  <w:top w:val="nil"/>
                  <w:left w:val="nil"/>
                  <w:bottom w:val="nil"/>
                  <w:right w:val="nil"/>
                </w:tcBorders>
                <w:shd w:val="clear" w:color="auto" w:fill="CAE7F3" w:themeFill="accent1" w:themeFillTint="33"/>
                <w:noWrap/>
                <w:vAlign w:val="bottom"/>
                <w:hideMark/>
              </w:tcPr>
              <w:p w14:paraId="75D497D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80.3</w:t>
                </w:r>
              </w:p>
            </w:tc>
            <w:tc>
              <w:tcPr>
                <w:tcW w:w="662" w:type="dxa"/>
                <w:tcBorders>
                  <w:top w:val="nil"/>
                  <w:left w:val="nil"/>
                  <w:bottom w:val="nil"/>
                  <w:right w:val="nil"/>
                </w:tcBorders>
                <w:shd w:val="clear" w:color="auto" w:fill="CAE7F3" w:themeFill="accent1" w:themeFillTint="33"/>
                <w:noWrap/>
                <w:vAlign w:val="bottom"/>
                <w:hideMark/>
              </w:tcPr>
              <w:p w14:paraId="77D253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255.7</w:t>
                </w:r>
              </w:p>
            </w:tc>
            <w:tc>
              <w:tcPr>
                <w:tcW w:w="662" w:type="dxa"/>
                <w:tcBorders>
                  <w:top w:val="nil"/>
                  <w:left w:val="nil"/>
                  <w:bottom w:val="nil"/>
                  <w:right w:val="nil"/>
                </w:tcBorders>
                <w:shd w:val="clear" w:color="auto" w:fill="CAE7F3" w:themeFill="accent1" w:themeFillTint="33"/>
                <w:noWrap/>
                <w:vAlign w:val="bottom"/>
                <w:hideMark/>
              </w:tcPr>
              <w:p w14:paraId="5AE3A0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130.5</w:t>
                </w:r>
              </w:p>
            </w:tc>
            <w:tc>
              <w:tcPr>
                <w:tcW w:w="662" w:type="dxa"/>
                <w:tcBorders>
                  <w:top w:val="nil"/>
                  <w:left w:val="nil"/>
                  <w:bottom w:val="nil"/>
                  <w:right w:val="nil"/>
                </w:tcBorders>
                <w:shd w:val="clear" w:color="auto" w:fill="CAE7F3" w:themeFill="accent1" w:themeFillTint="33"/>
                <w:noWrap/>
                <w:vAlign w:val="bottom"/>
                <w:hideMark/>
              </w:tcPr>
              <w:p w14:paraId="6986A2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155.5</w:t>
                </w:r>
              </w:p>
            </w:tc>
          </w:tr>
          <w:tr w:rsidR="00830FDC" w:rsidRPr="00792A3F" w14:paraId="654E448C"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7E116A0"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Inner South West</w:t>
                </w:r>
              </w:p>
            </w:tc>
            <w:tc>
              <w:tcPr>
                <w:tcW w:w="661" w:type="dxa"/>
                <w:tcBorders>
                  <w:top w:val="nil"/>
                  <w:left w:val="nil"/>
                  <w:bottom w:val="nil"/>
                  <w:right w:val="nil"/>
                </w:tcBorders>
                <w:shd w:val="clear" w:color="auto" w:fill="CAE7F3" w:themeFill="accent1" w:themeFillTint="33"/>
                <w:noWrap/>
                <w:vAlign w:val="bottom"/>
                <w:hideMark/>
              </w:tcPr>
              <w:p w14:paraId="012DC4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40.7</w:t>
                </w:r>
              </w:p>
            </w:tc>
            <w:tc>
              <w:tcPr>
                <w:tcW w:w="662" w:type="dxa"/>
                <w:tcBorders>
                  <w:top w:val="nil"/>
                  <w:left w:val="nil"/>
                  <w:bottom w:val="nil"/>
                  <w:right w:val="nil"/>
                </w:tcBorders>
                <w:shd w:val="clear" w:color="auto" w:fill="CAE7F3" w:themeFill="accent1" w:themeFillTint="33"/>
                <w:noWrap/>
                <w:vAlign w:val="bottom"/>
                <w:hideMark/>
              </w:tcPr>
              <w:p w14:paraId="53D199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2" w:type="dxa"/>
                <w:tcBorders>
                  <w:top w:val="nil"/>
                  <w:left w:val="nil"/>
                  <w:bottom w:val="nil"/>
                  <w:right w:val="nil"/>
                </w:tcBorders>
                <w:shd w:val="clear" w:color="auto" w:fill="CAE7F3" w:themeFill="accent1" w:themeFillTint="33"/>
                <w:noWrap/>
                <w:vAlign w:val="bottom"/>
                <w:hideMark/>
              </w:tcPr>
              <w:p w14:paraId="2B0B7AB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254.3</w:t>
                </w:r>
              </w:p>
            </w:tc>
            <w:tc>
              <w:tcPr>
                <w:tcW w:w="662" w:type="dxa"/>
                <w:tcBorders>
                  <w:top w:val="nil"/>
                  <w:left w:val="nil"/>
                  <w:bottom w:val="nil"/>
                  <w:right w:val="nil"/>
                </w:tcBorders>
                <w:shd w:val="clear" w:color="auto" w:fill="CAE7F3" w:themeFill="accent1" w:themeFillTint="33"/>
                <w:noWrap/>
                <w:vAlign w:val="bottom"/>
                <w:hideMark/>
              </w:tcPr>
              <w:p w14:paraId="726F53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25.3</w:t>
                </w:r>
              </w:p>
            </w:tc>
            <w:tc>
              <w:tcPr>
                <w:tcW w:w="661" w:type="dxa"/>
                <w:tcBorders>
                  <w:top w:val="nil"/>
                  <w:left w:val="nil"/>
                  <w:bottom w:val="nil"/>
                  <w:right w:val="nil"/>
                </w:tcBorders>
                <w:shd w:val="clear" w:color="auto" w:fill="CAE7F3" w:themeFill="accent1" w:themeFillTint="33"/>
                <w:noWrap/>
                <w:vAlign w:val="bottom"/>
                <w:hideMark/>
              </w:tcPr>
              <w:p w14:paraId="33F5C9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1612.8</w:t>
                </w:r>
              </w:p>
            </w:tc>
            <w:tc>
              <w:tcPr>
                <w:tcW w:w="662" w:type="dxa"/>
                <w:tcBorders>
                  <w:top w:val="nil"/>
                  <w:left w:val="nil"/>
                  <w:bottom w:val="nil"/>
                  <w:right w:val="nil"/>
                </w:tcBorders>
                <w:shd w:val="clear" w:color="auto" w:fill="CAE7F3" w:themeFill="accent1" w:themeFillTint="33"/>
                <w:noWrap/>
                <w:vAlign w:val="bottom"/>
                <w:hideMark/>
              </w:tcPr>
              <w:p w14:paraId="773C731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382.3</w:t>
                </w:r>
              </w:p>
            </w:tc>
            <w:tc>
              <w:tcPr>
                <w:tcW w:w="662" w:type="dxa"/>
                <w:tcBorders>
                  <w:top w:val="nil"/>
                  <w:left w:val="nil"/>
                  <w:bottom w:val="nil"/>
                  <w:right w:val="nil"/>
                </w:tcBorders>
                <w:shd w:val="clear" w:color="auto" w:fill="CAE7F3" w:themeFill="accent1" w:themeFillTint="33"/>
                <w:noWrap/>
                <w:vAlign w:val="bottom"/>
                <w:hideMark/>
              </w:tcPr>
              <w:p w14:paraId="65194C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669.0</w:t>
                </w:r>
              </w:p>
            </w:tc>
            <w:tc>
              <w:tcPr>
                <w:tcW w:w="662" w:type="dxa"/>
                <w:tcBorders>
                  <w:top w:val="nil"/>
                  <w:left w:val="nil"/>
                  <w:bottom w:val="nil"/>
                  <w:right w:val="nil"/>
                </w:tcBorders>
                <w:shd w:val="clear" w:color="auto" w:fill="CAE7F3" w:themeFill="accent1" w:themeFillTint="33"/>
                <w:noWrap/>
                <w:vAlign w:val="bottom"/>
                <w:hideMark/>
              </w:tcPr>
              <w:p w14:paraId="16863B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403.8</w:t>
                </w:r>
              </w:p>
            </w:tc>
            <w:tc>
              <w:tcPr>
                <w:tcW w:w="662" w:type="dxa"/>
                <w:tcBorders>
                  <w:top w:val="nil"/>
                  <w:left w:val="nil"/>
                  <w:bottom w:val="nil"/>
                  <w:right w:val="nil"/>
                </w:tcBorders>
                <w:shd w:val="clear" w:color="auto" w:fill="CAE7F3" w:themeFill="accent1" w:themeFillTint="33"/>
                <w:noWrap/>
                <w:vAlign w:val="bottom"/>
                <w:hideMark/>
              </w:tcPr>
              <w:p w14:paraId="369436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915.0</w:t>
                </w:r>
              </w:p>
            </w:tc>
            <w:tc>
              <w:tcPr>
                <w:tcW w:w="661" w:type="dxa"/>
                <w:tcBorders>
                  <w:top w:val="nil"/>
                  <w:left w:val="nil"/>
                  <w:bottom w:val="nil"/>
                  <w:right w:val="nil"/>
                </w:tcBorders>
                <w:shd w:val="clear" w:color="auto" w:fill="CAE7F3" w:themeFill="accent1" w:themeFillTint="33"/>
                <w:noWrap/>
                <w:vAlign w:val="bottom"/>
                <w:hideMark/>
              </w:tcPr>
              <w:p w14:paraId="6EF77D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52.3</w:t>
                </w:r>
              </w:p>
            </w:tc>
            <w:tc>
              <w:tcPr>
                <w:tcW w:w="662" w:type="dxa"/>
                <w:tcBorders>
                  <w:top w:val="nil"/>
                  <w:left w:val="nil"/>
                  <w:bottom w:val="nil"/>
                  <w:right w:val="nil"/>
                </w:tcBorders>
                <w:shd w:val="clear" w:color="auto" w:fill="CAE7F3" w:themeFill="accent1" w:themeFillTint="33"/>
                <w:noWrap/>
                <w:vAlign w:val="bottom"/>
                <w:hideMark/>
              </w:tcPr>
              <w:p w14:paraId="27A6167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466.2</w:t>
                </w:r>
              </w:p>
            </w:tc>
            <w:tc>
              <w:tcPr>
                <w:tcW w:w="662" w:type="dxa"/>
                <w:tcBorders>
                  <w:top w:val="nil"/>
                  <w:left w:val="nil"/>
                  <w:bottom w:val="nil"/>
                  <w:right w:val="nil"/>
                </w:tcBorders>
                <w:shd w:val="clear" w:color="auto" w:fill="CAE7F3" w:themeFill="accent1" w:themeFillTint="33"/>
                <w:noWrap/>
                <w:vAlign w:val="bottom"/>
                <w:hideMark/>
              </w:tcPr>
              <w:p w14:paraId="29B9476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586.5</w:t>
                </w:r>
              </w:p>
            </w:tc>
            <w:tc>
              <w:tcPr>
                <w:tcW w:w="662" w:type="dxa"/>
                <w:tcBorders>
                  <w:top w:val="nil"/>
                  <w:left w:val="nil"/>
                  <w:bottom w:val="nil"/>
                  <w:right w:val="nil"/>
                </w:tcBorders>
                <w:shd w:val="clear" w:color="auto" w:fill="CAE7F3" w:themeFill="accent1" w:themeFillTint="33"/>
                <w:noWrap/>
                <w:vAlign w:val="bottom"/>
                <w:hideMark/>
              </w:tcPr>
              <w:p w14:paraId="43F5D2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754.3</w:t>
                </w:r>
              </w:p>
            </w:tc>
            <w:tc>
              <w:tcPr>
                <w:tcW w:w="662" w:type="dxa"/>
                <w:tcBorders>
                  <w:top w:val="nil"/>
                  <w:left w:val="nil"/>
                  <w:bottom w:val="nil"/>
                  <w:right w:val="nil"/>
                </w:tcBorders>
                <w:shd w:val="clear" w:color="auto" w:fill="CAE7F3" w:themeFill="accent1" w:themeFillTint="33"/>
                <w:noWrap/>
                <w:vAlign w:val="bottom"/>
                <w:hideMark/>
              </w:tcPr>
              <w:p w14:paraId="48A4D0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491.3</w:t>
                </w:r>
              </w:p>
            </w:tc>
            <w:tc>
              <w:tcPr>
                <w:tcW w:w="661" w:type="dxa"/>
                <w:tcBorders>
                  <w:top w:val="nil"/>
                  <w:left w:val="nil"/>
                  <w:bottom w:val="nil"/>
                  <w:right w:val="nil"/>
                </w:tcBorders>
                <w:shd w:val="clear" w:color="auto" w:fill="CAE7F3" w:themeFill="accent1" w:themeFillTint="33"/>
                <w:noWrap/>
                <w:vAlign w:val="bottom"/>
                <w:hideMark/>
              </w:tcPr>
              <w:p w14:paraId="75EA0E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84.3</w:t>
                </w:r>
              </w:p>
            </w:tc>
            <w:tc>
              <w:tcPr>
                <w:tcW w:w="662" w:type="dxa"/>
                <w:tcBorders>
                  <w:top w:val="nil"/>
                  <w:left w:val="nil"/>
                  <w:bottom w:val="nil"/>
                  <w:right w:val="nil"/>
                </w:tcBorders>
                <w:shd w:val="clear" w:color="auto" w:fill="CAE7F3" w:themeFill="accent1" w:themeFillTint="33"/>
                <w:noWrap/>
                <w:vAlign w:val="bottom"/>
                <w:hideMark/>
              </w:tcPr>
              <w:p w14:paraId="2F40E4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86.8</w:t>
                </w:r>
              </w:p>
            </w:tc>
            <w:tc>
              <w:tcPr>
                <w:tcW w:w="662" w:type="dxa"/>
                <w:tcBorders>
                  <w:top w:val="nil"/>
                  <w:left w:val="nil"/>
                  <w:bottom w:val="nil"/>
                  <w:right w:val="nil"/>
                </w:tcBorders>
                <w:shd w:val="clear" w:color="auto" w:fill="CAE7F3" w:themeFill="accent1" w:themeFillTint="33"/>
                <w:noWrap/>
                <w:vAlign w:val="bottom"/>
                <w:hideMark/>
              </w:tcPr>
              <w:p w14:paraId="678BCA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287.2</w:t>
                </w:r>
              </w:p>
            </w:tc>
            <w:tc>
              <w:tcPr>
                <w:tcW w:w="662" w:type="dxa"/>
                <w:tcBorders>
                  <w:top w:val="nil"/>
                  <w:left w:val="nil"/>
                  <w:bottom w:val="nil"/>
                  <w:right w:val="nil"/>
                </w:tcBorders>
                <w:shd w:val="clear" w:color="auto" w:fill="CAE7F3" w:themeFill="accent1" w:themeFillTint="33"/>
                <w:noWrap/>
                <w:vAlign w:val="bottom"/>
                <w:hideMark/>
              </w:tcPr>
              <w:p w14:paraId="78D1AD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61.5</w:t>
                </w:r>
              </w:p>
            </w:tc>
            <w:tc>
              <w:tcPr>
                <w:tcW w:w="662" w:type="dxa"/>
                <w:tcBorders>
                  <w:top w:val="nil"/>
                  <w:left w:val="nil"/>
                  <w:bottom w:val="nil"/>
                  <w:right w:val="nil"/>
                </w:tcBorders>
                <w:shd w:val="clear" w:color="auto" w:fill="CAE7F3" w:themeFill="accent1" w:themeFillTint="33"/>
                <w:noWrap/>
                <w:vAlign w:val="bottom"/>
                <w:hideMark/>
              </w:tcPr>
              <w:p w14:paraId="1EE8D55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346.0</w:t>
                </w:r>
              </w:p>
            </w:tc>
          </w:tr>
          <w:tr w:rsidR="00830FDC" w:rsidRPr="00792A3F" w14:paraId="4158C98F"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6A8A10E"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Inner West</w:t>
                </w:r>
              </w:p>
            </w:tc>
            <w:tc>
              <w:tcPr>
                <w:tcW w:w="661" w:type="dxa"/>
                <w:tcBorders>
                  <w:top w:val="nil"/>
                  <w:left w:val="nil"/>
                  <w:bottom w:val="nil"/>
                  <w:right w:val="nil"/>
                </w:tcBorders>
                <w:shd w:val="clear" w:color="auto" w:fill="CAE7F3" w:themeFill="accent1" w:themeFillTint="33"/>
                <w:noWrap/>
                <w:vAlign w:val="bottom"/>
                <w:hideMark/>
              </w:tcPr>
              <w:p w14:paraId="0E3742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54.3</w:t>
                </w:r>
              </w:p>
            </w:tc>
            <w:tc>
              <w:tcPr>
                <w:tcW w:w="662" w:type="dxa"/>
                <w:tcBorders>
                  <w:top w:val="nil"/>
                  <w:left w:val="nil"/>
                  <w:bottom w:val="nil"/>
                  <w:right w:val="nil"/>
                </w:tcBorders>
                <w:shd w:val="clear" w:color="auto" w:fill="CAE7F3" w:themeFill="accent1" w:themeFillTint="33"/>
                <w:noWrap/>
                <w:vAlign w:val="bottom"/>
                <w:hideMark/>
              </w:tcPr>
              <w:p w14:paraId="790576E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61AE90F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115.8</w:t>
                </w:r>
              </w:p>
            </w:tc>
            <w:tc>
              <w:tcPr>
                <w:tcW w:w="662" w:type="dxa"/>
                <w:tcBorders>
                  <w:top w:val="nil"/>
                  <w:left w:val="nil"/>
                  <w:bottom w:val="nil"/>
                  <w:right w:val="nil"/>
                </w:tcBorders>
                <w:shd w:val="clear" w:color="auto" w:fill="CAE7F3" w:themeFill="accent1" w:themeFillTint="33"/>
                <w:noWrap/>
                <w:vAlign w:val="bottom"/>
                <w:hideMark/>
              </w:tcPr>
              <w:p w14:paraId="00FD58D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w:t>
                </w:r>
              </w:p>
            </w:tc>
            <w:tc>
              <w:tcPr>
                <w:tcW w:w="661" w:type="dxa"/>
                <w:tcBorders>
                  <w:top w:val="nil"/>
                  <w:left w:val="nil"/>
                  <w:bottom w:val="nil"/>
                  <w:right w:val="nil"/>
                </w:tcBorders>
                <w:shd w:val="clear" w:color="auto" w:fill="CAE7F3" w:themeFill="accent1" w:themeFillTint="33"/>
                <w:noWrap/>
                <w:vAlign w:val="bottom"/>
                <w:hideMark/>
              </w:tcPr>
              <w:p w14:paraId="1245C73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647.3</w:t>
                </w:r>
              </w:p>
            </w:tc>
            <w:tc>
              <w:tcPr>
                <w:tcW w:w="662" w:type="dxa"/>
                <w:tcBorders>
                  <w:top w:val="nil"/>
                  <w:left w:val="nil"/>
                  <w:bottom w:val="nil"/>
                  <w:right w:val="nil"/>
                </w:tcBorders>
                <w:shd w:val="clear" w:color="auto" w:fill="CAE7F3" w:themeFill="accent1" w:themeFillTint="33"/>
                <w:noWrap/>
                <w:vAlign w:val="bottom"/>
                <w:hideMark/>
              </w:tcPr>
              <w:p w14:paraId="19F72DD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208.0</w:t>
                </w:r>
              </w:p>
            </w:tc>
            <w:tc>
              <w:tcPr>
                <w:tcW w:w="662" w:type="dxa"/>
                <w:tcBorders>
                  <w:top w:val="nil"/>
                  <w:left w:val="nil"/>
                  <w:bottom w:val="nil"/>
                  <w:right w:val="nil"/>
                </w:tcBorders>
                <w:shd w:val="clear" w:color="auto" w:fill="CAE7F3" w:themeFill="accent1" w:themeFillTint="33"/>
                <w:noWrap/>
                <w:vAlign w:val="bottom"/>
                <w:hideMark/>
              </w:tcPr>
              <w:p w14:paraId="3AA584C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348.8</w:t>
                </w:r>
              </w:p>
            </w:tc>
            <w:tc>
              <w:tcPr>
                <w:tcW w:w="662" w:type="dxa"/>
                <w:tcBorders>
                  <w:top w:val="nil"/>
                  <w:left w:val="nil"/>
                  <w:bottom w:val="nil"/>
                  <w:right w:val="nil"/>
                </w:tcBorders>
                <w:shd w:val="clear" w:color="auto" w:fill="CAE7F3" w:themeFill="accent1" w:themeFillTint="33"/>
                <w:noWrap/>
                <w:vAlign w:val="bottom"/>
                <w:hideMark/>
              </w:tcPr>
              <w:p w14:paraId="7AE494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298.7</w:t>
                </w:r>
              </w:p>
            </w:tc>
            <w:tc>
              <w:tcPr>
                <w:tcW w:w="662" w:type="dxa"/>
                <w:tcBorders>
                  <w:top w:val="nil"/>
                  <w:left w:val="nil"/>
                  <w:bottom w:val="nil"/>
                  <w:right w:val="nil"/>
                </w:tcBorders>
                <w:shd w:val="clear" w:color="auto" w:fill="CAE7F3" w:themeFill="accent1" w:themeFillTint="33"/>
                <w:noWrap/>
                <w:vAlign w:val="bottom"/>
                <w:hideMark/>
              </w:tcPr>
              <w:p w14:paraId="2E2DB3C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200.0</w:t>
                </w:r>
              </w:p>
            </w:tc>
            <w:tc>
              <w:tcPr>
                <w:tcW w:w="661" w:type="dxa"/>
                <w:tcBorders>
                  <w:top w:val="nil"/>
                  <w:left w:val="nil"/>
                  <w:bottom w:val="nil"/>
                  <w:right w:val="nil"/>
                </w:tcBorders>
                <w:shd w:val="clear" w:color="auto" w:fill="CAE7F3" w:themeFill="accent1" w:themeFillTint="33"/>
                <w:noWrap/>
                <w:vAlign w:val="bottom"/>
                <w:hideMark/>
              </w:tcPr>
              <w:p w14:paraId="2A558B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85.2</w:t>
                </w:r>
              </w:p>
            </w:tc>
            <w:tc>
              <w:tcPr>
                <w:tcW w:w="662" w:type="dxa"/>
                <w:tcBorders>
                  <w:top w:val="nil"/>
                  <w:left w:val="nil"/>
                  <w:bottom w:val="nil"/>
                  <w:right w:val="nil"/>
                </w:tcBorders>
                <w:shd w:val="clear" w:color="auto" w:fill="CAE7F3" w:themeFill="accent1" w:themeFillTint="33"/>
                <w:noWrap/>
                <w:vAlign w:val="bottom"/>
                <w:hideMark/>
              </w:tcPr>
              <w:p w14:paraId="2ED9EF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382.0</w:t>
                </w:r>
              </w:p>
            </w:tc>
            <w:tc>
              <w:tcPr>
                <w:tcW w:w="662" w:type="dxa"/>
                <w:tcBorders>
                  <w:top w:val="nil"/>
                  <w:left w:val="nil"/>
                  <w:bottom w:val="nil"/>
                  <w:right w:val="nil"/>
                </w:tcBorders>
                <w:shd w:val="clear" w:color="auto" w:fill="CAE7F3" w:themeFill="accent1" w:themeFillTint="33"/>
                <w:noWrap/>
                <w:vAlign w:val="bottom"/>
                <w:hideMark/>
              </w:tcPr>
              <w:p w14:paraId="79B5EB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456.7</w:t>
                </w:r>
              </w:p>
            </w:tc>
            <w:tc>
              <w:tcPr>
                <w:tcW w:w="662" w:type="dxa"/>
                <w:tcBorders>
                  <w:top w:val="nil"/>
                  <w:left w:val="nil"/>
                  <w:bottom w:val="nil"/>
                  <w:right w:val="nil"/>
                </w:tcBorders>
                <w:shd w:val="clear" w:color="auto" w:fill="CAE7F3" w:themeFill="accent1" w:themeFillTint="33"/>
                <w:noWrap/>
                <w:vAlign w:val="bottom"/>
                <w:hideMark/>
              </w:tcPr>
              <w:p w14:paraId="5323AB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797.7</w:t>
                </w:r>
              </w:p>
            </w:tc>
            <w:tc>
              <w:tcPr>
                <w:tcW w:w="662" w:type="dxa"/>
                <w:tcBorders>
                  <w:top w:val="nil"/>
                  <w:left w:val="nil"/>
                  <w:bottom w:val="nil"/>
                  <w:right w:val="nil"/>
                </w:tcBorders>
                <w:shd w:val="clear" w:color="auto" w:fill="CAE7F3" w:themeFill="accent1" w:themeFillTint="33"/>
                <w:noWrap/>
                <w:vAlign w:val="bottom"/>
                <w:hideMark/>
              </w:tcPr>
              <w:p w14:paraId="1A79342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306.0</w:t>
                </w:r>
              </w:p>
            </w:tc>
            <w:tc>
              <w:tcPr>
                <w:tcW w:w="661" w:type="dxa"/>
                <w:tcBorders>
                  <w:top w:val="nil"/>
                  <w:left w:val="nil"/>
                  <w:bottom w:val="nil"/>
                  <w:right w:val="nil"/>
                </w:tcBorders>
                <w:shd w:val="clear" w:color="auto" w:fill="CAE7F3" w:themeFill="accent1" w:themeFillTint="33"/>
                <w:noWrap/>
                <w:vAlign w:val="bottom"/>
                <w:hideMark/>
              </w:tcPr>
              <w:p w14:paraId="36D1FC7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19.8</w:t>
                </w:r>
              </w:p>
            </w:tc>
            <w:tc>
              <w:tcPr>
                <w:tcW w:w="662" w:type="dxa"/>
                <w:tcBorders>
                  <w:top w:val="nil"/>
                  <w:left w:val="nil"/>
                  <w:bottom w:val="nil"/>
                  <w:right w:val="nil"/>
                </w:tcBorders>
                <w:shd w:val="clear" w:color="auto" w:fill="CAE7F3" w:themeFill="accent1" w:themeFillTint="33"/>
                <w:noWrap/>
                <w:vAlign w:val="bottom"/>
                <w:hideMark/>
              </w:tcPr>
              <w:p w14:paraId="30CFC56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72.2</w:t>
                </w:r>
              </w:p>
            </w:tc>
            <w:tc>
              <w:tcPr>
                <w:tcW w:w="662" w:type="dxa"/>
                <w:tcBorders>
                  <w:top w:val="nil"/>
                  <w:left w:val="nil"/>
                  <w:bottom w:val="nil"/>
                  <w:right w:val="nil"/>
                </w:tcBorders>
                <w:shd w:val="clear" w:color="auto" w:fill="CAE7F3" w:themeFill="accent1" w:themeFillTint="33"/>
                <w:noWrap/>
                <w:vAlign w:val="bottom"/>
                <w:hideMark/>
              </w:tcPr>
              <w:p w14:paraId="2DD444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250.7</w:t>
                </w:r>
              </w:p>
            </w:tc>
            <w:tc>
              <w:tcPr>
                <w:tcW w:w="662" w:type="dxa"/>
                <w:tcBorders>
                  <w:top w:val="nil"/>
                  <w:left w:val="nil"/>
                  <w:bottom w:val="nil"/>
                  <w:right w:val="nil"/>
                </w:tcBorders>
                <w:shd w:val="clear" w:color="auto" w:fill="CAE7F3" w:themeFill="accent1" w:themeFillTint="33"/>
                <w:noWrap/>
                <w:vAlign w:val="bottom"/>
                <w:hideMark/>
              </w:tcPr>
              <w:p w14:paraId="4353CA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89.5</w:t>
                </w:r>
              </w:p>
            </w:tc>
            <w:tc>
              <w:tcPr>
                <w:tcW w:w="662" w:type="dxa"/>
                <w:tcBorders>
                  <w:top w:val="nil"/>
                  <w:left w:val="nil"/>
                  <w:bottom w:val="nil"/>
                  <w:right w:val="nil"/>
                </w:tcBorders>
                <w:shd w:val="clear" w:color="auto" w:fill="CAE7F3" w:themeFill="accent1" w:themeFillTint="33"/>
                <w:noWrap/>
                <w:vAlign w:val="bottom"/>
                <w:hideMark/>
              </w:tcPr>
              <w:p w14:paraId="007FC94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154.3</w:t>
                </w:r>
              </w:p>
            </w:tc>
          </w:tr>
          <w:tr w:rsidR="00830FDC" w:rsidRPr="00792A3F" w14:paraId="606BE7C9"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63951F7"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North Sydney and Hornsby</w:t>
                </w:r>
              </w:p>
            </w:tc>
            <w:tc>
              <w:tcPr>
                <w:tcW w:w="661" w:type="dxa"/>
                <w:tcBorders>
                  <w:top w:val="nil"/>
                  <w:left w:val="nil"/>
                  <w:bottom w:val="nil"/>
                  <w:right w:val="nil"/>
                </w:tcBorders>
                <w:shd w:val="clear" w:color="auto" w:fill="CAE7F3" w:themeFill="accent1" w:themeFillTint="33"/>
                <w:noWrap/>
                <w:vAlign w:val="bottom"/>
                <w:hideMark/>
              </w:tcPr>
              <w:p w14:paraId="600A15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125.0</w:t>
                </w:r>
              </w:p>
            </w:tc>
            <w:tc>
              <w:tcPr>
                <w:tcW w:w="662" w:type="dxa"/>
                <w:tcBorders>
                  <w:top w:val="nil"/>
                  <w:left w:val="nil"/>
                  <w:bottom w:val="nil"/>
                  <w:right w:val="nil"/>
                </w:tcBorders>
                <w:shd w:val="clear" w:color="auto" w:fill="CAE7F3" w:themeFill="accent1" w:themeFillTint="33"/>
                <w:noWrap/>
                <w:vAlign w:val="bottom"/>
                <w:hideMark/>
              </w:tcPr>
              <w:p w14:paraId="7DEB502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18.2</w:t>
                </w:r>
              </w:p>
            </w:tc>
            <w:tc>
              <w:tcPr>
                <w:tcW w:w="662" w:type="dxa"/>
                <w:tcBorders>
                  <w:top w:val="nil"/>
                  <w:left w:val="nil"/>
                  <w:bottom w:val="nil"/>
                  <w:right w:val="nil"/>
                </w:tcBorders>
                <w:shd w:val="clear" w:color="auto" w:fill="CAE7F3" w:themeFill="accent1" w:themeFillTint="33"/>
                <w:noWrap/>
                <w:vAlign w:val="bottom"/>
                <w:hideMark/>
              </w:tcPr>
              <w:p w14:paraId="476E72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127.8</w:t>
                </w:r>
              </w:p>
            </w:tc>
            <w:tc>
              <w:tcPr>
                <w:tcW w:w="662" w:type="dxa"/>
                <w:tcBorders>
                  <w:top w:val="nil"/>
                  <w:left w:val="nil"/>
                  <w:bottom w:val="nil"/>
                  <w:right w:val="nil"/>
                </w:tcBorders>
                <w:shd w:val="clear" w:color="auto" w:fill="CAE7F3" w:themeFill="accent1" w:themeFillTint="33"/>
                <w:noWrap/>
                <w:vAlign w:val="bottom"/>
                <w:hideMark/>
              </w:tcPr>
              <w:p w14:paraId="733741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w:t>
                </w:r>
              </w:p>
            </w:tc>
            <w:tc>
              <w:tcPr>
                <w:tcW w:w="661" w:type="dxa"/>
                <w:tcBorders>
                  <w:top w:val="nil"/>
                  <w:left w:val="nil"/>
                  <w:bottom w:val="nil"/>
                  <w:right w:val="nil"/>
                </w:tcBorders>
                <w:shd w:val="clear" w:color="auto" w:fill="CAE7F3" w:themeFill="accent1" w:themeFillTint="33"/>
                <w:noWrap/>
                <w:vAlign w:val="bottom"/>
                <w:hideMark/>
              </w:tcPr>
              <w:p w14:paraId="29CEE3C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509.2</w:t>
                </w:r>
              </w:p>
            </w:tc>
            <w:tc>
              <w:tcPr>
                <w:tcW w:w="662" w:type="dxa"/>
                <w:tcBorders>
                  <w:top w:val="nil"/>
                  <w:left w:val="nil"/>
                  <w:bottom w:val="nil"/>
                  <w:right w:val="nil"/>
                </w:tcBorders>
                <w:shd w:val="clear" w:color="auto" w:fill="CAE7F3" w:themeFill="accent1" w:themeFillTint="33"/>
                <w:noWrap/>
                <w:vAlign w:val="bottom"/>
                <w:hideMark/>
              </w:tcPr>
              <w:p w14:paraId="0104434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304.8</w:t>
                </w:r>
              </w:p>
            </w:tc>
            <w:tc>
              <w:tcPr>
                <w:tcW w:w="662" w:type="dxa"/>
                <w:tcBorders>
                  <w:top w:val="nil"/>
                  <w:left w:val="nil"/>
                  <w:bottom w:val="nil"/>
                  <w:right w:val="nil"/>
                </w:tcBorders>
                <w:shd w:val="clear" w:color="auto" w:fill="CAE7F3" w:themeFill="accent1" w:themeFillTint="33"/>
                <w:noWrap/>
                <w:vAlign w:val="bottom"/>
                <w:hideMark/>
              </w:tcPr>
              <w:p w14:paraId="1B94A37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401.2</w:t>
                </w:r>
              </w:p>
            </w:tc>
            <w:tc>
              <w:tcPr>
                <w:tcW w:w="662" w:type="dxa"/>
                <w:tcBorders>
                  <w:top w:val="nil"/>
                  <w:left w:val="nil"/>
                  <w:bottom w:val="nil"/>
                  <w:right w:val="nil"/>
                </w:tcBorders>
                <w:shd w:val="clear" w:color="auto" w:fill="CAE7F3" w:themeFill="accent1" w:themeFillTint="33"/>
                <w:noWrap/>
                <w:vAlign w:val="bottom"/>
                <w:hideMark/>
              </w:tcPr>
              <w:p w14:paraId="304F4B4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301.8</w:t>
                </w:r>
              </w:p>
            </w:tc>
            <w:tc>
              <w:tcPr>
                <w:tcW w:w="662" w:type="dxa"/>
                <w:tcBorders>
                  <w:top w:val="nil"/>
                  <w:left w:val="nil"/>
                  <w:bottom w:val="nil"/>
                  <w:right w:val="nil"/>
                </w:tcBorders>
                <w:shd w:val="clear" w:color="auto" w:fill="CAE7F3" w:themeFill="accent1" w:themeFillTint="33"/>
                <w:noWrap/>
                <w:vAlign w:val="bottom"/>
                <w:hideMark/>
              </w:tcPr>
              <w:p w14:paraId="6D0768E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133.7</w:t>
                </w:r>
              </w:p>
            </w:tc>
            <w:tc>
              <w:tcPr>
                <w:tcW w:w="661" w:type="dxa"/>
                <w:tcBorders>
                  <w:top w:val="nil"/>
                  <w:left w:val="nil"/>
                  <w:bottom w:val="nil"/>
                  <w:right w:val="nil"/>
                </w:tcBorders>
                <w:shd w:val="clear" w:color="auto" w:fill="CAE7F3" w:themeFill="accent1" w:themeFillTint="33"/>
                <w:noWrap/>
                <w:vAlign w:val="bottom"/>
                <w:hideMark/>
              </w:tcPr>
              <w:p w14:paraId="505025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164.7</w:t>
                </w:r>
              </w:p>
            </w:tc>
            <w:tc>
              <w:tcPr>
                <w:tcW w:w="662" w:type="dxa"/>
                <w:tcBorders>
                  <w:top w:val="nil"/>
                  <w:left w:val="nil"/>
                  <w:bottom w:val="nil"/>
                  <w:right w:val="nil"/>
                </w:tcBorders>
                <w:shd w:val="clear" w:color="auto" w:fill="CAE7F3" w:themeFill="accent1" w:themeFillTint="33"/>
                <w:noWrap/>
                <w:vAlign w:val="bottom"/>
                <w:hideMark/>
              </w:tcPr>
              <w:p w14:paraId="2DAA055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1038.0</w:t>
                </w:r>
              </w:p>
            </w:tc>
            <w:tc>
              <w:tcPr>
                <w:tcW w:w="662" w:type="dxa"/>
                <w:tcBorders>
                  <w:top w:val="nil"/>
                  <w:left w:val="nil"/>
                  <w:bottom w:val="nil"/>
                  <w:right w:val="nil"/>
                </w:tcBorders>
                <w:shd w:val="clear" w:color="auto" w:fill="CAE7F3" w:themeFill="accent1" w:themeFillTint="33"/>
                <w:noWrap/>
                <w:vAlign w:val="bottom"/>
                <w:hideMark/>
              </w:tcPr>
              <w:p w14:paraId="6E9CAFF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614.3</w:t>
                </w:r>
              </w:p>
            </w:tc>
            <w:tc>
              <w:tcPr>
                <w:tcW w:w="662" w:type="dxa"/>
                <w:tcBorders>
                  <w:top w:val="nil"/>
                  <w:left w:val="nil"/>
                  <w:bottom w:val="nil"/>
                  <w:right w:val="nil"/>
                </w:tcBorders>
                <w:shd w:val="clear" w:color="auto" w:fill="CAE7F3" w:themeFill="accent1" w:themeFillTint="33"/>
                <w:noWrap/>
                <w:vAlign w:val="bottom"/>
                <w:hideMark/>
              </w:tcPr>
              <w:p w14:paraId="0C17F8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1704.8</w:t>
                </w:r>
              </w:p>
            </w:tc>
            <w:tc>
              <w:tcPr>
                <w:tcW w:w="662" w:type="dxa"/>
                <w:tcBorders>
                  <w:top w:val="nil"/>
                  <w:left w:val="nil"/>
                  <w:bottom w:val="nil"/>
                  <w:right w:val="nil"/>
                </w:tcBorders>
                <w:shd w:val="clear" w:color="auto" w:fill="CAE7F3" w:themeFill="accent1" w:themeFillTint="33"/>
                <w:noWrap/>
                <w:vAlign w:val="bottom"/>
                <w:hideMark/>
              </w:tcPr>
              <w:p w14:paraId="0EB5F7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324.3</w:t>
                </w:r>
              </w:p>
            </w:tc>
            <w:tc>
              <w:tcPr>
                <w:tcW w:w="661" w:type="dxa"/>
                <w:tcBorders>
                  <w:top w:val="nil"/>
                  <w:left w:val="nil"/>
                  <w:bottom w:val="nil"/>
                  <w:right w:val="nil"/>
                </w:tcBorders>
                <w:shd w:val="clear" w:color="auto" w:fill="CAE7F3" w:themeFill="accent1" w:themeFillTint="33"/>
                <w:noWrap/>
                <w:vAlign w:val="bottom"/>
                <w:hideMark/>
              </w:tcPr>
              <w:p w14:paraId="75E16A6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20.5</w:t>
                </w:r>
              </w:p>
            </w:tc>
            <w:tc>
              <w:tcPr>
                <w:tcW w:w="662" w:type="dxa"/>
                <w:tcBorders>
                  <w:top w:val="nil"/>
                  <w:left w:val="nil"/>
                  <w:bottom w:val="nil"/>
                  <w:right w:val="nil"/>
                </w:tcBorders>
                <w:shd w:val="clear" w:color="auto" w:fill="CAE7F3" w:themeFill="accent1" w:themeFillTint="33"/>
                <w:noWrap/>
                <w:vAlign w:val="bottom"/>
                <w:hideMark/>
              </w:tcPr>
              <w:p w14:paraId="63BB196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133.8</w:t>
                </w:r>
              </w:p>
            </w:tc>
            <w:tc>
              <w:tcPr>
                <w:tcW w:w="662" w:type="dxa"/>
                <w:tcBorders>
                  <w:top w:val="nil"/>
                  <w:left w:val="nil"/>
                  <w:bottom w:val="nil"/>
                  <w:right w:val="nil"/>
                </w:tcBorders>
                <w:shd w:val="clear" w:color="auto" w:fill="CAE7F3" w:themeFill="accent1" w:themeFillTint="33"/>
                <w:noWrap/>
                <w:vAlign w:val="bottom"/>
                <w:hideMark/>
              </w:tcPr>
              <w:p w14:paraId="1BC967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399.2</w:t>
                </w:r>
              </w:p>
            </w:tc>
            <w:tc>
              <w:tcPr>
                <w:tcW w:w="662" w:type="dxa"/>
                <w:tcBorders>
                  <w:top w:val="nil"/>
                  <w:left w:val="nil"/>
                  <w:bottom w:val="nil"/>
                  <w:right w:val="nil"/>
                </w:tcBorders>
                <w:shd w:val="clear" w:color="auto" w:fill="CAE7F3" w:themeFill="accent1" w:themeFillTint="33"/>
                <w:noWrap/>
                <w:vAlign w:val="bottom"/>
                <w:hideMark/>
              </w:tcPr>
              <w:p w14:paraId="189DC5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106.5</w:t>
                </w:r>
              </w:p>
            </w:tc>
            <w:tc>
              <w:tcPr>
                <w:tcW w:w="662" w:type="dxa"/>
                <w:tcBorders>
                  <w:top w:val="nil"/>
                  <w:left w:val="nil"/>
                  <w:bottom w:val="nil"/>
                  <w:right w:val="nil"/>
                </w:tcBorders>
                <w:shd w:val="clear" w:color="auto" w:fill="CAE7F3" w:themeFill="accent1" w:themeFillTint="33"/>
                <w:noWrap/>
                <w:vAlign w:val="bottom"/>
                <w:hideMark/>
              </w:tcPr>
              <w:p w14:paraId="77A06C6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188.5</w:t>
                </w:r>
              </w:p>
            </w:tc>
          </w:tr>
          <w:tr w:rsidR="00830FDC" w:rsidRPr="00792A3F" w14:paraId="3AAA6329"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6A7FCBD"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Northern Beaches</w:t>
                </w:r>
              </w:p>
            </w:tc>
            <w:tc>
              <w:tcPr>
                <w:tcW w:w="661" w:type="dxa"/>
                <w:tcBorders>
                  <w:top w:val="nil"/>
                  <w:left w:val="nil"/>
                  <w:bottom w:val="nil"/>
                  <w:right w:val="nil"/>
                </w:tcBorders>
                <w:shd w:val="clear" w:color="auto" w:fill="CAE7F3" w:themeFill="accent1" w:themeFillTint="33"/>
                <w:noWrap/>
                <w:vAlign w:val="bottom"/>
                <w:hideMark/>
              </w:tcPr>
              <w:p w14:paraId="159795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61.7</w:t>
                </w:r>
              </w:p>
            </w:tc>
            <w:tc>
              <w:tcPr>
                <w:tcW w:w="662" w:type="dxa"/>
                <w:tcBorders>
                  <w:top w:val="nil"/>
                  <w:left w:val="nil"/>
                  <w:bottom w:val="nil"/>
                  <w:right w:val="nil"/>
                </w:tcBorders>
                <w:shd w:val="clear" w:color="auto" w:fill="CAE7F3" w:themeFill="accent1" w:themeFillTint="33"/>
                <w:noWrap/>
                <w:vAlign w:val="bottom"/>
                <w:hideMark/>
              </w:tcPr>
              <w:p w14:paraId="735534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26C4923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109.3</w:t>
                </w:r>
              </w:p>
            </w:tc>
            <w:tc>
              <w:tcPr>
                <w:tcW w:w="662" w:type="dxa"/>
                <w:tcBorders>
                  <w:top w:val="nil"/>
                  <w:left w:val="nil"/>
                  <w:bottom w:val="nil"/>
                  <w:right w:val="nil"/>
                </w:tcBorders>
                <w:shd w:val="clear" w:color="auto" w:fill="CAE7F3" w:themeFill="accent1" w:themeFillTint="33"/>
                <w:noWrap/>
                <w:vAlign w:val="bottom"/>
                <w:hideMark/>
              </w:tcPr>
              <w:p w14:paraId="5E2A27D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w:t>
                </w:r>
              </w:p>
            </w:tc>
            <w:tc>
              <w:tcPr>
                <w:tcW w:w="661" w:type="dxa"/>
                <w:tcBorders>
                  <w:top w:val="nil"/>
                  <w:left w:val="nil"/>
                  <w:bottom w:val="nil"/>
                  <w:right w:val="nil"/>
                </w:tcBorders>
                <w:shd w:val="clear" w:color="auto" w:fill="CAE7F3" w:themeFill="accent1" w:themeFillTint="33"/>
                <w:noWrap/>
                <w:vAlign w:val="bottom"/>
                <w:hideMark/>
              </w:tcPr>
              <w:p w14:paraId="12463C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590.0</w:t>
                </w:r>
              </w:p>
            </w:tc>
            <w:tc>
              <w:tcPr>
                <w:tcW w:w="662" w:type="dxa"/>
                <w:tcBorders>
                  <w:top w:val="nil"/>
                  <w:left w:val="nil"/>
                  <w:bottom w:val="nil"/>
                  <w:right w:val="nil"/>
                </w:tcBorders>
                <w:shd w:val="clear" w:color="auto" w:fill="CAE7F3" w:themeFill="accent1" w:themeFillTint="33"/>
                <w:noWrap/>
                <w:vAlign w:val="bottom"/>
                <w:hideMark/>
              </w:tcPr>
              <w:p w14:paraId="2B903C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145.3</w:t>
                </w:r>
              </w:p>
            </w:tc>
            <w:tc>
              <w:tcPr>
                <w:tcW w:w="662" w:type="dxa"/>
                <w:tcBorders>
                  <w:top w:val="nil"/>
                  <w:left w:val="nil"/>
                  <w:bottom w:val="nil"/>
                  <w:right w:val="nil"/>
                </w:tcBorders>
                <w:shd w:val="clear" w:color="auto" w:fill="CAE7F3" w:themeFill="accent1" w:themeFillTint="33"/>
                <w:noWrap/>
                <w:vAlign w:val="bottom"/>
                <w:hideMark/>
              </w:tcPr>
              <w:p w14:paraId="575B04E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249.5</w:t>
                </w:r>
              </w:p>
            </w:tc>
            <w:tc>
              <w:tcPr>
                <w:tcW w:w="662" w:type="dxa"/>
                <w:tcBorders>
                  <w:top w:val="nil"/>
                  <w:left w:val="nil"/>
                  <w:bottom w:val="nil"/>
                  <w:right w:val="nil"/>
                </w:tcBorders>
                <w:shd w:val="clear" w:color="auto" w:fill="CAE7F3" w:themeFill="accent1" w:themeFillTint="33"/>
                <w:noWrap/>
                <w:vAlign w:val="bottom"/>
                <w:hideMark/>
              </w:tcPr>
              <w:p w14:paraId="59D8B6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149.7</w:t>
                </w:r>
              </w:p>
            </w:tc>
            <w:tc>
              <w:tcPr>
                <w:tcW w:w="662" w:type="dxa"/>
                <w:tcBorders>
                  <w:top w:val="nil"/>
                  <w:left w:val="nil"/>
                  <w:bottom w:val="nil"/>
                  <w:right w:val="nil"/>
                </w:tcBorders>
                <w:shd w:val="clear" w:color="auto" w:fill="CAE7F3" w:themeFill="accent1" w:themeFillTint="33"/>
                <w:noWrap/>
                <w:vAlign w:val="bottom"/>
                <w:hideMark/>
              </w:tcPr>
              <w:p w14:paraId="69E464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93.5</w:t>
                </w:r>
              </w:p>
            </w:tc>
            <w:tc>
              <w:tcPr>
                <w:tcW w:w="661" w:type="dxa"/>
                <w:tcBorders>
                  <w:top w:val="nil"/>
                  <w:left w:val="nil"/>
                  <w:bottom w:val="nil"/>
                  <w:right w:val="nil"/>
                </w:tcBorders>
                <w:shd w:val="clear" w:color="auto" w:fill="CAE7F3" w:themeFill="accent1" w:themeFillTint="33"/>
                <w:noWrap/>
                <w:vAlign w:val="bottom"/>
                <w:hideMark/>
              </w:tcPr>
              <w:p w14:paraId="7A0102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80.2</w:t>
                </w:r>
              </w:p>
            </w:tc>
            <w:tc>
              <w:tcPr>
                <w:tcW w:w="662" w:type="dxa"/>
                <w:tcBorders>
                  <w:top w:val="nil"/>
                  <w:left w:val="nil"/>
                  <w:bottom w:val="nil"/>
                  <w:right w:val="nil"/>
                </w:tcBorders>
                <w:shd w:val="clear" w:color="auto" w:fill="CAE7F3" w:themeFill="accent1" w:themeFillTint="33"/>
                <w:noWrap/>
                <w:vAlign w:val="bottom"/>
                <w:hideMark/>
              </w:tcPr>
              <w:p w14:paraId="13BACB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437.5</w:t>
                </w:r>
              </w:p>
            </w:tc>
            <w:tc>
              <w:tcPr>
                <w:tcW w:w="662" w:type="dxa"/>
                <w:tcBorders>
                  <w:top w:val="nil"/>
                  <w:left w:val="nil"/>
                  <w:bottom w:val="nil"/>
                  <w:right w:val="nil"/>
                </w:tcBorders>
                <w:shd w:val="clear" w:color="auto" w:fill="CAE7F3" w:themeFill="accent1" w:themeFillTint="33"/>
                <w:noWrap/>
                <w:vAlign w:val="bottom"/>
                <w:hideMark/>
              </w:tcPr>
              <w:p w14:paraId="001D09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327.0</w:t>
                </w:r>
              </w:p>
            </w:tc>
            <w:tc>
              <w:tcPr>
                <w:tcW w:w="662" w:type="dxa"/>
                <w:tcBorders>
                  <w:top w:val="nil"/>
                  <w:left w:val="nil"/>
                  <w:bottom w:val="nil"/>
                  <w:right w:val="nil"/>
                </w:tcBorders>
                <w:shd w:val="clear" w:color="auto" w:fill="CAE7F3" w:themeFill="accent1" w:themeFillTint="33"/>
                <w:noWrap/>
                <w:vAlign w:val="bottom"/>
                <w:hideMark/>
              </w:tcPr>
              <w:p w14:paraId="74FB6E3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795.2</w:t>
                </w:r>
              </w:p>
            </w:tc>
            <w:tc>
              <w:tcPr>
                <w:tcW w:w="662" w:type="dxa"/>
                <w:tcBorders>
                  <w:top w:val="nil"/>
                  <w:left w:val="nil"/>
                  <w:bottom w:val="nil"/>
                  <w:right w:val="nil"/>
                </w:tcBorders>
                <w:shd w:val="clear" w:color="auto" w:fill="CAE7F3" w:themeFill="accent1" w:themeFillTint="33"/>
                <w:noWrap/>
                <w:vAlign w:val="bottom"/>
                <w:hideMark/>
              </w:tcPr>
              <w:p w14:paraId="6CC150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185.2</w:t>
                </w:r>
              </w:p>
            </w:tc>
            <w:tc>
              <w:tcPr>
                <w:tcW w:w="661" w:type="dxa"/>
                <w:tcBorders>
                  <w:top w:val="nil"/>
                  <w:left w:val="nil"/>
                  <w:bottom w:val="nil"/>
                  <w:right w:val="nil"/>
                </w:tcBorders>
                <w:shd w:val="clear" w:color="auto" w:fill="CAE7F3" w:themeFill="accent1" w:themeFillTint="33"/>
                <w:noWrap/>
                <w:vAlign w:val="bottom"/>
                <w:hideMark/>
              </w:tcPr>
              <w:p w14:paraId="4F38A48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14.7</w:t>
                </w:r>
              </w:p>
            </w:tc>
            <w:tc>
              <w:tcPr>
                <w:tcW w:w="662" w:type="dxa"/>
                <w:tcBorders>
                  <w:top w:val="nil"/>
                  <w:left w:val="nil"/>
                  <w:bottom w:val="nil"/>
                  <w:right w:val="nil"/>
                </w:tcBorders>
                <w:shd w:val="clear" w:color="auto" w:fill="CAE7F3" w:themeFill="accent1" w:themeFillTint="33"/>
                <w:noWrap/>
                <w:vAlign w:val="bottom"/>
                <w:hideMark/>
              </w:tcPr>
              <w:p w14:paraId="4B0D55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75.8</w:t>
                </w:r>
              </w:p>
            </w:tc>
            <w:tc>
              <w:tcPr>
                <w:tcW w:w="662" w:type="dxa"/>
                <w:tcBorders>
                  <w:top w:val="nil"/>
                  <w:left w:val="nil"/>
                  <w:bottom w:val="nil"/>
                  <w:right w:val="nil"/>
                </w:tcBorders>
                <w:shd w:val="clear" w:color="auto" w:fill="CAE7F3" w:themeFill="accent1" w:themeFillTint="33"/>
                <w:noWrap/>
                <w:vAlign w:val="bottom"/>
                <w:hideMark/>
              </w:tcPr>
              <w:p w14:paraId="59854E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141.8</w:t>
                </w:r>
              </w:p>
            </w:tc>
            <w:tc>
              <w:tcPr>
                <w:tcW w:w="662" w:type="dxa"/>
                <w:tcBorders>
                  <w:top w:val="nil"/>
                  <w:left w:val="nil"/>
                  <w:bottom w:val="nil"/>
                  <w:right w:val="nil"/>
                </w:tcBorders>
                <w:shd w:val="clear" w:color="auto" w:fill="CAE7F3" w:themeFill="accent1" w:themeFillTint="33"/>
                <w:noWrap/>
                <w:vAlign w:val="bottom"/>
                <w:hideMark/>
              </w:tcPr>
              <w:p w14:paraId="6A2489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74.0</w:t>
                </w:r>
              </w:p>
            </w:tc>
            <w:tc>
              <w:tcPr>
                <w:tcW w:w="662" w:type="dxa"/>
                <w:tcBorders>
                  <w:top w:val="nil"/>
                  <w:left w:val="nil"/>
                  <w:bottom w:val="nil"/>
                  <w:right w:val="nil"/>
                </w:tcBorders>
                <w:shd w:val="clear" w:color="auto" w:fill="CAE7F3" w:themeFill="accent1" w:themeFillTint="33"/>
                <w:noWrap/>
                <w:vAlign w:val="bottom"/>
                <w:hideMark/>
              </w:tcPr>
              <w:p w14:paraId="16AB09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134.8</w:t>
                </w:r>
              </w:p>
            </w:tc>
          </w:tr>
          <w:tr w:rsidR="00830FDC" w:rsidRPr="00792A3F" w14:paraId="51167106"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5AADD3C"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Outer South West</w:t>
                </w:r>
              </w:p>
            </w:tc>
            <w:tc>
              <w:tcPr>
                <w:tcW w:w="661" w:type="dxa"/>
                <w:tcBorders>
                  <w:top w:val="nil"/>
                  <w:left w:val="nil"/>
                  <w:bottom w:val="nil"/>
                  <w:right w:val="nil"/>
                </w:tcBorders>
                <w:shd w:val="clear" w:color="auto" w:fill="CAE7F3" w:themeFill="accent1" w:themeFillTint="33"/>
                <w:noWrap/>
                <w:vAlign w:val="bottom"/>
                <w:hideMark/>
              </w:tcPr>
              <w:p w14:paraId="76F6094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55.7</w:t>
                </w:r>
              </w:p>
            </w:tc>
            <w:tc>
              <w:tcPr>
                <w:tcW w:w="662" w:type="dxa"/>
                <w:tcBorders>
                  <w:top w:val="nil"/>
                  <w:left w:val="nil"/>
                  <w:bottom w:val="nil"/>
                  <w:right w:val="nil"/>
                </w:tcBorders>
                <w:shd w:val="clear" w:color="auto" w:fill="CAE7F3" w:themeFill="accent1" w:themeFillTint="33"/>
                <w:noWrap/>
                <w:vAlign w:val="bottom"/>
                <w:hideMark/>
              </w:tcPr>
              <w:p w14:paraId="57CE07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15F8761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92.0</w:t>
                </w:r>
              </w:p>
            </w:tc>
            <w:tc>
              <w:tcPr>
                <w:tcW w:w="662" w:type="dxa"/>
                <w:tcBorders>
                  <w:top w:val="nil"/>
                  <w:left w:val="nil"/>
                  <w:bottom w:val="nil"/>
                  <w:right w:val="nil"/>
                </w:tcBorders>
                <w:shd w:val="clear" w:color="auto" w:fill="CAE7F3" w:themeFill="accent1" w:themeFillTint="33"/>
                <w:noWrap/>
                <w:vAlign w:val="bottom"/>
                <w:hideMark/>
              </w:tcPr>
              <w:p w14:paraId="77D8374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w:t>
                </w:r>
              </w:p>
            </w:tc>
            <w:tc>
              <w:tcPr>
                <w:tcW w:w="661" w:type="dxa"/>
                <w:tcBorders>
                  <w:top w:val="nil"/>
                  <w:left w:val="nil"/>
                  <w:bottom w:val="nil"/>
                  <w:right w:val="nil"/>
                </w:tcBorders>
                <w:shd w:val="clear" w:color="auto" w:fill="CAE7F3" w:themeFill="accent1" w:themeFillTint="33"/>
                <w:noWrap/>
                <w:vAlign w:val="bottom"/>
                <w:hideMark/>
              </w:tcPr>
              <w:p w14:paraId="3CCCE16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526.8</w:t>
                </w:r>
              </w:p>
            </w:tc>
            <w:tc>
              <w:tcPr>
                <w:tcW w:w="662" w:type="dxa"/>
                <w:tcBorders>
                  <w:top w:val="nil"/>
                  <w:left w:val="nil"/>
                  <w:bottom w:val="nil"/>
                  <w:right w:val="nil"/>
                </w:tcBorders>
                <w:shd w:val="clear" w:color="auto" w:fill="CAE7F3" w:themeFill="accent1" w:themeFillTint="33"/>
                <w:noWrap/>
                <w:vAlign w:val="bottom"/>
                <w:hideMark/>
              </w:tcPr>
              <w:p w14:paraId="1AF0F5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76.0</w:t>
                </w:r>
              </w:p>
            </w:tc>
            <w:tc>
              <w:tcPr>
                <w:tcW w:w="662" w:type="dxa"/>
                <w:tcBorders>
                  <w:top w:val="nil"/>
                  <w:left w:val="nil"/>
                  <w:bottom w:val="nil"/>
                  <w:right w:val="nil"/>
                </w:tcBorders>
                <w:shd w:val="clear" w:color="auto" w:fill="CAE7F3" w:themeFill="accent1" w:themeFillTint="33"/>
                <w:noWrap/>
                <w:vAlign w:val="bottom"/>
                <w:hideMark/>
              </w:tcPr>
              <w:p w14:paraId="290A06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166.2</w:t>
                </w:r>
              </w:p>
            </w:tc>
            <w:tc>
              <w:tcPr>
                <w:tcW w:w="662" w:type="dxa"/>
                <w:tcBorders>
                  <w:top w:val="nil"/>
                  <w:left w:val="nil"/>
                  <w:bottom w:val="nil"/>
                  <w:right w:val="nil"/>
                </w:tcBorders>
                <w:shd w:val="clear" w:color="auto" w:fill="CAE7F3" w:themeFill="accent1" w:themeFillTint="33"/>
                <w:noWrap/>
                <w:vAlign w:val="bottom"/>
                <w:hideMark/>
              </w:tcPr>
              <w:p w14:paraId="00AB57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82.8</w:t>
                </w:r>
              </w:p>
            </w:tc>
            <w:tc>
              <w:tcPr>
                <w:tcW w:w="662" w:type="dxa"/>
                <w:tcBorders>
                  <w:top w:val="nil"/>
                  <w:left w:val="nil"/>
                  <w:bottom w:val="nil"/>
                  <w:right w:val="nil"/>
                </w:tcBorders>
                <w:shd w:val="clear" w:color="auto" w:fill="CAE7F3" w:themeFill="accent1" w:themeFillTint="33"/>
                <w:noWrap/>
                <w:vAlign w:val="bottom"/>
                <w:hideMark/>
              </w:tcPr>
              <w:p w14:paraId="484792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234.7</w:t>
                </w:r>
              </w:p>
            </w:tc>
            <w:tc>
              <w:tcPr>
                <w:tcW w:w="661" w:type="dxa"/>
                <w:tcBorders>
                  <w:top w:val="nil"/>
                  <w:left w:val="nil"/>
                  <w:bottom w:val="nil"/>
                  <w:right w:val="nil"/>
                </w:tcBorders>
                <w:shd w:val="clear" w:color="auto" w:fill="CAE7F3" w:themeFill="accent1" w:themeFillTint="33"/>
                <w:noWrap/>
                <w:vAlign w:val="bottom"/>
                <w:hideMark/>
              </w:tcPr>
              <w:p w14:paraId="7CCD092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14.7</w:t>
                </w:r>
              </w:p>
            </w:tc>
            <w:tc>
              <w:tcPr>
                <w:tcW w:w="662" w:type="dxa"/>
                <w:tcBorders>
                  <w:top w:val="nil"/>
                  <w:left w:val="nil"/>
                  <w:bottom w:val="nil"/>
                  <w:right w:val="nil"/>
                </w:tcBorders>
                <w:shd w:val="clear" w:color="auto" w:fill="CAE7F3" w:themeFill="accent1" w:themeFillTint="33"/>
                <w:noWrap/>
                <w:vAlign w:val="bottom"/>
                <w:hideMark/>
              </w:tcPr>
              <w:p w14:paraId="60E506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162.3</w:t>
                </w:r>
              </w:p>
            </w:tc>
            <w:tc>
              <w:tcPr>
                <w:tcW w:w="662" w:type="dxa"/>
                <w:tcBorders>
                  <w:top w:val="nil"/>
                  <w:left w:val="nil"/>
                  <w:bottom w:val="nil"/>
                  <w:right w:val="nil"/>
                </w:tcBorders>
                <w:shd w:val="clear" w:color="auto" w:fill="CAE7F3" w:themeFill="accent1" w:themeFillTint="33"/>
                <w:noWrap/>
                <w:vAlign w:val="bottom"/>
                <w:hideMark/>
              </w:tcPr>
              <w:p w14:paraId="4D407E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132.7</w:t>
                </w:r>
              </w:p>
            </w:tc>
            <w:tc>
              <w:tcPr>
                <w:tcW w:w="662" w:type="dxa"/>
                <w:tcBorders>
                  <w:top w:val="nil"/>
                  <w:left w:val="nil"/>
                  <w:bottom w:val="nil"/>
                  <w:right w:val="nil"/>
                </w:tcBorders>
                <w:shd w:val="clear" w:color="auto" w:fill="CAE7F3" w:themeFill="accent1" w:themeFillTint="33"/>
                <w:noWrap/>
                <w:vAlign w:val="bottom"/>
                <w:hideMark/>
              </w:tcPr>
              <w:p w14:paraId="3E3AB45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224.5</w:t>
                </w:r>
              </w:p>
            </w:tc>
            <w:tc>
              <w:tcPr>
                <w:tcW w:w="662" w:type="dxa"/>
                <w:tcBorders>
                  <w:top w:val="nil"/>
                  <w:left w:val="nil"/>
                  <w:bottom w:val="nil"/>
                  <w:right w:val="nil"/>
                </w:tcBorders>
                <w:shd w:val="clear" w:color="auto" w:fill="CAE7F3" w:themeFill="accent1" w:themeFillTint="33"/>
                <w:noWrap/>
                <w:vAlign w:val="bottom"/>
                <w:hideMark/>
              </w:tcPr>
              <w:p w14:paraId="6D25D31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132.0</w:t>
                </w:r>
              </w:p>
            </w:tc>
            <w:tc>
              <w:tcPr>
                <w:tcW w:w="661" w:type="dxa"/>
                <w:tcBorders>
                  <w:top w:val="nil"/>
                  <w:left w:val="nil"/>
                  <w:bottom w:val="nil"/>
                  <w:right w:val="nil"/>
                </w:tcBorders>
                <w:shd w:val="clear" w:color="auto" w:fill="CAE7F3" w:themeFill="accent1" w:themeFillTint="33"/>
                <w:noWrap/>
                <w:vAlign w:val="bottom"/>
                <w:hideMark/>
              </w:tcPr>
              <w:p w14:paraId="5F20C1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22.7</w:t>
                </w:r>
              </w:p>
            </w:tc>
            <w:tc>
              <w:tcPr>
                <w:tcW w:w="662" w:type="dxa"/>
                <w:tcBorders>
                  <w:top w:val="nil"/>
                  <w:left w:val="nil"/>
                  <w:bottom w:val="nil"/>
                  <w:right w:val="nil"/>
                </w:tcBorders>
                <w:shd w:val="clear" w:color="auto" w:fill="CAE7F3" w:themeFill="accent1" w:themeFillTint="33"/>
                <w:noWrap/>
                <w:vAlign w:val="bottom"/>
                <w:hideMark/>
              </w:tcPr>
              <w:p w14:paraId="0699D3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36.3</w:t>
                </w:r>
              </w:p>
            </w:tc>
            <w:tc>
              <w:tcPr>
                <w:tcW w:w="662" w:type="dxa"/>
                <w:tcBorders>
                  <w:top w:val="nil"/>
                  <w:left w:val="nil"/>
                  <w:bottom w:val="nil"/>
                  <w:right w:val="nil"/>
                </w:tcBorders>
                <w:shd w:val="clear" w:color="auto" w:fill="CAE7F3" w:themeFill="accent1" w:themeFillTint="33"/>
                <w:noWrap/>
                <w:vAlign w:val="bottom"/>
                <w:hideMark/>
              </w:tcPr>
              <w:p w14:paraId="565C6A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87.0</w:t>
                </w:r>
              </w:p>
            </w:tc>
            <w:tc>
              <w:tcPr>
                <w:tcW w:w="662" w:type="dxa"/>
                <w:tcBorders>
                  <w:top w:val="nil"/>
                  <w:left w:val="nil"/>
                  <w:bottom w:val="nil"/>
                  <w:right w:val="nil"/>
                </w:tcBorders>
                <w:shd w:val="clear" w:color="auto" w:fill="CAE7F3" w:themeFill="accent1" w:themeFillTint="33"/>
                <w:noWrap/>
                <w:vAlign w:val="bottom"/>
                <w:hideMark/>
              </w:tcPr>
              <w:p w14:paraId="326F7C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36.8</w:t>
                </w:r>
              </w:p>
            </w:tc>
            <w:tc>
              <w:tcPr>
                <w:tcW w:w="662" w:type="dxa"/>
                <w:tcBorders>
                  <w:top w:val="nil"/>
                  <w:left w:val="nil"/>
                  <w:bottom w:val="nil"/>
                  <w:right w:val="nil"/>
                </w:tcBorders>
                <w:shd w:val="clear" w:color="auto" w:fill="CAE7F3" w:themeFill="accent1" w:themeFillTint="33"/>
                <w:noWrap/>
                <w:vAlign w:val="bottom"/>
                <w:hideMark/>
              </w:tcPr>
              <w:p w14:paraId="7A029B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128.0</w:t>
                </w:r>
              </w:p>
            </w:tc>
          </w:tr>
          <w:tr w:rsidR="00830FDC" w:rsidRPr="00792A3F" w14:paraId="32478964"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4FAD64F"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Outer West and Blue Mountains</w:t>
                </w:r>
              </w:p>
            </w:tc>
            <w:tc>
              <w:tcPr>
                <w:tcW w:w="661" w:type="dxa"/>
                <w:tcBorders>
                  <w:top w:val="nil"/>
                  <w:left w:val="nil"/>
                  <w:bottom w:val="nil"/>
                  <w:right w:val="nil"/>
                </w:tcBorders>
                <w:shd w:val="clear" w:color="auto" w:fill="CAE7F3" w:themeFill="accent1" w:themeFillTint="33"/>
                <w:noWrap/>
                <w:vAlign w:val="bottom"/>
                <w:hideMark/>
              </w:tcPr>
              <w:p w14:paraId="05FC7A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63.2</w:t>
                </w:r>
              </w:p>
            </w:tc>
            <w:tc>
              <w:tcPr>
                <w:tcW w:w="662" w:type="dxa"/>
                <w:tcBorders>
                  <w:top w:val="nil"/>
                  <w:left w:val="nil"/>
                  <w:bottom w:val="nil"/>
                  <w:right w:val="nil"/>
                </w:tcBorders>
                <w:shd w:val="clear" w:color="auto" w:fill="CAE7F3" w:themeFill="accent1" w:themeFillTint="33"/>
                <w:noWrap/>
                <w:vAlign w:val="bottom"/>
                <w:hideMark/>
              </w:tcPr>
              <w:p w14:paraId="41F281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0F54FD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94.2</w:t>
                </w:r>
              </w:p>
            </w:tc>
            <w:tc>
              <w:tcPr>
                <w:tcW w:w="662" w:type="dxa"/>
                <w:tcBorders>
                  <w:top w:val="nil"/>
                  <w:left w:val="nil"/>
                  <w:bottom w:val="nil"/>
                  <w:right w:val="nil"/>
                </w:tcBorders>
                <w:shd w:val="clear" w:color="auto" w:fill="CAE7F3" w:themeFill="accent1" w:themeFillTint="33"/>
                <w:noWrap/>
                <w:vAlign w:val="bottom"/>
                <w:hideMark/>
              </w:tcPr>
              <w:p w14:paraId="4A9B048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14.8</w:t>
                </w:r>
              </w:p>
            </w:tc>
            <w:tc>
              <w:tcPr>
                <w:tcW w:w="661" w:type="dxa"/>
                <w:tcBorders>
                  <w:top w:val="nil"/>
                  <w:left w:val="nil"/>
                  <w:bottom w:val="nil"/>
                  <w:right w:val="nil"/>
                </w:tcBorders>
                <w:shd w:val="clear" w:color="auto" w:fill="CAE7F3" w:themeFill="accent1" w:themeFillTint="33"/>
                <w:noWrap/>
                <w:vAlign w:val="bottom"/>
                <w:hideMark/>
              </w:tcPr>
              <w:p w14:paraId="3809D7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646.5</w:t>
                </w:r>
              </w:p>
            </w:tc>
            <w:tc>
              <w:tcPr>
                <w:tcW w:w="662" w:type="dxa"/>
                <w:tcBorders>
                  <w:top w:val="nil"/>
                  <w:left w:val="nil"/>
                  <w:bottom w:val="nil"/>
                  <w:right w:val="nil"/>
                </w:tcBorders>
                <w:shd w:val="clear" w:color="auto" w:fill="CAE7F3" w:themeFill="accent1" w:themeFillTint="33"/>
                <w:noWrap/>
                <w:vAlign w:val="bottom"/>
                <w:hideMark/>
              </w:tcPr>
              <w:p w14:paraId="6C8B30E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85.2</w:t>
                </w:r>
              </w:p>
            </w:tc>
            <w:tc>
              <w:tcPr>
                <w:tcW w:w="662" w:type="dxa"/>
                <w:tcBorders>
                  <w:top w:val="nil"/>
                  <w:left w:val="nil"/>
                  <w:bottom w:val="nil"/>
                  <w:right w:val="nil"/>
                </w:tcBorders>
                <w:shd w:val="clear" w:color="auto" w:fill="CAE7F3" w:themeFill="accent1" w:themeFillTint="33"/>
                <w:noWrap/>
                <w:vAlign w:val="bottom"/>
                <w:hideMark/>
              </w:tcPr>
              <w:p w14:paraId="32DF4C4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190.7</w:t>
                </w:r>
              </w:p>
            </w:tc>
            <w:tc>
              <w:tcPr>
                <w:tcW w:w="662" w:type="dxa"/>
                <w:tcBorders>
                  <w:top w:val="nil"/>
                  <w:left w:val="nil"/>
                  <w:bottom w:val="nil"/>
                  <w:right w:val="nil"/>
                </w:tcBorders>
                <w:shd w:val="clear" w:color="auto" w:fill="CAE7F3" w:themeFill="accent1" w:themeFillTint="33"/>
                <w:noWrap/>
                <w:vAlign w:val="bottom"/>
                <w:hideMark/>
              </w:tcPr>
              <w:p w14:paraId="3B7E3B8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114.5</w:t>
                </w:r>
              </w:p>
            </w:tc>
            <w:tc>
              <w:tcPr>
                <w:tcW w:w="662" w:type="dxa"/>
                <w:tcBorders>
                  <w:top w:val="nil"/>
                  <w:left w:val="nil"/>
                  <w:bottom w:val="nil"/>
                  <w:right w:val="nil"/>
                </w:tcBorders>
                <w:shd w:val="clear" w:color="auto" w:fill="CAE7F3" w:themeFill="accent1" w:themeFillTint="33"/>
                <w:noWrap/>
                <w:vAlign w:val="bottom"/>
                <w:hideMark/>
              </w:tcPr>
              <w:p w14:paraId="74BD73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216.2</w:t>
                </w:r>
              </w:p>
            </w:tc>
            <w:tc>
              <w:tcPr>
                <w:tcW w:w="661" w:type="dxa"/>
                <w:tcBorders>
                  <w:top w:val="nil"/>
                  <w:left w:val="nil"/>
                  <w:bottom w:val="nil"/>
                  <w:right w:val="nil"/>
                </w:tcBorders>
                <w:shd w:val="clear" w:color="auto" w:fill="CAE7F3" w:themeFill="accent1" w:themeFillTint="33"/>
                <w:noWrap/>
                <w:vAlign w:val="bottom"/>
                <w:hideMark/>
              </w:tcPr>
              <w:p w14:paraId="22F43DA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26.2</w:t>
                </w:r>
              </w:p>
            </w:tc>
            <w:tc>
              <w:tcPr>
                <w:tcW w:w="662" w:type="dxa"/>
                <w:tcBorders>
                  <w:top w:val="nil"/>
                  <w:left w:val="nil"/>
                  <w:bottom w:val="nil"/>
                  <w:right w:val="nil"/>
                </w:tcBorders>
                <w:shd w:val="clear" w:color="auto" w:fill="CAE7F3" w:themeFill="accent1" w:themeFillTint="33"/>
                <w:noWrap/>
                <w:vAlign w:val="bottom"/>
                <w:hideMark/>
              </w:tcPr>
              <w:p w14:paraId="0EEDE77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171.2</w:t>
                </w:r>
              </w:p>
            </w:tc>
            <w:tc>
              <w:tcPr>
                <w:tcW w:w="662" w:type="dxa"/>
                <w:tcBorders>
                  <w:top w:val="nil"/>
                  <w:left w:val="nil"/>
                  <w:bottom w:val="nil"/>
                  <w:right w:val="nil"/>
                </w:tcBorders>
                <w:shd w:val="clear" w:color="auto" w:fill="CAE7F3" w:themeFill="accent1" w:themeFillTint="33"/>
                <w:noWrap/>
                <w:vAlign w:val="bottom"/>
                <w:hideMark/>
              </w:tcPr>
              <w:p w14:paraId="57D68C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163.0</w:t>
                </w:r>
              </w:p>
            </w:tc>
            <w:tc>
              <w:tcPr>
                <w:tcW w:w="662" w:type="dxa"/>
                <w:tcBorders>
                  <w:top w:val="nil"/>
                  <w:left w:val="nil"/>
                  <w:bottom w:val="nil"/>
                  <w:right w:val="nil"/>
                </w:tcBorders>
                <w:shd w:val="clear" w:color="auto" w:fill="CAE7F3" w:themeFill="accent1" w:themeFillTint="33"/>
                <w:noWrap/>
                <w:vAlign w:val="bottom"/>
                <w:hideMark/>
              </w:tcPr>
              <w:p w14:paraId="5CDD33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293.3</w:t>
                </w:r>
              </w:p>
            </w:tc>
            <w:tc>
              <w:tcPr>
                <w:tcW w:w="662" w:type="dxa"/>
                <w:tcBorders>
                  <w:top w:val="nil"/>
                  <w:left w:val="nil"/>
                  <w:bottom w:val="nil"/>
                  <w:right w:val="nil"/>
                </w:tcBorders>
                <w:shd w:val="clear" w:color="auto" w:fill="CAE7F3" w:themeFill="accent1" w:themeFillTint="33"/>
                <w:noWrap/>
                <w:vAlign w:val="bottom"/>
                <w:hideMark/>
              </w:tcPr>
              <w:p w14:paraId="2D10BF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134.7</w:t>
                </w:r>
              </w:p>
            </w:tc>
            <w:tc>
              <w:tcPr>
                <w:tcW w:w="661" w:type="dxa"/>
                <w:tcBorders>
                  <w:top w:val="nil"/>
                  <w:left w:val="nil"/>
                  <w:bottom w:val="nil"/>
                  <w:right w:val="nil"/>
                </w:tcBorders>
                <w:shd w:val="clear" w:color="auto" w:fill="CAE7F3" w:themeFill="accent1" w:themeFillTint="33"/>
                <w:noWrap/>
                <w:vAlign w:val="bottom"/>
                <w:hideMark/>
              </w:tcPr>
              <w:p w14:paraId="767F6E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19.2</w:t>
                </w:r>
              </w:p>
            </w:tc>
            <w:tc>
              <w:tcPr>
                <w:tcW w:w="662" w:type="dxa"/>
                <w:tcBorders>
                  <w:top w:val="nil"/>
                  <w:left w:val="nil"/>
                  <w:bottom w:val="nil"/>
                  <w:right w:val="nil"/>
                </w:tcBorders>
                <w:shd w:val="clear" w:color="auto" w:fill="CAE7F3" w:themeFill="accent1" w:themeFillTint="33"/>
                <w:noWrap/>
                <w:vAlign w:val="bottom"/>
                <w:hideMark/>
              </w:tcPr>
              <w:p w14:paraId="11B792D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48.3</w:t>
                </w:r>
              </w:p>
            </w:tc>
            <w:tc>
              <w:tcPr>
                <w:tcW w:w="662" w:type="dxa"/>
                <w:tcBorders>
                  <w:top w:val="nil"/>
                  <w:left w:val="nil"/>
                  <w:bottom w:val="nil"/>
                  <w:right w:val="nil"/>
                </w:tcBorders>
                <w:shd w:val="clear" w:color="auto" w:fill="CAE7F3" w:themeFill="accent1" w:themeFillTint="33"/>
                <w:noWrap/>
                <w:vAlign w:val="bottom"/>
                <w:hideMark/>
              </w:tcPr>
              <w:p w14:paraId="4A88CF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88.3</w:t>
                </w:r>
              </w:p>
            </w:tc>
            <w:tc>
              <w:tcPr>
                <w:tcW w:w="662" w:type="dxa"/>
                <w:tcBorders>
                  <w:top w:val="nil"/>
                  <w:left w:val="nil"/>
                  <w:bottom w:val="nil"/>
                  <w:right w:val="nil"/>
                </w:tcBorders>
                <w:shd w:val="clear" w:color="auto" w:fill="CAE7F3" w:themeFill="accent1" w:themeFillTint="33"/>
                <w:noWrap/>
                <w:vAlign w:val="bottom"/>
                <w:hideMark/>
              </w:tcPr>
              <w:p w14:paraId="7D9967F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41.5</w:t>
                </w:r>
              </w:p>
            </w:tc>
            <w:tc>
              <w:tcPr>
                <w:tcW w:w="662" w:type="dxa"/>
                <w:tcBorders>
                  <w:top w:val="nil"/>
                  <w:left w:val="nil"/>
                  <w:bottom w:val="nil"/>
                  <w:right w:val="nil"/>
                </w:tcBorders>
                <w:shd w:val="clear" w:color="auto" w:fill="CAE7F3" w:themeFill="accent1" w:themeFillTint="33"/>
                <w:noWrap/>
                <w:vAlign w:val="bottom"/>
                <w:hideMark/>
              </w:tcPr>
              <w:p w14:paraId="0136E6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155.7</w:t>
                </w:r>
              </w:p>
            </w:tc>
          </w:tr>
          <w:tr w:rsidR="00830FDC" w:rsidRPr="00792A3F" w14:paraId="397D18A6"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D6E9E3D"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Parramatta</w:t>
                </w:r>
              </w:p>
            </w:tc>
            <w:tc>
              <w:tcPr>
                <w:tcW w:w="661" w:type="dxa"/>
                <w:tcBorders>
                  <w:top w:val="nil"/>
                  <w:left w:val="nil"/>
                  <w:bottom w:val="nil"/>
                  <w:right w:val="nil"/>
                </w:tcBorders>
                <w:shd w:val="clear" w:color="auto" w:fill="CAE7F3" w:themeFill="accent1" w:themeFillTint="33"/>
                <w:noWrap/>
                <w:vAlign w:val="bottom"/>
                <w:hideMark/>
              </w:tcPr>
              <w:p w14:paraId="17B978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40.3</w:t>
                </w:r>
              </w:p>
            </w:tc>
            <w:tc>
              <w:tcPr>
                <w:tcW w:w="662" w:type="dxa"/>
                <w:tcBorders>
                  <w:top w:val="nil"/>
                  <w:left w:val="nil"/>
                  <w:bottom w:val="nil"/>
                  <w:right w:val="nil"/>
                </w:tcBorders>
                <w:shd w:val="clear" w:color="auto" w:fill="CAE7F3" w:themeFill="accent1" w:themeFillTint="33"/>
                <w:noWrap/>
                <w:vAlign w:val="bottom"/>
                <w:hideMark/>
              </w:tcPr>
              <w:p w14:paraId="415052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w:t>
                </w:r>
              </w:p>
            </w:tc>
            <w:tc>
              <w:tcPr>
                <w:tcW w:w="662" w:type="dxa"/>
                <w:tcBorders>
                  <w:top w:val="nil"/>
                  <w:left w:val="nil"/>
                  <w:bottom w:val="nil"/>
                  <w:right w:val="nil"/>
                </w:tcBorders>
                <w:shd w:val="clear" w:color="auto" w:fill="CAE7F3" w:themeFill="accent1" w:themeFillTint="33"/>
                <w:noWrap/>
                <w:vAlign w:val="bottom"/>
                <w:hideMark/>
              </w:tcPr>
              <w:p w14:paraId="417681C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220.3</w:t>
                </w:r>
              </w:p>
            </w:tc>
            <w:tc>
              <w:tcPr>
                <w:tcW w:w="662" w:type="dxa"/>
                <w:tcBorders>
                  <w:top w:val="nil"/>
                  <w:left w:val="nil"/>
                  <w:bottom w:val="nil"/>
                  <w:right w:val="nil"/>
                </w:tcBorders>
                <w:shd w:val="clear" w:color="auto" w:fill="CAE7F3" w:themeFill="accent1" w:themeFillTint="33"/>
                <w:noWrap/>
                <w:vAlign w:val="bottom"/>
                <w:hideMark/>
              </w:tcPr>
              <w:p w14:paraId="7A5D7D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23.8</w:t>
                </w:r>
              </w:p>
            </w:tc>
            <w:tc>
              <w:tcPr>
                <w:tcW w:w="661" w:type="dxa"/>
                <w:tcBorders>
                  <w:top w:val="nil"/>
                  <w:left w:val="nil"/>
                  <w:bottom w:val="nil"/>
                  <w:right w:val="nil"/>
                </w:tcBorders>
                <w:shd w:val="clear" w:color="auto" w:fill="CAE7F3" w:themeFill="accent1" w:themeFillTint="33"/>
                <w:noWrap/>
                <w:vAlign w:val="bottom"/>
                <w:hideMark/>
              </w:tcPr>
              <w:p w14:paraId="6FB382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1465.2</w:t>
                </w:r>
              </w:p>
            </w:tc>
            <w:tc>
              <w:tcPr>
                <w:tcW w:w="662" w:type="dxa"/>
                <w:tcBorders>
                  <w:top w:val="nil"/>
                  <w:left w:val="nil"/>
                  <w:bottom w:val="nil"/>
                  <w:right w:val="nil"/>
                </w:tcBorders>
                <w:shd w:val="clear" w:color="auto" w:fill="CAE7F3" w:themeFill="accent1" w:themeFillTint="33"/>
                <w:noWrap/>
                <w:vAlign w:val="bottom"/>
                <w:hideMark/>
              </w:tcPr>
              <w:p w14:paraId="549F46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337.5</w:t>
                </w:r>
              </w:p>
            </w:tc>
            <w:tc>
              <w:tcPr>
                <w:tcW w:w="662" w:type="dxa"/>
                <w:tcBorders>
                  <w:top w:val="nil"/>
                  <w:left w:val="nil"/>
                  <w:bottom w:val="nil"/>
                  <w:right w:val="nil"/>
                </w:tcBorders>
                <w:shd w:val="clear" w:color="auto" w:fill="CAE7F3" w:themeFill="accent1" w:themeFillTint="33"/>
                <w:noWrap/>
                <w:vAlign w:val="bottom"/>
                <w:hideMark/>
              </w:tcPr>
              <w:p w14:paraId="7D727AE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545.0</w:t>
                </w:r>
              </w:p>
            </w:tc>
            <w:tc>
              <w:tcPr>
                <w:tcW w:w="662" w:type="dxa"/>
                <w:tcBorders>
                  <w:top w:val="nil"/>
                  <w:left w:val="nil"/>
                  <w:bottom w:val="nil"/>
                  <w:right w:val="nil"/>
                </w:tcBorders>
                <w:shd w:val="clear" w:color="auto" w:fill="CAE7F3" w:themeFill="accent1" w:themeFillTint="33"/>
                <w:noWrap/>
                <w:vAlign w:val="bottom"/>
                <w:hideMark/>
              </w:tcPr>
              <w:p w14:paraId="2BE29F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323.8</w:t>
                </w:r>
              </w:p>
            </w:tc>
            <w:tc>
              <w:tcPr>
                <w:tcW w:w="662" w:type="dxa"/>
                <w:tcBorders>
                  <w:top w:val="nil"/>
                  <w:left w:val="nil"/>
                  <w:bottom w:val="nil"/>
                  <w:right w:val="nil"/>
                </w:tcBorders>
                <w:shd w:val="clear" w:color="auto" w:fill="CAE7F3" w:themeFill="accent1" w:themeFillTint="33"/>
                <w:noWrap/>
                <w:vAlign w:val="bottom"/>
                <w:hideMark/>
              </w:tcPr>
              <w:p w14:paraId="3020178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709.5</w:t>
                </w:r>
              </w:p>
            </w:tc>
            <w:tc>
              <w:tcPr>
                <w:tcW w:w="661" w:type="dxa"/>
                <w:tcBorders>
                  <w:top w:val="nil"/>
                  <w:left w:val="nil"/>
                  <w:bottom w:val="nil"/>
                  <w:right w:val="nil"/>
                </w:tcBorders>
                <w:shd w:val="clear" w:color="auto" w:fill="CAE7F3" w:themeFill="accent1" w:themeFillTint="33"/>
                <w:noWrap/>
                <w:vAlign w:val="bottom"/>
                <w:hideMark/>
              </w:tcPr>
              <w:p w14:paraId="5A3485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50.7</w:t>
                </w:r>
              </w:p>
            </w:tc>
            <w:tc>
              <w:tcPr>
                <w:tcW w:w="662" w:type="dxa"/>
                <w:tcBorders>
                  <w:top w:val="nil"/>
                  <w:left w:val="nil"/>
                  <w:bottom w:val="nil"/>
                  <w:right w:val="nil"/>
                </w:tcBorders>
                <w:shd w:val="clear" w:color="auto" w:fill="CAE7F3" w:themeFill="accent1" w:themeFillTint="33"/>
                <w:noWrap/>
                <w:vAlign w:val="bottom"/>
                <w:hideMark/>
              </w:tcPr>
              <w:p w14:paraId="2BEC43E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352.5</w:t>
                </w:r>
              </w:p>
            </w:tc>
            <w:tc>
              <w:tcPr>
                <w:tcW w:w="662" w:type="dxa"/>
                <w:tcBorders>
                  <w:top w:val="nil"/>
                  <w:left w:val="nil"/>
                  <w:bottom w:val="nil"/>
                  <w:right w:val="nil"/>
                </w:tcBorders>
                <w:shd w:val="clear" w:color="auto" w:fill="CAE7F3" w:themeFill="accent1" w:themeFillTint="33"/>
                <w:noWrap/>
                <w:vAlign w:val="bottom"/>
                <w:hideMark/>
              </w:tcPr>
              <w:p w14:paraId="21F4F07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439.7</w:t>
                </w:r>
              </w:p>
            </w:tc>
            <w:tc>
              <w:tcPr>
                <w:tcW w:w="662" w:type="dxa"/>
                <w:tcBorders>
                  <w:top w:val="nil"/>
                  <w:left w:val="nil"/>
                  <w:bottom w:val="nil"/>
                  <w:right w:val="nil"/>
                </w:tcBorders>
                <w:shd w:val="clear" w:color="auto" w:fill="CAE7F3" w:themeFill="accent1" w:themeFillTint="33"/>
                <w:noWrap/>
                <w:vAlign w:val="bottom"/>
                <w:hideMark/>
              </w:tcPr>
              <w:p w14:paraId="4CB919D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668.0</w:t>
                </w:r>
              </w:p>
            </w:tc>
            <w:tc>
              <w:tcPr>
                <w:tcW w:w="662" w:type="dxa"/>
                <w:tcBorders>
                  <w:top w:val="nil"/>
                  <w:left w:val="nil"/>
                  <w:bottom w:val="nil"/>
                  <w:right w:val="nil"/>
                </w:tcBorders>
                <w:shd w:val="clear" w:color="auto" w:fill="CAE7F3" w:themeFill="accent1" w:themeFillTint="33"/>
                <w:noWrap/>
                <w:vAlign w:val="bottom"/>
                <w:hideMark/>
              </w:tcPr>
              <w:p w14:paraId="7421DB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485.8</w:t>
                </w:r>
              </w:p>
            </w:tc>
            <w:tc>
              <w:tcPr>
                <w:tcW w:w="661" w:type="dxa"/>
                <w:tcBorders>
                  <w:top w:val="nil"/>
                  <w:left w:val="nil"/>
                  <w:bottom w:val="nil"/>
                  <w:right w:val="nil"/>
                </w:tcBorders>
                <w:shd w:val="clear" w:color="auto" w:fill="CAE7F3" w:themeFill="accent1" w:themeFillTint="33"/>
                <w:noWrap/>
                <w:vAlign w:val="bottom"/>
                <w:hideMark/>
              </w:tcPr>
              <w:p w14:paraId="51F24BC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62.8</w:t>
                </w:r>
              </w:p>
            </w:tc>
            <w:tc>
              <w:tcPr>
                <w:tcW w:w="662" w:type="dxa"/>
                <w:tcBorders>
                  <w:top w:val="nil"/>
                  <w:left w:val="nil"/>
                  <w:bottom w:val="nil"/>
                  <w:right w:val="nil"/>
                </w:tcBorders>
                <w:shd w:val="clear" w:color="auto" w:fill="CAE7F3" w:themeFill="accent1" w:themeFillTint="33"/>
                <w:noWrap/>
                <w:vAlign w:val="bottom"/>
                <w:hideMark/>
              </w:tcPr>
              <w:p w14:paraId="5752115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75.0</w:t>
                </w:r>
              </w:p>
            </w:tc>
            <w:tc>
              <w:tcPr>
                <w:tcW w:w="662" w:type="dxa"/>
                <w:tcBorders>
                  <w:top w:val="nil"/>
                  <w:left w:val="nil"/>
                  <w:bottom w:val="nil"/>
                  <w:right w:val="nil"/>
                </w:tcBorders>
                <w:shd w:val="clear" w:color="auto" w:fill="CAE7F3" w:themeFill="accent1" w:themeFillTint="33"/>
                <w:noWrap/>
                <w:vAlign w:val="bottom"/>
                <w:hideMark/>
              </w:tcPr>
              <w:p w14:paraId="0270471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246.3</w:t>
                </w:r>
              </w:p>
            </w:tc>
            <w:tc>
              <w:tcPr>
                <w:tcW w:w="662" w:type="dxa"/>
                <w:tcBorders>
                  <w:top w:val="nil"/>
                  <w:left w:val="nil"/>
                  <w:bottom w:val="nil"/>
                  <w:right w:val="nil"/>
                </w:tcBorders>
                <w:shd w:val="clear" w:color="auto" w:fill="CAE7F3" w:themeFill="accent1" w:themeFillTint="33"/>
                <w:noWrap/>
                <w:vAlign w:val="bottom"/>
                <w:hideMark/>
              </w:tcPr>
              <w:p w14:paraId="286338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45.2</w:t>
                </w:r>
              </w:p>
            </w:tc>
            <w:tc>
              <w:tcPr>
                <w:tcW w:w="662" w:type="dxa"/>
                <w:tcBorders>
                  <w:top w:val="nil"/>
                  <w:left w:val="nil"/>
                  <w:bottom w:val="nil"/>
                  <w:right w:val="nil"/>
                </w:tcBorders>
                <w:shd w:val="clear" w:color="auto" w:fill="CAE7F3" w:themeFill="accent1" w:themeFillTint="33"/>
                <w:noWrap/>
                <w:vAlign w:val="bottom"/>
                <w:hideMark/>
              </w:tcPr>
              <w:p w14:paraId="01872AA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247.5</w:t>
                </w:r>
              </w:p>
            </w:tc>
          </w:tr>
          <w:tr w:rsidR="00830FDC" w:rsidRPr="00792A3F" w14:paraId="3FFC0C3A"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F275E11"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Ryde</w:t>
                </w:r>
              </w:p>
            </w:tc>
            <w:tc>
              <w:tcPr>
                <w:tcW w:w="661" w:type="dxa"/>
                <w:tcBorders>
                  <w:top w:val="nil"/>
                  <w:left w:val="nil"/>
                  <w:bottom w:val="nil"/>
                  <w:right w:val="nil"/>
                </w:tcBorders>
                <w:shd w:val="clear" w:color="auto" w:fill="CAE7F3" w:themeFill="accent1" w:themeFillTint="33"/>
                <w:noWrap/>
                <w:vAlign w:val="bottom"/>
                <w:hideMark/>
              </w:tcPr>
              <w:p w14:paraId="745075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31.2</w:t>
                </w:r>
              </w:p>
            </w:tc>
            <w:tc>
              <w:tcPr>
                <w:tcW w:w="662" w:type="dxa"/>
                <w:tcBorders>
                  <w:top w:val="nil"/>
                  <w:left w:val="nil"/>
                  <w:bottom w:val="nil"/>
                  <w:right w:val="nil"/>
                </w:tcBorders>
                <w:shd w:val="clear" w:color="auto" w:fill="CAE7F3" w:themeFill="accent1" w:themeFillTint="33"/>
                <w:noWrap/>
                <w:vAlign w:val="bottom"/>
                <w:hideMark/>
              </w:tcPr>
              <w:p w14:paraId="4DAE6E7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37CFB1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48.0</w:t>
                </w:r>
              </w:p>
            </w:tc>
            <w:tc>
              <w:tcPr>
                <w:tcW w:w="662" w:type="dxa"/>
                <w:tcBorders>
                  <w:top w:val="nil"/>
                  <w:left w:val="nil"/>
                  <w:bottom w:val="nil"/>
                  <w:right w:val="nil"/>
                </w:tcBorders>
                <w:shd w:val="clear" w:color="auto" w:fill="CAE7F3" w:themeFill="accent1" w:themeFillTint="33"/>
                <w:noWrap/>
                <w:vAlign w:val="bottom"/>
                <w:hideMark/>
              </w:tcPr>
              <w:p w14:paraId="35D599C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w:t>
                </w:r>
              </w:p>
            </w:tc>
            <w:tc>
              <w:tcPr>
                <w:tcW w:w="661" w:type="dxa"/>
                <w:tcBorders>
                  <w:top w:val="nil"/>
                  <w:left w:val="nil"/>
                  <w:bottom w:val="nil"/>
                  <w:right w:val="nil"/>
                </w:tcBorders>
                <w:shd w:val="clear" w:color="auto" w:fill="CAE7F3" w:themeFill="accent1" w:themeFillTint="33"/>
                <w:noWrap/>
                <w:vAlign w:val="bottom"/>
                <w:hideMark/>
              </w:tcPr>
              <w:p w14:paraId="5E794D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294.3</w:t>
                </w:r>
              </w:p>
            </w:tc>
            <w:tc>
              <w:tcPr>
                <w:tcW w:w="662" w:type="dxa"/>
                <w:tcBorders>
                  <w:top w:val="nil"/>
                  <w:left w:val="nil"/>
                  <w:bottom w:val="nil"/>
                  <w:right w:val="nil"/>
                </w:tcBorders>
                <w:shd w:val="clear" w:color="auto" w:fill="CAE7F3" w:themeFill="accent1" w:themeFillTint="33"/>
                <w:noWrap/>
                <w:vAlign w:val="bottom"/>
                <w:hideMark/>
              </w:tcPr>
              <w:p w14:paraId="6EA1B18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118.8</w:t>
                </w:r>
              </w:p>
            </w:tc>
            <w:tc>
              <w:tcPr>
                <w:tcW w:w="662" w:type="dxa"/>
                <w:tcBorders>
                  <w:top w:val="nil"/>
                  <w:left w:val="nil"/>
                  <w:bottom w:val="nil"/>
                  <w:right w:val="nil"/>
                </w:tcBorders>
                <w:shd w:val="clear" w:color="auto" w:fill="CAE7F3" w:themeFill="accent1" w:themeFillTint="33"/>
                <w:noWrap/>
                <w:vAlign w:val="bottom"/>
                <w:hideMark/>
              </w:tcPr>
              <w:p w14:paraId="4C2574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181.8</w:t>
                </w:r>
              </w:p>
            </w:tc>
            <w:tc>
              <w:tcPr>
                <w:tcW w:w="662" w:type="dxa"/>
                <w:tcBorders>
                  <w:top w:val="nil"/>
                  <w:left w:val="nil"/>
                  <w:bottom w:val="nil"/>
                  <w:right w:val="nil"/>
                </w:tcBorders>
                <w:shd w:val="clear" w:color="auto" w:fill="CAE7F3" w:themeFill="accent1" w:themeFillTint="33"/>
                <w:noWrap/>
                <w:vAlign w:val="bottom"/>
                <w:hideMark/>
              </w:tcPr>
              <w:p w14:paraId="53F012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134.3</w:t>
                </w:r>
              </w:p>
            </w:tc>
            <w:tc>
              <w:tcPr>
                <w:tcW w:w="662" w:type="dxa"/>
                <w:tcBorders>
                  <w:top w:val="nil"/>
                  <w:left w:val="nil"/>
                  <w:bottom w:val="nil"/>
                  <w:right w:val="nil"/>
                </w:tcBorders>
                <w:shd w:val="clear" w:color="auto" w:fill="CAE7F3" w:themeFill="accent1" w:themeFillTint="33"/>
                <w:noWrap/>
                <w:vAlign w:val="bottom"/>
                <w:hideMark/>
              </w:tcPr>
              <w:p w14:paraId="3C15B0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87.8</w:t>
                </w:r>
              </w:p>
            </w:tc>
            <w:tc>
              <w:tcPr>
                <w:tcW w:w="661" w:type="dxa"/>
                <w:tcBorders>
                  <w:top w:val="nil"/>
                  <w:left w:val="nil"/>
                  <w:bottom w:val="nil"/>
                  <w:right w:val="nil"/>
                </w:tcBorders>
                <w:shd w:val="clear" w:color="auto" w:fill="CAE7F3" w:themeFill="accent1" w:themeFillTint="33"/>
                <w:noWrap/>
                <w:vAlign w:val="bottom"/>
                <w:hideMark/>
              </w:tcPr>
              <w:p w14:paraId="272405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31.5</w:t>
                </w:r>
              </w:p>
            </w:tc>
            <w:tc>
              <w:tcPr>
                <w:tcW w:w="662" w:type="dxa"/>
                <w:tcBorders>
                  <w:top w:val="nil"/>
                  <w:left w:val="nil"/>
                  <w:bottom w:val="nil"/>
                  <w:right w:val="nil"/>
                </w:tcBorders>
                <w:shd w:val="clear" w:color="auto" w:fill="CAE7F3" w:themeFill="accent1" w:themeFillTint="33"/>
                <w:noWrap/>
                <w:vAlign w:val="bottom"/>
                <w:hideMark/>
              </w:tcPr>
              <w:p w14:paraId="2C00EE6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237.8</w:t>
                </w:r>
              </w:p>
            </w:tc>
            <w:tc>
              <w:tcPr>
                <w:tcW w:w="662" w:type="dxa"/>
                <w:tcBorders>
                  <w:top w:val="nil"/>
                  <w:left w:val="nil"/>
                  <w:bottom w:val="nil"/>
                  <w:right w:val="nil"/>
                </w:tcBorders>
                <w:shd w:val="clear" w:color="auto" w:fill="CAE7F3" w:themeFill="accent1" w:themeFillTint="33"/>
                <w:noWrap/>
                <w:vAlign w:val="bottom"/>
                <w:hideMark/>
              </w:tcPr>
              <w:p w14:paraId="3AC6FB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214.3</w:t>
                </w:r>
              </w:p>
            </w:tc>
            <w:tc>
              <w:tcPr>
                <w:tcW w:w="662" w:type="dxa"/>
                <w:tcBorders>
                  <w:top w:val="nil"/>
                  <w:left w:val="nil"/>
                  <w:bottom w:val="nil"/>
                  <w:right w:val="nil"/>
                </w:tcBorders>
                <w:shd w:val="clear" w:color="auto" w:fill="CAE7F3" w:themeFill="accent1" w:themeFillTint="33"/>
                <w:noWrap/>
                <w:vAlign w:val="bottom"/>
                <w:hideMark/>
              </w:tcPr>
              <w:p w14:paraId="7EB6B02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440.7</w:t>
                </w:r>
              </w:p>
            </w:tc>
            <w:tc>
              <w:tcPr>
                <w:tcW w:w="662" w:type="dxa"/>
                <w:tcBorders>
                  <w:top w:val="nil"/>
                  <w:left w:val="nil"/>
                  <w:bottom w:val="nil"/>
                  <w:right w:val="nil"/>
                </w:tcBorders>
                <w:shd w:val="clear" w:color="auto" w:fill="CAE7F3" w:themeFill="accent1" w:themeFillTint="33"/>
                <w:noWrap/>
                <w:vAlign w:val="bottom"/>
                <w:hideMark/>
              </w:tcPr>
              <w:p w14:paraId="4190A95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152.2</w:t>
                </w:r>
              </w:p>
            </w:tc>
            <w:tc>
              <w:tcPr>
                <w:tcW w:w="661" w:type="dxa"/>
                <w:tcBorders>
                  <w:top w:val="nil"/>
                  <w:left w:val="nil"/>
                  <w:bottom w:val="nil"/>
                  <w:right w:val="nil"/>
                </w:tcBorders>
                <w:shd w:val="clear" w:color="auto" w:fill="CAE7F3" w:themeFill="accent1" w:themeFillTint="33"/>
                <w:noWrap/>
                <w:vAlign w:val="bottom"/>
                <w:hideMark/>
              </w:tcPr>
              <w:p w14:paraId="65BDABC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w:t>
                </w:r>
              </w:p>
            </w:tc>
            <w:tc>
              <w:tcPr>
                <w:tcW w:w="662" w:type="dxa"/>
                <w:tcBorders>
                  <w:top w:val="nil"/>
                  <w:left w:val="nil"/>
                  <w:bottom w:val="nil"/>
                  <w:right w:val="nil"/>
                </w:tcBorders>
                <w:shd w:val="clear" w:color="auto" w:fill="CAE7F3" w:themeFill="accent1" w:themeFillTint="33"/>
                <w:noWrap/>
                <w:vAlign w:val="bottom"/>
                <w:hideMark/>
              </w:tcPr>
              <w:p w14:paraId="3874A39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36.3</w:t>
                </w:r>
              </w:p>
            </w:tc>
            <w:tc>
              <w:tcPr>
                <w:tcW w:w="662" w:type="dxa"/>
                <w:tcBorders>
                  <w:top w:val="nil"/>
                  <w:left w:val="nil"/>
                  <w:bottom w:val="nil"/>
                  <w:right w:val="nil"/>
                </w:tcBorders>
                <w:shd w:val="clear" w:color="auto" w:fill="CAE7F3" w:themeFill="accent1" w:themeFillTint="33"/>
                <w:noWrap/>
                <w:vAlign w:val="bottom"/>
                <w:hideMark/>
              </w:tcPr>
              <w:p w14:paraId="6DB5136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133.7</w:t>
                </w:r>
              </w:p>
            </w:tc>
            <w:tc>
              <w:tcPr>
                <w:tcW w:w="662" w:type="dxa"/>
                <w:tcBorders>
                  <w:top w:val="nil"/>
                  <w:left w:val="nil"/>
                  <w:bottom w:val="nil"/>
                  <w:right w:val="nil"/>
                </w:tcBorders>
                <w:shd w:val="clear" w:color="auto" w:fill="CAE7F3" w:themeFill="accent1" w:themeFillTint="33"/>
                <w:noWrap/>
                <w:vAlign w:val="bottom"/>
                <w:hideMark/>
              </w:tcPr>
              <w:p w14:paraId="56B622B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28.7</w:t>
                </w:r>
              </w:p>
            </w:tc>
            <w:tc>
              <w:tcPr>
                <w:tcW w:w="662" w:type="dxa"/>
                <w:tcBorders>
                  <w:top w:val="nil"/>
                  <w:left w:val="nil"/>
                  <w:bottom w:val="nil"/>
                  <w:right w:val="nil"/>
                </w:tcBorders>
                <w:shd w:val="clear" w:color="auto" w:fill="CAE7F3" w:themeFill="accent1" w:themeFillTint="33"/>
                <w:noWrap/>
                <w:vAlign w:val="bottom"/>
                <w:hideMark/>
              </w:tcPr>
              <w:p w14:paraId="245DDD3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74.8</w:t>
                </w:r>
              </w:p>
            </w:tc>
          </w:tr>
          <w:tr w:rsidR="00830FDC" w:rsidRPr="00792A3F" w14:paraId="32DF4563"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36DDBF8"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South West</w:t>
                </w:r>
              </w:p>
            </w:tc>
            <w:tc>
              <w:tcPr>
                <w:tcW w:w="661" w:type="dxa"/>
                <w:tcBorders>
                  <w:top w:val="nil"/>
                  <w:left w:val="nil"/>
                  <w:bottom w:val="nil"/>
                  <w:right w:val="nil"/>
                </w:tcBorders>
                <w:shd w:val="clear" w:color="auto" w:fill="CAE7F3" w:themeFill="accent1" w:themeFillTint="33"/>
                <w:noWrap/>
                <w:vAlign w:val="bottom"/>
                <w:hideMark/>
              </w:tcPr>
              <w:p w14:paraId="689C9D3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73.5</w:t>
                </w:r>
              </w:p>
            </w:tc>
            <w:tc>
              <w:tcPr>
                <w:tcW w:w="662" w:type="dxa"/>
                <w:tcBorders>
                  <w:top w:val="nil"/>
                  <w:left w:val="nil"/>
                  <w:bottom w:val="nil"/>
                  <w:right w:val="nil"/>
                </w:tcBorders>
                <w:shd w:val="clear" w:color="auto" w:fill="CAE7F3" w:themeFill="accent1" w:themeFillTint="33"/>
                <w:noWrap/>
                <w:vAlign w:val="bottom"/>
                <w:hideMark/>
              </w:tcPr>
              <w:p w14:paraId="5B477AC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nil"/>
                  <w:right w:val="nil"/>
                </w:tcBorders>
                <w:shd w:val="clear" w:color="auto" w:fill="CAE7F3" w:themeFill="accent1" w:themeFillTint="33"/>
                <w:noWrap/>
                <w:vAlign w:val="bottom"/>
                <w:hideMark/>
              </w:tcPr>
              <w:p w14:paraId="603E088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188.5</w:t>
                </w:r>
              </w:p>
            </w:tc>
            <w:tc>
              <w:tcPr>
                <w:tcW w:w="662" w:type="dxa"/>
                <w:tcBorders>
                  <w:top w:val="nil"/>
                  <w:left w:val="nil"/>
                  <w:bottom w:val="nil"/>
                  <w:right w:val="nil"/>
                </w:tcBorders>
                <w:shd w:val="clear" w:color="auto" w:fill="CAE7F3" w:themeFill="accent1" w:themeFillTint="33"/>
                <w:noWrap/>
                <w:vAlign w:val="bottom"/>
                <w:hideMark/>
              </w:tcPr>
              <w:p w14:paraId="46DABE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w:t>
                </w:r>
              </w:p>
            </w:tc>
            <w:tc>
              <w:tcPr>
                <w:tcW w:w="661" w:type="dxa"/>
                <w:tcBorders>
                  <w:top w:val="nil"/>
                  <w:left w:val="nil"/>
                  <w:bottom w:val="nil"/>
                  <w:right w:val="nil"/>
                </w:tcBorders>
                <w:shd w:val="clear" w:color="auto" w:fill="CAE7F3" w:themeFill="accent1" w:themeFillTint="33"/>
                <w:noWrap/>
                <w:vAlign w:val="bottom"/>
                <w:hideMark/>
              </w:tcPr>
              <w:p w14:paraId="50B9AE5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1028.7</w:t>
                </w:r>
              </w:p>
            </w:tc>
            <w:tc>
              <w:tcPr>
                <w:tcW w:w="662" w:type="dxa"/>
                <w:tcBorders>
                  <w:top w:val="nil"/>
                  <w:left w:val="nil"/>
                  <w:bottom w:val="nil"/>
                  <w:right w:val="nil"/>
                </w:tcBorders>
                <w:shd w:val="clear" w:color="auto" w:fill="CAE7F3" w:themeFill="accent1" w:themeFillTint="33"/>
                <w:noWrap/>
                <w:vAlign w:val="bottom"/>
                <w:hideMark/>
              </w:tcPr>
              <w:p w14:paraId="7E634E7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178.7</w:t>
                </w:r>
              </w:p>
            </w:tc>
            <w:tc>
              <w:tcPr>
                <w:tcW w:w="662" w:type="dxa"/>
                <w:tcBorders>
                  <w:top w:val="nil"/>
                  <w:left w:val="nil"/>
                  <w:bottom w:val="nil"/>
                  <w:right w:val="nil"/>
                </w:tcBorders>
                <w:shd w:val="clear" w:color="auto" w:fill="CAE7F3" w:themeFill="accent1" w:themeFillTint="33"/>
                <w:noWrap/>
                <w:vAlign w:val="bottom"/>
                <w:hideMark/>
              </w:tcPr>
              <w:p w14:paraId="42C566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353.2</w:t>
                </w:r>
              </w:p>
            </w:tc>
            <w:tc>
              <w:tcPr>
                <w:tcW w:w="662" w:type="dxa"/>
                <w:tcBorders>
                  <w:top w:val="nil"/>
                  <w:left w:val="nil"/>
                  <w:bottom w:val="nil"/>
                  <w:right w:val="nil"/>
                </w:tcBorders>
                <w:shd w:val="clear" w:color="auto" w:fill="CAE7F3" w:themeFill="accent1" w:themeFillTint="33"/>
                <w:noWrap/>
                <w:vAlign w:val="bottom"/>
                <w:hideMark/>
              </w:tcPr>
              <w:p w14:paraId="2A0386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179.3</w:t>
                </w:r>
              </w:p>
            </w:tc>
            <w:tc>
              <w:tcPr>
                <w:tcW w:w="662" w:type="dxa"/>
                <w:tcBorders>
                  <w:top w:val="nil"/>
                  <w:left w:val="nil"/>
                  <w:bottom w:val="nil"/>
                  <w:right w:val="nil"/>
                </w:tcBorders>
                <w:shd w:val="clear" w:color="auto" w:fill="CAE7F3" w:themeFill="accent1" w:themeFillTint="33"/>
                <w:noWrap/>
                <w:vAlign w:val="bottom"/>
                <w:hideMark/>
              </w:tcPr>
              <w:p w14:paraId="64508E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513.3</w:t>
                </w:r>
              </w:p>
            </w:tc>
            <w:tc>
              <w:tcPr>
                <w:tcW w:w="661" w:type="dxa"/>
                <w:tcBorders>
                  <w:top w:val="nil"/>
                  <w:left w:val="nil"/>
                  <w:bottom w:val="nil"/>
                  <w:right w:val="nil"/>
                </w:tcBorders>
                <w:shd w:val="clear" w:color="auto" w:fill="CAE7F3" w:themeFill="accent1" w:themeFillTint="33"/>
                <w:noWrap/>
                <w:vAlign w:val="bottom"/>
                <w:hideMark/>
              </w:tcPr>
              <w:p w14:paraId="01823C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24.7</w:t>
                </w:r>
              </w:p>
            </w:tc>
            <w:tc>
              <w:tcPr>
                <w:tcW w:w="662" w:type="dxa"/>
                <w:tcBorders>
                  <w:top w:val="nil"/>
                  <w:left w:val="nil"/>
                  <w:bottom w:val="nil"/>
                  <w:right w:val="nil"/>
                </w:tcBorders>
                <w:shd w:val="clear" w:color="auto" w:fill="CAE7F3" w:themeFill="accent1" w:themeFillTint="33"/>
                <w:noWrap/>
                <w:vAlign w:val="bottom"/>
                <w:hideMark/>
              </w:tcPr>
              <w:p w14:paraId="7C4FAE1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208.8</w:t>
                </w:r>
              </w:p>
            </w:tc>
            <w:tc>
              <w:tcPr>
                <w:tcW w:w="662" w:type="dxa"/>
                <w:tcBorders>
                  <w:top w:val="nil"/>
                  <w:left w:val="nil"/>
                  <w:bottom w:val="nil"/>
                  <w:right w:val="nil"/>
                </w:tcBorders>
                <w:shd w:val="clear" w:color="auto" w:fill="CAE7F3" w:themeFill="accent1" w:themeFillTint="33"/>
                <w:noWrap/>
                <w:vAlign w:val="bottom"/>
                <w:hideMark/>
              </w:tcPr>
              <w:p w14:paraId="17D7501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267.8</w:t>
                </w:r>
              </w:p>
            </w:tc>
            <w:tc>
              <w:tcPr>
                <w:tcW w:w="662" w:type="dxa"/>
                <w:tcBorders>
                  <w:top w:val="nil"/>
                  <w:left w:val="nil"/>
                  <w:bottom w:val="nil"/>
                  <w:right w:val="nil"/>
                </w:tcBorders>
                <w:shd w:val="clear" w:color="auto" w:fill="CAE7F3" w:themeFill="accent1" w:themeFillTint="33"/>
                <w:noWrap/>
                <w:vAlign w:val="bottom"/>
                <w:hideMark/>
              </w:tcPr>
              <w:p w14:paraId="3A28B2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315.8</w:t>
                </w:r>
              </w:p>
            </w:tc>
            <w:tc>
              <w:tcPr>
                <w:tcW w:w="662" w:type="dxa"/>
                <w:tcBorders>
                  <w:top w:val="nil"/>
                  <w:left w:val="nil"/>
                  <w:bottom w:val="nil"/>
                  <w:right w:val="nil"/>
                </w:tcBorders>
                <w:shd w:val="clear" w:color="auto" w:fill="CAE7F3" w:themeFill="accent1" w:themeFillTint="33"/>
                <w:noWrap/>
                <w:vAlign w:val="bottom"/>
                <w:hideMark/>
              </w:tcPr>
              <w:p w14:paraId="4643E7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281.5</w:t>
                </w:r>
              </w:p>
            </w:tc>
            <w:tc>
              <w:tcPr>
                <w:tcW w:w="661" w:type="dxa"/>
                <w:tcBorders>
                  <w:top w:val="nil"/>
                  <w:left w:val="nil"/>
                  <w:bottom w:val="nil"/>
                  <w:right w:val="nil"/>
                </w:tcBorders>
                <w:shd w:val="clear" w:color="auto" w:fill="CAE7F3" w:themeFill="accent1" w:themeFillTint="33"/>
                <w:noWrap/>
                <w:vAlign w:val="bottom"/>
                <w:hideMark/>
              </w:tcPr>
              <w:p w14:paraId="3619E0D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40.8</w:t>
                </w:r>
              </w:p>
            </w:tc>
            <w:tc>
              <w:tcPr>
                <w:tcW w:w="662" w:type="dxa"/>
                <w:tcBorders>
                  <w:top w:val="nil"/>
                  <w:left w:val="nil"/>
                  <w:bottom w:val="nil"/>
                  <w:right w:val="nil"/>
                </w:tcBorders>
                <w:shd w:val="clear" w:color="auto" w:fill="CAE7F3" w:themeFill="accent1" w:themeFillTint="33"/>
                <w:noWrap/>
                <w:vAlign w:val="bottom"/>
                <w:hideMark/>
              </w:tcPr>
              <w:p w14:paraId="19D320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43.0</w:t>
                </w:r>
              </w:p>
            </w:tc>
            <w:tc>
              <w:tcPr>
                <w:tcW w:w="662" w:type="dxa"/>
                <w:tcBorders>
                  <w:top w:val="nil"/>
                  <w:left w:val="nil"/>
                  <w:bottom w:val="nil"/>
                  <w:right w:val="nil"/>
                </w:tcBorders>
                <w:shd w:val="clear" w:color="auto" w:fill="CAE7F3" w:themeFill="accent1" w:themeFillTint="33"/>
                <w:noWrap/>
                <w:vAlign w:val="bottom"/>
                <w:hideMark/>
              </w:tcPr>
              <w:p w14:paraId="53A3CE6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137.0</w:t>
                </w:r>
              </w:p>
            </w:tc>
            <w:tc>
              <w:tcPr>
                <w:tcW w:w="662" w:type="dxa"/>
                <w:tcBorders>
                  <w:top w:val="nil"/>
                  <w:left w:val="nil"/>
                  <w:bottom w:val="nil"/>
                  <w:right w:val="nil"/>
                </w:tcBorders>
                <w:shd w:val="clear" w:color="auto" w:fill="CAE7F3" w:themeFill="accent1" w:themeFillTint="33"/>
                <w:noWrap/>
                <w:vAlign w:val="bottom"/>
                <w:hideMark/>
              </w:tcPr>
              <w:p w14:paraId="4E318A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34.7</w:t>
                </w:r>
              </w:p>
            </w:tc>
            <w:tc>
              <w:tcPr>
                <w:tcW w:w="662" w:type="dxa"/>
                <w:tcBorders>
                  <w:top w:val="nil"/>
                  <w:left w:val="nil"/>
                  <w:bottom w:val="nil"/>
                  <w:right w:val="nil"/>
                </w:tcBorders>
                <w:shd w:val="clear" w:color="auto" w:fill="CAE7F3" w:themeFill="accent1" w:themeFillTint="33"/>
                <w:noWrap/>
                <w:vAlign w:val="bottom"/>
                <w:hideMark/>
              </w:tcPr>
              <w:p w14:paraId="5D8ADA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224.7</w:t>
                </w:r>
              </w:p>
            </w:tc>
          </w:tr>
          <w:tr w:rsidR="00830FDC" w:rsidRPr="00792A3F" w14:paraId="6557EF5F" w14:textId="77777777" w:rsidTr="00D0090A">
            <w:trPr>
              <w:trHeight w:val="225"/>
            </w:trPr>
            <w:tc>
              <w:tcPr>
                <w:tcW w:w="1460" w:type="dxa"/>
                <w:tcBorders>
                  <w:top w:val="nil"/>
                  <w:left w:val="nil"/>
                  <w:bottom w:val="single" w:sz="8" w:space="0" w:color="595A5B"/>
                  <w:right w:val="nil"/>
                </w:tcBorders>
                <w:shd w:val="clear" w:color="auto" w:fill="CAE7F3" w:themeFill="accent1" w:themeFillTint="33"/>
                <w:noWrap/>
                <w:vAlign w:val="bottom"/>
                <w:hideMark/>
              </w:tcPr>
              <w:p w14:paraId="3A75A42F"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Sydney</w:t>
                </w:r>
                <w:r>
                  <w:rPr>
                    <w:color w:val="595A5B" w:themeColor="text1"/>
                    <w:sz w:val="12"/>
                    <w:szCs w:val="16"/>
                    <w:lang w:eastAsia="en-AU"/>
                  </w:rPr>
                  <w:t xml:space="preserve"> — </w:t>
                </w:r>
                <w:r w:rsidRPr="00792A3F">
                  <w:rPr>
                    <w:color w:val="595A5B" w:themeColor="text1"/>
                    <w:sz w:val="12"/>
                    <w:szCs w:val="16"/>
                    <w:lang w:eastAsia="en-AU"/>
                  </w:rPr>
                  <w:t>Sutherland</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4E2861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33.8</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7E41026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F05422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82.7</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27C83A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4768A53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541.0</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496552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95.5</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664D281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174.2</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39079DF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109.3</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7443317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109.2</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50CD994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26.5</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7A7E9D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257.7</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667A72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227.8</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027D50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387.0</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C9641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119.8</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4B5BCE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C0FDC2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46.7</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277D915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107.2</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73DBA4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42.3</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361F2EE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114.5</w:t>
                </w:r>
              </w:p>
            </w:tc>
          </w:tr>
          <w:tr w:rsidR="00830FDC" w:rsidRPr="009820E8" w14:paraId="15D48298" w14:textId="77777777" w:rsidTr="00D0090A">
            <w:trPr>
              <w:trHeight w:val="225"/>
            </w:trPr>
            <w:tc>
              <w:tcPr>
                <w:tcW w:w="1460" w:type="dxa"/>
                <w:tcBorders>
                  <w:top w:val="single" w:sz="8" w:space="0" w:color="595A5B"/>
                  <w:left w:val="nil"/>
                  <w:right w:val="nil"/>
                </w:tcBorders>
                <w:shd w:val="clear" w:color="auto" w:fill="CAE7F3" w:themeFill="accent1" w:themeFillTint="33"/>
                <w:noWrap/>
                <w:vAlign w:val="bottom"/>
                <w:hideMark/>
              </w:tcPr>
              <w:p w14:paraId="7986EEF8"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Northern Territory</w:t>
                </w:r>
              </w:p>
            </w:tc>
            <w:tc>
              <w:tcPr>
                <w:tcW w:w="661" w:type="dxa"/>
                <w:tcBorders>
                  <w:top w:val="single" w:sz="8" w:space="0" w:color="595A5B"/>
                  <w:left w:val="nil"/>
                  <w:right w:val="nil"/>
                </w:tcBorders>
                <w:shd w:val="clear" w:color="auto" w:fill="CAE7F3" w:themeFill="accent1" w:themeFillTint="33"/>
                <w:noWrap/>
                <w:vAlign w:val="bottom"/>
                <w:hideMark/>
              </w:tcPr>
              <w:p w14:paraId="488A89A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119.0</w:t>
                </w:r>
              </w:p>
            </w:tc>
            <w:tc>
              <w:tcPr>
                <w:tcW w:w="662" w:type="dxa"/>
                <w:tcBorders>
                  <w:top w:val="single" w:sz="8" w:space="0" w:color="595A5B"/>
                  <w:left w:val="nil"/>
                  <w:right w:val="nil"/>
                </w:tcBorders>
                <w:shd w:val="clear" w:color="auto" w:fill="CAE7F3" w:themeFill="accent1" w:themeFillTint="33"/>
                <w:noWrap/>
                <w:vAlign w:val="bottom"/>
                <w:hideMark/>
              </w:tcPr>
              <w:p w14:paraId="05D03C6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16.5</w:t>
                </w:r>
              </w:p>
            </w:tc>
            <w:tc>
              <w:tcPr>
                <w:tcW w:w="662" w:type="dxa"/>
                <w:tcBorders>
                  <w:top w:val="single" w:sz="8" w:space="0" w:color="595A5B"/>
                  <w:left w:val="nil"/>
                  <w:right w:val="nil"/>
                </w:tcBorders>
                <w:shd w:val="clear" w:color="auto" w:fill="CAE7F3" w:themeFill="accent1" w:themeFillTint="33"/>
                <w:noWrap/>
                <w:vAlign w:val="bottom"/>
                <w:hideMark/>
              </w:tcPr>
              <w:p w14:paraId="20AA797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65.2</w:t>
                </w:r>
              </w:p>
            </w:tc>
            <w:tc>
              <w:tcPr>
                <w:tcW w:w="662" w:type="dxa"/>
                <w:tcBorders>
                  <w:top w:val="single" w:sz="8" w:space="0" w:color="595A5B"/>
                  <w:left w:val="nil"/>
                  <w:right w:val="nil"/>
                </w:tcBorders>
                <w:shd w:val="clear" w:color="auto" w:fill="CAE7F3" w:themeFill="accent1" w:themeFillTint="33"/>
                <w:noWrap/>
                <w:vAlign w:val="bottom"/>
                <w:hideMark/>
              </w:tcPr>
              <w:p w14:paraId="470189B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11.3</w:t>
                </w:r>
              </w:p>
            </w:tc>
            <w:tc>
              <w:tcPr>
                <w:tcW w:w="661" w:type="dxa"/>
                <w:tcBorders>
                  <w:top w:val="single" w:sz="8" w:space="0" w:color="595A5B"/>
                  <w:left w:val="nil"/>
                  <w:right w:val="nil"/>
                </w:tcBorders>
                <w:shd w:val="clear" w:color="auto" w:fill="CAE7F3" w:themeFill="accent1" w:themeFillTint="33"/>
                <w:noWrap/>
                <w:vAlign w:val="bottom"/>
                <w:hideMark/>
              </w:tcPr>
              <w:p w14:paraId="210DFF8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508.0</w:t>
                </w:r>
              </w:p>
            </w:tc>
            <w:tc>
              <w:tcPr>
                <w:tcW w:w="662" w:type="dxa"/>
                <w:tcBorders>
                  <w:top w:val="single" w:sz="8" w:space="0" w:color="595A5B"/>
                  <w:left w:val="nil"/>
                  <w:right w:val="nil"/>
                </w:tcBorders>
                <w:shd w:val="clear" w:color="auto" w:fill="CAE7F3" w:themeFill="accent1" w:themeFillTint="33"/>
                <w:noWrap/>
                <w:vAlign w:val="bottom"/>
                <w:hideMark/>
              </w:tcPr>
              <w:p w14:paraId="311014F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41.5</w:t>
                </w:r>
              </w:p>
            </w:tc>
            <w:tc>
              <w:tcPr>
                <w:tcW w:w="662" w:type="dxa"/>
                <w:tcBorders>
                  <w:top w:val="single" w:sz="8" w:space="0" w:color="595A5B"/>
                  <w:left w:val="nil"/>
                  <w:right w:val="nil"/>
                </w:tcBorders>
                <w:shd w:val="clear" w:color="auto" w:fill="CAE7F3" w:themeFill="accent1" w:themeFillTint="33"/>
                <w:noWrap/>
                <w:vAlign w:val="bottom"/>
                <w:hideMark/>
              </w:tcPr>
              <w:p w14:paraId="510203E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108.5</w:t>
                </w:r>
              </w:p>
            </w:tc>
            <w:tc>
              <w:tcPr>
                <w:tcW w:w="662" w:type="dxa"/>
                <w:tcBorders>
                  <w:top w:val="single" w:sz="8" w:space="0" w:color="595A5B"/>
                  <w:left w:val="nil"/>
                  <w:right w:val="nil"/>
                </w:tcBorders>
                <w:shd w:val="clear" w:color="auto" w:fill="CAE7F3" w:themeFill="accent1" w:themeFillTint="33"/>
                <w:noWrap/>
                <w:vAlign w:val="bottom"/>
                <w:hideMark/>
              </w:tcPr>
              <w:p w14:paraId="555D890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104.3</w:t>
                </w:r>
              </w:p>
            </w:tc>
            <w:tc>
              <w:tcPr>
                <w:tcW w:w="662" w:type="dxa"/>
                <w:tcBorders>
                  <w:top w:val="single" w:sz="8" w:space="0" w:color="595A5B"/>
                  <w:left w:val="nil"/>
                  <w:right w:val="nil"/>
                </w:tcBorders>
                <w:shd w:val="clear" w:color="auto" w:fill="CAE7F3" w:themeFill="accent1" w:themeFillTint="33"/>
                <w:noWrap/>
                <w:vAlign w:val="bottom"/>
                <w:hideMark/>
              </w:tcPr>
              <w:p w14:paraId="005E4A3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180.8</w:t>
                </w:r>
              </w:p>
            </w:tc>
            <w:tc>
              <w:tcPr>
                <w:tcW w:w="661" w:type="dxa"/>
                <w:tcBorders>
                  <w:top w:val="single" w:sz="8" w:space="0" w:color="595A5B"/>
                  <w:left w:val="nil"/>
                  <w:right w:val="nil"/>
                </w:tcBorders>
                <w:shd w:val="clear" w:color="auto" w:fill="CAE7F3" w:themeFill="accent1" w:themeFillTint="33"/>
                <w:noWrap/>
                <w:vAlign w:val="bottom"/>
                <w:hideMark/>
              </w:tcPr>
              <w:p w14:paraId="3C51680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20.5</w:t>
                </w:r>
              </w:p>
            </w:tc>
            <w:tc>
              <w:tcPr>
                <w:tcW w:w="662" w:type="dxa"/>
                <w:tcBorders>
                  <w:top w:val="single" w:sz="8" w:space="0" w:color="595A5B"/>
                  <w:left w:val="nil"/>
                  <w:right w:val="nil"/>
                </w:tcBorders>
                <w:shd w:val="clear" w:color="auto" w:fill="CAE7F3" w:themeFill="accent1" w:themeFillTint="33"/>
                <w:noWrap/>
                <w:vAlign w:val="bottom"/>
                <w:hideMark/>
              </w:tcPr>
              <w:p w14:paraId="1A0FFAA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115.0</w:t>
                </w:r>
              </w:p>
            </w:tc>
            <w:tc>
              <w:tcPr>
                <w:tcW w:w="662" w:type="dxa"/>
                <w:tcBorders>
                  <w:top w:val="single" w:sz="8" w:space="0" w:color="595A5B"/>
                  <w:left w:val="nil"/>
                  <w:right w:val="nil"/>
                </w:tcBorders>
                <w:shd w:val="clear" w:color="auto" w:fill="CAE7F3" w:themeFill="accent1" w:themeFillTint="33"/>
                <w:noWrap/>
                <w:vAlign w:val="bottom"/>
                <w:hideMark/>
              </w:tcPr>
              <w:p w14:paraId="720EDBE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188.3</w:t>
                </w:r>
              </w:p>
            </w:tc>
            <w:tc>
              <w:tcPr>
                <w:tcW w:w="662" w:type="dxa"/>
                <w:tcBorders>
                  <w:top w:val="single" w:sz="8" w:space="0" w:color="595A5B"/>
                  <w:left w:val="nil"/>
                  <w:right w:val="nil"/>
                </w:tcBorders>
                <w:shd w:val="clear" w:color="auto" w:fill="CAE7F3" w:themeFill="accent1" w:themeFillTint="33"/>
                <w:noWrap/>
                <w:vAlign w:val="bottom"/>
                <w:hideMark/>
              </w:tcPr>
              <w:p w14:paraId="3F17694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187.3</w:t>
                </w:r>
              </w:p>
            </w:tc>
            <w:tc>
              <w:tcPr>
                <w:tcW w:w="662" w:type="dxa"/>
                <w:tcBorders>
                  <w:top w:val="single" w:sz="8" w:space="0" w:color="595A5B"/>
                  <w:left w:val="nil"/>
                  <w:right w:val="nil"/>
                </w:tcBorders>
                <w:shd w:val="clear" w:color="auto" w:fill="CAE7F3" w:themeFill="accent1" w:themeFillTint="33"/>
                <w:noWrap/>
                <w:vAlign w:val="bottom"/>
                <w:hideMark/>
              </w:tcPr>
              <w:p w14:paraId="002F083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124.7</w:t>
                </w:r>
              </w:p>
            </w:tc>
            <w:tc>
              <w:tcPr>
                <w:tcW w:w="661" w:type="dxa"/>
                <w:tcBorders>
                  <w:top w:val="single" w:sz="8" w:space="0" w:color="595A5B"/>
                  <w:left w:val="nil"/>
                  <w:right w:val="nil"/>
                </w:tcBorders>
                <w:shd w:val="clear" w:color="auto" w:fill="CAE7F3" w:themeFill="accent1" w:themeFillTint="33"/>
                <w:noWrap/>
                <w:vAlign w:val="bottom"/>
                <w:hideMark/>
              </w:tcPr>
              <w:p w14:paraId="275BC32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18.7</w:t>
                </w:r>
              </w:p>
            </w:tc>
            <w:tc>
              <w:tcPr>
                <w:tcW w:w="662" w:type="dxa"/>
                <w:tcBorders>
                  <w:top w:val="single" w:sz="8" w:space="0" w:color="595A5B"/>
                  <w:left w:val="nil"/>
                  <w:right w:val="nil"/>
                </w:tcBorders>
                <w:shd w:val="clear" w:color="auto" w:fill="CAE7F3" w:themeFill="accent1" w:themeFillTint="33"/>
                <w:noWrap/>
                <w:vAlign w:val="bottom"/>
                <w:hideMark/>
              </w:tcPr>
              <w:p w14:paraId="065ABBD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34.3</w:t>
                </w:r>
              </w:p>
            </w:tc>
            <w:tc>
              <w:tcPr>
                <w:tcW w:w="662" w:type="dxa"/>
                <w:tcBorders>
                  <w:top w:val="single" w:sz="8" w:space="0" w:color="595A5B"/>
                  <w:left w:val="nil"/>
                  <w:right w:val="nil"/>
                </w:tcBorders>
                <w:shd w:val="clear" w:color="auto" w:fill="CAE7F3" w:themeFill="accent1" w:themeFillTint="33"/>
                <w:noWrap/>
                <w:vAlign w:val="bottom"/>
                <w:hideMark/>
              </w:tcPr>
              <w:p w14:paraId="61E3DA1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101.0</w:t>
                </w:r>
              </w:p>
            </w:tc>
            <w:tc>
              <w:tcPr>
                <w:tcW w:w="662" w:type="dxa"/>
                <w:tcBorders>
                  <w:top w:val="single" w:sz="8" w:space="0" w:color="595A5B"/>
                  <w:left w:val="nil"/>
                  <w:right w:val="nil"/>
                </w:tcBorders>
                <w:shd w:val="clear" w:color="auto" w:fill="CAE7F3" w:themeFill="accent1" w:themeFillTint="33"/>
                <w:noWrap/>
                <w:vAlign w:val="bottom"/>
                <w:hideMark/>
              </w:tcPr>
              <w:p w14:paraId="7D32F27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37.7</w:t>
                </w:r>
              </w:p>
            </w:tc>
            <w:tc>
              <w:tcPr>
                <w:tcW w:w="662" w:type="dxa"/>
                <w:tcBorders>
                  <w:top w:val="single" w:sz="8" w:space="0" w:color="595A5B"/>
                  <w:left w:val="nil"/>
                  <w:right w:val="nil"/>
                </w:tcBorders>
                <w:shd w:val="clear" w:color="auto" w:fill="CAE7F3" w:themeFill="accent1" w:themeFillTint="33"/>
                <w:noWrap/>
                <w:vAlign w:val="bottom"/>
                <w:hideMark/>
              </w:tcPr>
              <w:p w14:paraId="268D4D2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114.5</w:t>
                </w:r>
              </w:p>
            </w:tc>
          </w:tr>
          <w:tr w:rsidR="00830FDC" w:rsidRPr="00792A3F" w14:paraId="6F888D4E" w14:textId="77777777" w:rsidTr="00D0090A">
            <w:trPr>
              <w:trHeight w:val="225"/>
            </w:trPr>
            <w:tc>
              <w:tcPr>
                <w:tcW w:w="1460" w:type="dxa"/>
                <w:tcBorders>
                  <w:left w:val="nil"/>
                  <w:bottom w:val="nil"/>
                  <w:right w:val="nil"/>
                </w:tcBorders>
                <w:shd w:val="clear" w:color="auto" w:fill="CAE7F3" w:themeFill="accent1" w:themeFillTint="33"/>
                <w:noWrap/>
                <w:vAlign w:val="bottom"/>
                <w:hideMark/>
              </w:tcPr>
              <w:p w14:paraId="14A2BD04"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Darwin</w:t>
                </w:r>
              </w:p>
            </w:tc>
            <w:tc>
              <w:tcPr>
                <w:tcW w:w="661" w:type="dxa"/>
                <w:tcBorders>
                  <w:left w:val="nil"/>
                  <w:bottom w:val="nil"/>
                  <w:right w:val="nil"/>
                </w:tcBorders>
                <w:shd w:val="clear" w:color="auto" w:fill="CAE7F3" w:themeFill="accent1" w:themeFillTint="33"/>
                <w:noWrap/>
                <w:vAlign w:val="bottom"/>
                <w:hideMark/>
              </w:tcPr>
              <w:p w14:paraId="4239F3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55.7</w:t>
                </w:r>
              </w:p>
            </w:tc>
            <w:tc>
              <w:tcPr>
                <w:tcW w:w="662" w:type="dxa"/>
                <w:tcBorders>
                  <w:left w:val="nil"/>
                  <w:bottom w:val="nil"/>
                  <w:right w:val="nil"/>
                </w:tcBorders>
                <w:shd w:val="clear" w:color="auto" w:fill="CAE7F3" w:themeFill="accent1" w:themeFillTint="33"/>
                <w:noWrap/>
                <w:vAlign w:val="bottom"/>
                <w:hideMark/>
              </w:tcPr>
              <w:p w14:paraId="4451C0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w:t>
                </w:r>
              </w:p>
            </w:tc>
            <w:tc>
              <w:tcPr>
                <w:tcW w:w="662" w:type="dxa"/>
                <w:tcBorders>
                  <w:left w:val="nil"/>
                  <w:bottom w:val="nil"/>
                  <w:right w:val="nil"/>
                </w:tcBorders>
                <w:shd w:val="clear" w:color="auto" w:fill="CAE7F3" w:themeFill="accent1" w:themeFillTint="33"/>
                <w:noWrap/>
                <w:vAlign w:val="bottom"/>
                <w:hideMark/>
              </w:tcPr>
              <w:p w14:paraId="0F52999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46.8</w:t>
                </w:r>
              </w:p>
            </w:tc>
            <w:tc>
              <w:tcPr>
                <w:tcW w:w="662" w:type="dxa"/>
                <w:tcBorders>
                  <w:left w:val="nil"/>
                  <w:bottom w:val="nil"/>
                  <w:right w:val="nil"/>
                </w:tcBorders>
                <w:shd w:val="clear" w:color="auto" w:fill="CAE7F3" w:themeFill="accent1" w:themeFillTint="33"/>
                <w:noWrap/>
                <w:vAlign w:val="bottom"/>
                <w:hideMark/>
              </w:tcPr>
              <w:p w14:paraId="6EDAD3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w:t>
                </w:r>
              </w:p>
            </w:tc>
            <w:tc>
              <w:tcPr>
                <w:tcW w:w="661" w:type="dxa"/>
                <w:tcBorders>
                  <w:left w:val="nil"/>
                  <w:bottom w:val="nil"/>
                  <w:right w:val="nil"/>
                </w:tcBorders>
                <w:shd w:val="clear" w:color="auto" w:fill="CAE7F3" w:themeFill="accent1" w:themeFillTint="33"/>
                <w:noWrap/>
                <w:vAlign w:val="bottom"/>
                <w:hideMark/>
              </w:tcPr>
              <w:p w14:paraId="5C02F8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400.3</w:t>
                </w:r>
              </w:p>
            </w:tc>
            <w:tc>
              <w:tcPr>
                <w:tcW w:w="662" w:type="dxa"/>
                <w:tcBorders>
                  <w:left w:val="nil"/>
                  <w:bottom w:val="nil"/>
                  <w:right w:val="nil"/>
                </w:tcBorders>
                <w:shd w:val="clear" w:color="auto" w:fill="CAE7F3" w:themeFill="accent1" w:themeFillTint="33"/>
                <w:noWrap/>
                <w:vAlign w:val="bottom"/>
                <w:hideMark/>
              </w:tcPr>
              <w:p w14:paraId="79009E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30.2</w:t>
                </w:r>
              </w:p>
            </w:tc>
            <w:tc>
              <w:tcPr>
                <w:tcW w:w="662" w:type="dxa"/>
                <w:tcBorders>
                  <w:left w:val="nil"/>
                  <w:bottom w:val="nil"/>
                  <w:right w:val="nil"/>
                </w:tcBorders>
                <w:shd w:val="clear" w:color="auto" w:fill="CAE7F3" w:themeFill="accent1" w:themeFillTint="33"/>
                <w:noWrap/>
                <w:vAlign w:val="bottom"/>
                <w:hideMark/>
              </w:tcPr>
              <w:p w14:paraId="27DAC85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70.2</w:t>
                </w:r>
              </w:p>
            </w:tc>
            <w:tc>
              <w:tcPr>
                <w:tcW w:w="662" w:type="dxa"/>
                <w:tcBorders>
                  <w:left w:val="nil"/>
                  <w:bottom w:val="nil"/>
                  <w:right w:val="nil"/>
                </w:tcBorders>
                <w:shd w:val="clear" w:color="auto" w:fill="CAE7F3" w:themeFill="accent1" w:themeFillTint="33"/>
                <w:noWrap/>
                <w:vAlign w:val="bottom"/>
                <w:hideMark/>
              </w:tcPr>
              <w:p w14:paraId="0F44A5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63.0</w:t>
                </w:r>
              </w:p>
            </w:tc>
            <w:tc>
              <w:tcPr>
                <w:tcW w:w="662" w:type="dxa"/>
                <w:tcBorders>
                  <w:left w:val="nil"/>
                  <w:bottom w:val="nil"/>
                  <w:right w:val="nil"/>
                </w:tcBorders>
                <w:shd w:val="clear" w:color="auto" w:fill="CAE7F3" w:themeFill="accent1" w:themeFillTint="33"/>
                <w:noWrap/>
                <w:vAlign w:val="bottom"/>
                <w:hideMark/>
              </w:tcPr>
              <w:p w14:paraId="579A389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128.3</w:t>
                </w:r>
              </w:p>
            </w:tc>
            <w:tc>
              <w:tcPr>
                <w:tcW w:w="661" w:type="dxa"/>
                <w:tcBorders>
                  <w:left w:val="nil"/>
                  <w:bottom w:val="nil"/>
                  <w:right w:val="nil"/>
                </w:tcBorders>
                <w:shd w:val="clear" w:color="auto" w:fill="CAE7F3" w:themeFill="accent1" w:themeFillTint="33"/>
                <w:noWrap/>
                <w:vAlign w:val="bottom"/>
                <w:hideMark/>
              </w:tcPr>
              <w:p w14:paraId="5278CC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w:t>
                </w:r>
              </w:p>
            </w:tc>
            <w:tc>
              <w:tcPr>
                <w:tcW w:w="662" w:type="dxa"/>
                <w:tcBorders>
                  <w:left w:val="nil"/>
                  <w:bottom w:val="nil"/>
                  <w:right w:val="nil"/>
                </w:tcBorders>
                <w:shd w:val="clear" w:color="auto" w:fill="CAE7F3" w:themeFill="accent1" w:themeFillTint="33"/>
                <w:noWrap/>
                <w:vAlign w:val="bottom"/>
                <w:hideMark/>
              </w:tcPr>
              <w:p w14:paraId="7F594C3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87.7</w:t>
                </w:r>
              </w:p>
            </w:tc>
            <w:tc>
              <w:tcPr>
                <w:tcW w:w="662" w:type="dxa"/>
                <w:tcBorders>
                  <w:left w:val="nil"/>
                  <w:bottom w:val="nil"/>
                  <w:right w:val="nil"/>
                </w:tcBorders>
                <w:shd w:val="clear" w:color="auto" w:fill="CAE7F3" w:themeFill="accent1" w:themeFillTint="33"/>
                <w:noWrap/>
                <w:vAlign w:val="bottom"/>
                <w:hideMark/>
              </w:tcPr>
              <w:p w14:paraId="1FCD26A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139.2</w:t>
                </w:r>
              </w:p>
            </w:tc>
            <w:tc>
              <w:tcPr>
                <w:tcW w:w="662" w:type="dxa"/>
                <w:tcBorders>
                  <w:left w:val="nil"/>
                  <w:bottom w:val="nil"/>
                  <w:right w:val="nil"/>
                </w:tcBorders>
                <w:shd w:val="clear" w:color="auto" w:fill="CAE7F3" w:themeFill="accent1" w:themeFillTint="33"/>
                <w:noWrap/>
                <w:vAlign w:val="bottom"/>
                <w:hideMark/>
              </w:tcPr>
              <w:p w14:paraId="1C50C4B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146.2</w:t>
                </w:r>
              </w:p>
            </w:tc>
            <w:tc>
              <w:tcPr>
                <w:tcW w:w="662" w:type="dxa"/>
                <w:tcBorders>
                  <w:left w:val="nil"/>
                  <w:bottom w:val="nil"/>
                  <w:right w:val="nil"/>
                </w:tcBorders>
                <w:shd w:val="clear" w:color="auto" w:fill="CAE7F3" w:themeFill="accent1" w:themeFillTint="33"/>
                <w:noWrap/>
                <w:vAlign w:val="bottom"/>
                <w:hideMark/>
              </w:tcPr>
              <w:p w14:paraId="61965C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91.0</w:t>
                </w:r>
              </w:p>
            </w:tc>
            <w:tc>
              <w:tcPr>
                <w:tcW w:w="661" w:type="dxa"/>
                <w:tcBorders>
                  <w:left w:val="nil"/>
                  <w:bottom w:val="nil"/>
                  <w:right w:val="nil"/>
                </w:tcBorders>
                <w:shd w:val="clear" w:color="auto" w:fill="CAE7F3" w:themeFill="accent1" w:themeFillTint="33"/>
                <w:noWrap/>
                <w:vAlign w:val="bottom"/>
                <w:hideMark/>
              </w:tcPr>
              <w:p w14:paraId="606BFA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12.5</w:t>
                </w:r>
              </w:p>
            </w:tc>
            <w:tc>
              <w:tcPr>
                <w:tcW w:w="662" w:type="dxa"/>
                <w:tcBorders>
                  <w:left w:val="nil"/>
                  <w:bottom w:val="nil"/>
                  <w:right w:val="nil"/>
                </w:tcBorders>
                <w:shd w:val="clear" w:color="auto" w:fill="CAE7F3" w:themeFill="accent1" w:themeFillTint="33"/>
                <w:noWrap/>
                <w:vAlign w:val="bottom"/>
                <w:hideMark/>
              </w:tcPr>
              <w:p w14:paraId="2978F02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21.7</w:t>
                </w:r>
              </w:p>
            </w:tc>
            <w:tc>
              <w:tcPr>
                <w:tcW w:w="662" w:type="dxa"/>
                <w:tcBorders>
                  <w:left w:val="nil"/>
                  <w:bottom w:val="nil"/>
                  <w:right w:val="nil"/>
                </w:tcBorders>
                <w:shd w:val="clear" w:color="auto" w:fill="CAE7F3" w:themeFill="accent1" w:themeFillTint="33"/>
                <w:noWrap/>
                <w:vAlign w:val="bottom"/>
                <w:hideMark/>
              </w:tcPr>
              <w:p w14:paraId="1FA21A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73.7</w:t>
                </w:r>
              </w:p>
            </w:tc>
            <w:tc>
              <w:tcPr>
                <w:tcW w:w="662" w:type="dxa"/>
                <w:tcBorders>
                  <w:left w:val="nil"/>
                  <w:bottom w:val="nil"/>
                  <w:right w:val="nil"/>
                </w:tcBorders>
                <w:shd w:val="clear" w:color="auto" w:fill="CAE7F3" w:themeFill="accent1" w:themeFillTint="33"/>
                <w:noWrap/>
                <w:vAlign w:val="bottom"/>
                <w:hideMark/>
              </w:tcPr>
              <w:p w14:paraId="28CE57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21.8</w:t>
                </w:r>
              </w:p>
            </w:tc>
            <w:tc>
              <w:tcPr>
                <w:tcW w:w="662" w:type="dxa"/>
                <w:tcBorders>
                  <w:left w:val="nil"/>
                  <w:bottom w:val="nil"/>
                  <w:right w:val="nil"/>
                </w:tcBorders>
                <w:shd w:val="clear" w:color="auto" w:fill="CAE7F3" w:themeFill="accent1" w:themeFillTint="33"/>
                <w:noWrap/>
                <w:vAlign w:val="bottom"/>
                <w:hideMark/>
              </w:tcPr>
              <w:p w14:paraId="0F05E0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79.8</w:t>
                </w:r>
              </w:p>
            </w:tc>
          </w:tr>
          <w:tr w:rsidR="00830FDC" w:rsidRPr="00792A3F" w14:paraId="5EC302DE"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4A1E856"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Northern Territory</w:t>
                </w:r>
                <w:r>
                  <w:rPr>
                    <w:color w:val="595A5B" w:themeColor="text1"/>
                    <w:sz w:val="12"/>
                    <w:szCs w:val="16"/>
                    <w:lang w:eastAsia="en-AU"/>
                  </w:rPr>
                  <w:t xml:space="preserve"> — </w:t>
                </w:r>
                <w:r w:rsidRPr="00792A3F">
                  <w:rPr>
                    <w:color w:val="595A5B" w:themeColor="text1"/>
                    <w:sz w:val="12"/>
                    <w:szCs w:val="16"/>
                    <w:lang w:eastAsia="en-AU"/>
                  </w:rPr>
                  <w:t>Outback</w:t>
                </w:r>
              </w:p>
            </w:tc>
            <w:tc>
              <w:tcPr>
                <w:tcW w:w="661" w:type="dxa"/>
                <w:tcBorders>
                  <w:top w:val="nil"/>
                  <w:left w:val="nil"/>
                  <w:bottom w:val="nil"/>
                  <w:right w:val="nil"/>
                </w:tcBorders>
                <w:shd w:val="clear" w:color="auto" w:fill="CAE7F3" w:themeFill="accent1" w:themeFillTint="33"/>
                <w:noWrap/>
                <w:vAlign w:val="bottom"/>
                <w:hideMark/>
              </w:tcPr>
              <w:p w14:paraId="325B26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52.7</w:t>
                </w:r>
              </w:p>
            </w:tc>
            <w:tc>
              <w:tcPr>
                <w:tcW w:w="662" w:type="dxa"/>
                <w:tcBorders>
                  <w:top w:val="nil"/>
                  <w:left w:val="nil"/>
                  <w:bottom w:val="nil"/>
                  <w:right w:val="nil"/>
                </w:tcBorders>
                <w:shd w:val="clear" w:color="auto" w:fill="CAE7F3" w:themeFill="accent1" w:themeFillTint="33"/>
                <w:noWrap/>
                <w:vAlign w:val="bottom"/>
                <w:hideMark/>
              </w:tcPr>
              <w:p w14:paraId="6DF20D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7A0A01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16.3</w:t>
                </w:r>
              </w:p>
            </w:tc>
            <w:tc>
              <w:tcPr>
                <w:tcW w:w="662" w:type="dxa"/>
                <w:tcBorders>
                  <w:top w:val="nil"/>
                  <w:left w:val="nil"/>
                  <w:bottom w:val="nil"/>
                  <w:right w:val="nil"/>
                </w:tcBorders>
                <w:shd w:val="clear" w:color="auto" w:fill="CAE7F3" w:themeFill="accent1" w:themeFillTint="33"/>
                <w:noWrap/>
                <w:vAlign w:val="bottom"/>
                <w:hideMark/>
              </w:tcPr>
              <w:p w14:paraId="6CF958B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c>
              <w:tcPr>
                <w:tcW w:w="661" w:type="dxa"/>
                <w:tcBorders>
                  <w:top w:val="nil"/>
                  <w:left w:val="nil"/>
                  <w:bottom w:val="nil"/>
                  <w:right w:val="nil"/>
                </w:tcBorders>
                <w:shd w:val="clear" w:color="auto" w:fill="CAE7F3" w:themeFill="accent1" w:themeFillTint="33"/>
                <w:noWrap/>
                <w:vAlign w:val="bottom"/>
                <w:hideMark/>
              </w:tcPr>
              <w:p w14:paraId="34CE0A9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98.5</w:t>
                </w:r>
              </w:p>
            </w:tc>
            <w:tc>
              <w:tcPr>
                <w:tcW w:w="662" w:type="dxa"/>
                <w:tcBorders>
                  <w:top w:val="nil"/>
                  <w:left w:val="nil"/>
                  <w:bottom w:val="nil"/>
                  <w:right w:val="nil"/>
                </w:tcBorders>
                <w:shd w:val="clear" w:color="auto" w:fill="CAE7F3" w:themeFill="accent1" w:themeFillTint="33"/>
                <w:noWrap/>
                <w:vAlign w:val="bottom"/>
                <w:hideMark/>
              </w:tcPr>
              <w:p w14:paraId="5F7880F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w:t>
                </w:r>
              </w:p>
            </w:tc>
            <w:tc>
              <w:tcPr>
                <w:tcW w:w="662" w:type="dxa"/>
                <w:tcBorders>
                  <w:top w:val="nil"/>
                  <w:left w:val="nil"/>
                  <w:bottom w:val="nil"/>
                  <w:right w:val="nil"/>
                </w:tcBorders>
                <w:shd w:val="clear" w:color="auto" w:fill="CAE7F3" w:themeFill="accent1" w:themeFillTint="33"/>
                <w:noWrap/>
                <w:vAlign w:val="bottom"/>
                <w:hideMark/>
              </w:tcPr>
              <w:p w14:paraId="2CF9771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32.3</w:t>
                </w:r>
              </w:p>
            </w:tc>
            <w:tc>
              <w:tcPr>
                <w:tcW w:w="662" w:type="dxa"/>
                <w:tcBorders>
                  <w:top w:val="nil"/>
                  <w:left w:val="nil"/>
                  <w:bottom w:val="nil"/>
                  <w:right w:val="nil"/>
                </w:tcBorders>
                <w:shd w:val="clear" w:color="auto" w:fill="CAE7F3" w:themeFill="accent1" w:themeFillTint="33"/>
                <w:noWrap/>
                <w:vAlign w:val="bottom"/>
                <w:hideMark/>
              </w:tcPr>
              <w:p w14:paraId="7959F5D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35.5</w:t>
                </w:r>
              </w:p>
            </w:tc>
            <w:tc>
              <w:tcPr>
                <w:tcW w:w="662" w:type="dxa"/>
                <w:tcBorders>
                  <w:top w:val="nil"/>
                  <w:left w:val="nil"/>
                  <w:bottom w:val="nil"/>
                  <w:right w:val="nil"/>
                </w:tcBorders>
                <w:shd w:val="clear" w:color="auto" w:fill="CAE7F3" w:themeFill="accent1" w:themeFillTint="33"/>
                <w:noWrap/>
                <w:vAlign w:val="bottom"/>
                <w:hideMark/>
              </w:tcPr>
              <w:p w14:paraId="0B38D5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48.5</w:t>
                </w:r>
              </w:p>
            </w:tc>
            <w:tc>
              <w:tcPr>
                <w:tcW w:w="661" w:type="dxa"/>
                <w:tcBorders>
                  <w:top w:val="nil"/>
                  <w:left w:val="nil"/>
                  <w:bottom w:val="nil"/>
                  <w:right w:val="nil"/>
                </w:tcBorders>
                <w:shd w:val="clear" w:color="auto" w:fill="CAE7F3" w:themeFill="accent1" w:themeFillTint="33"/>
                <w:noWrap/>
                <w:vAlign w:val="bottom"/>
                <w:hideMark/>
              </w:tcPr>
              <w:p w14:paraId="1E6C296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w:t>
                </w:r>
              </w:p>
            </w:tc>
            <w:tc>
              <w:tcPr>
                <w:tcW w:w="662" w:type="dxa"/>
                <w:tcBorders>
                  <w:top w:val="nil"/>
                  <w:left w:val="nil"/>
                  <w:bottom w:val="nil"/>
                  <w:right w:val="nil"/>
                </w:tcBorders>
                <w:shd w:val="clear" w:color="auto" w:fill="CAE7F3" w:themeFill="accent1" w:themeFillTint="33"/>
                <w:noWrap/>
                <w:vAlign w:val="bottom"/>
                <w:hideMark/>
              </w:tcPr>
              <w:p w14:paraId="367CE5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24.8</w:t>
                </w:r>
              </w:p>
            </w:tc>
            <w:tc>
              <w:tcPr>
                <w:tcW w:w="662" w:type="dxa"/>
                <w:tcBorders>
                  <w:top w:val="nil"/>
                  <w:left w:val="nil"/>
                  <w:bottom w:val="nil"/>
                  <w:right w:val="nil"/>
                </w:tcBorders>
                <w:shd w:val="clear" w:color="auto" w:fill="CAE7F3" w:themeFill="accent1" w:themeFillTint="33"/>
                <w:noWrap/>
                <w:vAlign w:val="bottom"/>
                <w:hideMark/>
              </w:tcPr>
              <w:p w14:paraId="708E887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44.2</w:t>
                </w:r>
              </w:p>
            </w:tc>
            <w:tc>
              <w:tcPr>
                <w:tcW w:w="662" w:type="dxa"/>
                <w:tcBorders>
                  <w:top w:val="nil"/>
                  <w:left w:val="nil"/>
                  <w:bottom w:val="nil"/>
                  <w:right w:val="nil"/>
                </w:tcBorders>
                <w:shd w:val="clear" w:color="auto" w:fill="CAE7F3" w:themeFill="accent1" w:themeFillTint="33"/>
                <w:noWrap/>
                <w:vAlign w:val="bottom"/>
                <w:hideMark/>
              </w:tcPr>
              <w:p w14:paraId="2715703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38.2</w:t>
                </w:r>
              </w:p>
            </w:tc>
            <w:tc>
              <w:tcPr>
                <w:tcW w:w="662" w:type="dxa"/>
                <w:tcBorders>
                  <w:top w:val="nil"/>
                  <w:left w:val="nil"/>
                  <w:bottom w:val="nil"/>
                  <w:right w:val="nil"/>
                </w:tcBorders>
                <w:shd w:val="clear" w:color="auto" w:fill="CAE7F3" w:themeFill="accent1" w:themeFillTint="33"/>
                <w:noWrap/>
                <w:vAlign w:val="bottom"/>
                <w:hideMark/>
              </w:tcPr>
              <w:p w14:paraId="7C7E5F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31.5</w:t>
                </w:r>
              </w:p>
            </w:tc>
            <w:tc>
              <w:tcPr>
                <w:tcW w:w="661" w:type="dxa"/>
                <w:tcBorders>
                  <w:top w:val="nil"/>
                  <w:left w:val="nil"/>
                  <w:bottom w:val="nil"/>
                  <w:right w:val="nil"/>
                </w:tcBorders>
                <w:shd w:val="clear" w:color="auto" w:fill="CAE7F3" w:themeFill="accent1" w:themeFillTint="33"/>
                <w:noWrap/>
                <w:vAlign w:val="bottom"/>
                <w:hideMark/>
              </w:tcPr>
              <w:p w14:paraId="1717C98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w:t>
                </w:r>
              </w:p>
            </w:tc>
            <w:tc>
              <w:tcPr>
                <w:tcW w:w="662" w:type="dxa"/>
                <w:tcBorders>
                  <w:top w:val="nil"/>
                  <w:left w:val="nil"/>
                  <w:bottom w:val="nil"/>
                  <w:right w:val="nil"/>
                </w:tcBorders>
                <w:shd w:val="clear" w:color="auto" w:fill="CAE7F3" w:themeFill="accent1" w:themeFillTint="33"/>
                <w:noWrap/>
                <w:vAlign w:val="bottom"/>
                <w:hideMark/>
              </w:tcPr>
              <w:p w14:paraId="069A0B8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w:t>
                </w:r>
              </w:p>
            </w:tc>
            <w:tc>
              <w:tcPr>
                <w:tcW w:w="662" w:type="dxa"/>
                <w:tcBorders>
                  <w:top w:val="nil"/>
                  <w:left w:val="nil"/>
                  <w:bottom w:val="nil"/>
                  <w:right w:val="nil"/>
                </w:tcBorders>
                <w:shd w:val="clear" w:color="auto" w:fill="CAE7F3" w:themeFill="accent1" w:themeFillTint="33"/>
                <w:noWrap/>
                <w:vAlign w:val="bottom"/>
                <w:hideMark/>
              </w:tcPr>
              <w:p w14:paraId="5EB9976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24.8</w:t>
                </w:r>
              </w:p>
            </w:tc>
            <w:tc>
              <w:tcPr>
                <w:tcW w:w="662" w:type="dxa"/>
                <w:tcBorders>
                  <w:top w:val="nil"/>
                  <w:left w:val="nil"/>
                  <w:bottom w:val="nil"/>
                  <w:right w:val="nil"/>
                </w:tcBorders>
                <w:shd w:val="clear" w:color="auto" w:fill="CAE7F3" w:themeFill="accent1" w:themeFillTint="33"/>
                <w:noWrap/>
                <w:vAlign w:val="bottom"/>
                <w:hideMark/>
              </w:tcPr>
              <w:p w14:paraId="10F153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14.0</w:t>
                </w:r>
              </w:p>
            </w:tc>
            <w:tc>
              <w:tcPr>
                <w:tcW w:w="662" w:type="dxa"/>
                <w:tcBorders>
                  <w:top w:val="nil"/>
                  <w:left w:val="nil"/>
                  <w:bottom w:val="nil"/>
                  <w:right w:val="nil"/>
                </w:tcBorders>
                <w:shd w:val="clear" w:color="auto" w:fill="CAE7F3" w:themeFill="accent1" w:themeFillTint="33"/>
                <w:noWrap/>
                <w:vAlign w:val="bottom"/>
                <w:hideMark/>
              </w:tcPr>
              <w:p w14:paraId="1528F1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31.7</w:t>
                </w:r>
              </w:p>
            </w:tc>
          </w:tr>
          <w:tr w:rsidR="00830FDC" w:rsidRPr="00792A3F" w14:paraId="6F562350"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A51ECCA" w14:textId="77777777" w:rsidR="00830FDC" w:rsidRPr="00792A3F" w:rsidRDefault="00830FDC" w:rsidP="00D0090A">
                <w:pPr>
                  <w:pStyle w:val="Tabletext"/>
                  <w:rPr>
                    <w:color w:val="595A5B" w:themeColor="text1"/>
                    <w:sz w:val="12"/>
                    <w:szCs w:val="16"/>
                    <w:lang w:eastAsia="en-AU"/>
                  </w:rPr>
                </w:pPr>
                <w:r w:rsidRPr="00792A3F">
                  <w:rPr>
                    <w:color w:val="595A5B" w:themeColor="text1"/>
                    <w:sz w:val="12"/>
                    <w:szCs w:val="16"/>
                    <w:lang w:eastAsia="en-AU"/>
                  </w:rPr>
                  <w:t>Special Purpose Codes SA4 (NT)</w:t>
                </w:r>
              </w:p>
            </w:tc>
            <w:tc>
              <w:tcPr>
                <w:tcW w:w="661" w:type="dxa"/>
                <w:tcBorders>
                  <w:top w:val="nil"/>
                  <w:left w:val="nil"/>
                  <w:bottom w:val="nil"/>
                  <w:right w:val="nil"/>
                </w:tcBorders>
                <w:shd w:val="clear" w:color="auto" w:fill="CAE7F3" w:themeFill="accent1" w:themeFillTint="33"/>
                <w:noWrap/>
                <w:vAlign w:val="bottom"/>
                <w:hideMark/>
              </w:tcPr>
              <w:p w14:paraId="33F602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w:t>
                </w:r>
              </w:p>
            </w:tc>
            <w:tc>
              <w:tcPr>
                <w:tcW w:w="662" w:type="dxa"/>
                <w:tcBorders>
                  <w:top w:val="nil"/>
                  <w:left w:val="nil"/>
                  <w:bottom w:val="nil"/>
                  <w:right w:val="nil"/>
                </w:tcBorders>
                <w:shd w:val="clear" w:color="auto" w:fill="CAE7F3" w:themeFill="accent1" w:themeFillTint="33"/>
                <w:noWrap/>
                <w:vAlign w:val="bottom"/>
                <w:hideMark/>
              </w:tcPr>
              <w:p w14:paraId="7FB8E8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top w:val="nil"/>
                  <w:left w:val="nil"/>
                  <w:bottom w:val="nil"/>
                  <w:right w:val="nil"/>
                </w:tcBorders>
                <w:shd w:val="clear" w:color="auto" w:fill="CAE7F3" w:themeFill="accent1" w:themeFillTint="33"/>
                <w:noWrap/>
                <w:vAlign w:val="bottom"/>
                <w:hideMark/>
              </w:tcPr>
              <w:p w14:paraId="73BAE4D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63EABEA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1" w:type="dxa"/>
                <w:tcBorders>
                  <w:top w:val="nil"/>
                  <w:left w:val="nil"/>
                  <w:bottom w:val="nil"/>
                  <w:right w:val="nil"/>
                </w:tcBorders>
                <w:shd w:val="clear" w:color="auto" w:fill="CAE7F3" w:themeFill="accent1" w:themeFillTint="33"/>
                <w:noWrap/>
                <w:vAlign w:val="bottom"/>
                <w:hideMark/>
              </w:tcPr>
              <w:p w14:paraId="3FA050A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w:t>
                </w:r>
              </w:p>
            </w:tc>
            <w:tc>
              <w:tcPr>
                <w:tcW w:w="662" w:type="dxa"/>
                <w:tcBorders>
                  <w:top w:val="nil"/>
                  <w:left w:val="nil"/>
                  <w:bottom w:val="nil"/>
                  <w:right w:val="nil"/>
                </w:tcBorders>
                <w:shd w:val="clear" w:color="auto" w:fill="CAE7F3" w:themeFill="accent1" w:themeFillTint="33"/>
                <w:noWrap/>
                <w:vAlign w:val="bottom"/>
                <w:hideMark/>
              </w:tcPr>
              <w:p w14:paraId="0442DD8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w:t>
                </w:r>
              </w:p>
            </w:tc>
            <w:tc>
              <w:tcPr>
                <w:tcW w:w="662" w:type="dxa"/>
                <w:tcBorders>
                  <w:top w:val="nil"/>
                  <w:left w:val="nil"/>
                  <w:bottom w:val="nil"/>
                  <w:right w:val="nil"/>
                </w:tcBorders>
                <w:shd w:val="clear" w:color="auto" w:fill="CAE7F3" w:themeFill="accent1" w:themeFillTint="33"/>
                <w:noWrap/>
                <w:vAlign w:val="bottom"/>
                <w:hideMark/>
              </w:tcPr>
              <w:p w14:paraId="143A3D9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top w:val="nil"/>
                  <w:left w:val="nil"/>
                  <w:bottom w:val="nil"/>
                  <w:right w:val="nil"/>
                </w:tcBorders>
                <w:shd w:val="clear" w:color="auto" w:fill="CAE7F3" w:themeFill="accent1" w:themeFillTint="33"/>
                <w:noWrap/>
                <w:vAlign w:val="bottom"/>
                <w:hideMark/>
              </w:tcPr>
              <w:p w14:paraId="195AB6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w:t>
                </w:r>
              </w:p>
            </w:tc>
            <w:tc>
              <w:tcPr>
                <w:tcW w:w="662" w:type="dxa"/>
                <w:tcBorders>
                  <w:top w:val="nil"/>
                  <w:left w:val="nil"/>
                  <w:bottom w:val="nil"/>
                  <w:right w:val="nil"/>
                </w:tcBorders>
                <w:shd w:val="clear" w:color="auto" w:fill="CAE7F3" w:themeFill="accent1" w:themeFillTint="33"/>
                <w:noWrap/>
                <w:vAlign w:val="bottom"/>
                <w:hideMark/>
              </w:tcPr>
              <w:p w14:paraId="481C3AD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w:t>
                </w:r>
              </w:p>
            </w:tc>
            <w:tc>
              <w:tcPr>
                <w:tcW w:w="661" w:type="dxa"/>
                <w:tcBorders>
                  <w:top w:val="nil"/>
                  <w:left w:val="nil"/>
                  <w:bottom w:val="nil"/>
                  <w:right w:val="nil"/>
                </w:tcBorders>
                <w:shd w:val="clear" w:color="auto" w:fill="CAE7F3" w:themeFill="accent1" w:themeFillTint="33"/>
                <w:noWrap/>
                <w:vAlign w:val="bottom"/>
                <w:hideMark/>
              </w:tcPr>
              <w:p w14:paraId="7E0A1E7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2" w:type="dxa"/>
                <w:tcBorders>
                  <w:top w:val="nil"/>
                  <w:left w:val="nil"/>
                  <w:bottom w:val="nil"/>
                  <w:right w:val="nil"/>
                </w:tcBorders>
                <w:shd w:val="clear" w:color="auto" w:fill="CAE7F3" w:themeFill="accent1" w:themeFillTint="33"/>
                <w:noWrap/>
                <w:vAlign w:val="bottom"/>
                <w:hideMark/>
              </w:tcPr>
              <w:p w14:paraId="653FF60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nil"/>
                  <w:right w:val="nil"/>
                </w:tcBorders>
                <w:shd w:val="clear" w:color="auto" w:fill="CAE7F3" w:themeFill="accent1" w:themeFillTint="33"/>
                <w:noWrap/>
                <w:vAlign w:val="bottom"/>
                <w:hideMark/>
              </w:tcPr>
              <w:p w14:paraId="61CE3D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402B006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c>
              <w:tcPr>
                <w:tcW w:w="662" w:type="dxa"/>
                <w:tcBorders>
                  <w:top w:val="nil"/>
                  <w:left w:val="nil"/>
                  <w:bottom w:val="nil"/>
                  <w:right w:val="nil"/>
                </w:tcBorders>
                <w:shd w:val="clear" w:color="auto" w:fill="CAE7F3" w:themeFill="accent1" w:themeFillTint="33"/>
                <w:noWrap/>
                <w:vAlign w:val="bottom"/>
                <w:hideMark/>
              </w:tcPr>
              <w:p w14:paraId="4CBB05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w:t>
                </w:r>
              </w:p>
            </w:tc>
            <w:tc>
              <w:tcPr>
                <w:tcW w:w="661" w:type="dxa"/>
                <w:tcBorders>
                  <w:top w:val="nil"/>
                  <w:left w:val="nil"/>
                  <w:bottom w:val="nil"/>
                  <w:right w:val="nil"/>
                </w:tcBorders>
                <w:shd w:val="clear" w:color="auto" w:fill="CAE7F3" w:themeFill="accent1" w:themeFillTint="33"/>
                <w:noWrap/>
                <w:vAlign w:val="bottom"/>
                <w:hideMark/>
              </w:tcPr>
              <w:p w14:paraId="3DC4301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w:t>
                </w:r>
              </w:p>
            </w:tc>
            <w:tc>
              <w:tcPr>
                <w:tcW w:w="662" w:type="dxa"/>
                <w:tcBorders>
                  <w:top w:val="nil"/>
                  <w:left w:val="nil"/>
                  <w:bottom w:val="nil"/>
                  <w:right w:val="nil"/>
                </w:tcBorders>
                <w:shd w:val="clear" w:color="auto" w:fill="CAE7F3" w:themeFill="accent1" w:themeFillTint="33"/>
                <w:noWrap/>
                <w:vAlign w:val="bottom"/>
                <w:hideMark/>
              </w:tcPr>
              <w:p w14:paraId="2A7536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top w:val="nil"/>
                  <w:left w:val="nil"/>
                  <w:bottom w:val="nil"/>
                  <w:right w:val="nil"/>
                </w:tcBorders>
                <w:shd w:val="clear" w:color="auto" w:fill="CAE7F3" w:themeFill="accent1" w:themeFillTint="33"/>
                <w:noWrap/>
                <w:vAlign w:val="bottom"/>
                <w:hideMark/>
              </w:tcPr>
              <w:p w14:paraId="6DCAC1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nil"/>
                  <w:right w:val="nil"/>
                </w:tcBorders>
                <w:shd w:val="clear" w:color="auto" w:fill="CAE7F3" w:themeFill="accent1" w:themeFillTint="33"/>
                <w:noWrap/>
                <w:vAlign w:val="bottom"/>
                <w:hideMark/>
              </w:tcPr>
              <w:p w14:paraId="1678C88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w:t>
                </w:r>
              </w:p>
            </w:tc>
            <w:tc>
              <w:tcPr>
                <w:tcW w:w="662" w:type="dxa"/>
                <w:tcBorders>
                  <w:top w:val="nil"/>
                  <w:left w:val="nil"/>
                  <w:bottom w:val="nil"/>
                  <w:right w:val="nil"/>
                </w:tcBorders>
                <w:shd w:val="clear" w:color="auto" w:fill="CAE7F3" w:themeFill="accent1" w:themeFillTint="33"/>
                <w:noWrap/>
                <w:vAlign w:val="bottom"/>
                <w:hideMark/>
              </w:tcPr>
              <w:p w14:paraId="32B1F0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r>
        </w:tbl>
        <w:p w14:paraId="5695A188" w14:textId="1AD91486" w:rsidR="00830FDC" w:rsidRDefault="00830FDC" w:rsidP="00830FDC">
          <w:pPr>
            <w:pStyle w:val="CaptionWide"/>
          </w:pPr>
          <w:r w:rsidRPr="000618FB">
            <w:t xml:space="preserve">Table </w:t>
          </w:r>
          <w:r>
            <w:t>B2</w:t>
          </w:r>
          <w:r>
            <w:rPr>
              <w:noProof/>
            </w:rPr>
            <w:t xml:space="preserve"> continued</w:t>
          </w:r>
          <w:r>
            <w:t>: Annual business entries by ANZSIC divisions, averaged financial years ending</w:t>
          </w:r>
          <w:r w:rsidR="00544B29">
            <w:t xml:space="preserve"> in June 2009 to June 2014, by s</w:t>
          </w:r>
          <w:r>
            <w:t>tate and SA4 regions</w:t>
          </w:r>
        </w:p>
        <w:tbl>
          <w:tblPr>
            <w:tblW w:w="14034" w:type="dxa"/>
            <w:tblInd w:w="108" w:type="dxa"/>
            <w:shd w:val="clear" w:color="auto" w:fill="CAE7F3" w:themeFill="accent1" w:themeFillTint="33"/>
            <w:tblLayout w:type="fixed"/>
            <w:tblLook w:val="04A0" w:firstRow="1" w:lastRow="0" w:firstColumn="1" w:lastColumn="0" w:noHBand="0" w:noVBand="1"/>
          </w:tblPr>
          <w:tblGrid>
            <w:gridCol w:w="1460"/>
            <w:gridCol w:w="661"/>
            <w:gridCol w:w="662"/>
            <w:gridCol w:w="662"/>
            <w:gridCol w:w="662"/>
            <w:gridCol w:w="661"/>
            <w:gridCol w:w="662"/>
            <w:gridCol w:w="662"/>
            <w:gridCol w:w="662"/>
            <w:gridCol w:w="662"/>
            <w:gridCol w:w="661"/>
            <w:gridCol w:w="662"/>
            <w:gridCol w:w="662"/>
            <w:gridCol w:w="662"/>
            <w:gridCol w:w="662"/>
            <w:gridCol w:w="661"/>
            <w:gridCol w:w="662"/>
            <w:gridCol w:w="662"/>
            <w:gridCol w:w="662"/>
            <w:gridCol w:w="662"/>
          </w:tblGrid>
          <w:tr w:rsidR="00830FDC" w:rsidRPr="00F63634" w14:paraId="4C460718" w14:textId="77777777" w:rsidTr="00D0090A">
            <w:trPr>
              <w:trHeight w:val="1823"/>
            </w:trPr>
            <w:tc>
              <w:tcPr>
                <w:tcW w:w="1460" w:type="dxa"/>
                <w:tcBorders>
                  <w:top w:val="nil"/>
                  <w:left w:val="nil"/>
                  <w:bottom w:val="single" w:sz="4" w:space="0" w:color="95B3D7"/>
                  <w:right w:val="nil"/>
                </w:tcBorders>
                <w:shd w:val="clear" w:color="auto" w:fill="22789A" w:themeFill="accent1"/>
                <w:noWrap/>
                <w:vAlign w:val="bottom"/>
              </w:tcPr>
              <w:p w14:paraId="4562C6C8" w14:textId="77777777" w:rsidR="00830FDC" w:rsidRPr="00F47853" w:rsidRDefault="00830FDC" w:rsidP="00D0090A">
                <w:pPr>
                  <w:pStyle w:val="Tabletext"/>
                  <w:rPr>
                    <w:sz w:val="14"/>
                    <w:szCs w:val="16"/>
                    <w:lang w:eastAsia="en-AU"/>
                  </w:rPr>
                </w:pPr>
              </w:p>
            </w:tc>
            <w:tc>
              <w:tcPr>
                <w:tcW w:w="661" w:type="dxa"/>
                <w:tcBorders>
                  <w:top w:val="nil"/>
                  <w:left w:val="nil"/>
                  <w:bottom w:val="single" w:sz="4" w:space="0" w:color="95B3D7"/>
                  <w:right w:val="nil"/>
                </w:tcBorders>
                <w:shd w:val="clear" w:color="auto" w:fill="22789A" w:themeFill="accent1"/>
                <w:noWrap/>
                <w:textDirection w:val="btLr"/>
                <w:vAlign w:val="center"/>
              </w:tcPr>
              <w:p w14:paraId="7970C17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Agriculture, Forestry and Fishing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5BAF820"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20CDD43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Manufacturing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135428A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Electricity, Gas, Water and Waste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1EA8C8F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Construction</w:t>
                </w:r>
              </w:p>
            </w:tc>
            <w:tc>
              <w:tcPr>
                <w:tcW w:w="662" w:type="dxa"/>
                <w:tcBorders>
                  <w:top w:val="nil"/>
                  <w:left w:val="nil"/>
                  <w:bottom w:val="single" w:sz="4" w:space="0" w:color="95B3D7"/>
                  <w:right w:val="nil"/>
                </w:tcBorders>
                <w:shd w:val="clear" w:color="auto" w:fill="22789A" w:themeFill="accent1"/>
                <w:noWrap/>
                <w:textDirection w:val="btLr"/>
                <w:vAlign w:val="center"/>
              </w:tcPr>
              <w:p w14:paraId="4C318E7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Wholesale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2432EE3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Retail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50EA0B1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Accommodation and Food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3DB8AAB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Transport, Postal and Warehousing</w:t>
                </w:r>
              </w:p>
            </w:tc>
            <w:tc>
              <w:tcPr>
                <w:tcW w:w="661" w:type="dxa"/>
                <w:tcBorders>
                  <w:top w:val="nil"/>
                  <w:left w:val="nil"/>
                  <w:bottom w:val="single" w:sz="4" w:space="0" w:color="95B3D7"/>
                  <w:right w:val="nil"/>
                </w:tcBorders>
                <w:shd w:val="clear" w:color="auto" w:fill="22789A" w:themeFill="accent1"/>
                <w:noWrap/>
                <w:textDirection w:val="btLr"/>
                <w:vAlign w:val="center"/>
              </w:tcPr>
              <w:p w14:paraId="707A89F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Information Media and Telecommunications</w:t>
                </w:r>
              </w:p>
            </w:tc>
            <w:tc>
              <w:tcPr>
                <w:tcW w:w="662" w:type="dxa"/>
                <w:tcBorders>
                  <w:top w:val="nil"/>
                  <w:left w:val="nil"/>
                  <w:bottom w:val="single" w:sz="4" w:space="0" w:color="95B3D7"/>
                  <w:right w:val="nil"/>
                </w:tcBorders>
                <w:shd w:val="clear" w:color="auto" w:fill="22789A" w:themeFill="accent1"/>
                <w:noWrap/>
                <w:textDirection w:val="btLr"/>
                <w:vAlign w:val="center"/>
              </w:tcPr>
              <w:p w14:paraId="280AE3B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Financial and Insurance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44CF361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Rental, Hiring and Real Estate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5C5B73FC"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Professional, Scientific and Technical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3B7D840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Administrative and Support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593E050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Public Administration and Safety</w:t>
                </w:r>
              </w:p>
            </w:tc>
            <w:tc>
              <w:tcPr>
                <w:tcW w:w="662" w:type="dxa"/>
                <w:tcBorders>
                  <w:top w:val="nil"/>
                  <w:left w:val="nil"/>
                  <w:bottom w:val="single" w:sz="4" w:space="0" w:color="95B3D7"/>
                  <w:right w:val="nil"/>
                </w:tcBorders>
                <w:shd w:val="clear" w:color="auto" w:fill="22789A" w:themeFill="accent1"/>
                <w:noWrap/>
                <w:textDirection w:val="btLr"/>
                <w:vAlign w:val="center"/>
              </w:tcPr>
              <w:p w14:paraId="3B55037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Education and Training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4772BF1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Health Care and Social Assistance</w:t>
                </w:r>
              </w:p>
            </w:tc>
            <w:tc>
              <w:tcPr>
                <w:tcW w:w="662" w:type="dxa"/>
                <w:tcBorders>
                  <w:top w:val="nil"/>
                  <w:left w:val="nil"/>
                  <w:bottom w:val="single" w:sz="4" w:space="0" w:color="95B3D7"/>
                  <w:right w:val="nil"/>
                </w:tcBorders>
                <w:shd w:val="clear" w:color="auto" w:fill="22789A" w:themeFill="accent1"/>
                <w:noWrap/>
                <w:textDirection w:val="btLr"/>
                <w:vAlign w:val="center"/>
              </w:tcPr>
              <w:p w14:paraId="181A1E3E"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Arts and Recreation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3D06E32D"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Other Services</w:t>
                </w:r>
              </w:p>
            </w:tc>
          </w:tr>
          <w:tr w:rsidR="00830FDC" w:rsidRPr="00F63634" w14:paraId="093337E2" w14:textId="77777777" w:rsidTr="00D0090A">
            <w:trPr>
              <w:trHeight w:val="225"/>
            </w:trPr>
            <w:tc>
              <w:tcPr>
                <w:tcW w:w="1460" w:type="dxa"/>
                <w:tcBorders>
                  <w:top w:val="nil"/>
                  <w:left w:val="nil"/>
                  <w:bottom w:val="single" w:sz="4" w:space="0" w:color="595A5B" w:themeColor="text1"/>
                  <w:right w:val="nil"/>
                </w:tcBorders>
                <w:shd w:val="clear" w:color="auto" w:fill="22789A" w:themeFill="accent1"/>
                <w:noWrap/>
                <w:vAlign w:val="bottom"/>
              </w:tcPr>
              <w:p w14:paraId="358B0414" w14:textId="77777777" w:rsidR="00830FDC" w:rsidRPr="00844EE1" w:rsidRDefault="00830FDC" w:rsidP="00D0090A">
                <w:pPr>
                  <w:pStyle w:val="Tableheader"/>
                  <w:rPr>
                    <w:sz w:val="16"/>
                    <w:szCs w:val="12"/>
                    <w:lang w:eastAsia="en-AU"/>
                  </w:rPr>
                </w:pPr>
                <w:r w:rsidRPr="007D09BB">
                  <w:rPr>
                    <w:sz w:val="12"/>
                    <w:szCs w:val="12"/>
                    <w:lang w:eastAsia="en-AU"/>
                  </w:rPr>
                  <w:t>Region (State-SA4)</w:t>
                </w:r>
              </w:p>
            </w:tc>
            <w:tc>
              <w:tcPr>
                <w:tcW w:w="661" w:type="dxa"/>
                <w:tcBorders>
                  <w:top w:val="nil"/>
                  <w:left w:val="nil"/>
                  <w:bottom w:val="single" w:sz="4" w:space="0" w:color="595A5B" w:themeColor="text1"/>
                  <w:right w:val="nil"/>
                </w:tcBorders>
                <w:shd w:val="clear" w:color="auto" w:fill="22789A" w:themeFill="accent1"/>
                <w:noWrap/>
              </w:tcPr>
              <w:p w14:paraId="31283D5F" w14:textId="77777777" w:rsidR="00830FDC" w:rsidRPr="00844EE1" w:rsidRDefault="00830FDC" w:rsidP="00D0090A">
                <w:pPr>
                  <w:pStyle w:val="Tableheader"/>
                  <w:jc w:val="right"/>
                  <w:rPr>
                    <w:sz w:val="16"/>
                    <w:szCs w:val="12"/>
                  </w:rPr>
                </w:pPr>
                <w:r w:rsidRPr="00844EE1">
                  <w:rPr>
                    <w:sz w:val="16"/>
                    <w:szCs w:val="12"/>
                  </w:rPr>
                  <w:t>A</w:t>
                </w:r>
              </w:p>
            </w:tc>
            <w:tc>
              <w:tcPr>
                <w:tcW w:w="662" w:type="dxa"/>
                <w:tcBorders>
                  <w:top w:val="nil"/>
                  <w:left w:val="nil"/>
                  <w:bottom w:val="single" w:sz="4" w:space="0" w:color="595A5B" w:themeColor="text1"/>
                  <w:right w:val="nil"/>
                </w:tcBorders>
                <w:shd w:val="clear" w:color="auto" w:fill="22789A" w:themeFill="accent1"/>
                <w:noWrap/>
              </w:tcPr>
              <w:p w14:paraId="6FC731A3" w14:textId="77777777" w:rsidR="00830FDC" w:rsidRPr="00844EE1" w:rsidRDefault="00830FDC" w:rsidP="00D0090A">
                <w:pPr>
                  <w:pStyle w:val="Tableheader"/>
                  <w:jc w:val="right"/>
                  <w:rPr>
                    <w:sz w:val="16"/>
                    <w:szCs w:val="12"/>
                  </w:rPr>
                </w:pPr>
                <w:r w:rsidRPr="00844EE1">
                  <w:rPr>
                    <w:sz w:val="16"/>
                    <w:szCs w:val="12"/>
                  </w:rPr>
                  <w:t>B</w:t>
                </w:r>
              </w:p>
            </w:tc>
            <w:tc>
              <w:tcPr>
                <w:tcW w:w="662" w:type="dxa"/>
                <w:tcBorders>
                  <w:top w:val="nil"/>
                  <w:left w:val="nil"/>
                  <w:bottom w:val="single" w:sz="4" w:space="0" w:color="595A5B" w:themeColor="text1"/>
                  <w:right w:val="nil"/>
                </w:tcBorders>
                <w:shd w:val="clear" w:color="auto" w:fill="22789A" w:themeFill="accent1"/>
                <w:noWrap/>
              </w:tcPr>
              <w:p w14:paraId="47C82909" w14:textId="77777777" w:rsidR="00830FDC" w:rsidRPr="00844EE1" w:rsidRDefault="00830FDC" w:rsidP="00D0090A">
                <w:pPr>
                  <w:pStyle w:val="Tableheader"/>
                  <w:jc w:val="right"/>
                  <w:rPr>
                    <w:sz w:val="16"/>
                    <w:szCs w:val="12"/>
                  </w:rPr>
                </w:pPr>
                <w:r w:rsidRPr="00844EE1">
                  <w:rPr>
                    <w:sz w:val="16"/>
                    <w:szCs w:val="12"/>
                  </w:rPr>
                  <w:t>C</w:t>
                </w:r>
              </w:p>
            </w:tc>
            <w:tc>
              <w:tcPr>
                <w:tcW w:w="662" w:type="dxa"/>
                <w:tcBorders>
                  <w:top w:val="nil"/>
                  <w:left w:val="nil"/>
                  <w:bottom w:val="single" w:sz="4" w:space="0" w:color="595A5B" w:themeColor="text1"/>
                  <w:right w:val="nil"/>
                </w:tcBorders>
                <w:shd w:val="clear" w:color="auto" w:fill="22789A" w:themeFill="accent1"/>
                <w:noWrap/>
              </w:tcPr>
              <w:p w14:paraId="64DB0A9F" w14:textId="77777777" w:rsidR="00830FDC" w:rsidRPr="00844EE1" w:rsidRDefault="00830FDC" w:rsidP="00D0090A">
                <w:pPr>
                  <w:pStyle w:val="Tableheader"/>
                  <w:jc w:val="right"/>
                  <w:rPr>
                    <w:sz w:val="16"/>
                    <w:szCs w:val="12"/>
                  </w:rPr>
                </w:pPr>
                <w:r w:rsidRPr="00844EE1">
                  <w:rPr>
                    <w:sz w:val="16"/>
                    <w:szCs w:val="12"/>
                  </w:rPr>
                  <w:t>D</w:t>
                </w:r>
              </w:p>
            </w:tc>
            <w:tc>
              <w:tcPr>
                <w:tcW w:w="661" w:type="dxa"/>
                <w:tcBorders>
                  <w:top w:val="nil"/>
                  <w:left w:val="nil"/>
                  <w:bottom w:val="single" w:sz="4" w:space="0" w:color="595A5B" w:themeColor="text1"/>
                  <w:right w:val="nil"/>
                </w:tcBorders>
                <w:shd w:val="clear" w:color="auto" w:fill="22789A" w:themeFill="accent1"/>
                <w:noWrap/>
              </w:tcPr>
              <w:p w14:paraId="4233531F" w14:textId="77777777" w:rsidR="00830FDC" w:rsidRPr="00844EE1" w:rsidRDefault="00830FDC" w:rsidP="00D0090A">
                <w:pPr>
                  <w:pStyle w:val="Tableheader"/>
                  <w:jc w:val="right"/>
                  <w:rPr>
                    <w:sz w:val="16"/>
                    <w:szCs w:val="12"/>
                  </w:rPr>
                </w:pPr>
                <w:r w:rsidRPr="00844EE1">
                  <w:rPr>
                    <w:sz w:val="16"/>
                    <w:szCs w:val="12"/>
                  </w:rPr>
                  <w:t>E</w:t>
                </w:r>
              </w:p>
            </w:tc>
            <w:tc>
              <w:tcPr>
                <w:tcW w:w="662" w:type="dxa"/>
                <w:tcBorders>
                  <w:top w:val="nil"/>
                  <w:left w:val="nil"/>
                  <w:bottom w:val="single" w:sz="4" w:space="0" w:color="595A5B" w:themeColor="text1"/>
                  <w:right w:val="nil"/>
                </w:tcBorders>
                <w:shd w:val="clear" w:color="auto" w:fill="22789A" w:themeFill="accent1"/>
                <w:noWrap/>
              </w:tcPr>
              <w:p w14:paraId="4608B28A" w14:textId="77777777" w:rsidR="00830FDC" w:rsidRPr="00844EE1" w:rsidRDefault="00830FDC" w:rsidP="00D0090A">
                <w:pPr>
                  <w:pStyle w:val="Tableheader"/>
                  <w:jc w:val="right"/>
                  <w:rPr>
                    <w:sz w:val="16"/>
                    <w:szCs w:val="12"/>
                  </w:rPr>
                </w:pPr>
                <w:r w:rsidRPr="00844EE1">
                  <w:rPr>
                    <w:sz w:val="16"/>
                    <w:szCs w:val="12"/>
                  </w:rPr>
                  <w:t>F</w:t>
                </w:r>
              </w:p>
            </w:tc>
            <w:tc>
              <w:tcPr>
                <w:tcW w:w="662" w:type="dxa"/>
                <w:tcBorders>
                  <w:top w:val="nil"/>
                  <w:left w:val="nil"/>
                  <w:bottom w:val="single" w:sz="4" w:space="0" w:color="595A5B" w:themeColor="text1"/>
                  <w:right w:val="nil"/>
                </w:tcBorders>
                <w:shd w:val="clear" w:color="auto" w:fill="22789A" w:themeFill="accent1"/>
                <w:noWrap/>
              </w:tcPr>
              <w:p w14:paraId="56B62FA6" w14:textId="77777777" w:rsidR="00830FDC" w:rsidRPr="00844EE1" w:rsidRDefault="00830FDC" w:rsidP="00D0090A">
                <w:pPr>
                  <w:pStyle w:val="Tableheader"/>
                  <w:jc w:val="right"/>
                  <w:rPr>
                    <w:sz w:val="16"/>
                    <w:szCs w:val="12"/>
                  </w:rPr>
                </w:pPr>
                <w:r w:rsidRPr="00844EE1">
                  <w:rPr>
                    <w:sz w:val="16"/>
                    <w:szCs w:val="12"/>
                  </w:rPr>
                  <w:t>G</w:t>
                </w:r>
              </w:p>
            </w:tc>
            <w:tc>
              <w:tcPr>
                <w:tcW w:w="662" w:type="dxa"/>
                <w:tcBorders>
                  <w:top w:val="nil"/>
                  <w:left w:val="nil"/>
                  <w:bottom w:val="single" w:sz="4" w:space="0" w:color="595A5B" w:themeColor="text1"/>
                  <w:right w:val="nil"/>
                </w:tcBorders>
                <w:shd w:val="clear" w:color="auto" w:fill="22789A" w:themeFill="accent1"/>
                <w:noWrap/>
              </w:tcPr>
              <w:p w14:paraId="264ED324" w14:textId="77777777" w:rsidR="00830FDC" w:rsidRPr="00844EE1" w:rsidRDefault="00830FDC" w:rsidP="00D0090A">
                <w:pPr>
                  <w:pStyle w:val="Tableheader"/>
                  <w:jc w:val="right"/>
                  <w:rPr>
                    <w:sz w:val="16"/>
                    <w:szCs w:val="12"/>
                  </w:rPr>
                </w:pPr>
                <w:r w:rsidRPr="00844EE1">
                  <w:rPr>
                    <w:sz w:val="16"/>
                    <w:szCs w:val="12"/>
                  </w:rPr>
                  <w:t>H</w:t>
                </w:r>
              </w:p>
            </w:tc>
            <w:tc>
              <w:tcPr>
                <w:tcW w:w="662" w:type="dxa"/>
                <w:tcBorders>
                  <w:top w:val="nil"/>
                  <w:left w:val="nil"/>
                  <w:bottom w:val="single" w:sz="4" w:space="0" w:color="595A5B" w:themeColor="text1"/>
                  <w:right w:val="nil"/>
                </w:tcBorders>
                <w:shd w:val="clear" w:color="auto" w:fill="22789A" w:themeFill="accent1"/>
                <w:noWrap/>
              </w:tcPr>
              <w:p w14:paraId="3906CBC5" w14:textId="77777777" w:rsidR="00830FDC" w:rsidRPr="00844EE1" w:rsidRDefault="00830FDC" w:rsidP="00D0090A">
                <w:pPr>
                  <w:pStyle w:val="Tableheader"/>
                  <w:jc w:val="right"/>
                  <w:rPr>
                    <w:sz w:val="16"/>
                    <w:szCs w:val="12"/>
                  </w:rPr>
                </w:pPr>
                <w:r w:rsidRPr="00844EE1">
                  <w:rPr>
                    <w:sz w:val="16"/>
                    <w:szCs w:val="12"/>
                  </w:rPr>
                  <w:t>I</w:t>
                </w:r>
              </w:p>
            </w:tc>
            <w:tc>
              <w:tcPr>
                <w:tcW w:w="661" w:type="dxa"/>
                <w:tcBorders>
                  <w:top w:val="nil"/>
                  <w:left w:val="nil"/>
                  <w:bottom w:val="single" w:sz="4" w:space="0" w:color="595A5B" w:themeColor="text1"/>
                  <w:right w:val="nil"/>
                </w:tcBorders>
                <w:shd w:val="clear" w:color="auto" w:fill="22789A" w:themeFill="accent1"/>
                <w:noWrap/>
              </w:tcPr>
              <w:p w14:paraId="54C4072D" w14:textId="77777777" w:rsidR="00830FDC" w:rsidRPr="00844EE1" w:rsidRDefault="00830FDC" w:rsidP="00D0090A">
                <w:pPr>
                  <w:pStyle w:val="Tableheader"/>
                  <w:jc w:val="right"/>
                  <w:rPr>
                    <w:sz w:val="16"/>
                    <w:szCs w:val="12"/>
                  </w:rPr>
                </w:pPr>
                <w:r w:rsidRPr="00844EE1">
                  <w:rPr>
                    <w:sz w:val="16"/>
                    <w:szCs w:val="12"/>
                  </w:rPr>
                  <w:t>J</w:t>
                </w:r>
              </w:p>
            </w:tc>
            <w:tc>
              <w:tcPr>
                <w:tcW w:w="662" w:type="dxa"/>
                <w:tcBorders>
                  <w:top w:val="nil"/>
                  <w:left w:val="nil"/>
                  <w:bottom w:val="single" w:sz="4" w:space="0" w:color="595A5B" w:themeColor="text1"/>
                  <w:right w:val="nil"/>
                </w:tcBorders>
                <w:shd w:val="clear" w:color="auto" w:fill="22789A" w:themeFill="accent1"/>
                <w:noWrap/>
              </w:tcPr>
              <w:p w14:paraId="7F54358A" w14:textId="77777777" w:rsidR="00830FDC" w:rsidRPr="00844EE1" w:rsidRDefault="00830FDC" w:rsidP="00D0090A">
                <w:pPr>
                  <w:pStyle w:val="Tableheader"/>
                  <w:jc w:val="right"/>
                  <w:rPr>
                    <w:sz w:val="16"/>
                    <w:szCs w:val="12"/>
                  </w:rPr>
                </w:pPr>
                <w:r w:rsidRPr="00844EE1">
                  <w:rPr>
                    <w:sz w:val="16"/>
                    <w:szCs w:val="12"/>
                  </w:rPr>
                  <w:t>K</w:t>
                </w:r>
              </w:p>
            </w:tc>
            <w:tc>
              <w:tcPr>
                <w:tcW w:w="662" w:type="dxa"/>
                <w:tcBorders>
                  <w:top w:val="nil"/>
                  <w:left w:val="nil"/>
                  <w:bottom w:val="single" w:sz="4" w:space="0" w:color="595A5B" w:themeColor="text1"/>
                  <w:right w:val="nil"/>
                </w:tcBorders>
                <w:shd w:val="clear" w:color="auto" w:fill="22789A" w:themeFill="accent1"/>
                <w:noWrap/>
              </w:tcPr>
              <w:p w14:paraId="5C96FA6C" w14:textId="77777777" w:rsidR="00830FDC" w:rsidRPr="00844EE1" w:rsidRDefault="00830FDC" w:rsidP="00D0090A">
                <w:pPr>
                  <w:pStyle w:val="Tableheader"/>
                  <w:jc w:val="right"/>
                  <w:rPr>
                    <w:sz w:val="16"/>
                    <w:szCs w:val="12"/>
                  </w:rPr>
                </w:pPr>
                <w:r w:rsidRPr="00844EE1">
                  <w:rPr>
                    <w:sz w:val="16"/>
                    <w:szCs w:val="12"/>
                  </w:rPr>
                  <w:t>L</w:t>
                </w:r>
              </w:p>
            </w:tc>
            <w:tc>
              <w:tcPr>
                <w:tcW w:w="662" w:type="dxa"/>
                <w:tcBorders>
                  <w:top w:val="nil"/>
                  <w:left w:val="nil"/>
                  <w:bottom w:val="single" w:sz="4" w:space="0" w:color="595A5B" w:themeColor="text1"/>
                  <w:right w:val="nil"/>
                </w:tcBorders>
                <w:shd w:val="clear" w:color="auto" w:fill="22789A" w:themeFill="accent1"/>
                <w:noWrap/>
              </w:tcPr>
              <w:p w14:paraId="2711F4DA" w14:textId="77777777" w:rsidR="00830FDC" w:rsidRPr="00844EE1" w:rsidRDefault="00830FDC" w:rsidP="00D0090A">
                <w:pPr>
                  <w:pStyle w:val="Tableheader"/>
                  <w:jc w:val="right"/>
                  <w:rPr>
                    <w:sz w:val="16"/>
                    <w:szCs w:val="12"/>
                  </w:rPr>
                </w:pPr>
                <w:r w:rsidRPr="00844EE1">
                  <w:rPr>
                    <w:sz w:val="16"/>
                    <w:szCs w:val="12"/>
                  </w:rPr>
                  <w:t>M</w:t>
                </w:r>
              </w:p>
            </w:tc>
            <w:tc>
              <w:tcPr>
                <w:tcW w:w="662" w:type="dxa"/>
                <w:tcBorders>
                  <w:top w:val="nil"/>
                  <w:left w:val="nil"/>
                  <w:bottom w:val="single" w:sz="4" w:space="0" w:color="595A5B" w:themeColor="text1"/>
                  <w:right w:val="nil"/>
                </w:tcBorders>
                <w:shd w:val="clear" w:color="auto" w:fill="22789A" w:themeFill="accent1"/>
                <w:noWrap/>
              </w:tcPr>
              <w:p w14:paraId="76EB0D15" w14:textId="77777777" w:rsidR="00830FDC" w:rsidRPr="00844EE1" w:rsidRDefault="00830FDC" w:rsidP="00D0090A">
                <w:pPr>
                  <w:pStyle w:val="Tableheader"/>
                  <w:jc w:val="right"/>
                  <w:rPr>
                    <w:sz w:val="16"/>
                    <w:szCs w:val="12"/>
                  </w:rPr>
                </w:pPr>
                <w:r w:rsidRPr="00844EE1">
                  <w:rPr>
                    <w:sz w:val="16"/>
                    <w:szCs w:val="12"/>
                  </w:rPr>
                  <w:t>N</w:t>
                </w:r>
              </w:p>
            </w:tc>
            <w:tc>
              <w:tcPr>
                <w:tcW w:w="661" w:type="dxa"/>
                <w:tcBorders>
                  <w:top w:val="nil"/>
                  <w:left w:val="nil"/>
                  <w:bottom w:val="single" w:sz="4" w:space="0" w:color="595A5B" w:themeColor="text1"/>
                  <w:right w:val="nil"/>
                </w:tcBorders>
                <w:shd w:val="clear" w:color="auto" w:fill="22789A" w:themeFill="accent1"/>
                <w:noWrap/>
              </w:tcPr>
              <w:p w14:paraId="3261E02E" w14:textId="77777777" w:rsidR="00830FDC" w:rsidRPr="00844EE1" w:rsidRDefault="00830FDC" w:rsidP="00D0090A">
                <w:pPr>
                  <w:pStyle w:val="Tableheader"/>
                  <w:jc w:val="right"/>
                  <w:rPr>
                    <w:sz w:val="16"/>
                    <w:szCs w:val="12"/>
                  </w:rPr>
                </w:pPr>
                <w:r w:rsidRPr="00844EE1">
                  <w:rPr>
                    <w:sz w:val="16"/>
                    <w:szCs w:val="12"/>
                  </w:rPr>
                  <w:t>O</w:t>
                </w:r>
              </w:p>
            </w:tc>
            <w:tc>
              <w:tcPr>
                <w:tcW w:w="662" w:type="dxa"/>
                <w:tcBorders>
                  <w:top w:val="nil"/>
                  <w:left w:val="nil"/>
                  <w:bottom w:val="single" w:sz="4" w:space="0" w:color="595A5B" w:themeColor="text1"/>
                  <w:right w:val="nil"/>
                </w:tcBorders>
                <w:shd w:val="clear" w:color="auto" w:fill="22789A" w:themeFill="accent1"/>
                <w:noWrap/>
              </w:tcPr>
              <w:p w14:paraId="6FE220CC" w14:textId="77777777" w:rsidR="00830FDC" w:rsidRPr="00844EE1" w:rsidRDefault="00830FDC" w:rsidP="00D0090A">
                <w:pPr>
                  <w:pStyle w:val="Tableheader"/>
                  <w:jc w:val="right"/>
                  <w:rPr>
                    <w:sz w:val="16"/>
                    <w:szCs w:val="12"/>
                  </w:rPr>
                </w:pPr>
                <w:r w:rsidRPr="00844EE1">
                  <w:rPr>
                    <w:sz w:val="16"/>
                    <w:szCs w:val="12"/>
                  </w:rPr>
                  <w:t>P</w:t>
                </w:r>
              </w:p>
            </w:tc>
            <w:tc>
              <w:tcPr>
                <w:tcW w:w="662" w:type="dxa"/>
                <w:tcBorders>
                  <w:top w:val="nil"/>
                  <w:left w:val="nil"/>
                  <w:bottom w:val="single" w:sz="4" w:space="0" w:color="595A5B" w:themeColor="text1"/>
                  <w:right w:val="nil"/>
                </w:tcBorders>
                <w:shd w:val="clear" w:color="auto" w:fill="22789A" w:themeFill="accent1"/>
                <w:noWrap/>
              </w:tcPr>
              <w:p w14:paraId="51111504" w14:textId="77777777" w:rsidR="00830FDC" w:rsidRPr="00844EE1" w:rsidRDefault="00830FDC" w:rsidP="00D0090A">
                <w:pPr>
                  <w:pStyle w:val="Tableheader"/>
                  <w:jc w:val="right"/>
                  <w:rPr>
                    <w:sz w:val="16"/>
                    <w:szCs w:val="12"/>
                  </w:rPr>
                </w:pPr>
                <w:r w:rsidRPr="00844EE1">
                  <w:rPr>
                    <w:sz w:val="16"/>
                    <w:szCs w:val="12"/>
                  </w:rPr>
                  <w:t>Q</w:t>
                </w:r>
              </w:p>
            </w:tc>
            <w:tc>
              <w:tcPr>
                <w:tcW w:w="662" w:type="dxa"/>
                <w:tcBorders>
                  <w:top w:val="nil"/>
                  <w:left w:val="nil"/>
                  <w:bottom w:val="single" w:sz="4" w:space="0" w:color="595A5B" w:themeColor="text1"/>
                  <w:right w:val="nil"/>
                </w:tcBorders>
                <w:shd w:val="clear" w:color="auto" w:fill="22789A" w:themeFill="accent1"/>
                <w:noWrap/>
              </w:tcPr>
              <w:p w14:paraId="17600B4E" w14:textId="77777777" w:rsidR="00830FDC" w:rsidRPr="00844EE1" w:rsidRDefault="00830FDC" w:rsidP="00D0090A">
                <w:pPr>
                  <w:pStyle w:val="Tableheader"/>
                  <w:jc w:val="right"/>
                  <w:rPr>
                    <w:sz w:val="16"/>
                    <w:szCs w:val="12"/>
                  </w:rPr>
                </w:pPr>
                <w:r w:rsidRPr="00844EE1">
                  <w:rPr>
                    <w:sz w:val="16"/>
                    <w:szCs w:val="12"/>
                  </w:rPr>
                  <w:t>R</w:t>
                </w:r>
              </w:p>
            </w:tc>
            <w:tc>
              <w:tcPr>
                <w:tcW w:w="662" w:type="dxa"/>
                <w:tcBorders>
                  <w:top w:val="nil"/>
                  <w:left w:val="nil"/>
                  <w:bottom w:val="single" w:sz="4" w:space="0" w:color="595A5B" w:themeColor="text1"/>
                  <w:right w:val="nil"/>
                </w:tcBorders>
                <w:shd w:val="clear" w:color="auto" w:fill="22789A" w:themeFill="accent1"/>
                <w:noWrap/>
              </w:tcPr>
              <w:p w14:paraId="5A9E6270" w14:textId="77777777" w:rsidR="00830FDC" w:rsidRPr="00844EE1" w:rsidRDefault="00830FDC" w:rsidP="00D0090A">
                <w:pPr>
                  <w:pStyle w:val="Tableheader"/>
                  <w:jc w:val="right"/>
                  <w:rPr>
                    <w:sz w:val="16"/>
                    <w:szCs w:val="12"/>
                  </w:rPr>
                </w:pPr>
                <w:r w:rsidRPr="00844EE1">
                  <w:rPr>
                    <w:sz w:val="16"/>
                    <w:szCs w:val="12"/>
                  </w:rPr>
                  <w:t>S</w:t>
                </w:r>
              </w:p>
            </w:tc>
          </w:tr>
          <w:tr w:rsidR="00830FDC" w:rsidRPr="00F63634" w14:paraId="51E00A73" w14:textId="77777777" w:rsidTr="00D0090A">
            <w:trPr>
              <w:trHeight w:val="225"/>
            </w:trPr>
            <w:tc>
              <w:tcPr>
                <w:tcW w:w="1460"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CF3A0BD" w14:textId="77777777" w:rsidR="00830FDC" w:rsidRPr="000E0D2D" w:rsidRDefault="00830FDC" w:rsidP="00D0090A">
                <w:pPr>
                  <w:pStyle w:val="Tabletext"/>
                  <w:rPr>
                    <w:b/>
                    <w:color w:val="595A5B" w:themeColor="text1"/>
                    <w:sz w:val="12"/>
                    <w:szCs w:val="16"/>
                    <w:lang w:eastAsia="en-AU"/>
                  </w:rPr>
                </w:pPr>
                <w:r w:rsidRPr="000E0D2D">
                  <w:rPr>
                    <w:b/>
                    <w:color w:val="595A5B" w:themeColor="text1"/>
                    <w:sz w:val="12"/>
                    <w:szCs w:val="16"/>
                    <w:lang w:eastAsia="en-AU"/>
                  </w:rPr>
                  <w:t>Queensland</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796A18A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3732.2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764075A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343.0</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21EEE13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1941.3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441AD9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222.2</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46ADCB8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10731.3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1464F68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1663.2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05314C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3760.0</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E51E24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2625.0</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7663780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3915.5</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1011E8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513.5</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2FE3AD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4299.7</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E23998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4886.2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6C69B7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6656.8</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C468AD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3050.8</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948D11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309.5</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298B272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850.7</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5A6A6A18"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2474.5</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3F7513E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779.3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9886D9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2848.5</w:t>
                </w:r>
              </w:p>
            </w:tc>
          </w:tr>
          <w:tr w:rsidR="00830FDC" w:rsidRPr="00F63634" w14:paraId="57346F25"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1AFDAF2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Brisbane</w:t>
                </w:r>
                <w:r>
                  <w:rPr>
                    <w:color w:val="595A5B" w:themeColor="text1"/>
                    <w:sz w:val="12"/>
                    <w:szCs w:val="16"/>
                    <w:lang w:eastAsia="en-AU"/>
                  </w:rPr>
                  <w:t xml:space="preserve"> — </w:t>
                </w:r>
                <w:r w:rsidRPr="009820E8">
                  <w:rPr>
                    <w:color w:val="595A5B" w:themeColor="text1"/>
                    <w:sz w:val="12"/>
                    <w:szCs w:val="16"/>
                    <w:lang w:eastAsia="en-AU"/>
                  </w:rPr>
                  <w:t>East</w:t>
                </w:r>
              </w:p>
            </w:tc>
            <w:tc>
              <w:tcPr>
                <w:tcW w:w="661" w:type="dxa"/>
                <w:tcBorders>
                  <w:top w:val="nil"/>
                  <w:left w:val="nil"/>
                  <w:bottom w:val="nil"/>
                  <w:right w:val="nil"/>
                </w:tcBorders>
                <w:shd w:val="clear" w:color="auto" w:fill="CAE7F3" w:themeFill="accent1" w:themeFillTint="33"/>
                <w:noWrap/>
                <w:vAlign w:val="bottom"/>
                <w:hideMark/>
              </w:tcPr>
              <w:p w14:paraId="113528B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49.3</w:t>
                </w:r>
              </w:p>
            </w:tc>
            <w:tc>
              <w:tcPr>
                <w:tcW w:w="662" w:type="dxa"/>
                <w:tcBorders>
                  <w:top w:val="nil"/>
                  <w:left w:val="nil"/>
                  <w:bottom w:val="nil"/>
                  <w:right w:val="nil"/>
                </w:tcBorders>
                <w:shd w:val="clear" w:color="auto" w:fill="CAE7F3" w:themeFill="accent1" w:themeFillTint="33"/>
                <w:noWrap/>
                <w:vAlign w:val="bottom"/>
                <w:hideMark/>
              </w:tcPr>
              <w:p w14:paraId="3F66A0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w:t>
                </w:r>
              </w:p>
            </w:tc>
            <w:tc>
              <w:tcPr>
                <w:tcW w:w="662" w:type="dxa"/>
                <w:tcBorders>
                  <w:top w:val="nil"/>
                  <w:left w:val="nil"/>
                  <w:bottom w:val="nil"/>
                  <w:right w:val="nil"/>
                </w:tcBorders>
                <w:shd w:val="clear" w:color="auto" w:fill="CAE7F3" w:themeFill="accent1" w:themeFillTint="33"/>
                <w:noWrap/>
                <w:vAlign w:val="bottom"/>
                <w:hideMark/>
              </w:tcPr>
              <w:p w14:paraId="5F1FDA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100.5</w:t>
                </w:r>
              </w:p>
            </w:tc>
            <w:tc>
              <w:tcPr>
                <w:tcW w:w="662" w:type="dxa"/>
                <w:tcBorders>
                  <w:top w:val="nil"/>
                  <w:left w:val="nil"/>
                  <w:bottom w:val="nil"/>
                  <w:right w:val="nil"/>
                </w:tcBorders>
                <w:shd w:val="clear" w:color="auto" w:fill="CAE7F3" w:themeFill="accent1" w:themeFillTint="33"/>
                <w:noWrap/>
                <w:vAlign w:val="bottom"/>
                <w:hideMark/>
              </w:tcPr>
              <w:p w14:paraId="6418B7F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w:t>
                </w:r>
              </w:p>
            </w:tc>
            <w:tc>
              <w:tcPr>
                <w:tcW w:w="661" w:type="dxa"/>
                <w:tcBorders>
                  <w:top w:val="nil"/>
                  <w:left w:val="nil"/>
                  <w:bottom w:val="nil"/>
                  <w:right w:val="nil"/>
                </w:tcBorders>
                <w:shd w:val="clear" w:color="auto" w:fill="CAE7F3" w:themeFill="accent1" w:themeFillTint="33"/>
                <w:noWrap/>
                <w:vAlign w:val="bottom"/>
                <w:hideMark/>
              </w:tcPr>
              <w:p w14:paraId="235771D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580.8</w:t>
                </w:r>
              </w:p>
            </w:tc>
            <w:tc>
              <w:tcPr>
                <w:tcW w:w="662" w:type="dxa"/>
                <w:tcBorders>
                  <w:top w:val="nil"/>
                  <w:left w:val="nil"/>
                  <w:bottom w:val="nil"/>
                  <w:right w:val="nil"/>
                </w:tcBorders>
                <w:shd w:val="clear" w:color="auto" w:fill="CAE7F3" w:themeFill="accent1" w:themeFillTint="33"/>
                <w:noWrap/>
                <w:vAlign w:val="bottom"/>
                <w:hideMark/>
              </w:tcPr>
              <w:p w14:paraId="6CB7853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94.7</w:t>
                </w:r>
              </w:p>
            </w:tc>
            <w:tc>
              <w:tcPr>
                <w:tcW w:w="662" w:type="dxa"/>
                <w:tcBorders>
                  <w:top w:val="nil"/>
                  <w:left w:val="nil"/>
                  <w:bottom w:val="nil"/>
                  <w:right w:val="nil"/>
                </w:tcBorders>
                <w:shd w:val="clear" w:color="auto" w:fill="CAE7F3" w:themeFill="accent1" w:themeFillTint="33"/>
                <w:noWrap/>
                <w:vAlign w:val="bottom"/>
                <w:hideMark/>
              </w:tcPr>
              <w:p w14:paraId="577EAB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169.8</w:t>
                </w:r>
              </w:p>
            </w:tc>
            <w:tc>
              <w:tcPr>
                <w:tcW w:w="662" w:type="dxa"/>
                <w:tcBorders>
                  <w:top w:val="nil"/>
                  <w:left w:val="nil"/>
                  <w:bottom w:val="nil"/>
                  <w:right w:val="nil"/>
                </w:tcBorders>
                <w:shd w:val="clear" w:color="auto" w:fill="CAE7F3" w:themeFill="accent1" w:themeFillTint="33"/>
                <w:noWrap/>
                <w:vAlign w:val="bottom"/>
                <w:hideMark/>
              </w:tcPr>
              <w:p w14:paraId="31751FB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85.2</w:t>
                </w:r>
              </w:p>
            </w:tc>
            <w:tc>
              <w:tcPr>
                <w:tcW w:w="662" w:type="dxa"/>
                <w:tcBorders>
                  <w:top w:val="nil"/>
                  <w:left w:val="nil"/>
                  <w:bottom w:val="nil"/>
                  <w:right w:val="nil"/>
                </w:tcBorders>
                <w:shd w:val="clear" w:color="auto" w:fill="CAE7F3" w:themeFill="accent1" w:themeFillTint="33"/>
                <w:noWrap/>
                <w:vAlign w:val="bottom"/>
                <w:hideMark/>
              </w:tcPr>
              <w:p w14:paraId="754E6A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155.7</w:t>
                </w:r>
              </w:p>
            </w:tc>
            <w:tc>
              <w:tcPr>
                <w:tcW w:w="661" w:type="dxa"/>
                <w:tcBorders>
                  <w:top w:val="nil"/>
                  <w:left w:val="nil"/>
                  <w:bottom w:val="nil"/>
                  <w:right w:val="nil"/>
                </w:tcBorders>
                <w:shd w:val="clear" w:color="auto" w:fill="CAE7F3" w:themeFill="accent1" w:themeFillTint="33"/>
                <w:noWrap/>
                <w:vAlign w:val="bottom"/>
                <w:hideMark/>
              </w:tcPr>
              <w:p w14:paraId="5C6AB4D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17.2</w:t>
                </w:r>
              </w:p>
            </w:tc>
            <w:tc>
              <w:tcPr>
                <w:tcW w:w="662" w:type="dxa"/>
                <w:tcBorders>
                  <w:top w:val="nil"/>
                  <w:left w:val="nil"/>
                  <w:bottom w:val="nil"/>
                  <w:right w:val="nil"/>
                </w:tcBorders>
                <w:shd w:val="clear" w:color="auto" w:fill="CAE7F3" w:themeFill="accent1" w:themeFillTint="33"/>
                <w:noWrap/>
                <w:vAlign w:val="bottom"/>
                <w:hideMark/>
              </w:tcPr>
              <w:p w14:paraId="04A862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173.3</w:t>
                </w:r>
              </w:p>
            </w:tc>
            <w:tc>
              <w:tcPr>
                <w:tcW w:w="662" w:type="dxa"/>
                <w:tcBorders>
                  <w:top w:val="nil"/>
                  <w:left w:val="nil"/>
                  <w:bottom w:val="nil"/>
                  <w:right w:val="nil"/>
                </w:tcBorders>
                <w:shd w:val="clear" w:color="auto" w:fill="CAE7F3" w:themeFill="accent1" w:themeFillTint="33"/>
                <w:noWrap/>
                <w:vAlign w:val="bottom"/>
                <w:hideMark/>
              </w:tcPr>
              <w:p w14:paraId="4ADBF7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208.0</w:t>
                </w:r>
              </w:p>
            </w:tc>
            <w:tc>
              <w:tcPr>
                <w:tcW w:w="662" w:type="dxa"/>
                <w:tcBorders>
                  <w:top w:val="nil"/>
                  <w:left w:val="nil"/>
                  <w:bottom w:val="nil"/>
                  <w:right w:val="nil"/>
                </w:tcBorders>
                <w:shd w:val="clear" w:color="auto" w:fill="CAE7F3" w:themeFill="accent1" w:themeFillTint="33"/>
                <w:noWrap/>
                <w:vAlign w:val="bottom"/>
                <w:hideMark/>
              </w:tcPr>
              <w:p w14:paraId="73C41A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350.8</w:t>
                </w:r>
              </w:p>
            </w:tc>
            <w:tc>
              <w:tcPr>
                <w:tcW w:w="662" w:type="dxa"/>
                <w:tcBorders>
                  <w:top w:val="nil"/>
                  <w:left w:val="nil"/>
                  <w:bottom w:val="nil"/>
                  <w:right w:val="nil"/>
                </w:tcBorders>
                <w:shd w:val="clear" w:color="auto" w:fill="CAE7F3" w:themeFill="accent1" w:themeFillTint="33"/>
                <w:noWrap/>
                <w:vAlign w:val="bottom"/>
                <w:hideMark/>
              </w:tcPr>
              <w:p w14:paraId="4529C5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137.5</w:t>
                </w:r>
              </w:p>
            </w:tc>
            <w:tc>
              <w:tcPr>
                <w:tcW w:w="661" w:type="dxa"/>
                <w:tcBorders>
                  <w:top w:val="nil"/>
                  <w:left w:val="nil"/>
                  <w:bottom w:val="nil"/>
                  <w:right w:val="nil"/>
                </w:tcBorders>
                <w:shd w:val="clear" w:color="auto" w:fill="CAE7F3" w:themeFill="accent1" w:themeFillTint="33"/>
                <w:noWrap/>
                <w:vAlign w:val="bottom"/>
                <w:hideMark/>
              </w:tcPr>
              <w:p w14:paraId="6E77EA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16.2</w:t>
                </w:r>
              </w:p>
            </w:tc>
            <w:tc>
              <w:tcPr>
                <w:tcW w:w="662" w:type="dxa"/>
                <w:tcBorders>
                  <w:top w:val="nil"/>
                  <w:left w:val="nil"/>
                  <w:bottom w:val="nil"/>
                  <w:right w:val="nil"/>
                </w:tcBorders>
                <w:shd w:val="clear" w:color="auto" w:fill="CAE7F3" w:themeFill="accent1" w:themeFillTint="33"/>
                <w:noWrap/>
                <w:vAlign w:val="bottom"/>
                <w:hideMark/>
              </w:tcPr>
              <w:p w14:paraId="09612F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38.8</w:t>
                </w:r>
              </w:p>
            </w:tc>
            <w:tc>
              <w:tcPr>
                <w:tcW w:w="662" w:type="dxa"/>
                <w:tcBorders>
                  <w:top w:val="nil"/>
                  <w:left w:val="nil"/>
                  <w:bottom w:val="nil"/>
                  <w:right w:val="nil"/>
                </w:tcBorders>
                <w:shd w:val="clear" w:color="auto" w:fill="CAE7F3" w:themeFill="accent1" w:themeFillTint="33"/>
                <w:noWrap/>
                <w:vAlign w:val="bottom"/>
                <w:hideMark/>
              </w:tcPr>
              <w:p w14:paraId="707858F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100.5</w:t>
                </w:r>
              </w:p>
            </w:tc>
            <w:tc>
              <w:tcPr>
                <w:tcW w:w="662" w:type="dxa"/>
                <w:tcBorders>
                  <w:top w:val="nil"/>
                  <w:left w:val="nil"/>
                  <w:bottom w:val="nil"/>
                  <w:right w:val="nil"/>
                </w:tcBorders>
                <w:shd w:val="clear" w:color="auto" w:fill="CAE7F3" w:themeFill="accent1" w:themeFillTint="33"/>
                <w:noWrap/>
                <w:vAlign w:val="bottom"/>
                <w:hideMark/>
              </w:tcPr>
              <w:p w14:paraId="53F9A2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31.2</w:t>
                </w:r>
              </w:p>
            </w:tc>
            <w:tc>
              <w:tcPr>
                <w:tcW w:w="662" w:type="dxa"/>
                <w:tcBorders>
                  <w:top w:val="nil"/>
                  <w:left w:val="nil"/>
                  <w:bottom w:val="nil"/>
                  <w:right w:val="nil"/>
                </w:tcBorders>
                <w:shd w:val="clear" w:color="auto" w:fill="CAE7F3" w:themeFill="accent1" w:themeFillTint="33"/>
                <w:noWrap/>
                <w:vAlign w:val="bottom"/>
                <w:hideMark/>
              </w:tcPr>
              <w:p w14:paraId="2AD20C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127.3</w:t>
                </w:r>
              </w:p>
            </w:tc>
          </w:tr>
          <w:tr w:rsidR="00830FDC" w:rsidRPr="00F63634" w14:paraId="65904153"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1198B05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Brisbane</w:t>
                </w:r>
                <w:r>
                  <w:rPr>
                    <w:color w:val="595A5B" w:themeColor="text1"/>
                    <w:sz w:val="12"/>
                    <w:szCs w:val="16"/>
                    <w:lang w:eastAsia="en-AU"/>
                  </w:rPr>
                  <w:t xml:space="preserve"> — </w:t>
                </w:r>
                <w:r w:rsidRPr="009820E8">
                  <w:rPr>
                    <w:color w:val="595A5B" w:themeColor="text1"/>
                    <w:sz w:val="12"/>
                    <w:szCs w:val="16"/>
                    <w:lang w:eastAsia="en-AU"/>
                  </w:rPr>
                  <w:t>North</w:t>
                </w:r>
              </w:p>
            </w:tc>
            <w:tc>
              <w:tcPr>
                <w:tcW w:w="661" w:type="dxa"/>
                <w:tcBorders>
                  <w:top w:val="nil"/>
                  <w:left w:val="nil"/>
                  <w:bottom w:val="nil"/>
                  <w:right w:val="nil"/>
                </w:tcBorders>
                <w:shd w:val="clear" w:color="auto" w:fill="CAE7F3" w:themeFill="accent1" w:themeFillTint="33"/>
                <w:noWrap/>
                <w:vAlign w:val="bottom"/>
                <w:hideMark/>
              </w:tcPr>
              <w:p w14:paraId="29B1C18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35.8</w:t>
                </w:r>
              </w:p>
            </w:tc>
            <w:tc>
              <w:tcPr>
                <w:tcW w:w="662" w:type="dxa"/>
                <w:tcBorders>
                  <w:top w:val="nil"/>
                  <w:left w:val="nil"/>
                  <w:bottom w:val="nil"/>
                  <w:right w:val="nil"/>
                </w:tcBorders>
                <w:shd w:val="clear" w:color="auto" w:fill="CAE7F3" w:themeFill="accent1" w:themeFillTint="33"/>
                <w:noWrap/>
                <w:vAlign w:val="bottom"/>
                <w:hideMark/>
              </w:tcPr>
              <w:p w14:paraId="235A8C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w:t>
                </w:r>
              </w:p>
            </w:tc>
            <w:tc>
              <w:tcPr>
                <w:tcW w:w="662" w:type="dxa"/>
                <w:tcBorders>
                  <w:top w:val="nil"/>
                  <w:left w:val="nil"/>
                  <w:bottom w:val="nil"/>
                  <w:right w:val="nil"/>
                </w:tcBorders>
                <w:shd w:val="clear" w:color="auto" w:fill="CAE7F3" w:themeFill="accent1" w:themeFillTint="33"/>
                <w:noWrap/>
                <w:vAlign w:val="bottom"/>
                <w:hideMark/>
              </w:tcPr>
              <w:p w14:paraId="63DFDF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64.7</w:t>
                </w:r>
              </w:p>
            </w:tc>
            <w:tc>
              <w:tcPr>
                <w:tcW w:w="662" w:type="dxa"/>
                <w:tcBorders>
                  <w:top w:val="nil"/>
                  <w:left w:val="nil"/>
                  <w:bottom w:val="nil"/>
                  <w:right w:val="nil"/>
                </w:tcBorders>
                <w:shd w:val="clear" w:color="auto" w:fill="CAE7F3" w:themeFill="accent1" w:themeFillTint="33"/>
                <w:noWrap/>
                <w:vAlign w:val="bottom"/>
                <w:hideMark/>
              </w:tcPr>
              <w:p w14:paraId="1E8E8C5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w:t>
                </w:r>
              </w:p>
            </w:tc>
            <w:tc>
              <w:tcPr>
                <w:tcW w:w="661" w:type="dxa"/>
                <w:tcBorders>
                  <w:top w:val="nil"/>
                  <w:left w:val="nil"/>
                  <w:bottom w:val="nil"/>
                  <w:right w:val="nil"/>
                </w:tcBorders>
                <w:shd w:val="clear" w:color="auto" w:fill="CAE7F3" w:themeFill="accent1" w:themeFillTint="33"/>
                <w:noWrap/>
                <w:vAlign w:val="bottom"/>
                <w:hideMark/>
              </w:tcPr>
              <w:p w14:paraId="5DABBB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387.5</w:t>
                </w:r>
              </w:p>
            </w:tc>
            <w:tc>
              <w:tcPr>
                <w:tcW w:w="662" w:type="dxa"/>
                <w:tcBorders>
                  <w:top w:val="nil"/>
                  <w:left w:val="nil"/>
                  <w:bottom w:val="nil"/>
                  <w:right w:val="nil"/>
                </w:tcBorders>
                <w:shd w:val="clear" w:color="auto" w:fill="CAE7F3" w:themeFill="accent1" w:themeFillTint="33"/>
                <w:noWrap/>
                <w:vAlign w:val="bottom"/>
                <w:hideMark/>
              </w:tcPr>
              <w:p w14:paraId="2047F6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72.3</w:t>
                </w:r>
              </w:p>
            </w:tc>
            <w:tc>
              <w:tcPr>
                <w:tcW w:w="662" w:type="dxa"/>
                <w:tcBorders>
                  <w:top w:val="nil"/>
                  <w:left w:val="nil"/>
                  <w:bottom w:val="nil"/>
                  <w:right w:val="nil"/>
                </w:tcBorders>
                <w:shd w:val="clear" w:color="auto" w:fill="CAE7F3" w:themeFill="accent1" w:themeFillTint="33"/>
                <w:noWrap/>
                <w:vAlign w:val="bottom"/>
                <w:hideMark/>
              </w:tcPr>
              <w:p w14:paraId="03D7E9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157.7</w:t>
                </w:r>
              </w:p>
            </w:tc>
            <w:tc>
              <w:tcPr>
                <w:tcW w:w="662" w:type="dxa"/>
                <w:tcBorders>
                  <w:top w:val="nil"/>
                  <w:left w:val="nil"/>
                  <w:bottom w:val="nil"/>
                  <w:right w:val="nil"/>
                </w:tcBorders>
                <w:shd w:val="clear" w:color="auto" w:fill="CAE7F3" w:themeFill="accent1" w:themeFillTint="33"/>
                <w:noWrap/>
                <w:vAlign w:val="bottom"/>
                <w:hideMark/>
              </w:tcPr>
              <w:p w14:paraId="0D24432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88.2</w:t>
                </w:r>
              </w:p>
            </w:tc>
            <w:tc>
              <w:tcPr>
                <w:tcW w:w="662" w:type="dxa"/>
                <w:tcBorders>
                  <w:top w:val="nil"/>
                  <w:left w:val="nil"/>
                  <w:bottom w:val="nil"/>
                  <w:right w:val="nil"/>
                </w:tcBorders>
                <w:shd w:val="clear" w:color="auto" w:fill="CAE7F3" w:themeFill="accent1" w:themeFillTint="33"/>
                <w:noWrap/>
                <w:vAlign w:val="bottom"/>
                <w:hideMark/>
              </w:tcPr>
              <w:p w14:paraId="433065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217.0</w:t>
                </w:r>
              </w:p>
            </w:tc>
            <w:tc>
              <w:tcPr>
                <w:tcW w:w="661" w:type="dxa"/>
                <w:tcBorders>
                  <w:top w:val="nil"/>
                  <w:left w:val="nil"/>
                  <w:bottom w:val="nil"/>
                  <w:right w:val="nil"/>
                </w:tcBorders>
                <w:shd w:val="clear" w:color="auto" w:fill="CAE7F3" w:themeFill="accent1" w:themeFillTint="33"/>
                <w:noWrap/>
                <w:vAlign w:val="bottom"/>
                <w:hideMark/>
              </w:tcPr>
              <w:p w14:paraId="32B05DB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23.8</w:t>
                </w:r>
              </w:p>
            </w:tc>
            <w:tc>
              <w:tcPr>
                <w:tcW w:w="662" w:type="dxa"/>
                <w:tcBorders>
                  <w:top w:val="nil"/>
                  <w:left w:val="nil"/>
                  <w:bottom w:val="nil"/>
                  <w:right w:val="nil"/>
                </w:tcBorders>
                <w:shd w:val="clear" w:color="auto" w:fill="CAE7F3" w:themeFill="accent1" w:themeFillTint="33"/>
                <w:noWrap/>
                <w:vAlign w:val="bottom"/>
                <w:hideMark/>
              </w:tcPr>
              <w:p w14:paraId="330822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144.2</w:t>
                </w:r>
              </w:p>
            </w:tc>
            <w:tc>
              <w:tcPr>
                <w:tcW w:w="662" w:type="dxa"/>
                <w:tcBorders>
                  <w:top w:val="nil"/>
                  <w:left w:val="nil"/>
                  <w:bottom w:val="nil"/>
                  <w:right w:val="nil"/>
                </w:tcBorders>
                <w:shd w:val="clear" w:color="auto" w:fill="CAE7F3" w:themeFill="accent1" w:themeFillTint="33"/>
                <w:noWrap/>
                <w:vAlign w:val="bottom"/>
                <w:hideMark/>
              </w:tcPr>
              <w:p w14:paraId="5A120E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169.2</w:t>
                </w:r>
              </w:p>
            </w:tc>
            <w:tc>
              <w:tcPr>
                <w:tcW w:w="662" w:type="dxa"/>
                <w:tcBorders>
                  <w:top w:val="nil"/>
                  <w:left w:val="nil"/>
                  <w:bottom w:val="nil"/>
                  <w:right w:val="nil"/>
                </w:tcBorders>
                <w:shd w:val="clear" w:color="auto" w:fill="CAE7F3" w:themeFill="accent1" w:themeFillTint="33"/>
                <w:noWrap/>
                <w:vAlign w:val="bottom"/>
                <w:hideMark/>
              </w:tcPr>
              <w:p w14:paraId="01AFF0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307.0</w:t>
                </w:r>
              </w:p>
            </w:tc>
            <w:tc>
              <w:tcPr>
                <w:tcW w:w="662" w:type="dxa"/>
                <w:tcBorders>
                  <w:top w:val="nil"/>
                  <w:left w:val="nil"/>
                  <w:bottom w:val="nil"/>
                  <w:right w:val="nil"/>
                </w:tcBorders>
                <w:shd w:val="clear" w:color="auto" w:fill="CAE7F3" w:themeFill="accent1" w:themeFillTint="33"/>
                <w:noWrap/>
                <w:vAlign w:val="bottom"/>
                <w:hideMark/>
              </w:tcPr>
              <w:p w14:paraId="55B63B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128.3</w:t>
                </w:r>
              </w:p>
            </w:tc>
            <w:tc>
              <w:tcPr>
                <w:tcW w:w="661" w:type="dxa"/>
                <w:tcBorders>
                  <w:top w:val="nil"/>
                  <w:left w:val="nil"/>
                  <w:bottom w:val="nil"/>
                  <w:right w:val="nil"/>
                </w:tcBorders>
                <w:shd w:val="clear" w:color="auto" w:fill="CAE7F3" w:themeFill="accent1" w:themeFillTint="33"/>
                <w:noWrap/>
                <w:vAlign w:val="bottom"/>
                <w:hideMark/>
              </w:tcPr>
              <w:p w14:paraId="4B05F84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14.0</w:t>
                </w:r>
              </w:p>
            </w:tc>
            <w:tc>
              <w:tcPr>
                <w:tcW w:w="662" w:type="dxa"/>
                <w:tcBorders>
                  <w:top w:val="nil"/>
                  <w:left w:val="nil"/>
                  <w:bottom w:val="nil"/>
                  <w:right w:val="nil"/>
                </w:tcBorders>
                <w:shd w:val="clear" w:color="auto" w:fill="CAE7F3" w:themeFill="accent1" w:themeFillTint="33"/>
                <w:noWrap/>
                <w:vAlign w:val="bottom"/>
                <w:hideMark/>
              </w:tcPr>
              <w:p w14:paraId="3F120C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36.0</w:t>
                </w:r>
              </w:p>
            </w:tc>
            <w:tc>
              <w:tcPr>
                <w:tcW w:w="662" w:type="dxa"/>
                <w:tcBorders>
                  <w:top w:val="nil"/>
                  <w:left w:val="nil"/>
                  <w:bottom w:val="nil"/>
                  <w:right w:val="nil"/>
                </w:tcBorders>
                <w:shd w:val="clear" w:color="auto" w:fill="CAE7F3" w:themeFill="accent1" w:themeFillTint="33"/>
                <w:noWrap/>
                <w:vAlign w:val="bottom"/>
                <w:hideMark/>
              </w:tcPr>
              <w:p w14:paraId="3274065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99.0</w:t>
                </w:r>
              </w:p>
            </w:tc>
            <w:tc>
              <w:tcPr>
                <w:tcW w:w="662" w:type="dxa"/>
                <w:tcBorders>
                  <w:top w:val="nil"/>
                  <w:left w:val="nil"/>
                  <w:bottom w:val="nil"/>
                  <w:right w:val="nil"/>
                </w:tcBorders>
                <w:shd w:val="clear" w:color="auto" w:fill="CAE7F3" w:themeFill="accent1" w:themeFillTint="33"/>
                <w:noWrap/>
                <w:vAlign w:val="bottom"/>
                <w:hideMark/>
              </w:tcPr>
              <w:p w14:paraId="2823454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37.0</w:t>
                </w:r>
              </w:p>
            </w:tc>
            <w:tc>
              <w:tcPr>
                <w:tcW w:w="662" w:type="dxa"/>
                <w:tcBorders>
                  <w:top w:val="nil"/>
                  <w:left w:val="nil"/>
                  <w:bottom w:val="nil"/>
                  <w:right w:val="nil"/>
                </w:tcBorders>
                <w:shd w:val="clear" w:color="auto" w:fill="CAE7F3" w:themeFill="accent1" w:themeFillTint="33"/>
                <w:noWrap/>
                <w:vAlign w:val="bottom"/>
                <w:hideMark/>
              </w:tcPr>
              <w:p w14:paraId="6C2514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99.3</w:t>
                </w:r>
              </w:p>
            </w:tc>
          </w:tr>
          <w:tr w:rsidR="00830FDC" w:rsidRPr="00F63634" w14:paraId="5B4F2C08"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A26EA49"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Brisbane</w:t>
                </w:r>
                <w:r>
                  <w:rPr>
                    <w:color w:val="595A5B" w:themeColor="text1"/>
                    <w:sz w:val="12"/>
                    <w:szCs w:val="16"/>
                    <w:lang w:eastAsia="en-AU"/>
                  </w:rPr>
                  <w:t xml:space="preserve"> — </w:t>
                </w:r>
                <w:r w:rsidRPr="009820E8">
                  <w:rPr>
                    <w:color w:val="595A5B" w:themeColor="text1"/>
                    <w:sz w:val="12"/>
                    <w:szCs w:val="16"/>
                    <w:lang w:eastAsia="en-AU"/>
                  </w:rPr>
                  <w:t>South</w:t>
                </w:r>
              </w:p>
            </w:tc>
            <w:tc>
              <w:tcPr>
                <w:tcW w:w="661" w:type="dxa"/>
                <w:tcBorders>
                  <w:top w:val="nil"/>
                  <w:left w:val="nil"/>
                  <w:bottom w:val="nil"/>
                  <w:right w:val="nil"/>
                </w:tcBorders>
                <w:shd w:val="clear" w:color="auto" w:fill="CAE7F3" w:themeFill="accent1" w:themeFillTint="33"/>
                <w:noWrap/>
                <w:vAlign w:val="bottom"/>
                <w:hideMark/>
              </w:tcPr>
              <w:p w14:paraId="71F6EA4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79.7</w:t>
                </w:r>
              </w:p>
            </w:tc>
            <w:tc>
              <w:tcPr>
                <w:tcW w:w="662" w:type="dxa"/>
                <w:tcBorders>
                  <w:top w:val="nil"/>
                  <w:left w:val="nil"/>
                  <w:bottom w:val="nil"/>
                  <w:right w:val="nil"/>
                </w:tcBorders>
                <w:shd w:val="clear" w:color="auto" w:fill="CAE7F3" w:themeFill="accent1" w:themeFillTint="33"/>
                <w:noWrap/>
                <w:vAlign w:val="bottom"/>
                <w:hideMark/>
              </w:tcPr>
              <w:p w14:paraId="2885A3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12.0</w:t>
                </w:r>
              </w:p>
            </w:tc>
            <w:tc>
              <w:tcPr>
                <w:tcW w:w="662" w:type="dxa"/>
                <w:tcBorders>
                  <w:top w:val="nil"/>
                  <w:left w:val="nil"/>
                  <w:bottom w:val="nil"/>
                  <w:right w:val="nil"/>
                </w:tcBorders>
                <w:shd w:val="clear" w:color="auto" w:fill="CAE7F3" w:themeFill="accent1" w:themeFillTint="33"/>
                <w:noWrap/>
                <w:vAlign w:val="bottom"/>
                <w:hideMark/>
              </w:tcPr>
              <w:p w14:paraId="29DDF78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138.7</w:t>
                </w:r>
              </w:p>
            </w:tc>
            <w:tc>
              <w:tcPr>
                <w:tcW w:w="662" w:type="dxa"/>
                <w:tcBorders>
                  <w:top w:val="nil"/>
                  <w:left w:val="nil"/>
                  <w:bottom w:val="nil"/>
                  <w:right w:val="nil"/>
                </w:tcBorders>
                <w:shd w:val="clear" w:color="auto" w:fill="CAE7F3" w:themeFill="accent1" w:themeFillTint="33"/>
                <w:noWrap/>
                <w:vAlign w:val="bottom"/>
                <w:hideMark/>
              </w:tcPr>
              <w:p w14:paraId="436EFA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w:t>
                </w:r>
              </w:p>
            </w:tc>
            <w:tc>
              <w:tcPr>
                <w:tcW w:w="661" w:type="dxa"/>
                <w:tcBorders>
                  <w:top w:val="nil"/>
                  <w:left w:val="nil"/>
                  <w:bottom w:val="nil"/>
                  <w:right w:val="nil"/>
                </w:tcBorders>
                <w:shd w:val="clear" w:color="auto" w:fill="CAE7F3" w:themeFill="accent1" w:themeFillTint="33"/>
                <w:noWrap/>
                <w:vAlign w:val="bottom"/>
                <w:hideMark/>
              </w:tcPr>
              <w:p w14:paraId="13803FE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672.5</w:t>
                </w:r>
              </w:p>
            </w:tc>
            <w:tc>
              <w:tcPr>
                <w:tcW w:w="662" w:type="dxa"/>
                <w:tcBorders>
                  <w:top w:val="nil"/>
                  <w:left w:val="nil"/>
                  <w:bottom w:val="nil"/>
                  <w:right w:val="nil"/>
                </w:tcBorders>
                <w:shd w:val="clear" w:color="auto" w:fill="CAE7F3" w:themeFill="accent1" w:themeFillTint="33"/>
                <w:noWrap/>
                <w:vAlign w:val="bottom"/>
                <w:hideMark/>
              </w:tcPr>
              <w:p w14:paraId="3A214E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184.0</w:t>
                </w:r>
              </w:p>
            </w:tc>
            <w:tc>
              <w:tcPr>
                <w:tcW w:w="662" w:type="dxa"/>
                <w:tcBorders>
                  <w:top w:val="nil"/>
                  <w:left w:val="nil"/>
                  <w:bottom w:val="nil"/>
                  <w:right w:val="nil"/>
                </w:tcBorders>
                <w:shd w:val="clear" w:color="auto" w:fill="CAE7F3" w:themeFill="accent1" w:themeFillTint="33"/>
                <w:noWrap/>
                <w:vAlign w:val="bottom"/>
                <w:hideMark/>
              </w:tcPr>
              <w:p w14:paraId="2ABC123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332.2</w:t>
                </w:r>
              </w:p>
            </w:tc>
            <w:tc>
              <w:tcPr>
                <w:tcW w:w="662" w:type="dxa"/>
                <w:tcBorders>
                  <w:top w:val="nil"/>
                  <w:left w:val="nil"/>
                  <w:bottom w:val="nil"/>
                  <w:right w:val="nil"/>
                </w:tcBorders>
                <w:shd w:val="clear" w:color="auto" w:fill="CAE7F3" w:themeFill="accent1" w:themeFillTint="33"/>
                <w:noWrap/>
                <w:vAlign w:val="bottom"/>
                <w:hideMark/>
              </w:tcPr>
              <w:p w14:paraId="0C141C2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269.5</w:t>
                </w:r>
              </w:p>
            </w:tc>
            <w:tc>
              <w:tcPr>
                <w:tcW w:w="662" w:type="dxa"/>
                <w:tcBorders>
                  <w:top w:val="nil"/>
                  <w:left w:val="nil"/>
                  <w:bottom w:val="nil"/>
                  <w:right w:val="nil"/>
                </w:tcBorders>
                <w:shd w:val="clear" w:color="auto" w:fill="CAE7F3" w:themeFill="accent1" w:themeFillTint="33"/>
                <w:noWrap/>
                <w:vAlign w:val="bottom"/>
                <w:hideMark/>
              </w:tcPr>
              <w:p w14:paraId="7A89D3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503.8</w:t>
                </w:r>
              </w:p>
            </w:tc>
            <w:tc>
              <w:tcPr>
                <w:tcW w:w="661" w:type="dxa"/>
                <w:tcBorders>
                  <w:top w:val="nil"/>
                  <w:left w:val="nil"/>
                  <w:bottom w:val="nil"/>
                  <w:right w:val="nil"/>
                </w:tcBorders>
                <w:shd w:val="clear" w:color="auto" w:fill="CAE7F3" w:themeFill="accent1" w:themeFillTint="33"/>
                <w:noWrap/>
                <w:vAlign w:val="bottom"/>
                <w:hideMark/>
              </w:tcPr>
              <w:p w14:paraId="148E1C3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46.7</w:t>
                </w:r>
              </w:p>
            </w:tc>
            <w:tc>
              <w:tcPr>
                <w:tcW w:w="662" w:type="dxa"/>
                <w:tcBorders>
                  <w:top w:val="nil"/>
                  <w:left w:val="nil"/>
                  <w:bottom w:val="nil"/>
                  <w:right w:val="nil"/>
                </w:tcBorders>
                <w:shd w:val="clear" w:color="auto" w:fill="CAE7F3" w:themeFill="accent1" w:themeFillTint="33"/>
                <w:noWrap/>
                <w:vAlign w:val="bottom"/>
                <w:hideMark/>
              </w:tcPr>
              <w:p w14:paraId="2ADD0F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335.5</w:t>
                </w:r>
              </w:p>
            </w:tc>
            <w:tc>
              <w:tcPr>
                <w:tcW w:w="662" w:type="dxa"/>
                <w:tcBorders>
                  <w:top w:val="nil"/>
                  <w:left w:val="nil"/>
                  <w:bottom w:val="nil"/>
                  <w:right w:val="nil"/>
                </w:tcBorders>
                <w:shd w:val="clear" w:color="auto" w:fill="CAE7F3" w:themeFill="accent1" w:themeFillTint="33"/>
                <w:noWrap/>
                <w:vAlign w:val="bottom"/>
                <w:hideMark/>
              </w:tcPr>
              <w:p w14:paraId="7DBA7A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404.0</w:t>
                </w:r>
              </w:p>
            </w:tc>
            <w:tc>
              <w:tcPr>
                <w:tcW w:w="662" w:type="dxa"/>
                <w:tcBorders>
                  <w:top w:val="nil"/>
                  <w:left w:val="nil"/>
                  <w:bottom w:val="nil"/>
                  <w:right w:val="nil"/>
                </w:tcBorders>
                <w:shd w:val="clear" w:color="auto" w:fill="CAE7F3" w:themeFill="accent1" w:themeFillTint="33"/>
                <w:noWrap/>
                <w:vAlign w:val="bottom"/>
                <w:hideMark/>
              </w:tcPr>
              <w:p w14:paraId="75F89A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617.7</w:t>
                </w:r>
              </w:p>
            </w:tc>
            <w:tc>
              <w:tcPr>
                <w:tcW w:w="662" w:type="dxa"/>
                <w:tcBorders>
                  <w:top w:val="nil"/>
                  <w:left w:val="nil"/>
                  <w:bottom w:val="nil"/>
                  <w:right w:val="nil"/>
                </w:tcBorders>
                <w:shd w:val="clear" w:color="auto" w:fill="CAE7F3" w:themeFill="accent1" w:themeFillTint="33"/>
                <w:noWrap/>
                <w:vAlign w:val="bottom"/>
                <w:hideMark/>
              </w:tcPr>
              <w:p w14:paraId="5D48D2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345.8</w:t>
                </w:r>
              </w:p>
            </w:tc>
            <w:tc>
              <w:tcPr>
                <w:tcW w:w="661" w:type="dxa"/>
                <w:tcBorders>
                  <w:top w:val="nil"/>
                  <w:left w:val="nil"/>
                  <w:bottom w:val="nil"/>
                  <w:right w:val="nil"/>
                </w:tcBorders>
                <w:shd w:val="clear" w:color="auto" w:fill="CAE7F3" w:themeFill="accent1" w:themeFillTint="33"/>
                <w:noWrap/>
                <w:vAlign w:val="bottom"/>
                <w:hideMark/>
              </w:tcPr>
              <w:p w14:paraId="4DBEDF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28.7</w:t>
                </w:r>
              </w:p>
            </w:tc>
            <w:tc>
              <w:tcPr>
                <w:tcW w:w="662" w:type="dxa"/>
                <w:tcBorders>
                  <w:top w:val="nil"/>
                  <w:left w:val="nil"/>
                  <w:bottom w:val="nil"/>
                  <w:right w:val="nil"/>
                </w:tcBorders>
                <w:shd w:val="clear" w:color="auto" w:fill="CAE7F3" w:themeFill="accent1" w:themeFillTint="33"/>
                <w:noWrap/>
                <w:vAlign w:val="bottom"/>
                <w:hideMark/>
              </w:tcPr>
              <w:p w14:paraId="2E9A64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71.7</w:t>
                </w:r>
              </w:p>
            </w:tc>
            <w:tc>
              <w:tcPr>
                <w:tcW w:w="662" w:type="dxa"/>
                <w:tcBorders>
                  <w:top w:val="nil"/>
                  <w:left w:val="nil"/>
                  <w:bottom w:val="nil"/>
                  <w:right w:val="nil"/>
                </w:tcBorders>
                <w:shd w:val="clear" w:color="auto" w:fill="CAE7F3" w:themeFill="accent1" w:themeFillTint="33"/>
                <w:noWrap/>
                <w:vAlign w:val="bottom"/>
                <w:hideMark/>
              </w:tcPr>
              <w:p w14:paraId="741E96F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272.0</w:t>
                </w:r>
              </w:p>
            </w:tc>
            <w:tc>
              <w:tcPr>
                <w:tcW w:w="662" w:type="dxa"/>
                <w:tcBorders>
                  <w:top w:val="nil"/>
                  <w:left w:val="nil"/>
                  <w:bottom w:val="nil"/>
                  <w:right w:val="nil"/>
                </w:tcBorders>
                <w:shd w:val="clear" w:color="auto" w:fill="CAE7F3" w:themeFill="accent1" w:themeFillTint="33"/>
                <w:noWrap/>
                <w:vAlign w:val="bottom"/>
                <w:hideMark/>
              </w:tcPr>
              <w:p w14:paraId="549244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63.3</w:t>
                </w:r>
              </w:p>
            </w:tc>
            <w:tc>
              <w:tcPr>
                <w:tcW w:w="662" w:type="dxa"/>
                <w:tcBorders>
                  <w:top w:val="nil"/>
                  <w:left w:val="nil"/>
                  <w:bottom w:val="nil"/>
                  <w:right w:val="nil"/>
                </w:tcBorders>
                <w:shd w:val="clear" w:color="auto" w:fill="CAE7F3" w:themeFill="accent1" w:themeFillTint="33"/>
                <w:noWrap/>
                <w:vAlign w:val="bottom"/>
                <w:hideMark/>
              </w:tcPr>
              <w:p w14:paraId="0A5789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186.0</w:t>
                </w:r>
              </w:p>
            </w:tc>
          </w:tr>
          <w:tr w:rsidR="00830FDC" w:rsidRPr="00F63634" w14:paraId="4599752B"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7591A95"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Brisbane</w:t>
                </w:r>
                <w:r>
                  <w:rPr>
                    <w:color w:val="595A5B" w:themeColor="text1"/>
                    <w:sz w:val="12"/>
                    <w:szCs w:val="16"/>
                    <w:lang w:eastAsia="en-AU"/>
                  </w:rPr>
                  <w:t xml:space="preserve"> — </w:t>
                </w:r>
                <w:r w:rsidRPr="009820E8">
                  <w:rPr>
                    <w:color w:val="595A5B" w:themeColor="text1"/>
                    <w:sz w:val="12"/>
                    <w:szCs w:val="16"/>
                    <w:lang w:eastAsia="en-AU"/>
                  </w:rPr>
                  <w:t>West</w:t>
                </w:r>
              </w:p>
            </w:tc>
            <w:tc>
              <w:tcPr>
                <w:tcW w:w="661" w:type="dxa"/>
                <w:tcBorders>
                  <w:top w:val="nil"/>
                  <w:left w:val="nil"/>
                  <w:bottom w:val="nil"/>
                  <w:right w:val="nil"/>
                </w:tcBorders>
                <w:shd w:val="clear" w:color="auto" w:fill="CAE7F3" w:themeFill="accent1" w:themeFillTint="33"/>
                <w:noWrap/>
                <w:vAlign w:val="bottom"/>
                <w:hideMark/>
              </w:tcPr>
              <w:p w14:paraId="005D7A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56.3</w:t>
                </w:r>
              </w:p>
            </w:tc>
            <w:tc>
              <w:tcPr>
                <w:tcW w:w="662" w:type="dxa"/>
                <w:tcBorders>
                  <w:top w:val="nil"/>
                  <w:left w:val="nil"/>
                  <w:bottom w:val="nil"/>
                  <w:right w:val="nil"/>
                </w:tcBorders>
                <w:shd w:val="clear" w:color="auto" w:fill="CAE7F3" w:themeFill="accent1" w:themeFillTint="33"/>
                <w:noWrap/>
                <w:vAlign w:val="bottom"/>
                <w:hideMark/>
              </w:tcPr>
              <w:p w14:paraId="1D28DFD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w:t>
                </w:r>
              </w:p>
            </w:tc>
            <w:tc>
              <w:tcPr>
                <w:tcW w:w="662" w:type="dxa"/>
                <w:tcBorders>
                  <w:top w:val="nil"/>
                  <w:left w:val="nil"/>
                  <w:bottom w:val="nil"/>
                  <w:right w:val="nil"/>
                </w:tcBorders>
                <w:shd w:val="clear" w:color="auto" w:fill="CAE7F3" w:themeFill="accent1" w:themeFillTint="33"/>
                <w:noWrap/>
                <w:vAlign w:val="bottom"/>
                <w:hideMark/>
              </w:tcPr>
              <w:p w14:paraId="441F2F9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47.0</w:t>
                </w:r>
              </w:p>
            </w:tc>
            <w:tc>
              <w:tcPr>
                <w:tcW w:w="662" w:type="dxa"/>
                <w:tcBorders>
                  <w:top w:val="nil"/>
                  <w:left w:val="nil"/>
                  <w:bottom w:val="nil"/>
                  <w:right w:val="nil"/>
                </w:tcBorders>
                <w:shd w:val="clear" w:color="auto" w:fill="CAE7F3" w:themeFill="accent1" w:themeFillTint="33"/>
                <w:noWrap/>
                <w:vAlign w:val="bottom"/>
                <w:hideMark/>
              </w:tcPr>
              <w:p w14:paraId="7B7193D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1" w:type="dxa"/>
                <w:tcBorders>
                  <w:top w:val="nil"/>
                  <w:left w:val="nil"/>
                  <w:bottom w:val="nil"/>
                  <w:right w:val="nil"/>
                </w:tcBorders>
                <w:shd w:val="clear" w:color="auto" w:fill="CAE7F3" w:themeFill="accent1" w:themeFillTint="33"/>
                <w:noWrap/>
                <w:vAlign w:val="bottom"/>
                <w:hideMark/>
              </w:tcPr>
              <w:p w14:paraId="4F416C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248.7</w:t>
                </w:r>
              </w:p>
            </w:tc>
            <w:tc>
              <w:tcPr>
                <w:tcW w:w="662" w:type="dxa"/>
                <w:tcBorders>
                  <w:top w:val="nil"/>
                  <w:left w:val="nil"/>
                  <w:bottom w:val="nil"/>
                  <w:right w:val="nil"/>
                </w:tcBorders>
                <w:shd w:val="clear" w:color="auto" w:fill="CAE7F3" w:themeFill="accent1" w:themeFillTint="33"/>
                <w:noWrap/>
                <w:vAlign w:val="bottom"/>
                <w:hideMark/>
              </w:tcPr>
              <w:p w14:paraId="1BF522A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60.3</w:t>
                </w:r>
              </w:p>
            </w:tc>
            <w:tc>
              <w:tcPr>
                <w:tcW w:w="662" w:type="dxa"/>
                <w:tcBorders>
                  <w:top w:val="nil"/>
                  <w:left w:val="nil"/>
                  <w:bottom w:val="nil"/>
                  <w:right w:val="nil"/>
                </w:tcBorders>
                <w:shd w:val="clear" w:color="auto" w:fill="CAE7F3" w:themeFill="accent1" w:themeFillTint="33"/>
                <w:noWrap/>
                <w:vAlign w:val="bottom"/>
                <w:hideMark/>
              </w:tcPr>
              <w:p w14:paraId="263FC0B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125.0</w:t>
                </w:r>
              </w:p>
            </w:tc>
            <w:tc>
              <w:tcPr>
                <w:tcW w:w="662" w:type="dxa"/>
                <w:tcBorders>
                  <w:top w:val="nil"/>
                  <w:left w:val="nil"/>
                  <w:bottom w:val="nil"/>
                  <w:right w:val="nil"/>
                </w:tcBorders>
                <w:shd w:val="clear" w:color="auto" w:fill="CAE7F3" w:themeFill="accent1" w:themeFillTint="33"/>
                <w:noWrap/>
                <w:vAlign w:val="bottom"/>
                <w:hideMark/>
              </w:tcPr>
              <w:p w14:paraId="76D0974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76.3</w:t>
                </w:r>
              </w:p>
            </w:tc>
            <w:tc>
              <w:tcPr>
                <w:tcW w:w="662" w:type="dxa"/>
                <w:tcBorders>
                  <w:top w:val="nil"/>
                  <w:left w:val="nil"/>
                  <w:bottom w:val="nil"/>
                  <w:right w:val="nil"/>
                </w:tcBorders>
                <w:shd w:val="clear" w:color="auto" w:fill="CAE7F3" w:themeFill="accent1" w:themeFillTint="33"/>
                <w:noWrap/>
                <w:vAlign w:val="bottom"/>
                <w:hideMark/>
              </w:tcPr>
              <w:p w14:paraId="3B48491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83.8</w:t>
                </w:r>
              </w:p>
            </w:tc>
            <w:tc>
              <w:tcPr>
                <w:tcW w:w="661" w:type="dxa"/>
                <w:tcBorders>
                  <w:top w:val="nil"/>
                  <w:left w:val="nil"/>
                  <w:bottom w:val="nil"/>
                  <w:right w:val="nil"/>
                </w:tcBorders>
                <w:shd w:val="clear" w:color="auto" w:fill="CAE7F3" w:themeFill="accent1" w:themeFillTint="33"/>
                <w:noWrap/>
                <w:vAlign w:val="bottom"/>
                <w:hideMark/>
              </w:tcPr>
              <w:p w14:paraId="5F2A0B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25.5</w:t>
                </w:r>
              </w:p>
            </w:tc>
            <w:tc>
              <w:tcPr>
                <w:tcW w:w="662" w:type="dxa"/>
                <w:tcBorders>
                  <w:top w:val="nil"/>
                  <w:left w:val="nil"/>
                  <w:bottom w:val="nil"/>
                  <w:right w:val="nil"/>
                </w:tcBorders>
                <w:shd w:val="clear" w:color="auto" w:fill="CAE7F3" w:themeFill="accent1" w:themeFillTint="33"/>
                <w:noWrap/>
                <w:vAlign w:val="bottom"/>
                <w:hideMark/>
              </w:tcPr>
              <w:p w14:paraId="6B001EB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205.0</w:t>
                </w:r>
              </w:p>
            </w:tc>
            <w:tc>
              <w:tcPr>
                <w:tcW w:w="662" w:type="dxa"/>
                <w:tcBorders>
                  <w:top w:val="nil"/>
                  <w:left w:val="nil"/>
                  <w:bottom w:val="nil"/>
                  <w:right w:val="nil"/>
                </w:tcBorders>
                <w:shd w:val="clear" w:color="auto" w:fill="CAE7F3" w:themeFill="accent1" w:themeFillTint="33"/>
                <w:noWrap/>
                <w:vAlign w:val="bottom"/>
                <w:hideMark/>
              </w:tcPr>
              <w:p w14:paraId="7EA6AC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158.0</w:t>
                </w:r>
              </w:p>
            </w:tc>
            <w:tc>
              <w:tcPr>
                <w:tcW w:w="662" w:type="dxa"/>
                <w:tcBorders>
                  <w:top w:val="nil"/>
                  <w:left w:val="nil"/>
                  <w:bottom w:val="nil"/>
                  <w:right w:val="nil"/>
                </w:tcBorders>
                <w:shd w:val="clear" w:color="auto" w:fill="CAE7F3" w:themeFill="accent1" w:themeFillTint="33"/>
                <w:noWrap/>
                <w:vAlign w:val="bottom"/>
                <w:hideMark/>
              </w:tcPr>
              <w:p w14:paraId="5B3FB3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454.2</w:t>
                </w:r>
              </w:p>
            </w:tc>
            <w:tc>
              <w:tcPr>
                <w:tcW w:w="662" w:type="dxa"/>
                <w:tcBorders>
                  <w:top w:val="nil"/>
                  <w:left w:val="nil"/>
                  <w:bottom w:val="nil"/>
                  <w:right w:val="nil"/>
                </w:tcBorders>
                <w:shd w:val="clear" w:color="auto" w:fill="CAE7F3" w:themeFill="accent1" w:themeFillTint="33"/>
                <w:noWrap/>
                <w:vAlign w:val="bottom"/>
                <w:hideMark/>
              </w:tcPr>
              <w:p w14:paraId="35DBC1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89.3</w:t>
                </w:r>
              </w:p>
            </w:tc>
            <w:tc>
              <w:tcPr>
                <w:tcW w:w="661" w:type="dxa"/>
                <w:tcBorders>
                  <w:top w:val="nil"/>
                  <w:left w:val="nil"/>
                  <w:bottom w:val="nil"/>
                  <w:right w:val="nil"/>
                </w:tcBorders>
                <w:shd w:val="clear" w:color="auto" w:fill="CAE7F3" w:themeFill="accent1" w:themeFillTint="33"/>
                <w:noWrap/>
                <w:vAlign w:val="bottom"/>
                <w:hideMark/>
              </w:tcPr>
              <w:p w14:paraId="4A9339D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2" w:type="dxa"/>
                <w:tcBorders>
                  <w:top w:val="nil"/>
                  <w:left w:val="nil"/>
                  <w:bottom w:val="nil"/>
                  <w:right w:val="nil"/>
                </w:tcBorders>
                <w:shd w:val="clear" w:color="auto" w:fill="CAE7F3" w:themeFill="accent1" w:themeFillTint="33"/>
                <w:noWrap/>
                <w:vAlign w:val="bottom"/>
                <w:hideMark/>
              </w:tcPr>
              <w:p w14:paraId="0D1F57B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39.0</w:t>
                </w:r>
              </w:p>
            </w:tc>
            <w:tc>
              <w:tcPr>
                <w:tcW w:w="662" w:type="dxa"/>
                <w:tcBorders>
                  <w:top w:val="nil"/>
                  <w:left w:val="nil"/>
                  <w:bottom w:val="nil"/>
                  <w:right w:val="nil"/>
                </w:tcBorders>
                <w:shd w:val="clear" w:color="auto" w:fill="CAE7F3" w:themeFill="accent1" w:themeFillTint="33"/>
                <w:noWrap/>
                <w:vAlign w:val="bottom"/>
                <w:hideMark/>
              </w:tcPr>
              <w:p w14:paraId="067489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133.0</w:t>
                </w:r>
              </w:p>
            </w:tc>
            <w:tc>
              <w:tcPr>
                <w:tcW w:w="662" w:type="dxa"/>
                <w:tcBorders>
                  <w:top w:val="nil"/>
                  <w:left w:val="nil"/>
                  <w:bottom w:val="nil"/>
                  <w:right w:val="nil"/>
                </w:tcBorders>
                <w:shd w:val="clear" w:color="auto" w:fill="CAE7F3" w:themeFill="accent1" w:themeFillTint="33"/>
                <w:noWrap/>
                <w:vAlign w:val="bottom"/>
                <w:hideMark/>
              </w:tcPr>
              <w:p w14:paraId="3FD48FA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31.5</w:t>
                </w:r>
              </w:p>
            </w:tc>
            <w:tc>
              <w:tcPr>
                <w:tcW w:w="662" w:type="dxa"/>
                <w:tcBorders>
                  <w:top w:val="nil"/>
                  <w:left w:val="nil"/>
                  <w:bottom w:val="nil"/>
                  <w:right w:val="nil"/>
                </w:tcBorders>
                <w:shd w:val="clear" w:color="auto" w:fill="CAE7F3" w:themeFill="accent1" w:themeFillTint="33"/>
                <w:noWrap/>
                <w:vAlign w:val="bottom"/>
                <w:hideMark/>
              </w:tcPr>
              <w:p w14:paraId="5897761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68.3</w:t>
                </w:r>
              </w:p>
            </w:tc>
          </w:tr>
          <w:tr w:rsidR="00830FDC" w:rsidRPr="00F63634" w14:paraId="08976164"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B30CA4A"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Brisbane Inner City</w:t>
                </w:r>
              </w:p>
            </w:tc>
            <w:tc>
              <w:tcPr>
                <w:tcW w:w="661" w:type="dxa"/>
                <w:tcBorders>
                  <w:top w:val="nil"/>
                  <w:left w:val="nil"/>
                  <w:bottom w:val="nil"/>
                  <w:right w:val="nil"/>
                </w:tcBorders>
                <w:shd w:val="clear" w:color="auto" w:fill="CAE7F3" w:themeFill="accent1" w:themeFillTint="33"/>
                <w:noWrap/>
                <w:vAlign w:val="bottom"/>
                <w:hideMark/>
              </w:tcPr>
              <w:p w14:paraId="09CD40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116.0</w:t>
                </w:r>
              </w:p>
            </w:tc>
            <w:tc>
              <w:tcPr>
                <w:tcW w:w="662" w:type="dxa"/>
                <w:tcBorders>
                  <w:top w:val="nil"/>
                  <w:left w:val="nil"/>
                  <w:bottom w:val="nil"/>
                  <w:right w:val="nil"/>
                </w:tcBorders>
                <w:shd w:val="clear" w:color="auto" w:fill="CAE7F3" w:themeFill="accent1" w:themeFillTint="33"/>
                <w:noWrap/>
                <w:vAlign w:val="bottom"/>
                <w:hideMark/>
              </w:tcPr>
              <w:p w14:paraId="222834B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76.7</w:t>
                </w:r>
              </w:p>
            </w:tc>
            <w:tc>
              <w:tcPr>
                <w:tcW w:w="662" w:type="dxa"/>
                <w:tcBorders>
                  <w:top w:val="nil"/>
                  <w:left w:val="nil"/>
                  <w:bottom w:val="nil"/>
                  <w:right w:val="nil"/>
                </w:tcBorders>
                <w:shd w:val="clear" w:color="auto" w:fill="CAE7F3" w:themeFill="accent1" w:themeFillTint="33"/>
                <w:noWrap/>
                <w:vAlign w:val="bottom"/>
                <w:hideMark/>
              </w:tcPr>
              <w:p w14:paraId="7B7A54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126.8</w:t>
                </w:r>
              </w:p>
            </w:tc>
            <w:tc>
              <w:tcPr>
                <w:tcW w:w="662" w:type="dxa"/>
                <w:tcBorders>
                  <w:top w:val="nil"/>
                  <w:left w:val="nil"/>
                  <w:bottom w:val="nil"/>
                  <w:right w:val="nil"/>
                </w:tcBorders>
                <w:shd w:val="clear" w:color="auto" w:fill="CAE7F3" w:themeFill="accent1" w:themeFillTint="33"/>
                <w:noWrap/>
                <w:vAlign w:val="bottom"/>
                <w:hideMark/>
              </w:tcPr>
              <w:p w14:paraId="1EF64F5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17.3</w:t>
                </w:r>
              </w:p>
            </w:tc>
            <w:tc>
              <w:tcPr>
                <w:tcW w:w="661" w:type="dxa"/>
                <w:tcBorders>
                  <w:top w:val="nil"/>
                  <w:left w:val="nil"/>
                  <w:bottom w:val="nil"/>
                  <w:right w:val="nil"/>
                </w:tcBorders>
                <w:shd w:val="clear" w:color="auto" w:fill="CAE7F3" w:themeFill="accent1" w:themeFillTint="33"/>
                <w:noWrap/>
                <w:vAlign w:val="bottom"/>
                <w:hideMark/>
              </w:tcPr>
              <w:p w14:paraId="6A4E521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661.5</w:t>
                </w:r>
              </w:p>
            </w:tc>
            <w:tc>
              <w:tcPr>
                <w:tcW w:w="662" w:type="dxa"/>
                <w:tcBorders>
                  <w:top w:val="nil"/>
                  <w:left w:val="nil"/>
                  <w:bottom w:val="nil"/>
                  <w:right w:val="nil"/>
                </w:tcBorders>
                <w:shd w:val="clear" w:color="auto" w:fill="CAE7F3" w:themeFill="accent1" w:themeFillTint="33"/>
                <w:noWrap/>
                <w:vAlign w:val="bottom"/>
                <w:hideMark/>
              </w:tcPr>
              <w:p w14:paraId="59B0DB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161.8</w:t>
                </w:r>
              </w:p>
            </w:tc>
            <w:tc>
              <w:tcPr>
                <w:tcW w:w="662" w:type="dxa"/>
                <w:tcBorders>
                  <w:top w:val="nil"/>
                  <w:left w:val="nil"/>
                  <w:bottom w:val="nil"/>
                  <w:right w:val="nil"/>
                </w:tcBorders>
                <w:shd w:val="clear" w:color="auto" w:fill="CAE7F3" w:themeFill="accent1" w:themeFillTint="33"/>
                <w:noWrap/>
                <w:vAlign w:val="bottom"/>
                <w:hideMark/>
              </w:tcPr>
              <w:p w14:paraId="70CF9A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318.8</w:t>
                </w:r>
              </w:p>
            </w:tc>
            <w:tc>
              <w:tcPr>
                <w:tcW w:w="662" w:type="dxa"/>
                <w:tcBorders>
                  <w:top w:val="nil"/>
                  <w:left w:val="nil"/>
                  <w:bottom w:val="nil"/>
                  <w:right w:val="nil"/>
                </w:tcBorders>
                <w:shd w:val="clear" w:color="auto" w:fill="CAE7F3" w:themeFill="accent1" w:themeFillTint="33"/>
                <w:noWrap/>
                <w:vAlign w:val="bottom"/>
                <w:hideMark/>
              </w:tcPr>
              <w:p w14:paraId="675782E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289.3</w:t>
                </w:r>
              </w:p>
            </w:tc>
            <w:tc>
              <w:tcPr>
                <w:tcW w:w="662" w:type="dxa"/>
                <w:tcBorders>
                  <w:top w:val="nil"/>
                  <w:left w:val="nil"/>
                  <w:bottom w:val="nil"/>
                  <w:right w:val="nil"/>
                </w:tcBorders>
                <w:shd w:val="clear" w:color="auto" w:fill="CAE7F3" w:themeFill="accent1" w:themeFillTint="33"/>
                <w:noWrap/>
                <w:vAlign w:val="bottom"/>
                <w:hideMark/>
              </w:tcPr>
              <w:p w14:paraId="2345BF3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215.8</w:t>
                </w:r>
              </w:p>
            </w:tc>
            <w:tc>
              <w:tcPr>
                <w:tcW w:w="661" w:type="dxa"/>
                <w:tcBorders>
                  <w:top w:val="nil"/>
                  <w:left w:val="nil"/>
                  <w:bottom w:val="nil"/>
                  <w:right w:val="nil"/>
                </w:tcBorders>
                <w:shd w:val="clear" w:color="auto" w:fill="CAE7F3" w:themeFill="accent1" w:themeFillTint="33"/>
                <w:noWrap/>
                <w:vAlign w:val="bottom"/>
                <w:hideMark/>
              </w:tcPr>
              <w:p w14:paraId="45C699D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83.3</w:t>
                </w:r>
              </w:p>
            </w:tc>
            <w:tc>
              <w:tcPr>
                <w:tcW w:w="662" w:type="dxa"/>
                <w:tcBorders>
                  <w:top w:val="nil"/>
                  <w:left w:val="nil"/>
                  <w:bottom w:val="nil"/>
                  <w:right w:val="nil"/>
                </w:tcBorders>
                <w:shd w:val="clear" w:color="auto" w:fill="CAE7F3" w:themeFill="accent1" w:themeFillTint="33"/>
                <w:noWrap/>
                <w:vAlign w:val="bottom"/>
                <w:hideMark/>
              </w:tcPr>
              <w:p w14:paraId="6F09CC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973.0</w:t>
                </w:r>
              </w:p>
            </w:tc>
            <w:tc>
              <w:tcPr>
                <w:tcW w:w="662" w:type="dxa"/>
                <w:tcBorders>
                  <w:top w:val="nil"/>
                  <w:left w:val="nil"/>
                  <w:bottom w:val="nil"/>
                  <w:right w:val="nil"/>
                </w:tcBorders>
                <w:shd w:val="clear" w:color="auto" w:fill="CAE7F3" w:themeFill="accent1" w:themeFillTint="33"/>
                <w:noWrap/>
                <w:vAlign w:val="bottom"/>
                <w:hideMark/>
              </w:tcPr>
              <w:p w14:paraId="65F7A8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635.8</w:t>
                </w:r>
              </w:p>
            </w:tc>
            <w:tc>
              <w:tcPr>
                <w:tcW w:w="662" w:type="dxa"/>
                <w:tcBorders>
                  <w:top w:val="nil"/>
                  <w:left w:val="nil"/>
                  <w:bottom w:val="nil"/>
                  <w:right w:val="nil"/>
                </w:tcBorders>
                <w:shd w:val="clear" w:color="auto" w:fill="CAE7F3" w:themeFill="accent1" w:themeFillTint="33"/>
                <w:noWrap/>
                <w:vAlign w:val="bottom"/>
                <w:hideMark/>
              </w:tcPr>
              <w:p w14:paraId="6916EA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1119.2</w:t>
                </w:r>
              </w:p>
            </w:tc>
            <w:tc>
              <w:tcPr>
                <w:tcW w:w="662" w:type="dxa"/>
                <w:tcBorders>
                  <w:top w:val="nil"/>
                  <w:left w:val="nil"/>
                  <w:bottom w:val="nil"/>
                  <w:right w:val="nil"/>
                </w:tcBorders>
                <w:shd w:val="clear" w:color="auto" w:fill="CAE7F3" w:themeFill="accent1" w:themeFillTint="33"/>
                <w:noWrap/>
                <w:vAlign w:val="bottom"/>
                <w:hideMark/>
              </w:tcPr>
              <w:p w14:paraId="2F2F08C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327.7</w:t>
                </w:r>
              </w:p>
            </w:tc>
            <w:tc>
              <w:tcPr>
                <w:tcW w:w="661" w:type="dxa"/>
                <w:tcBorders>
                  <w:top w:val="nil"/>
                  <w:left w:val="nil"/>
                  <w:bottom w:val="nil"/>
                  <w:right w:val="nil"/>
                </w:tcBorders>
                <w:shd w:val="clear" w:color="auto" w:fill="CAE7F3" w:themeFill="accent1" w:themeFillTint="33"/>
                <w:noWrap/>
                <w:vAlign w:val="bottom"/>
                <w:hideMark/>
              </w:tcPr>
              <w:p w14:paraId="3A701FF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21.3</w:t>
                </w:r>
              </w:p>
            </w:tc>
            <w:tc>
              <w:tcPr>
                <w:tcW w:w="662" w:type="dxa"/>
                <w:tcBorders>
                  <w:top w:val="nil"/>
                  <w:left w:val="nil"/>
                  <w:bottom w:val="nil"/>
                  <w:right w:val="nil"/>
                </w:tcBorders>
                <w:shd w:val="clear" w:color="auto" w:fill="CAE7F3" w:themeFill="accent1" w:themeFillTint="33"/>
                <w:noWrap/>
                <w:vAlign w:val="bottom"/>
                <w:hideMark/>
              </w:tcPr>
              <w:p w14:paraId="7A8836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94.0</w:t>
                </w:r>
              </w:p>
            </w:tc>
            <w:tc>
              <w:tcPr>
                <w:tcW w:w="662" w:type="dxa"/>
                <w:tcBorders>
                  <w:top w:val="nil"/>
                  <w:left w:val="nil"/>
                  <w:bottom w:val="nil"/>
                  <w:right w:val="nil"/>
                </w:tcBorders>
                <w:shd w:val="clear" w:color="auto" w:fill="CAE7F3" w:themeFill="accent1" w:themeFillTint="33"/>
                <w:noWrap/>
                <w:vAlign w:val="bottom"/>
                <w:hideMark/>
              </w:tcPr>
              <w:p w14:paraId="569ED3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325.8</w:t>
                </w:r>
              </w:p>
            </w:tc>
            <w:tc>
              <w:tcPr>
                <w:tcW w:w="662" w:type="dxa"/>
                <w:tcBorders>
                  <w:top w:val="nil"/>
                  <w:left w:val="nil"/>
                  <w:bottom w:val="nil"/>
                  <w:right w:val="nil"/>
                </w:tcBorders>
                <w:shd w:val="clear" w:color="auto" w:fill="CAE7F3" w:themeFill="accent1" w:themeFillTint="33"/>
                <w:noWrap/>
                <w:vAlign w:val="bottom"/>
                <w:hideMark/>
              </w:tcPr>
              <w:p w14:paraId="261316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97.3</w:t>
                </w:r>
              </w:p>
            </w:tc>
            <w:tc>
              <w:tcPr>
                <w:tcW w:w="662" w:type="dxa"/>
                <w:tcBorders>
                  <w:top w:val="nil"/>
                  <w:left w:val="nil"/>
                  <w:bottom w:val="nil"/>
                  <w:right w:val="nil"/>
                </w:tcBorders>
                <w:shd w:val="clear" w:color="auto" w:fill="CAE7F3" w:themeFill="accent1" w:themeFillTint="33"/>
                <w:noWrap/>
                <w:vAlign w:val="bottom"/>
                <w:hideMark/>
              </w:tcPr>
              <w:p w14:paraId="4541CE6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180.3</w:t>
                </w:r>
              </w:p>
            </w:tc>
          </w:tr>
          <w:tr w:rsidR="00830FDC" w:rsidRPr="00F63634" w14:paraId="7426068E"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280005C"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Cairns</w:t>
                </w:r>
              </w:p>
            </w:tc>
            <w:tc>
              <w:tcPr>
                <w:tcW w:w="661" w:type="dxa"/>
                <w:tcBorders>
                  <w:top w:val="nil"/>
                  <w:left w:val="nil"/>
                  <w:bottom w:val="nil"/>
                  <w:right w:val="nil"/>
                </w:tcBorders>
                <w:shd w:val="clear" w:color="auto" w:fill="CAE7F3" w:themeFill="accent1" w:themeFillTint="33"/>
                <w:noWrap/>
                <w:vAlign w:val="bottom"/>
                <w:hideMark/>
              </w:tcPr>
              <w:p w14:paraId="739AAAC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270.0</w:t>
                </w:r>
              </w:p>
            </w:tc>
            <w:tc>
              <w:tcPr>
                <w:tcW w:w="662" w:type="dxa"/>
                <w:tcBorders>
                  <w:top w:val="nil"/>
                  <w:left w:val="nil"/>
                  <w:bottom w:val="nil"/>
                  <w:right w:val="nil"/>
                </w:tcBorders>
                <w:shd w:val="clear" w:color="auto" w:fill="CAE7F3" w:themeFill="accent1" w:themeFillTint="33"/>
                <w:noWrap/>
                <w:vAlign w:val="bottom"/>
                <w:hideMark/>
              </w:tcPr>
              <w:p w14:paraId="0F95861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16.0</w:t>
                </w:r>
              </w:p>
            </w:tc>
            <w:tc>
              <w:tcPr>
                <w:tcW w:w="662" w:type="dxa"/>
                <w:tcBorders>
                  <w:top w:val="nil"/>
                  <w:left w:val="nil"/>
                  <w:bottom w:val="nil"/>
                  <w:right w:val="nil"/>
                </w:tcBorders>
                <w:shd w:val="clear" w:color="auto" w:fill="CAE7F3" w:themeFill="accent1" w:themeFillTint="33"/>
                <w:noWrap/>
                <w:vAlign w:val="bottom"/>
                <w:hideMark/>
              </w:tcPr>
              <w:p w14:paraId="764590B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89.5</w:t>
                </w:r>
              </w:p>
            </w:tc>
            <w:tc>
              <w:tcPr>
                <w:tcW w:w="662" w:type="dxa"/>
                <w:tcBorders>
                  <w:top w:val="nil"/>
                  <w:left w:val="nil"/>
                  <w:bottom w:val="nil"/>
                  <w:right w:val="nil"/>
                </w:tcBorders>
                <w:shd w:val="clear" w:color="auto" w:fill="CAE7F3" w:themeFill="accent1" w:themeFillTint="33"/>
                <w:noWrap/>
                <w:vAlign w:val="bottom"/>
                <w:hideMark/>
              </w:tcPr>
              <w:p w14:paraId="65CCD7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1" w:type="dxa"/>
                <w:tcBorders>
                  <w:top w:val="nil"/>
                  <w:left w:val="nil"/>
                  <w:bottom w:val="nil"/>
                  <w:right w:val="nil"/>
                </w:tcBorders>
                <w:shd w:val="clear" w:color="auto" w:fill="CAE7F3" w:themeFill="accent1" w:themeFillTint="33"/>
                <w:noWrap/>
                <w:vAlign w:val="bottom"/>
                <w:hideMark/>
              </w:tcPr>
              <w:p w14:paraId="7E8482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520.2</w:t>
                </w:r>
              </w:p>
            </w:tc>
            <w:tc>
              <w:tcPr>
                <w:tcW w:w="662" w:type="dxa"/>
                <w:tcBorders>
                  <w:top w:val="nil"/>
                  <w:left w:val="nil"/>
                  <w:bottom w:val="nil"/>
                  <w:right w:val="nil"/>
                </w:tcBorders>
                <w:shd w:val="clear" w:color="auto" w:fill="CAE7F3" w:themeFill="accent1" w:themeFillTint="33"/>
                <w:noWrap/>
                <w:vAlign w:val="bottom"/>
                <w:hideMark/>
              </w:tcPr>
              <w:p w14:paraId="3C84D0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56.7</w:t>
                </w:r>
              </w:p>
            </w:tc>
            <w:tc>
              <w:tcPr>
                <w:tcW w:w="662" w:type="dxa"/>
                <w:tcBorders>
                  <w:top w:val="nil"/>
                  <w:left w:val="nil"/>
                  <w:bottom w:val="nil"/>
                  <w:right w:val="nil"/>
                </w:tcBorders>
                <w:shd w:val="clear" w:color="auto" w:fill="CAE7F3" w:themeFill="accent1" w:themeFillTint="33"/>
                <w:noWrap/>
                <w:vAlign w:val="bottom"/>
                <w:hideMark/>
              </w:tcPr>
              <w:p w14:paraId="4E4BFBE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165.7</w:t>
                </w:r>
              </w:p>
            </w:tc>
            <w:tc>
              <w:tcPr>
                <w:tcW w:w="662" w:type="dxa"/>
                <w:tcBorders>
                  <w:top w:val="nil"/>
                  <w:left w:val="nil"/>
                  <w:bottom w:val="nil"/>
                  <w:right w:val="nil"/>
                </w:tcBorders>
                <w:shd w:val="clear" w:color="auto" w:fill="CAE7F3" w:themeFill="accent1" w:themeFillTint="33"/>
                <w:noWrap/>
                <w:vAlign w:val="bottom"/>
                <w:hideMark/>
              </w:tcPr>
              <w:p w14:paraId="540BB1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164.7</w:t>
                </w:r>
              </w:p>
            </w:tc>
            <w:tc>
              <w:tcPr>
                <w:tcW w:w="662" w:type="dxa"/>
                <w:tcBorders>
                  <w:top w:val="nil"/>
                  <w:left w:val="nil"/>
                  <w:bottom w:val="nil"/>
                  <w:right w:val="nil"/>
                </w:tcBorders>
                <w:shd w:val="clear" w:color="auto" w:fill="CAE7F3" w:themeFill="accent1" w:themeFillTint="33"/>
                <w:noWrap/>
                <w:vAlign w:val="bottom"/>
                <w:hideMark/>
              </w:tcPr>
              <w:p w14:paraId="5F98C0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194.3</w:t>
                </w:r>
              </w:p>
            </w:tc>
            <w:tc>
              <w:tcPr>
                <w:tcW w:w="661" w:type="dxa"/>
                <w:tcBorders>
                  <w:top w:val="nil"/>
                  <w:left w:val="nil"/>
                  <w:bottom w:val="nil"/>
                  <w:right w:val="nil"/>
                </w:tcBorders>
                <w:shd w:val="clear" w:color="auto" w:fill="CAE7F3" w:themeFill="accent1" w:themeFillTint="33"/>
                <w:noWrap/>
                <w:vAlign w:val="bottom"/>
                <w:hideMark/>
              </w:tcPr>
              <w:p w14:paraId="021134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22.7</w:t>
                </w:r>
              </w:p>
            </w:tc>
            <w:tc>
              <w:tcPr>
                <w:tcW w:w="662" w:type="dxa"/>
                <w:tcBorders>
                  <w:top w:val="nil"/>
                  <w:left w:val="nil"/>
                  <w:bottom w:val="nil"/>
                  <w:right w:val="nil"/>
                </w:tcBorders>
                <w:shd w:val="clear" w:color="auto" w:fill="CAE7F3" w:themeFill="accent1" w:themeFillTint="33"/>
                <w:noWrap/>
                <w:vAlign w:val="bottom"/>
                <w:hideMark/>
              </w:tcPr>
              <w:p w14:paraId="690499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157.0</w:t>
                </w:r>
              </w:p>
            </w:tc>
            <w:tc>
              <w:tcPr>
                <w:tcW w:w="662" w:type="dxa"/>
                <w:tcBorders>
                  <w:top w:val="nil"/>
                  <w:left w:val="nil"/>
                  <w:bottom w:val="nil"/>
                  <w:right w:val="nil"/>
                </w:tcBorders>
                <w:shd w:val="clear" w:color="auto" w:fill="CAE7F3" w:themeFill="accent1" w:themeFillTint="33"/>
                <w:noWrap/>
                <w:vAlign w:val="bottom"/>
                <w:hideMark/>
              </w:tcPr>
              <w:p w14:paraId="7084715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237.2</w:t>
                </w:r>
              </w:p>
            </w:tc>
            <w:tc>
              <w:tcPr>
                <w:tcW w:w="662" w:type="dxa"/>
                <w:tcBorders>
                  <w:top w:val="nil"/>
                  <w:left w:val="nil"/>
                  <w:bottom w:val="nil"/>
                  <w:right w:val="nil"/>
                </w:tcBorders>
                <w:shd w:val="clear" w:color="auto" w:fill="CAE7F3" w:themeFill="accent1" w:themeFillTint="33"/>
                <w:noWrap/>
                <w:vAlign w:val="bottom"/>
                <w:hideMark/>
              </w:tcPr>
              <w:p w14:paraId="23FE399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236.8</w:t>
                </w:r>
              </w:p>
            </w:tc>
            <w:tc>
              <w:tcPr>
                <w:tcW w:w="662" w:type="dxa"/>
                <w:tcBorders>
                  <w:top w:val="nil"/>
                  <w:left w:val="nil"/>
                  <w:bottom w:val="nil"/>
                  <w:right w:val="nil"/>
                </w:tcBorders>
                <w:shd w:val="clear" w:color="auto" w:fill="CAE7F3" w:themeFill="accent1" w:themeFillTint="33"/>
                <w:noWrap/>
                <w:vAlign w:val="bottom"/>
                <w:hideMark/>
              </w:tcPr>
              <w:p w14:paraId="6AF4BE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151.2</w:t>
                </w:r>
              </w:p>
            </w:tc>
            <w:tc>
              <w:tcPr>
                <w:tcW w:w="661" w:type="dxa"/>
                <w:tcBorders>
                  <w:top w:val="nil"/>
                  <w:left w:val="nil"/>
                  <w:bottom w:val="nil"/>
                  <w:right w:val="nil"/>
                </w:tcBorders>
                <w:shd w:val="clear" w:color="auto" w:fill="CAE7F3" w:themeFill="accent1" w:themeFillTint="33"/>
                <w:noWrap/>
                <w:vAlign w:val="bottom"/>
                <w:hideMark/>
              </w:tcPr>
              <w:p w14:paraId="4A4E9A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w:t>
                </w:r>
              </w:p>
            </w:tc>
            <w:tc>
              <w:tcPr>
                <w:tcW w:w="662" w:type="dxa"/>
                <w:tcBorders>
                  <w:top w:val="nil"/>
                  <w:left w:val="nil"/>
                  <w:bottom w:val="nil"/>
                  <w:right w:val="nil"/>
                </w:tcBorders>
                <w:shd w:val="clear" w:color="auto" w:fill="CAE7F3" w:themeFill="accent1" w:themeFillTint="33"/>
                <w:noWrap/>
                <w:vAlign w:val="bottom"/>
                <w:hideMark/>
              </w:tcPr>
              <w:p w14:paraId="447948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42.8</w:t>
                </w:r>
              </w:p>
            </w:tc>
            <w:tc>
              <w:tcPr>
                <w:tcW w:w="662" w:type="dxa"/>
                <w:tcBorders>
                  <w:top w:val="nil"/>
                  <w:left w:val="nil"/>
                  <w:bottom w:val="nil"/>
                  <w:right w:val="nil"/>
                </w:tcBorders>
                <w:shd w:val="clear" w:color="auto" w:fill="CAE7F3" w:themeFill="accent1" w:themeFillTint="33"/>
                <w:noWrap/>
                <w:vAlign w:val="bottom"/>
                <w:hideMark/>
              </w:tcPr>
              <w:p w14:paraId="7BE7FD8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113.2</w:t>
                </w:r>
              </w:p>
            </w:tc>
            <w:tc>
              <w:tcPr>
                <w:tcW w:w="662" w:type="dxa"/>
                <w:tcBorders>
                  <w:top w:val="nil"/>
                  <w:left w:val="nil"/>
                  <w:bottom w:val="nil"/>
                  <w:right w:val="nil"/>
                </w:tcBorders>
                <w:shd w:val="clear" w:color="auto" w:fill="CAE7F3" w:themeFill="accent1" w:themeFillTint="33"/>
                <w:noWrap/>
                <w:vAlign w:val="bottom"/>
                <w:hideMark/>
              </w:tcPr>
              <w:p w14:paraId="0DF53A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34.8</w:t>
                </w:r>
              </w:p>
            </w:tc>
            <w:tc>
              <w:tcPr>
                <w:tcW w:w="662" w:type="dxa"/>
                <w:tcBorders>
                  <w:top w:val="nil"/>
                  <w:left w:val="nil"/>
                  <w:bottom w:val="nil"/>
                  <w:right w:val="nil"/>
                </w:tcBorders>
                <w:shd w:val="clear" w:color="auto" w:fill="CAE7F3" w:themeFill="accent1" w:themeFillTint="33"/>
                <w:noWrap/>
                <w:vAlign w:val="bottom"/>
                <w:hideMark/>
              </w:tcPr>
              <w:p w14:paraId="13CB2A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141.5</w:t>
                </w:r>
              </w:p>
            </w:tc>
          </w:tr>
          <w:tr w:rsidR="00830FDC" w:rsidRPr="00F63634" w14:paraId="62567CF5"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1D679AF"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Darling Downs</w:t>
                </w:r>
                <w:r>
                  <w:rPr>
                    <w:color w:val="595A5B" w:themeColor="text1"/>
                    <w:sz w:val="12"/>
                    <w:szCs w:val="16"/>
                    <w:lang w:eastAsia="en-AU"/>
                  </w:rPr>
                  <w:t xml:space="preserve"> — </w:t>
                </w:r>
                <w:r w:rsidRPr="009820E8">
                  <w:rPr>
                    <w:color w:val="595A5B" w:themeColor="text1"/>
                    <w:sz w:val="12"/>
                    <w:szCs w:val="16"/>
                    <w:lang w:eastAsia="en-AU"/>
                  </w:rPr>
                  <w:t>Maranoa</w:t>
                </w:r>
              </w:p>
            </w:tc>
            <w:tc>
              <w:tcPr>
                <w:tcW w:w="661" w:type="dxa"/>
                <w:tcBorders>
                  <w:top w:val="nil"/>
                  <w:left w:val="nil"/>
                  <w:bottom w:val="nil"/>
                  <w:right w:val="nil"/>
                </w:tcBorders>
                <w:shd w:val="clear" w:color="auto" w:fill="CAE7F3" w:themeFill="accent1" w:themeFillTint="33"/>
                <w:noWrap/>
                <w:vAlign w:val="bottom"/>
                <w:hideMark/>
              </w:tcPr>
              <w:p w14:paraId="4C0711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616.5</w:t>
                </w:r>
              </w:p>
            </w:tc>
            <w:tc>
              <w:tcPr>
                <w:tcW w:w="662" w:type="dxa"/>
                <w:tcBorders>
                  <w:top w:val="nil"/>
                  <w:left w:val="nil"/>
                  <w:bottom w:val="nil"/>
                  <w:right w:val="nil"/>
                </w:tcBorders>
                <w:shd w:val="clear" w:color="auto" w:fill="CAE7F3" w:themeFill="accent1" w:themeFillTint="33"/>
                <w:noWrap/>
                <w:vAlign w:val="bottom"/>
                <w:hideMark/>
              </w:tcPr>
              <w:p w14:paraId="46338CB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w:t>
                </w:r>
              </w:p>
            </w:tc>
            <w:tc>
              <w:tcPr>
                <w:tcW w:w="662" w:type="dxa"/>
                <w:tcBorders>
                  <w:top w:val="nil"/>
                  <w:left w:val="nil"/>
                  <w:bottom w:val="nil"/>
                  <w:right w:val="nil"/>
                </w:tcBorders>
                <w:shd w:val="clear" w:color="auto" w:fill="CAE7F3" w:themeFill="accent1" w:themeFillTint="33"/>
                <w:noWrap/>
                <w:vAlign w:val="bottom"/>
                <w:hideMark/>
              </w:tcPr>
              <w:p w14:paraId="42AAECD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56.2</w:t>
                </w:r>
              </w:p>
            </w:tc>
            <w:tc>
              <w:tcPr>
                <w:tcW w:w="662" w:type="dxa"/>
                <w:tcBorders>
                  <w:top w:val="nil"/>
                  <w:left w:val="nil"/>
                  <w:bottom w:val="nil"/>
                  <w:right w:val="nil"/>
                </w:tcBorders>
                <w:shd w:val="clear" w:color="auto" w:fill="CAE7F3" w:themeFill="accent1" w:themeFillTint="33"/>
                <w:noWrap/>
                <w:vAlign w:val="bottom"/>
                <w:hideMark/>
              </w:tcPr>
              <w:p w14:paraId="324D37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w:t>
                </w:r>
              </w:p>
            </w:tc>
            <w:tc>
              <w:tcPr>
                <w:tcW w:w="661" w:type="dxa"/>
                <w:tcBorders>
                  <w:top w:val="nil"/>
                  <w:left w:val="nil"/>
                  <w:bottom w:val="nil"/>
                  <w:right w:val="nil"/>
                </w:tcBorders>
                <w:shd w:val="clear" w:color="auto" w:fill="CAE7F3" w:themeFill="accent1" w:themeFillTint="33"/>
                <w:noWrap/>
                <w:vAlign w:val="bottom"/>
                <w:hideMark/>
              </w:tcPr>
              <w:p w14:paraId="576617B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249.3</w:t>
                </w:r>
              </w:p>
            </w:tc>
            <w:tc>
              <w:tcPr>
                <w:tcW w:w="662" w:type="dxa"/>
                <w:tcBorders>
                  <w:top w:val="nil"/>
                  <w:left w:val="nil"/>
                  <w:bottom w:val="nil"/>
                  <w:right w:val="nil"/>
                </w:tcBorders>
                <w:shd w:val="clear" w:color="auto" w:fill="CAE7F3" w:themeFill="accent1" w:themeFillTint="33"/>
                <w:noWrap/>
                <w:vAlign w:val="bottom"/>
                <w:hideMark/>
              </w:tcPr>
              <w:p w14:paraId="02A8CB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34.8</w:t>
                </w:r>
              </w:p>
            </w:tc>
            <w:tc>
              <w:tcPr>
                <w:tcW w:w="662" w:type="dxa"/>
                <w:tcBorders>
                  <w:top w:val="nil"/>
                  <w:left w:val="nil"/>
                  <w:bottom w:val="nil"/>
                  <w:right w:val="nil"/>
                </w:tcBorders>
                <w:shd w:val="clear" w:color="auto" w:fill="CAE7F3" w:themeFill="accent1" w:themeFillTint="33"/>
                <w:noWrap/>
                <w:vAlign w:val="bottom"/>
                <w:hideMark/>
              </w:tcPr>
              <w:p w14:paraId="208B50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86.7</w:t>
                </w:r>
              </w:p>
            </w:tc>
            <w:tc>
              <w:tcPr>
                <w:tcW w:w="662" w:type="dxa"/>
                <w:tcBorders>
                  <w:top w:val="nil"/>
                  <w:left w:val="nil"/>
                  <w:bottom w:val="nil"/>
                  <w:right w:val="nil"/>
                </w:tcBorders>
                <w:shd w:val="clear" w:color="auto" w:fill="CAE7F3" w:themeFill="accent1" w:themeFillTint="33"/>
                <w:noWrap/>
                <w:vAlign w:val="bottom"/>
                <w:hideMark/>
              </w:tcPr>
              <w:p w14:paraId="1B8A63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58.7</w:t>
                </w:r>
              </w:p>
            </w:tc>
            <w:tc>
              <w:tcPr>
                <w:tcW w:w="662" w:type="dxa"/>
                <w:tcBorders>
                  <w:top w:val="nil"/>
                  <w:left w:val="nil"/>
                  <w:bottom w:val="nil"/>
                  <w:right w:val="nil"/>
                </w:tcBorders>
                <w:shd w:val="clear" w:color="auto" w:fill="CAE7F3" w:themeFill="accent1" w:themeFillTint="33"/>
                <w:noWrap/>
                <w:vAlign w:val="bottom"/>
                <w:hideMark/>
              </w:tcPr>
              <w:p w14:paraId="2705FAC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118.3</w:t>
                </w:r>
              </w:p>
            </w:tc>
            <w:tc>
              <w:tcPr>
                <w:tcW w:w="661" w:type="dxa"/>
                <w:tcBorders>
                  <w:top w:val="nil"/>
                  <w:left w:val="nil"/>
                  <w:bottom w:val="nil"/>
                  <w:right w:val="nil"/>
                </w:tcBorders>
                <w:shd w:val="clear" w:color="auto" w:fill="CAE7F3" w:themeFill="accent1" w:themeFillTint="33"/>
                <w:noWrap/>
                <w:vAlign w:val="bottom"/>
                <w:hideMark/>
              </w:tcPr>
              <w:p w14:paraId="2B7197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2" w:type="dxa"/>
                <w:tcBorders>
                  <w:top w:val="nil"/>
                  <w:left w:val="nil"/>
                  <w:bottom w:val="nil"/>
                  <w:right w:val="nil"/>
                </w:tcBorders>
                <w:shd w:val="clear" w:color="auto" w:fill="CAE7F3" w:themeFill="accent1" w:themeFillTint="33"/>
                <w:noWrap/>
                <w:vAlign w:val="bottom"/>
                <w:hideMark/>
              </w:tcPr>
              <w:p w14:paraId="3FD0DDF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77.5</w:t>
                </w:r>
              </w:p>
            </w:tc>
            <w:tc>
              <w:tcPr>
                <w:tcW w:w="662" w:type="dxa"/>
                <w:tcBorders>
                  <w:top w:val="nil"/>
                  <w:left w:val="nil"/>
                  <w:bottom w:val="nil"/>
                  <w:right w:val="nil"/>
                </w:tcBorders>
                <w:shd w:val="clear" w:color="auto" w:fill="CAE7F3" w:themeFill="accent1" w:themeFillTint="33"/>
                <w:noWrap/>
                <w:vAlign w:val="bottom"/>
                <w:hideMark/>
              </w:tcPr>
              <w:p w14:paraId="4ADFEE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132.0</w:t>
                </w:r>
              </w:p>
            </w:tc>
            <w:tc>
              <w:tcPr>
                <w:tcW w:w="662" w:type="dxa"/>
                <w:tcBorders>
                  <w:top w:val="nil"/>
                  <w:left w:val="nil"/>
                  <w:bottom w:val="nil"/>
                  <w:right w:val="nil"/>
                </w:tcBorders>
                <w:shd w:val="clear" w:color="auto" w:fill="CAE7F3" w:themeFill="accent1" w:themeFillTint="33"/>
                <w:noWrap/>
                <w:vAlign w:val="bottom"/>
                <w:hideMark/>
              </w:tcPr>
              <w:p w14:paraId="0BBA425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77.7</w:t>
                </w:r>
              </w:p>
            </w:tc>
            <w:tc>
              <w:tcPr>
                <w:tcW w:w="662" w:type="dxa"/>
                <w:tcBorders>
                  <w:top w:val="nil"/>
                  <w:left w:val="nil"/>
                  <w:bottom w:val="nil"/>
                  <w:right w:val="nil"/>
                </w:tcBorders>
                <w:shd w:val="clear" w:color="auto" w:fill="CAE7F3" w:themeFill="accent1" w:themeFillTint="33"/>
                <w:noWrap/>
                <w:vAlign w:val="bottom"/>
                <w:hideMark/>
              </w:tcPr>
              <w:p w14:paraId="039054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53.5</w:t>
                </w:r>
              </w:p>
            </w:tc>
            <w:tc>
              <w:tcPr>
                <w:tcW w:w="661" w:type="dxa"/>
                <w:tcBorders>
                  <w:top w:val="nil"/>
                  <w:left w:val="nil"/>
                  <w:bottom w:val="nil"/>
                  <w:right w:val="nil"/>
                </w:tcBorders>
                <w:shd w:val="clear" w:color="auto" w:fill="CAE7F3" w:themeFill="accent1" w:themeFillTint="33"/>
                <w:noWrap/>
                <w:vAlign w:val="bottom"/>
                <w:hideMark/>
              </w:tcPr>
              <w:p w14:paraId="52F583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w:t>
                </w:r>
              </w:p>
            </w:tc>
            <w:tc>
              <w:tcPr>
                <w:tcW w:w="662" w:type="dxa"/>
                <w:tcBorders>
                  <w:top w:val="nil"/>
                  <w:left w:val="nil"/>
                  <w:bottom w:val="nil"/>
                  <w:right w:val="nil"/>
                </w:tcBorders>
                <w:shd w:val="clear" w:color="auto" w:fill="CAE7F3" w:themeFill="accent1" w:themeFillTint="33"/>
                <w:noWrap/>
                <w:vAlign w:val="bottom"/>
                <w:hideMark/>
              </w:tcPr>
              <w:p w14:paraId="2FBD5E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12.5</w:t>
                </w:r>
              </w:p>
            </w:tc>
            <w:tc>
              <w:tcPr>
                <w:tcW w:w="662" w:type="dxa"/>
                <w:tcBorders>
                  <w:top w:val="nil"/>
                  <w:left w:val="nil"/>
                  <w:bottom w:val="nil"/>
                  <w:right w:val="nil"/>
                </w:tcBorders>
                <w:shd w:val="clear" w:color="auto" w:fill="CAE7F3" w:themeFill="accent1" w:themeFillTint="33"/>
                <w:noWrap/>
                <w:vAlign w:val="bottom"/>
                <w:hideMark/>
              </w:tcPr>
              <w:p w14:paraId="0ED78F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33.7</w:t>
                </w:r>
              </w:p>
            </w:tc>
            <w:tc>
              <w:tcPr>
                <w:tcW w:w="662" w:type="dxa"/>
                <w:tcBorders>
                  <w:top w:val="nil"/>
                  <w:left w:val="nil"/>
                  <w:bottom w:val="nil"/>
                  <w:right w:val="nil"/>
                </w:tcBorders>
                <w:shd w:val="clear" w:color="auto" w:fill="CAE7F3" w:themeFill="accent1" w:themeFillTint="33"/>
                <w:noWrap/>
                <w:vAlign w:val="bottom"/>
                <w:hideMark/>
              </w:tcPr>
              <w:p w14:paraId="7EB4B7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w:t>
                </w:r>
              </w:p>
            </w:tc>
            <w:tc>
              <w:tcPr>
                <w:tcW w:w="662" w:type="dxa"/>
                <w:tcBorders>
                  <w:top w:val="nil"/>
                  <w:left w:val="nil"/>
                  <w:bottom w:val="nil"/>
                  <w:right w:val="nil"/>
                </w:tcBorders>
                <w:shd w:val="clear" w:color="auto" w:fill="CAE7F3" w:themeFill="accent1" w:themeFillTint="33"/>
                <w:noWrap/>
                <w:vAlign w:val="bottom"/>
                <w:hideMark/>
              </w:tcPr>
              <w:p w14:paraId="75FF68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81.3</w:t>
                </w:r>
              </w:p>
            </w:tc>
          </w:tr>
          <w:tr w:rsidR="00830FDC" w:rsidRPr="00F63634" w14:paraId="2A7AD052"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B04AEFA"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Fitzroy</w:t>
                </w:r>
              </w:p>
            </w:tc>
            <w:tc>
              <w:tcPr>
                <w:tcW w:w="661" w:type="dxa"/>
                <w:tcBorders>
                  <w:top w:val="nil"/>
                  <w:left w:val="nil"/>
                  <w:bottom w:val="nil"/>
                  <w:right w:val="nil"/>
                </w:tcBorders>
                <w:shd w:val="clear" w:color="auto" w:fill="CAE7F3" w:themeFill="accent1" w:themeFillTint="33"/>
                <w:noWrap/>
                <w:vAlign w:val="bottom"/>
                <w:hideMark/>
              </w:tcPr>
              <w:p w14:paraId="6DB97CD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371.5</w:t>
                </w:r>
              </w:p>
            </w:tc>
            <w:tc>
              <w:tcPr>
                <w:tcW w:w="662" w:type="dxa"/>
                <w:tcBorders>
                  <w:top w:val="nil"/>
                  <w:left w:val="nil"/>
                  <w:bottom w:val="nil"/>
                  <w:right w:val="nil"/>
                </w:tcBorders>
                <w:shd w:val="clear" w:color="auto" w:fill="CAE7F3" w:themeFill="accent1" w:themeFillTint="33"/>
                <w:noWrap/>
                <w:vAlign w:val="bottom"/>
                <w:hideMark/>
              </w:tcPr>
              <w:p w14:paraId="7FF7440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24.5</w:t>
                </w:r>
              </w:p>
            </w:tc>
            <w:tc>
              <w:tcPr>
                <w:tcW w:w="662" w:type="dxa"/>
                <w:tcBorders>
                  <w:top w:val="nil"/>
                  <w:left w:val="nil"/>
                  <w:bottom w:val="nil"/>
                  <w:right w:val="nil"/>
                </w:tcBorders>
                <w:shd w:val="clear" w:color="auto" w:fill="CAE7F3" w:themeFill="accent1" w:themeFillTint="33"/>
                <w:noWrap/>
                <w:vAlign w:val="bottom"/>
                <w:hideMark/>
              </w:tcPr>
              <w:p w14:paraId="4BF8DCF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66.0</w:t>
                </w:r>
              </w:p>
            </w:tc>
            <w:tc>
              <w:tcPr>
                <w:tcW w:w="662" w:type="dxa"/>
                <w:tcBorders>
                  <w:top w:val="nil"/>
                  <w:left w:val="nil"/>
                  <w:bottom w:val="nil"/>
                  <w:right w:val="nil"/>
                </w:tcBorders>
                <w:shd w:val="clear" w:color="auto" w:fill="CAE7F3" w:themeFill="accent1" w:themeFillTint="33"/>
                <w:noWrap/>
                <w:vAlign w:val="bottom"/>
                <w:hideMark/>
              </w:tcPr>
              <w:p w14:paraId="2541BA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w:t>
                </w:r>
              </w:p>
            </w:tc>
            <w:tc>
              <w:tcPr>
                <w:tcW w:w="661" w:type="dxa"/>
                <w:tcBorders>
                  <w:top w:val="nil"/>
                  <w:left w:val="nil"/>
                  <w:bottom w:val="nil"/>
                  <w:right w:val="nil"/>
                </w:tcBorders>
                <w:shd w:val="clear" w:color="auto" w:fill="CAE7F3" w:themeFill="accent1" w:themeFillTint="33"/>
                <w:noWrap/>
                <w:vAlign w:val="bottom"/>
                <w:hideMark/>
              </w:tcPr>
              <w:p w14:paraId="6594521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438.2</w:t>
                </w:r>
              </w:p>
            </w:tc>
            <w:tc>
              <w:tcPr>
                <w:tcW w:w="662" w:type="dxa"/>
                <w:tcBorders>
                  <w:top w:val="nil"/>
                  <w:left w:val="nil"/>
                  <w:bottom w:val="nil"/>
                  <w:right w:val="nil"/>
                </w:tcBorders>
                <w:shd w:val="clear" w:color="auto" w:fill="CAE7F3" w:themeFill="accent1" w:themeFillTint="33"/>
                <w:noWrap/>
                <w:vAlign w:val="bottom"/>
                <w:hideMark/>
              </w:tcPr>
              <w:p w14:paraId="061E38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30.7</w:t>
                </w:r>
              </w:p>
            </w:tc>
            <w:tc>
              <w:tcPr>
                <w:tcW w:w="662" w:type="dxa"/>
                <w:tcBorders>
                  <w:top w:val="nil"/>
                  <w:left w:val="nil"/>
                  <w:bottom w:val="nil"/>
                  <w:right w:val="nil"/>
                </w:tcBorders>
                <w:shd w:val="clear" w:color="auto" w:fill="CAE7F3" w:themeFill="accent1" w:themeFillTint="33"/>
                <w:noWrap/>
                <w:vAlign w:val="bottom"/>
                <w:hideMark/>
              </w:tcPr>
              <w:p w14:paraId="507652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122.0</w:t>
                </w:r>
              </w:p>
            </w:tc>
            <w:tc>
              <w:tcPr>
                <w:tcW w:w="662" w:type="dxa"/>
                <w:tcBorders>
                  <w:top w:val="nil"/>
                  <w:left w:val="nil"/>
                  <w:bottom w:val="nil"/>
                  <w:right w:val="nil"/>
                </w:tcBorders>
                <w:shd w:val="clear" w:color="auto" w:fill="CAE7F3" w:themeFill="accent1" w:themeFillTint="33"/>
                <w:noWrap/>
                <w:vAlign w:val="bottom"/>
                <w:hideMark/>
              </w:tcPr>
              <w:p w14:paraId="6637FD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93.7</w:t>
                </w:r>
              </w:p>
            </w:tc>
            <w:tc>
              <w:tcPr>
                <w:tcW w:w="662" w:type="dxa"/>
                <w:tcBorders>
                  <w:top w:val="nil"/>
                  <w:left w:val="nil"/>
                  <w:bottom w:val="nil"/>
                  <w:right w:val="nil"/>
                </w:tcBorders>
                <w:shd w:val="clear" w:color="auto" w:fill="CAE7F3" w:themeFill="accent1" w:themeFillTint="33"/>
                <w:noWrap/>
                <w:vAlign w:val="bottom"/>
                <w:hideMark/>
              </w:tcPr>
              <w:p w14:paraId="0D09784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167.3</w:t>
                </w:r>
              </w:p>
            </w:tc>
            <w:tc>
              <w:tcPr>
                <w:tcW w:w="661" w:type="dxa"/>
                <w:tcBorders>
                  <w:top w:val="nil"/>
                  <w:left w:val="nil"/>
                  <w:bottom w:val="nil"/>
                  <w:right w:val="nil"/>
                </w:tcBorders>
                <w:shd w:val="clear" w:color="auto" w:fill="CAE7F3" w:themeFill="accent1" w:themeFillTint="33"/>
                <w:noWrap/>
                <w:vAlign w:val="bottom"/>
                <w:hideMark/>
              </w:tcPr>
              <w:p w14:paraId="3F5737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w:t>
                </w:r>
              </w:p>
            </w:tc>
            <w:tc>
              <w:tcPr>
                <w:tcW w:w="662" w:type="dxa"/>
                <w:tcBorders>
                  <w:top w:val="nil"/>
                  <w:left w:val="nil"/>
                  <w:bottom w:val="nil"/>
                  <w:right w:val="nil"/>
                </w:tcBorders>
                <w:shd w:val="clear" w:color="auto" w:fill="CAE7F3" w:themeFill="accent1" w:themeFillTint="33"/>
                <w:noWrap/>
                <w:vAlign w:val="bottom"/>
                <w:hideMark/>
              </w:tcPr>
              <w:p w14:paraId="100BF8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108.3</w:t>
                </w:r>
              </w:p>
            </w:tc>
            <w:tc>
              <w:tcPr>
                <w:tcW w:w="662" w:type="dxa"/>
                <w:tcBorders>
                  <w:top w:val="nil"/>
                  <w:left w:val="nil"/>
                  <w:bottom w:val="nil"/>
                  <w:right w:val="nil"/>
                </w:tcBorders>
                <w:shd w:val="clear" w:color="auto" w:fill="CAE7F3" w:themeFill="accent1" w:themeFillTint="33"/>
                <w:noWrap/>
                <w:vAlign w:val="bottom"/>
                <w:hideMark/>
              </w:tcPr>
              <w:p w14:paraId="36389A7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183.0</w:t>
                </w:r>
              </w:p>
            </w:tc>
            <w:tc>
              <w:tcPr>
                <w:tcW w:w="662" w:type="dxa"/>
                <w:tcBorders>
                  <w:top w:val="nil"/>
                  <w:left w:val="nil"/>
                  <w:bottom w:val="nil"/>
                  <w:right w:val="nil"/>
                </w:tcBorders>
                <w:shd w:val="clear" w:color="auto" w:fill="CAE7F3" w:themeFill="accent1" w:themeFillTint="33"/>
                <w:noWrap/>
                <w:vAlign w:val="bottom"/>
                <w:hideMark/>
              </w:tcPr>
              <w:p w14:paraId="348B7F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156.2</w:t>
                </w:r>
              </w:p>
            </w:tc>
            <w:tc>
              <w:tcPr>
                <w:tcW w:w="662" w:type="dxa"/>
                <w:tcBorders>
                  <w:top w:val="nil"/>
                  <w:left w:val="nil"/>
                  <w:bottom w:val="nil"/>
                  <w:right w:val="nil"/>
                </w:tcBorders>
                <w:shd w:val="clear" w:color="auto" w:fill="CAE7F3" w:themeFill="accent1" w:themeFillTint="33"/>
                <w:noWrap/>
                <w:vAlign w:val="bottom"/>
                <w:hideMark/>
              </w:tcPr>
              <w:p w14:paraId="66B9A07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98.7</w:t>
                </w:r>
              </w:p>
            </w:tc>
            <w:tc>
              <w:tcPr>
                <w:tcW w:w="661" w:type="dxa"/>
                <w:tcBorders>
                  <w:top w:val="nil"/>
                  <w:left w:val="nil"/>
                  <w:bottom w:val="nil"/>
                  <w:right w:val="nil"/>
                </w:tcBorders>
                <w:shd w:val="clear" w:color="auto" w:fill="CAE7F3" w:themeFill="accent1" w:themeFillTint="33"/>
                <w:noWrap/>
                <w:vAlign w:val="bottom"/>
                <w:hideMark/>
              </w:tcPr>
              <w:p w14:paraId="7A4DDE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w:t>
                </w:r>
              </w:p>
            </w:tc>
            <w:tc>
              <w:tcPr>
                <w:tcW w:w="662" w:type="dxa"/>
                <w:tcBorders>
                  <w:top w:val="nil"/>
                  <w:left w:val="nil"/>
                  <w:bottom w:val="nil"/>
                  <w:right w:val="nil"/>
                </w:tcBorders>
                <w:shd w:val="clear" w:color="auto" w:fill="CAE7F3" w:themeFill="accent1" w:themeFillTint="33"/>
                <w:noWrap/>
                <w:vAlign w:val="bottom"/>
                <w:hideMark/>
              </w:tcPr>
              <w:p w14:paraId="18667C2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34.5</w:t>
                </w:r>
              </w:p>
            </w:tc>
            <w:tc>
              <w:tcPr>
                <w:tcW w:w="662" w:type="dxa"/>
                <w:tcBorders>
                  <w:top w:val="nil"/>
                  <w:left w:val="nil"/>
                  <w:bottom w:val="nil"/>
                  <w:right w:val="nil"/>
                </w:tcBorders>
                <w:shd w:val="clear" w:color="auto" w:fill="CAE7F3" w:themeFill="accent1" w:themeFillTint="33"/>
                <w:noWrap/>
                <w:vAlign w:val="bottom"/>
                <w:hideMark/>
              </w:tcPr>
              <w:p w14:paraId="2EB6DF3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88.0</w:t>
                </w:r>
              </w:p>
            </w:tc>
            <w:tc>
              <w:tcPr>
                <w:tcW w:w="662" w:type="dxa"/>
                <w:tcBorders>
                  <w:top w:val="nil"/>
                  <w:left w:val="nil"/>
                  <w:bottom w:val="nil"/>
                  <w:right w:val="nil"/>
                </w:tcBorders>
                <w:shd w:val="clear" w:color="auto" w:fill="CAE7F3" w:themeFill="accent1" w:themeFillTint="33"/>
                <w:noWrap/>
                <w:vAlign w:val="bottom"/>
                <w:hideMark/>
              </w:tcPr>
              <w:p w14:paraId="389EB13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24.5</w:t>
                </w:r>
              </w:p>
            </w:tc>
            <w:tc>
              <w:tcPr>
                <w:tcW w:w="662" w:type="dxa"/>
                <w:tcBorders>
                  <w:top w:val="nil"/>
                  <w:left w:val="nil"/>
                  <w:bottom w:val="nil"/>
                  <w:right w:val="nil"/>
                </w:tcBorders>
                <w:shd w:val="clear" w:color="auto" w:fill="CAE7F3" w:themeFill="accent1" w:themeFillTint="33"/>
                <w:noWrap/>
                <w:vAlign w:val="bottom"/>
                <w:hideMark/>
              </w:tcPr>
              <w:p w14:paraId="3B00D8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155.2</w:t>
                </w:r>
              </w:p>
            </w:tc>
          </w:tr>
          <w:tr w:rsidR="00830FDC" w:rsidRPr="00F63634" w14:paraId="5F493314"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49698A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Gold Coast</w:t>
                </w:r>
              </w:p>
            </w:tc>
            <w:tc>
              <w:tcPr>
                <w:tcW w:w="661" w:type="dxa"/>
                <w:tcBorders>
                  <w:top w:val="nil"/>
                  <w:left w:val="nil"/>
                  <w:bottom w:val="nil"/>
                  <w:right w:val="nil"/>
                </w:tcBorders>
                <w:shd w:val="clear" w:color="auto" w:fill="CAE7F3" w:themeFill="accent1" w:themeFillTint="33"/>
                <w:noWrap/>
                <w:vAlign w:val="bottom"/>
                <w:hideMark/>
              </w:tcPr>
              <w:p w14:paraId="606B27B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161.7</w:t>
                </w:r>
              </w:p>
            </w:tc>
            <w:tc>
              <w:tcPr>
                <w:tcW w:w="662" w:type="dxa"/>
                <w:tcBorders>
                  <w:top w:val="nil"/>
                  <w:left w:val="nil"/>
                  <w:bottom w:val="nil"/>
                  <w:right w:val="nil"/>
                </w:tcBorders>
                <w:shd w:val="clear" w:color="auto" w:fill="CAE7F3" w:themeFill="accent1" w:themeFillTint="33"/>
                <w:noWrap/>
                <w:vAlign w:val="bottom"/>
                <w:hideMark/>
              </w:tcPr>
              <w:p w14:paraId="09DF8A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30.7</w:t>
                </w:r>
              </w:p>
            </w:tc>
            <w:tc>
              <w:tcPr>
                <w:tcW w:w="662" w:type="dxa"/>
                <w:tcBorders>
                  <w:top w:val="nil"/>
                  <w:left w:val="nil"/>
                  <w:bottom w:val="nil"/>
                  <w:right w:val="nil"/>
                </w:tcBorders>
                <w:shd w:val="clear" w:color="auto" w:fill="CAE7F3" w:themeFill="accent1" w:themeFillTint="33"/>
                <w:noWrap/>
                <w:vAlign w:val="bottom"/>
                <w:hideMark/>
              </w:tcPr>
              <w:p w14:paraId="5FD6BC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344.7</w:t>
                </w:r>
              </w:p>
            </w:tc>
            <w:tc>
              <w:tcPr>
                <w:tcW w:w="662" w:type="dxa"/>
                <w:tcBorders>
                  <w:top w:val="nil"/>
                  <w:left w:val="nil"/>
                  <w:bottom w:val="nil"/>
                  <w:right w:val="nil"/>
                </w:tcBorders>
                <w:shd w:val="clear" w:color="auto" w:fill="CAE7F3" w:themeFill="accent1" w:themeFillTint="33"/>
                <w:noWrap/>
                <w:vAlign w:val="bottom"/>
                <w:hideMark/>
              </w:tcPr>
              <w:p w14:paraId="4C13DF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26.8</w:t>
                </w:r>
              </w:p>
            </w:tc>
            <w:tc>
              <w:tcPr>
                <w:tcW w:w="661" w:type="dxa"/>
                <w:tcBorders>
                  <w:top w:val="nil"/>
                  <w:left w:val="nil"/>
                  <w:bottom w:val="nil"/>
                  <w:right w:val="nil"/>
                </w:tcBorders>
                <w:shd w:val="clear" w:color="auto" w:fill="CAE7F3" w:themeFill="accent1" w:themeFillTint="33"/>
                <w:noWrap/>
                <w:vAlign w:val="bottom"/>
                <w:hideMark/>
              </w:tcPr>
              <w:p w14:paraId="316A66B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1873.0</w:t>
                </w:r>
              </w:p>
            </w:tc>
            <w:tc>
              <w:tcPr>
                <w:tcW w:w="662" w:type="dxa"/>
                <w:tcBorders>
                  <w:top w:val="nil"/>
                  <w:left w:val="nil"/>
                  <w:bottom w:val="nil"/>
                  <w:right w:val="nil"/>
                </w:tcBorders>
                <w:shd w:val="clear" w:color="auto" w:fill="CAE7F3" w:themeFill="accent1" w:themeFillTint="33"/>
                <w:noWrap/>
                <w:vAlign w:val="bottom"/>
                <w:hideMark/>
              </w:tcPr>
              <w:p w14:paraId="59F42B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362.0</w:t>
                </w:r>
              </w:p>
            </w:tc>
            <w:tc>
              <w:tcPr>
                <w:tcW w:w="662" w:type="dxa"/>
                <w:tcBorders>
                  <w:top w:val="nil"/>
                  <w:left w:val="nil"/>
                  <w:bottom w:val="nil"/>
                  <w:right w:val="nil"/>
                </w:tcBorders>
                <w:shd w:val="clear" w:color="auto" w:fill="CAE7F3" w:themeFill="accent1" w:themeFillTint="33"/>
                <w:noWrap/>
                <w:vAlign w:val="bottom"/>
                <w:hideMark/>
              </w:tcPr>
              <w:p w14:paraId="07306C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676.7</w:t>
                </w:r>
              </w:p>
            </w:tc>
            <w:tc>
              <w:tcPr>
                <w:tcW w:w="662" w:type="dxa"/>
                <w:tcBorders>
                  <w:top w:val="nil"/>
                  <w:left w:val="nil"/>
                  <w:bottom w:val="nil"/>
                  <w:right w:val="nil"/>
                </w:tcBorders>
                <w:shd w:val="clear" w:color="auto" w:fill="CAE7F3" w:themeFill="accent1" w:themeFillTint="33"/>
                <w:noWrap/>
                <w:vAlign w:val="bottom"/>
                <w:hideMark/>
              </w:tcPr>
              <w:p w14:paraId="67B76D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473.7</w:t>
                </w:r>
              </w:p>
            </w:tc>
            <w:tc>
              <w:tcPr>
                <w:tcW w:w="662" w:type="dxa"/>
                <w:tcBorders>
                  <w:top w:val="nil"/>
                  <w:left w:val="nil"/>
                  <w:bottom w:val="nil"/>
                  <w:right w:val="nil"/>
                </w:tcBorders>
                <w:shd w:val="clear" w:color="auto" w:fill="CAE7F3" w:themeFill="accent1" w:themeFillTint="33"/>
                <w:noWrap/>
                <w:vAlign w:val="bottom"/>
                <w:hideMark/>
              </w:tcPr>
              <w:p w14:paraId="02EF172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470.8</w:t>
                </w:r>
              </w:p>
            </w:tc>
            <w:tc>
              <w:tcPr>
                <w:tcW w:w="661" w:type="dxa"/>
                <w:tcBorders>
                  <w:top w:val="nil"/>
                  <w:left w:val="nil"/>
                  <w:bottom w:val="nil"/>
                  <w:right w:val="nil"/>
                </w:tcBorders>
                <w:shd w:val="clear" w:color="auto" w:fill="CAE7F3" w:themeFill="accent1" w:themeFillTint="33"/>
                <w:noWrap/>
                <w:vAlign w:val="bottom"/>
                <w:hideMark/>
              </w:tcPr>
              <w:p w14:paraId="2957A0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107.2</w:t>
                </w:r>
              </w:p>
            </w:tc>
            <w:tc>
              <w:tcPr>
                <w:tcW w:w="662" w:type="dxa"/>
                <w:tcBorders>
                  <w:top w:val="nil"/>
                  <w:left w:val="nil"/>
                  <w:bottom w:val="nil"/>
                  <w:right w:val="nil"/>
                </w:tcBorders>
                <w:shd w:val="clear" w:color="auto" w:fill="CAE7F3" w:themeFill="accent1" w:themeFillTint="33"/>
                <w:noWrap/>
                <w:vAlign w:val="bottom"/>
                <w:hideMark/>
              </w:tcPr>
              <w:p w14:paraId="21BB52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745.5</w:t>
                </w:r>
              </w:p>
            </w:tc>
            <w:tc>
              <w:tcPr>
                <w:tcW w:w="662" w:type="dxa"/>
                <w:tcBorders>
                  <w:top w:val="nil"/>
                  <w:left w:val="nil"/>
                  <w:bottom w:val="nil"/>
                  <w:right w:val="nil"/>
                </w:tcBorders>
                <w:shd w:val="clear" w:color="auto" w:fill="CAE7F3" w:themeFill="accent1" w:themeFillTint="33"/>
                <w:noWrap/>
                <w:vAlign w:val="bottom"/>
                <w:hideMark/>
              </w:tcPr>
              <w:p w14:paraId="2A5536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917.3</w:t>
                </w:r>
              </w:p>
            </w:tc>
            <w:tc>
              <w:tcPr>
                <w:tcW w:w="662" w:type="dxa"/>
                <w:tcBorders>
                  <w:top w:val="nil"/>
                  <w:left w:val="nil"/>
                  <w:bottom w:val="nil"/>
                  <w:right w:val="nil"/>
                </w:tcBorders>
                <w:shd w:val="clear" w:color="auto" w:fill="CAE7F3" w:themeFill="accent1" w:themeFillTint="33"/>
                <w:noWrap/>
                <w:vAlign w:val="bottom"/>
                <w:hideMark/>
              </w:tcPr>
              <w:p w14:paraId="221A7FB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1117.0</w:t>
                </w:r>
              </w:p>
            </w:tc>
            <w:tc>
              <w:tcPr>
                <w:tcW w:w="662" w:type="dxa"/>
                <w:tcBorders>
                  <w:top w:val="nil"/>
                  <w:left w:val="nil"/>
                  <w:bottom w:val="nil"/>
                  <w:right w:val="nil"/>
                </w:tcBorders>
                <w:shd w:val="clear" w:color="auto" w:fill="CAE7F3" w:themeFill="accent1" w:themeFillTint="33"/>
                <w:noWrap/>
                <w:vAlign w:val="bottom"/>
                <w:hideMark/>
              </w:tcPr>
              <w:p w14:paraId="6DA3383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522.3</w:t>
                </w:r>
              </w:p>
            </w:tc>
            <w:tc>
              <w:tcPr>
                <w:tcW w:w="661" w:type="dxa"/>
                <w:tcBorders>
                  <w:top w:val="nil"/>
                  <w:left w:val="nil"/>
                  <w:bottom w:val="nil"/>
                  <w:right w:val="nil"/>
                </w:tcBorders>
                <w:shd w:val="clear" w:color="auto" w:fill="CAE7F3" w:themeFill="accent1" w:themeFillTint="33"/>
                <w:noWrap/>
                <w:vAlign w:val="bottom"/>
                <w:hideMark/>
              </w:tcPr>
              <w:p w14:paraId="29AFBB6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60.3</w:t>
                </w:r>
              </w:p>
            </w:tc>
            <w:tc>
              <w:tcPr>
                <w:tcW w:w="662" w:type="dxa"/>
                <w:tcBorders>
                  <w:top w:val="nil"/>
                  <w:left w:val="nil"/>
                  <w:bottom w:val="nil"/>
                  <w:right w:val="nil"/>
                </w:tcBorders>
                <w:shd w:val="clear" w:color="auto" w:fill="CAE7F3" w:themeFill="accent1" w:themeFillTint="33"/>
                <w:noWrap/>
                <w:vAlign w:val="bottom"/>
                <w:hideMark/>
              </w:tcPr>
              <w:p w14:paraId="55B4D47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135.8</w:t>
                </w:r>
              </w:p>
            </w:tc>
            <w:tc>
              <w:tcPr>
                <w:tcW w:w="662" w:type="dxa"/>
                <w:tcBorders>
                  <w:top w:val="nil"/>
                  <w:left w:val="nil"/>
                  <w:bottom w:val="nil"/>
                  <w:right w:val="nil"/>
                </w:tcBorders>
                <w:shd w:val="clear" w:color="auto" w:fill="CAE7F3" w:themeFill="accent1" w:themeFillTint="33"/>
                <w:noWrap/>
                <w:vAlign w:val="bottom"/>
                <w:hideMark/>
              </w:tcPr>
              <w:p w14:paraId="154739E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361.0</w:t>
                </w:r>
              </w:p>
            </w:tc>
            <w:tc>
              <w:tcPr>
                <w:tcW w:w="662" w:type="dxa"/>
                <w:tcBorders>
                  <w:top w:val="nil"/>
                  <w:left w:val="nil"/>
                  <w:bottom w:val="nil"/>
                  <w:right w:val="nil"/>
                </w:tcBorders>
                <w:shd w:val="clear" w:color="auto" w:fill="CAE7F3" w:themeFill="accent1" w:themeFillTint="33"/>
                <w:noWrap/>
                <w:vAlign w:val="bottom"/>
                <w:hideMark/>
              </w:tcPr>
              <w:p w14:paraId="68857C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143.7</w:t>
                </w:r>
              </w:p>
            </w:tc>
            <w:tc>
              <w:tcPr>
                <w:tcW w:w="662" w:type="dxa"/>
                <w:tcBorders>
                  <w:top w:val="nil"/>
                  <w:left w:val="nil"/>
                  <w:bottom w:val="nil"/>
                  <w:right w:val="nil"/>
                </w:tcBorders>
                <w:shd w:val="clear" w:color="auto" w:fill="CAE7F3" w:themeFill="accent1" w:themeFillTint="33"/>
                <w:noWrap/>
                <w:vAlign w:val="bottom"/>
                <w:hideMark/>
              </w:tcPr>
              <w:p w14:paraId="63FF96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440.3</w:t>
                </w:r>
              </w:p>
            </w:tc>
          </w:tr>
          <w:tr w:rsidR="00830FDC" w:rsidRPr="00F63634" w14:paraId="17E1F78F"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163962BB"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Ipswich</w:t>
                </w:r>
              </w:p>
            </w:tc>
            <w:tc>
              <w:tcPr>
                <w:tcW w:w="661" w:type="dxa"/>
                <w:tcBorders>
                  <w:top w:val="nil"/>
                  <w:left w:val="nil"/>
                  <w:bottom w:val="nil"/>
                  <w:right w:val="nil"/>
                </w:tcBorders>
                <w:shd w:val="clear" w:color="auto" w:fill="CAE7F3" w:themeFill="accent1" w:themeFillTint="33"/>
                <w:noWrap/>
                <w:vAlign w:val="bottom"/>
                <w:hideMark/>
              </w:tcPr>
              <w:p w14:paraId="328D58F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154.5</w:t>
                </w:r>
              </w:p>
            </w:tc>
            <w:tc>
              <w:tcPr>
                <w:tcW w:w="662" w:type="dxa"/>
                <w:tcBorders>
                  <w:top w:val="nil"/>
                  <w:left w:val="nil"/>
                  <w:bottom w:val="nil"/>
                  <w:right w:val="nil"/>
                </w:tcBorders>
                <w:shd w:val="clear" w:color="auto" w:fill="CAE7F3" w:themeFill="accent1" w:themeFillTint="33"/>
                <w:noWrap/>
                <w:vAlign w:val="bottom"/>
                <w:hideMark/>
              </w:tcPr>
              <w:p w14:paraId="739A6B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w:t>
                </w:r>
              </w:p>
            </w:tc>
            <w:tc>
              <w:tcPr>
                <w:tcW w:w="662" w:type="dxa"/>
                <w:tcBorders>
                  <w:top w:val="nil"/>
                  <w:left w:val="nil"/>
                  <w:bottom w:val="nil"/>
                  <w:right w:val="nil"/>
                </w:tcBorders>
                <w:shd w:val="clear" w:color="auto" w:fill="CAE7F3" w:themeFill="accent1" w:themeFillTint="33"/>
                <w:noWrap/>
                <w:vAlign w:val="bottom"/>
                <w:hideMark/>
              </w:tcPr>
              <w:p w14:paraId="06112B3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117.2</w:t>
                </w:r>
              </w:p>
            </w:tc>
            <w:tc>
              <w:tcPr>
                <w:tcW w:w="662" w:type="dxa"/>
                <w:tcBorders>
                  <w:top w:val="nil"/>
                  <w:left w:val="nil"/>
                  <w:bottom w:val="nil"/>
                  <w:right w:val="nil"/>
                </w:tcBorders>
                <w:shd w:val="clear" w:color="auto" w:fill="CAE7F3" w:themeFill="accent1" w:themeFillTint="33"/>
                <w:noWrap/>
                <w:vAlign w:val="bottom"/>
                <w:hideMark/>
              </w:tcPr>
              <w:p w14:paraId="5BB413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w:t>
                </w:r>
              </w:p>
            </w:tc>
            <w:tc>
              <w:tcPr>
                <w:tcW w:w="661" w:type="dxa"/>
                <w:tcBorders>
                  <w:top w:val="nil"/>
                  <w:left w:val="nil"/>
                  <w:bottom w:val="nil"/>
                  <w:right w:val="nil"/>
                </w:tcBorders>
                <w:shd w:val="clear" w:color="auto" w:fill="CAE7F3" w:themeFill="accent1" w:themeFillTint="33"/>
                <w:noWrap/>
                <w:vAlign w:val="bottom"/>
                <w:hideMark/>
              </w:tcPr>
              <w:p w14:paraId="2665C79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471.7</w:t>
                </w:r>
              </w:p>
            </w:tc>
            <w:tc>
              <w:tcPr>
                <w:tcW w:w="662" w:type="dxa"/>
                <w:tcBorders>
                  <w:top w:val="nil"/>
                  <w:left w:val="nil"/>
                  <w:bottom w:val="nil"/>
                  <w:right w:val="nil"/>
                </w:tcBorders>
                <w:shd w:val="clear" w:color="auto" w:fill="CAE7F3" w:themeFill="accent1" w:themeFillTint="33"/>
                <w:noWrap/>
                <w:vAlign w:val="bottom"/>
                <w:hideMark/>
              </w:tcPr>
              <w:p w14:paraId="29A70A2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61.7</w:t>
                </w:r>
              </w:p>
            </w:tc>
            <w:tc>
              <w:tcPr>
                <w:tcW w:w="662" w:type="dxa"/>
                <w:tcBorders>
                  <w:top w:val="nil"/>
                  <w:left w:val="nil"/>
                  <w:bottom w:val="nil"/>
                  <w:right w:val="nil"/>
                </w:tcBorders>
                <w:shd w:val="clear" w:color="auto" w:fill="CAE7F3" w:themeFill="accent1" w:themeFillTint="33"/>
                <w:noWrap/>
                <w:vAlign w:val="bottom"/>
                <w:hideMark/>
              </w:tcPr>
              <w:p w14:paraId="083E59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172.7</w:t>
                </w:r>
              </w:p>
            </w:tc>
            <w:tc>
              <w:tcPr>
                <w:tcW w:w="662" w:type="dxa"/>
                <w:tcBorders>
                  <w:top w:val="nil"/>
                  <w:left w:val="nil"/>
                  <w:bottom w:val="nil"/>
                  <w:right w:val="nil"/>
                </w:tcBorders>
                <w:shd w:val="clear" w:color="auto" w:fill="CAE7F3" w:themeFill="accent1" w:themeFillTint="33"/>
                <w:noWrap/>
                <w:vAlign w:val="bottom"/>
                <w:hideMark/>
              </w:tcPr>
              <w:p w14:paraId="5AEE3FB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95.7</w:t>
                </w:r>
              </w:p>
            </w:tc>
            <w:tc>
              <w:tcPr>
                <w:tcW w:w="662" w:type="dxa"/>
                <w:tcBorders>
                  <w:top w:val="nil"/>
                  <w:left w:val="nil"/>
                  <w:bottom w:val="nil"/>
                  <w:right w:val="nil"/>
                </w:tcBorders>
                <w:shd w:val="clear" w:color="auto" w:fill="CAE7F3" w:themeFill="accent1" w:themeFillTint="33"/>
                <w:noWrap/>
                <w:vAlign w:val="bottom"/>
                <w:hideMark/>
              </w:tcPr>
              <w:p w14:paraId="010E816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273.8</w:t>
                </w:r>
              </w:p>
            </w:tc>
            <w:tc>
              <w:tcPr>
                <w:tcW w:w="661" w:type="dxa"/>
                <w:tcBorders>
                  <w:top w:val="nil"/>
                  <w:left w:val="nil"/>
                  <w:bottom w:val="nil"/>
                  <w:right w:val="nil"/>
                </w:tcBorders>
                <w:shd w:val="clear" w:color="auto" w:fill="CAE7F3" w:themeFill="accent1" w:themeFillTint="33"/>
                <w:noWrap/>
                <w:vAlign w:val="bottom"/>
                <w:hideMark/>
              </w:tcPr>
              <w:p w14:paraId="2487424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w:t>
                </w:r>
              </w:p>
            </w:tc>
            <w:tc>
              <w:tcPr>
                <w:tcW w:w="662" w:type="dxa"/>
                <w:tcBorders>
                  <w:top w:val="nil"/>
                  <w:left w:val="nil"/>
                  <w:bottom w:val="nil"/>
                  <w:right w:val="nil"/>
                </w:tcBorders>
                <w:shd w:val="clear" w:color="auto" w:fill="CAE7F3" w:themeFill="accent1" w:themeFillTint="33"/>
                <w:noWrap/>
                <w:vAlign w:val="bottom"/>
                <w:hideMark/>
              </w:tcPr>
              <w:p w14:paraId="740693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103.7</w:t>
                </w:r>
              </w:p>
            </w:tc>
            <w:tc>
              <w:tcPr>
                <w:tcW w:w="662" w:type="dxa"/>
                <w:tcBorders>
                  <w:top w:val="nil"/>
                  <w:left w:val="nil"/>
                  <w:bottom w:val="nil"/>
                  <w:right w:val="nil"/>
                </w:tcBorders>
                <w:shd w:val="clear" w:color="auto" w:fill="CAE7F3" w:themeFill="accent1" w:themeFillTint="33"/>
                <w:noWrap/>
                <w:vAlign w:val="bottom"/>
                <w:hideMark/>
              </w:tcPr>
              <w:p w14:paraId="3B4D0F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151.2</w:t>
                </w:r>
              </w:p>
            </w:tc>
            <w:tc>
              <w:tcPr>
                <w:tcW w:w="662" w:type="dxa"/>
                <w:tcBorders>
                  <w:top w:val="nil"/>
                  <w:left w:val="nil"/>
                  <w:bottom w:val="nil"/>
                  <w:right w:val="nil"/>
                </w:tcBorders>
                <w:shd w:val="clear" w:color="auto" w:fill="CAE7F3" w:themeFill="accent1" w:themeFillTint="33"/>
                <w:noWrap/>
                <w:vAlign w:val="bottom"/>
                <w:hideMark/>
              </w:tcPr>
              <w:p w14:paraId="1650F2F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240.8</w:t>
                </w:r>
              </w:p>
            </w:tc>
            <w:tc>
              <w:tcPr>
                <w:tcW w:w="662" w:type="dxa"/>
                <w:tcBorders>
                  <w:top w:val="nil"/>
                  <w:left w:val="nil"/>
                  <w:bottom w:val="nil"/>
                  <w:right w:val="nil"/>
                </w:tcBorders>
                <w:shd w:val="clear" w:color="auto" w:fill="CAE7F3" w:themeFill="accent1" w:themeFillTint="33"/>
                <w:noWrap/>
                <w:vAlign w:val="bottom"/>
                <w:hideMark/>
              </w:tcPr>
              <w:p w14:paraId="3A868A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145.7</w:t>
                </w:r>
              </w:p>
            </w:tc>
            <w:tc>
              <w:tcPr>
                <w:tcW w:w="661" w:type="dxa"/>
                <w:tcBorders>
                  <w:top w:val="nil"/>
                  <w:left w:val="nil"/>
                  <w:bottom w:val="nil"/>
                  <w:right w:val="nil"/>
                </w:tcBorders>
                <w:shd w:val="clear" w:color="auto" w:fill="CAE7F3" w:themeFill="accent1" w:themeFillTint="33"/>
                <w:noWrap/>
                <w:vAlign w:val="bottom"/>
                <w:hideMark/>
              </w:tcPr>
              <w:p w14:paraId="56804D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14.2</w:t>
                </w:r>
              </w:p>
            </w:tc>
            <w:tc>
              <w:tcPr>
                <w:tcW w:w="662" w:type="dxa"/>
                <w:tcBorders>
                  <w:top w:val="nil"/>
                  <w:left w:val="nil"/>
                  <w:bottom w:val="nil"/>
                  <w:right w:val="nil"/>
                </w:tcBorders>
                <w:shd w:val="clear" w:color="auto" w:fill="CAE7F3" w:themeFill="accent1" w:themeFillTint="33"/>
                <w:noWrap/>
                <w:vAlign w:val="bottom"/>
                <w:hideMark/>
              </w:tcPr>
              <w:p w14:paraId="1319B9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34.8</w:t>
                </w:r>
              </w:p>
            </w:tc>
            <w:tc>
              <w:tcPr>
                <w:tcW w:w="662" w:type="dxa"/>
                <w:tcBorders>
                  <w:top w:val="nil"/>
                  <w:left w:val="nil"/>
                  <w:bottom w:val="nil"/>
                  <w:right w:val="nil"/>
                </w:tcBorders>
                <w:shd w:val="clear" w:color="auto" w:fill="CAE7F3" w:themeFill="accent1" w:themeFillTint="33"/>
                <w:noWrap/>
                <w:vAlign w:val="bottom"/>
                <w:hideMark/>
              </w:tcPr>
              <w:p w14:paraId="5CFDB14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90.8</w:t>
                </w:r>
              </w:p>
            </w:tc>
            <w:tc>
              <w:tcPr>
                <w:tcW w:w="662" w:type="dxa"/>
                <w:tcBorders>
                  <w:top w:val="nil"/>
                  <w:left w:val="nil"/>
                  <w:bottom w:val="nil"/>
                  <w:right w:val="nil"/>
                </w:tcBorders>
                <w:shd w:val="clear" w:color="auto" w:fill="CAE7F3" w:themeFill="accent1" w:themeFillTint="33"/>
                <w:noWrap/>
                <w:vAlign w:val="bottom"/>
                <w:hideMark/>
              </w:tcPr>
              <w:p w14:paraId="0B85D8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32.8</w:t>
                </w:r>
              </w:p>
            </w:tc>
            <w:tc>
              <w:tcPr>
                <w:tcW w:w="662" w:type="dxa"/>
                <w:tcBorders>
                  <w:top w:val="nil"/>
                  <w:left w:val="nil"/>
                  <w:bottom w:val="nil"/>
                  <w:right w:val="nil"/>
                </w:tcBorders>
                <w:shd w:val="clear" w:color="auto" w:fill="CAE7F3" w:themeFill="accent1" w:themeFillTint="33"/>
                <w:noWrap/>
                <w:vAlign w:val="bottom"/>
                <w:hideMark/>
              </w:tcPr>
              <w:p w14:paraId="28CB3CA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144.7</w:t>
                </w:r>
              </w:p>
            </w:tc>
          </w:tr>
          <w:tr w:rsidR="00830FDC" w:rsidRPr="00F63634" w14:paraId="11B72F13"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52E2E138"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Logan</w:t>
                </w:r>
                <w:r>
                  <w:rPr>
                    <w:color w:val="595A5B" w:themeColor="text1"/>
                    <w:sz w:val="12"/>
                    <w:szCs w:val="16"/>
                    <w:lang w:eastAsia="en-AU"/>
                  </w:rPr>
                  <w:t xml:space="preserve"> — </w:t>
                </w:r>
                <w:r w:rsidRPr="009820E8">
                  <w:rPr>
                    <w:color w:val="595A5B" w:themeColor="text1"/>
                    <w:sz w:val="12"/>
                    <w:szCs w:val="16"/>
                    <w:lang w:eastAsia="en-AU"/>
                  </w:rPr>
                  <w:t>Beaudesert</w:t>
                </w:r>
              </w:p>
            </w:tc>
            <w:tc>
              <w:tcPr>
                <w:tcW w:w="661" w:type="dxa"/>
                <w:tcBorders>
                  <w:top w:val="nil"/>
                  <w:left w:val="nil"/>
                  <w:bottom w:val="nil"/>
                  <w:right w:val="nil"/>
                </w:tcBorders>
                <w:shd w:val="clear" w:color="auto" w:fill="CAE7F3" w:themeFill="accent1" w:themeFillTint="33"/>
                <w:noWrap/>
                <w:vAlign w:val="bottom"/>
                <w:hideMark/>
              </w:tcPr>
              <w:p w14:paraId="64E70AF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86.8</w:t>
                </w:r>
              </w:p>
            </w:tc>
            <w:tc>
              <w:tcPr>
                <w:tcW w:w="662" w:type="dxa"/>
                <w:tcBorders>
                  <w:top w:val="nil"/>
                  <w:left w:val="nil"/>
                  <w:bottom w:val="nil"/>
                  <w:right w:val="nil"/>
                </w:tcBorders>
                <w:shd w:val="clear" w:color="auto" w:fill="CAE7F3" w:themeFill="accent1" w:themeFillTint="33"/>
                <w:noWrap/>
                <w:vAlign w:val="bottom"/>
                <w:hideMark/>
              </w:tcPr>
              <w:p w14:paraId="0E9D90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w:t>
                </w:r>
              </w:p>
            </w:tc>
            <w:tc>
              <w:tcPr>
                <w:tcW w:w="662" w:type="dxa"/>
                <w:tcBorders>
                  <w:top w:val="nil"/>
                  <w:left w:val="nil"/>
                  <w:bottom w:val="nil"/>
                  <w:right w:val="nil"/>
                </w:tcBorders>
                <w:shd w:val="clear" w:color="auto" w:fill="CAE7F3" w:themeFill="accent1" w:themeFillTint="33"/>
                <w:noWrap/>
                <w:vAlign w:val="bottom"/>
                <w:hideMark/>
              </w:tcPr>
              <w:p w14:paraId="4DBBBEB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151.7</w:t>
                </w:r>
              </w:p>
            </w:tc>
            <w:tc>
              <w:tcPr>
                <w:tcW w:w="662" w:type="dxa"/>
                <w:tcBorders>
                  <w:top w:val="nil"/>
                  <w:left w:val="nil"/>
                  <w:bottom w:val="nil"/>
                  <w:right w:val="nil"/>
                </w:tcBorders>
                <w:shd w:val="clear" w:color="auto" w:fill="CAE7F3" w:themeFill="accent1" w:themeFillTint="33"/>
                <w:noWrap/>
                <w:vAlign w:val="bottom"/>
                <w:hideMark/>
              </w:tcPr>
              <w:p w14:paraId="368FF6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17.2</w:t>
                </w:r>
              </w:p>
            </w:tc>
            <w:tc>
              <w:tcPr>
                <w:tcW w:w="661" w:type="dxa"/>
                <w:tcBorders>
                  <w:top w:val="nil"/>
                  <w:left w:val="nil"/>
                  <w:bottom w:val="nil"/>
                  <w:right w:val="nil"/>
                </w:tcBorders>
                <w:shd w:val="clear" w:color="auto" w:fill="CAE7F3" w:themeFill="accent1" w:themeFillTint="33"/>
                <w:noWrap/>
                <w:vAlign w:val="bottom"/>
                <w:hideMark/>
              </w:tcPr>
              <w:p w14:paraId="4BE8CB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838.7</w:t>
                </w:r>
              </w:p>
            </w:tc>
            <w:tc>
              <w:tcPr>
                <w:tcW w:w="662" w:type="dxa"/>
                <w:tcBorders>
                  <w:top w:val="nil"/>
                  <w:left w:val="nil"/>
                  <w:bottom w:val="nil"/>
                  <w:right w:val="nil"/>
                </w:tcBorders>
                <w:shd w:val="clear" w:color="auto" w:fill="CAE7F3" w:themeFill="accent1" w:themeFillTint="33"/>
                <w:noWrap/>
                <w:vAlign w:val="bottom"/>
                <w:hideMark/>
              </w:tcPr>
              <w:p w14:paraId="3CE428C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102.0</w:t>
                </w:r>
              </w:p>
            </w:tc>
            <w:tc>
              <w:tcPr>
                <w:tcW w:w="662" w:type="dxa"/>
                <w:tcBorders>
                  <w:top w:val="nil"/>
                  <w:left w:val="nil"/>
                  <w:bottom w:val="nil"/>
                  <w:right w:val="nil"/>
                </w:tcBorders>
                <w:shd w:val="clear" w:color="auto" w:fill="CAE7F3" w:themeFill="accent1" w:themeFillTint="33"/>
                <w:noWrap/>
                <w:vAlign w:val="bottom"/>
                <w:hideMark/>
              </w:tcPr>
              <w:p w14:paraId="17FD206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224.5</w:t>
                </w:r>
              </w:p>
            </w:tc>
            <w:tc>
              <w:tcPr>
                <w:tcW w:w="662" w:type="dxa"/>
                <w:tcBorders>
                  <w:top w:val="nil"/>
                  <w:left w:val="nil"/>
                  <w:bottom w:val="nil"/>
                  <w:right w:val="nil"/>
                </w:tcBorders>
                <w:shd w:val="clear" w:color="auto" w:fill="CAE7F3" w:themeFill="accent1" w:themeFillTint="33"/>
                <w:noWrap/>
                <w:vAlign w:val="bottom"/>
                <w:hideMark/>
              </w:tcPr>
              <w:p w14:paraId="64D1D0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108.3</w:t>
                </w:r>
              </w:p>
            </w:tc>
            <w:tc>
              <w:tcPr>
                <w:tcW w:w="662" w:type="dxa"/>
                <w:tcBorders>
                  <w:top w:val="nil"/>
                  <w:left w:val="nil"/>
                  <w:bottom w:val="nil"/>
                  <w:right w:val="nil"/>
                </w:tcBorders>
                <w:shd w:val="clear" w:color="auto" w:fill="CAE7F3" w:themeFill="accent1" w:themeFillTint="33"/>
                <w:noWrap/>
                <w:vAlign w:val="bottom"/>
                <w:hideMark/>
              </w:tcPr>
              <w:p w14:paraId="6026CC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345.0</w:t>
                </w:r>
              </w:p>
            </w:tc>
            <w:tc>
              <w:tcPr>
                <w:tcW w:w="661" w:type="dxa"/>
                <w:tcBorders>
                  <w:top w:val="nil"/>
                  <w:left w:val="nil"/>
                  <w:bottom w:val="nil"/>
                  <w:right w:val="nil"/>
                </w:tcBorders>
                <w:shd w:val="clear" w:color="auto" w:fill="CAE7F3" w:themeFill="accent1" w:themeFillTint="33"/>
                <w:noWrap/>
                <w:vAlign w:val="bottom"/>
                <w:hideMark/>
              </w:tcPr>
              <w:p w14:paraId="4B796A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22.2</w:t>
                </w:r>
              </w:p>
            </w:tc>
            <w:tc>
              <w:tcPr>
                <w:tcW w:w="662" w:type="dxa"/>
                <w:tcBorders>
                  <w:top w:val="nil"/>
                  <w:left w:val="nil"/>
                  <w:bottom w:val="nil"/>
                  <w:right w:val="nil"/>
                </w:tcBorders>
                <w:shd w:val="clear" w:color="auto" w:fill="CAE7F3" w:themeFill="accent1" w:themeFillTint="33"/>
                <w:noWrap/>
                <w:vAlign w:val="bottom"/>
                <w:hideMark/>
              </w:tcPr>
              <w:p w14:paraId="0C084A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157.3</w:t>
                </w:r>
              </w:p>
            </w:tc>
            <w:tc>
              <w:tcPr>
                <w:tcW w:w="662" w:type="dxa"/>
                <w:tcBorders>
                  <w:top w:val="nil"/>
                  <w:left w:val="nil"/>
                  <w:bottom w:val="nil"/>
                  <w:right w:val="nil"/>
                </w:tcBorders>
                <w:shd w:val="clear" w:color="auto" w:fill="CAE7F3" w:themeFill="accent1" w:themeFillTint="33"/>
                <w:noWrap/>
                <w:vAlign w:val="bottom"/>
                <w:hideMark/>
              </w:tcPr>
              <w:p w14:paraId="351B741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204.0</w:t>
                </w:r>
              </w:p>
            </w:tc>
            <w:tc>
              <w:tcPr>
                <w:tcW w:w="662" w:type="dxa"/>
                <w:tcBorders>
                  <w:top w:val="nil"/>
                  <w:left w:val="nil"/>
                  <w:bottom w:val="nil"/>
                  <w:right w:val="nil"/>
                </w:tcBorders>
                <w:shd w:val="clear" w:color="auto" w:fill="CAE7F3" w:themeFill="accent1" w:themeFillTint="33"/>
                <w:noWrap/>
                <w:vAlign w:val="bottom"/>
                <w:hideMark/>
              </w:tcPr>
              <w:p w14:paraId="794156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301.8</w:t>
                </w:r>
              </w:p>
            </w:tc>
            <w:tc>
              <w:tcPr>
                <w:tcW w:w="662" w:type="dxa"/>
                <w:tcBorders>
                  <w:top w:val="nil"/>
                  <w:left w:val="nil"/>
                  <w:bottom w:val="nil"/>
                  <w:right w:val="nil"/>
                </w:tcBorders>
                <w:shd w:val="clear" w:color="auto" w:fill="CAE7F3" w:themeFill="accent1" w:themeFillTint="33"/>
                <w:noWrap/>
                <w:vAlign w:val="bottom"/>
                <w:hideMark/>
              </w:tcPr>
              <w:p w14:paraId="5AB14B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175.8</w:t>
                </w:r>
              </w:p>
            </w:tc>
            <w:tc>
              <w:tcPr>
                <w:tcW w:w="661" w:type="dxa"/>
                <w:tcBorders>
                  <w:top w:val="nil"/>
                  <w:left w:val="nil"/>
                  <w:bottom w:val="nil"/>
                  <w:right w:val="nil"/>
                </w:tcBorders>
                <w:shd w:val="clear" w:color="auto" w:fill="CAE7F3" w:themeFill="accent1" w:themeFillTint="33"/>
                <w:noWrap/>
                <w:vAlign w:val="bottom"/>
                <w:hideMark/>
              </w:tcPr>
              <w:p w14:paraId="5EA729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21.3</w:t>
                </w:r>
              </w:p>
            </w:tc>
            <w:tc>
              <w:tcPr>
                <w:tcW w:w="662" w:type="dxa"/>
                <w:tcBorders>
                  <w:top w:val="nil"/>
                  <w:left w:val="nil"/>
                  <w:bottom w:val="nil"/>
                  <w:right w:val="nil"/>
                </w:tcBorders>
                <w:shd w:val="clear" w:color="auto" w:fill="CAE7F3" w:themeFill="accent1" w:themeFillTint="33"/>
                <w:noWrap/>
                <w:vAlign w:val="bottom"/>
                <w:hideMark/>
              </w:tcPr>
              <w:p w14:paraId="4DDEC81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37.2</w:t>
                </w:r>
              </w:p>
            </w:tc>
            <w:tc>
              <w:tcPr>
                <w:tcW w:w="662" w:type="dxa"/>
                <w:tcBorders>
                  <w:top w:val="nil"/>
                  <w:left w:val="nil"/>
                  <w:bottom w:val="nil"/>
                  <w:right w:val="nil"/>
                </w:tcBorders>
                <w:shd w:val="clear" w:color="auto" w:fill="CAE7F3" w:themeFill="accent1" w:themeFillTint="33"/>
                <w:noWrap/>
                <w:vAlign w:val="bottom"/>
                <w:hideMark/>
              </w:tcPr>
              <w:p w14:paraId="76AFEC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88.7</w:t>
                </w:r>
              </w:p>
            </w:tc>
            <w:tc>
              <w:tcPr>
                <w:tcW w:w="662" w:type="dxa"/>
                <w:tcBorders>
                  <w:top w:val="nil"/>
                  <w:left w:val="nil"/>
                  <w:bottom w:val="nil"/>
                  <w:right w:val="nil"/>
                </w:tcBorders>
                <w:shd w:val="clear" w:color="auto" w:fill="CAE7F3" w:themeFill="accent1" w:themeFillTint="33"/>
                <w:noWrap/>
                <w:vAlign w:val="bottom"/>
                <w:hideMark/>
              </w:tcPr>
              <w:p w14:paraId="55FFC80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34.0</w:t>
                </w:r>
              </w:p>
            </w:tc>
            <w:tc>
              <w:tcPr>
                <w:tcW w:w="662" w:type="dxa"/>
                <w:tcBorders>
                  <w:top w:val="nil"/>
                  <w:left w:val="nil"/>
                  <w:bottom w:val="nil"/>
                  <w:right w:val="nil"/>
                </w:tcBorders>
                <w:shd w:val="clear" w:color="auto" w:fill="CAE7F3" w:themeFill="accent1" w:themeFillTint="33"/>
                <w:noWrap/>
                <w:vAlign w:val="bottom"/>
                <w:hideMark/>
              </w:tcPr>
              <w:p w14:paraId="50A980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188.5</w:t>
                </w:r>
              </w:p>
            </w:tc>
          </w:tr>
          <w:tr w:rsidR="00830FDC" w:rsidRPr="00F63634" w14:paraId="06796C58"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B9595F0"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Mackay</w:t>
                </w:r>
              </w:p>
            </w:tc>
            <w:tc>
              <w:tcPr>
                <w:tcW w:w="661" w:type="dxa"/>
                <w:tcBorders>
                  <w:top w:val="nil"/>
                  <w:left w:val="nil"/>
                  <w:bottom w:val="nil"/>
                  <w:right w:val="nil"/>
                </w:tcBorders>
                <w:shd w:val="clear" w:color="auto" w:fill="CAE7F3" w:themeFill="accent1" w:themeFillTint="33"/>
                <w:noWrap/>
                <w:vAlign w:val="bottom"/>
                <w:hideMark/>
              </w:tcPr>
              <w:p w14:paraId="74A5EE3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293.0</w:t>
                </w:r>
              </w:p>
            </w:tc>
            <w:tc>
              <w:tcPr>
                <w:tcW w:w="662" w:type="dxa"/>
                <w:tcBorders>
                  <w:top w:val="nil"/>
                  <w:left w:val="nil"/>
                  <w:bottom w:val="nil"/>
                  <w:right w:val="nil"/>
                </w:tcBorders>
                <w:shd w:val="clear" w:color="auto" w:fill="CAE7F3" w:themeFill="accent1" w:themeFillTint="33"/>
                <w:noWrap/>
                <w:vAlign w:val="bottom"/>
                <w:hideMark/>
              </w:tcPr>
              <w:p w14:paraId="1CB02ED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30.3</w:t>
                </w:r>
              </w:p>
            </w:tc>
            <w:tc>
              <w:tcPr>
                <w:tcW w:w="662" w:type="dxa"/>
                <w:tcBorders>
                  <w:top w:val="nil"/>
                  <w:left w:val="nil"/>
                  <w:bottom w:val="nil"/>
                  <w:right w:val="nil"/>
                </w:tcBorders>
                <w:shd w:val="clear" w:color="auto" w:fill="CAE7F3" w:themeFill="accent1" w:themeFillTint="33"/>
                <w:noWrap/>
                <w:vAlign w:val="bottom"/>
                <w:hideMark/>
              </w:tcPr>
              <w:p w14:paraId="2E00A70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67.3</w:t>
                </w:r>
              </w:p>
            </w:tc>
            <w:tc>
              <w:tcPr>
                <w:tcW w:w="662" w:type="dxa"/>
                <w:tcBorders>
                  <w:top w:val="nil"/>
                  <w:left w:val="nil"/>
                  <w:bottom w:val="nil"/>
                  <w:right w:val="nil"/>
                </w:tcBorders>
                <w:shd w:val="clear" w:color="auto" w:fill="CAE7F3" w:themeFill="accent1" w:themeFillTint="33"/>
                <w:noWrap/>
                <w:vAlign w:val="bottom"/>
                <w:hideMark/>
              </w:tcPr>
              <w:p w14:paraId="6A14534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w:t>
                </w:r>
              </w:p>
            </w:tc>
            <w:tc>
              <w:tcPr>
                <w:tcW w:w="661" w:type="dxa"/>
                <w:tcBorders>
                  <w:top w:val="nil"/>
                  <w:left w:val="nil"/>
                  <w:bottom w:val="nil"/>
                  <w:right w:val="nil"/>
                </w:tcBorders>
                <w:shd w:val="clear" w:color="auto" w:fill="CAE7F3" w:themeFill="accent1" w:themeFillTint="33"/>
                <w:noWrap/>
                <w:vAlign w:val="bottom"/>
                <w:hideMark/>
              </w:tcPr>
              <w:p w14:paraId="28CB39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408.7</w:t>
                </w:r>
              </w:p>
            </w:tc>
            <w:tc>
              <w:tcPr>
                <w:tcW w:w="662" w:type="dxa"/>
                <w:tcBorders>
                  <w:top w:val="nil"/>
                  <w:left w:val="nil"/>
                  <w:bottom w:val="nil"/>
                  <w:right w:val="nil"/>
                </w:tcBorders>
                <w:shd w:val="clear" w:color="auto" w:fill="CAE7F3" w:themeFill="accent1" w:themeFillTint="33"/>
                <w:noWrap/>
                <w:vAlign w:val="bottom"/>
                <w:hideMark/>
              </w:tcPr>
              <w:p w14:paraId="176925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35.5</w:t>
                </w:r>
              </w:p>
            </w:tc>
            <w:tc>
              <w:tcPr>
                <w:tcW w:w="662" w:type="dxa"/>
                <w:tcBorders>
                  <w:top w:val="nil"/>
                  <w:left w:val="nil"/>
                  <w:bottom w:val="nil"/>
                  <w:right w:val="nil"/>
                </w:tcBorders>
                <w:shd w:val="clear" w:color="auto" w:fill="CAE7F3" w:themeFill="accent1" w:themeFillTint="33"/>
                <w:noWrap/>
                <w:vAlign w:val="bottom"/>
                <w:hideMark/>
              </w:tcPr>
              <w:p w14:paraId="37CEEA6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98.8</w:t>
                </w:r>
              </w:p>
            </w:tc>
            <w:tc>
              <w:tcPr>
                <w:tcW w:w="662" w:type="dxa"/>
                <w:tcBorders>
                  <w:top w:val="nil"/>
                  <w:left w:val="nil"/>
                  <w:bottom w:val="nil"/>
                  <w:right w:val="nil"/>
                </w:tcBorders>
                <w:shd w:val="clear" w:color="auto" w:fill="CAE7F3" w:themeFill="accent1" w:themeFillTint="33"/>
                <w:noWrap/>
                <w:vAlign w:val="bottom"/>
                <w:hideMark/>
              </w:tcPr>
              <w:p w14:paraId="180400D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85.2</w:t>
                </w:r>
              </w:p>
            </w:tc>
            <w:tc>
              <w:tcPr>
                <w:tcW w:w="662" w:type="dxa"/>
                <w:tcBorders>
                  <w:top w:val="nil"/>
                  <w:left w:val="nil"/>
                  <w:bottom w:val="nil"/>
                  <w:right w:val="nil"/>
                </w:tcBorders>
                <w:shd w:val="clear" w:color="auto" w:fill="CAE7F3" w:themeFill="accent1" w:themeFillTint="33"/>
                <w:noWrap/>
                <w:vAlign w:val="bottom"/>
                <w:hideMark/>
              </w:tcPr>
              <w:p w14:paraId="6C9FDB4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143.0</w:t>
                </w:r>
              </w:p>
            </w:tc>
            <w:tc>
              <w:tcPr>
                <w:tcW w:w="661" w:type="dxa"/>
                <w:tcBorders>
                  <w:top w:val="nil"/>
                  <w:left w:val="nil"/>
                  <w:bottom w:val="nil"/>
                  <w:right w:val="nil"/>
                </w:tcBorders>
                <w:shd w:val="clear" w:color="auto" w:fill="CAE7F3" w:themeFill="accent1" w:themeFillTint="33"/>
                <w:noWrap/>
                <w:vAlign w:val="bottom"/>
                <w:hideMark/>
              </w:tcPr>
              <w:p w14:paraId="4BAC9A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w:t>
                </w:r>
              </w:p>
            </w:tc>
            <w:tc>
              <w:tcPr>
                <w:tcW w:w="662" w:type="dxa"/>
                <w:tcBorders>
                  <w:top w:val="nil"/>
                  <w:left w:val="nil"/>
                  <w:bottom w:val="nil"/>
                  <w:right w:val="nil"/>
                </w:tcBorders>
                <w:shd w:val="clear" w:color="auto" w:fill="CAE7F3" w:themeFill="accent1" w:themeFillTint="33"/>
                <w:noWrap/>
                <w:vAlign w:val="bottom"/>
                <w:hideMark/>
              </w:tcPr>
              <w:p w14:paraId="37BA5F3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110.3</w:t>
                </w:r>
              </w:p>
            </w:tc>
            <w:tc>
              <w:tcPr>
                <w:tcW w:w="662" w:type="dxa"/>
                <w:tcBorders>
                  <w:top w:val="nil"/>
                  <w:left w:val="nil"/>
                  <w:bottom w:val="nil"/>
                  <w:right w:val="nil"/>
                </w:tcBorders>
                <w:shd w:val="clear" w:color="auto" w:fill="CAE7F3" w:themeFill="accent1" w:themeFillTint="33"/>
                <w:noWrap/>
                <w:vAlign w:val="bottom"/>
                <w:hideMark/>
              </w:tcPr>
              <w:p w14:paraId="03E2BC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193.5</w:t>
                </w:r>
              </w:p>
            </w:tc>
            <w:tc>
              <w:tcPr>
                <w:tcW w:w="662" w:type="dxa"/>
                <w:tcBorders>
                  <w:top w:val="nil"/>
                  <w:left w:val="nil"/>
                  <w:bottom w:val="nil"/>
                  <w:right w:val="nil"/>
                </w:tcBorders>
                <w:shd w:val="clear" w:color="auto" w:fill="CAE7F3" w:themeFill="accent1" w:themeFillTint="33"/>
                <w:noWrap/>
                <w:vAlign w:val="bottom"/>
                <w:hideMark/>
              </w:tcPr>
              <w:p w14:paraId="2C6C5B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152.2</w:t>
                </w:r>
              </w:p>
            </w:tc>
            <w:tc>
              <w:tcPr>
                <w:tcW w:w="662" w:type="dxa"/>
                <w:tcBorders>
                  <w:top w:val="nil"/>
                  <w:left w:val="nil"/>
                  <w:bottom w:val="nil"/>
                  <w:right w:val="nil"/>
                </w:tcBorders>
                <w:shd w:val="clear" w:color="auto" w:fill="CAE7F3" w:themeFill="accent1" w:themeFillTint="33"/>
                <w:noWrap/>
                <w:vAlign w:val="bottom"/>
                <w:hideMark/>
              </w:tcPr>
              <w:p w14:paraId="53FBB7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103.3</w:t>
                </w:r>
              </w:p>
            </w:tc>
            <w:tc>
              <w:tcPr>
                <w:tcW w:w="661" w:type="dxa"/>
                <w:tcBorders>
                  <w:top w:val="nil"/>
                  <w:left w:val="nil"/>
                  <w:bottom w:val="nil"/>
                  <w:right w:val="nil"/>
                </w:tcBorders>
                <w:shd w:val="clear" w:color="auto" w:fill="CAE7F3" w:themeFill="accent1" w:themeFillTint="33"/>
                <w:noWrap/>
                <w:vAlign w:val="bottom"/>
                <w:hideMark/>
              </w:tcPr>
              <w:p w14:paraId="7ACC68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w:t>
                </w:r>
              </w:p>
            </w:tc>
            <w:tc>
              <w:tcPr>
                <w:tcW w:w="662" w:type="dxa"/>
                <w:tcBorders>
                  <w:top w:val="nil"/>
                  <w:left w:val="nil"/>
                  <w:bottom w:val="nil"/>
                  <w:right w:val="nil"/>
                </w:tcBorders>
                <w:shd w:val="clear" w:color="auto" w:fill="CAE7F3" w:themeFill="accent1" w:themeFillTint="33"/>
                <w:noWrap/>
                <w:vAlign w:val="bottom"/>
                <w:hideMark/>
              </w:tcPr>
              <w:p w14:paraId="0ED1C9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35.2</w:t>
                </w:r>
              </w:p>
            </w:tc>
            <w:tc>
              <w:tcPr>
                <w:tcW w:w="662" w:type="dxa"/>
                <w:tcBorders>
                  <w:top w:val="nil"/>
                  <w:left w:val="nil"/>
                  <w:bottom w:val="nil"/>
                  <w:right w:val="nil"/>
                </w:tcBorders>
                <w:shd w:val="clear" w:color="auto" w:fill="CAE7F3" w:themeFill="accent1" w:themeFillTint="33"/>
                <w:noWrap/>
                <w:vAlign w:val="bottom"/>
                <w:hideMark/>
              </w:tcPr>
              <w:p w14:paraId="211B97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77.0</w:t>
                </w:r>
              </w:p>
            </w:tc>
            <w:tc>
              <w:tcPr>
                <w:tcW w:w="662" w:type="dxa"/>
                <w:tcBorders>
                  <w:top w:val="nil"/>
                  <w:left w:val="nil"/>
                  <w:bottom w:val="nil"/>
                  <w:right w:val="nil"/>
                </w:tcBorders>
                <w:shd w:val="clear" w:color="auto" w:fill="CAE7F3" w:themeFill="accent1" w:themeFillTint="33"/>
                <w:noWrap/>
                <w:vAlign w:val="bottom"/>
                <w:hideMark/>
              </w:tcPr>
              <w:p w14:paraId="3AA1FC8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22.7</w:t>
                </w:r>
              </w:p>
            </w:tc>
            <w:tc>
              <w:tcPr>
                <w:tcW w:w="662" w:type="dxa"/>
                <w:tcBorders>
                  <w:top w:val="nil"/>
                  <w:left w:val="nil"/>
                  <w:bottom w:val="nil"/>
                  <w:right w:val="nil"/>
                </w:tcBorders>
                <w:shd w:val="clear" w:color="auto" w:fill="CAE7F3" w:themeFill="accent1" w:themeFillTint="33"/>
                <w:noWrap/>
                <w:vAlign w:val="bottom"/>
                <w:hideMark/>
              </w:tcPr>
              <w:p w14:paraId="7361B56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166.2</w:t>
                </w:r>
              </w:p>
            </w:tc>
          </w:tr>
          <w:tr w:rsidR="00830FDC" w:rsidRPr="00F63634" w14:paraId="53E0DAFB"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B3E0E5C"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Moreton Bay</w:t>
                </w:r>
                <w:r>
                  <w:rPr>
                    <w:color w:val="595A5B" w:themeColor="text1"/>
                    <w:sz w:val="12"/>
                    <w:szCs w:val="16"/>
                    <w:lang w:eastAsia="en-AU"/>
                  </w:rPr>
                  <w:t xml:space="preserve"> — </w:t>
                </w:r>
                <w:r w:rsidRPr="009820E8">
                  <w:rPr>
                    <w:color w:val="595A5B" w:themeColor="text1"/>
                    <w:sz w:val="12"/>
                    <w:szCs w:val="16"/>
                    <w:lang w:eastAsia="en-AU"/>
                  </w:rPr>
                  <w:t>North</w:t>
                </w:r>
              </w:p>
            </w:tc>
            <w:tc>
              <w:tcPr>
                <w:tcW w:w="661" w:type="dxa"/>
                <w:tcBorders>
                  <w:top w:val="nil"/>
                  <w:left w:val="nil"/>
                  <w:bottom w:val="nil"/>
                  <w:right w:val="nil"/>
                </w:tcBorders>
                <w:shd w:val="clear" w:color="auto" w:fill="CAE7F3" w:themeFill="accent1" w:themeFillTint="33"/>
                <w:noWrap/>
                <w:vAlign w:val="bottom"/>
                <w:hideMark/>
              </w:tcPr>
              <w:p w14:paraId="16B9C79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84.2</w:t>
                </w:r>
              </w:p>
            </w:tc>
            <w:tc>
              <w:tcPr>
                <w:tcW w:w="662" w:type="dxa"/>
                <w:tcBorders>
                  <w:top w:val="nil"/>
                  <w:left w:val="nil"/>
                  <w:bottom w:val="nil"/>
                  <w:right w:val="nil"/>
                </w:tcBorders>
                <w:shd w:val="clear" w:color="auto" w:fill="CAE7F3" w:themeFill="accent1" w:themeFillTint="33"/>
                <w:noWrap/>
                <w:vAlign w:val="bottom"/>
                <w:hideMark/>
              </w:tcPr>
              <w:p w14:paraId="702A18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w:t>
                </w:r>
              </w:p>
            </w:tc>
            <w:tc>
              <w:tcPr>
                <w:tcW w:w="662" w:type="dxa"/>
                <w:tcBorders>
                  <w:top w:val="nil"/>
                  <w:left w:val="nil"/>
                  <w:bottom w:val="nil"/>
                  <w:right w:val="nil"/>
                </w:tcBorders>
                <w:shd w:val="clear" w:color="auto" w:fill="CAE7F3" w:themeFill="accent1" w:themeFillTint="33"/>
                <w:noWrap/>
                <w:vAlign w:val="bottom"/>
                <w:hideMark/>
              </w:tcPr>
              <w:p w14:paraId="19F93A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93.5</w:t>
                </w:r>
              </w:p>
            </w:tc>
            <w:tc>
              <w:tcPr>
                <w:tcW w:w="662" w:type="dxa"/>
                <w:tcBorders>
                  <w:top w:val="nil"/>
                  <w:left w:val="nil"/>
                  <w:bottom w:val="nil"/>
                  <w:right w:val="nil"/>
                </w:tcBorders>
                <w:shd w:val="clear" w:color="auto" w:fill="CAE7F3" w:themeFill="accent1" w:themeFillTint="33"/>
                <w:noWrap/>
                <w:vAlign w:val="bottom"/>
                <w:hideMark/>
              </w:tcPr>
              <w:p w14:paraId="093FDC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w:t>
                </w:r>
              </w:p>
            </w:tc>
            <w:tc>
              <w:tcPr>
                <w:tcW w:w="661" w:type="dxa"/>
                <w:tcBorders>
                  <w:top w:val="nil"/>
                  <w:left w:val="nil"/>
                  <w:bottom w:val="nil"/>
                  <w:right w:val="nil"/>
                </w:tcBorders>
                <w:shd w:val="clear" w:color="auto" w:fill="CAE7F3" w:themeFill="accent1" w:themeFillTint="33"/>
                <w:noWrap/>
                <w:vAlign w:val="bottom"/>
                <w:hideMark/>
              </w:tcPr>
              <w:p w14:paraId="71FD93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560.3</w:t>
                </w:r>
              </w:p>
            </w:tc>
            <w:tc>
              <w:tcPr>
                <w:tcW w:w="662" w:type="dxa"/>
                <w:tcBorders>
                  <w:top w:val="nil"/>
                  <w:left w:val="nil"/>
                  <w:bottom w:val="nil"/>
                  <w:right w:val="nil"/>
                </w:tcBorders>
                <w:shd w:val="clear" w:color="auto" w:fill="CAE7F3" w:themeFill="accent1" w:themeFillTint="33"/>
                <w:noWrap/>
                <w:vAlign w:val="bottom"/>
                <w:hideMark/>
              </w:tcPr>
              <w:p w14:paraId="27FE19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59.5</w:t>
                </w:r>
              </w:p>
            </w:tc>
            <w:tc>
              <w:tcPr>
                <w:tcW w:w="662" w:type="dxa"/>
                <w:tcBorders>
                  <w:top w:val="nil"/>
                  <w:left w:val="nil"/>
                  <w:bottom w:val="nil"/>
                  <w:right w:val="nil"/>
                </w:tcBorders>
                <w:shd w:val="clear" w:color="auto" w:fill="CAE7F3" w:themeFill="accent1" w:themeFillTint="33"/>
                <w:noWrap/>
                <w:vAlign w:val="bottom"/>
                <w:hideMark/>
              </w:tcPr>
              <w:p w14:paraId="5A2C13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143.3</w:t>
                </w:r>
              </w:p>
            </w:tc>
            <w:tc>
              <w:tcPr>
                <w:tcW w:w="662" w:type="dxa"/>
                <w:tcBorders>
                  <w:top w:val="nil"/>
                  <w:left w:val="nil"/>
                  <w:bottom w:val="nil"/>
                  <w:right w:val="nil"/>
                </w:tcBorders>
                <w:shd w:val="clear" w:color="auto" w:fill="CAE7F3" w:themeFill="accent1" w:themeFillTint="33"/>
                <w:noWrap/>
                <w:vAlign w:val="bottom"/>
                <w:hideMark/>
              </w:tcPr>
              <w:p w14:paraId="67F820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72.7</w:t>
                </w:r>
              </w:p>
            </w:tc>
            <w:tc>
              <w:tcPr>
                <w:tcW w:w="662" w:type="dxa"/>
                <w:tcBorders>
                  <w:top w:val="nil"/>
                  <w:left w:val="nil"/>
                  <w:bottom w:val="nil"/>
                  <w:right w:val="nil"/>
                </w:tcBorders>
                <w:shd w:val="clear" w:color="auto" w:fill="CAE7F3" w:themeFill="accent1" w:themeFillTint="33"/>
                <w:noWrap/>
                <w:vAlign w:val="bottom"/>
                <w:hideMark/>
              </w:tcPr>
              <w:p w14:paraId="34F58C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183.3</w:t>
                </w:r>
              </w:p>
            </w:tc>
            <w:tc>
              <w:tcPr>
                <w:tcW w:w="661" w:type="dxa"/>
                <w:tcBorders>
                  <w:top w:val="nil"/>
                  <w:left w:val="nil"/>
                  <w:bottom w:val="nil"/>
                  <w:right w:val="nil"/>
                </w:tcBorders>
                <w:shd w:val="clear" w:color="auto" w:fill="CAE7F3" w:themeFill="accent1" w:themeFillTint="33"/>
                <w:noWrap/>
                <w:vAlign w:val="bottom"/>
                <w:hideMark/>
              </w:tcPr>
              <w:p w14:paraId="4B1BBD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14.8</w:t>
                </w:r>
              </w:p>
            </w:tc>
            <w:tc>
              <w:tcPr>
                <w:tcW w:w="662" w:type="dxa"/>
                <w:tcBorders>
                  <w:top w:val="nil"/>
                  <w:left w:val="nil"/>
                  <w:bottom w:val="nil"/>
                  <w:right w:val="nil"/>
                </w:tcBorders>
                <w:shd w:val="clear" w:color="auto" w:fill="CAE7F3" w:themeFill="accent1" w:themeFillTint="33"/>
                <w:noWrap/>
                <w:vAlign w:val="bottom"/>
                <w:hideMark/>
              </w:tcPr>
              <w:p w14:paraId="023A12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98.3</w:t>
                </w:r>
              </w:p>
            </w:tc>
            <w:tc>
              <w:tcPr>
                <w:tcW w:w="662" w:type="dxa"/>
                <w:tcBorders>
                  <w:top w:val="nil"/>
                  <w:left w:val="nil"/>
                  <w:bottom w:val="nil"/>
                  <w:right w:val="nil"/>
                </w:tcBorders>
                <w:shd w:val="clear" w:color="auto" w:fill="CAE7F3" w:themeFill="accent1" w:themeFillTint="33"/>
                <w:noWrap/>
                <w:vAlign w:val="bottom"/>
                <w:hideMark/>
              </w:tcPr>
              <w:p w14:paraId="08EA8F2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152.5</w:t>
                </w:r>
              </w:p>
            </w:tc>
            <w:tc>
              <w:tcPr>
                <w:tcW w:w="662" w:type="dxa"/>
                <w:tcBorders>
                  <w:top w:val="nil"/>
                  <w:left w:val="nil"/>
                  <w:bottom w:val="nil"/>
                  <w:right w:val="nil"/>
                </w:tcBorders>
                <w:shd w:val="clear" w:color="auto" w:fill="CAE7F3" w:themeFill="accent1" w:themeFillTint="33"/>
                <w:noWrap/>
                <w:vAlign w:val="bottom"/>
                <w:hideMark/>
              </w:tcPr>
              <w:p w14:paraId="29826F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184.2</w:t>
                </w:r>
              </w:p>
            </w:tc>
            <w:tc>
              <w:tcPr>
                <w:tcW w:w="662" w:type="dxa"/>
                <w:tcBorders>
                  <w:top w:val="nil"/>
                  <w:left w:val="nil"/>
                  <w:bottom w:val="nil"/>
                  <w:right w:val="nil"/>
                </w:tcBorders>
                <w:shd w:val="clear" w:color="auto" w:fill="CAE7F3" w:themeFill="accent1" w:themeFillTint="33"/>
                <w:noWrap/>
                <w:vAlign w:val="bottom"/>
                <w:hideMark/>
              </w:tcPr>
              <w:p w14:paraId="0C0282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114.3</w:t>
                </w:r>
              </w:p>
            </w:tc>
            <w:tc>
              <w:tcPr>
                <w:tcW w:w="661" w:type="dxa"/>
                <w:tcBorders>
                  <w:top w:val="nil"/>
                  <w:left w:val="nil"/>
                  <w:bottom w:val="nil"/>
                  <w:right w:val="nil"/>
                </w:tcBorders>
                <w:shd w:val="clear" w:color="auto" w:fill="CAE7F3" w:themeFill="accent1" w:themeFillTint="33"/>
                <w:noWrap/>
                <w:vAlign w:val="bottom"/>
                <w:hideMark/>
              </w:tcPr>
              <w:p w14:paraId="57542F9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w:t>
                </w:r>
              </w:p>
            </w:tc>
            <w:tc>
              <w:tcPr>
                <w:tcW w:w="662" w:type="dxa"/>
                <w:tcBorders>
                  <w:top w:val="nil"/>
                  <w:left w:val="nil"/>
                  <w:bottom w:val="nil"/>
                  <w:right w:val="nil"/>
                </w:tcBorders>
                <w:shd w:val="clear" w:color="auto" w:fill="CAE7F3" w:themeFill="accent1" w:themeFillTint="33"/>
                <w:noWrap/>
                <w:vAlign w:val="bottom"/>
                <w:hideMark/>
              </w:tcPr>
              <w:p w14:paraId="53B37F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31.5</w:t>
                </w:r>
              </w:p>
            </w:tc>
            <w:tc>
              <w:tcPr>
                <w:tcW w:w="662" w:type="dxa"/>
                <w:tcBorders>
                  <w:top w:val="nil"/>
                  <w:left w:val="nil"/>
                  <w:bottom w:val="nil"/>
                  <w:right w:val="nil"/>
                </w:tcBorders>
                <w:shd w:val="clear" w:color="auto" w:fill="CAE7F3" w:themeFill="accent1" w:themeFillTint="33"/>
                <w:noWrap/>
                <w:vAlign w:val="bottom"/>
                <w:hideMark/>
              </w:tcPr>
              <w:p w14:paraId="282D46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68.7</w:t>
                </w:r>
              </w:p>
            </w:tc>
            <w:tc>
              <w:tcPr>
                <w:tcW w:w="662" w:type="dxa"/>
                <w:tcBorders>
                  <w:top w:val="nil"/>
                  <w:left w:val="nil"/>
                  <w:bottom w:val="nil"/>
                  <w:right w:val="nil"/>
                </w:tcBorders>
                <w:shd w:val="clear" w:color="auto" w:fill="CAE7F3" w:themeFill="accent1" w:themeFillTint="33"/>
                <w:noWrap/>
                <w:vAlign w:val="bottom"/>
                <w:hideMark/>
              </w:tcPr>
              <w:p w14:paraId="6BE45FE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25.0</w:t>
                </w:r>
              </w:p>
            </w:tc>
            <w:tc>
              <w:tcPr>
                <w:tcW w:w="662" w:type="dxa"/>
                <w:tcBorders>
                  <w:top w:val="nil"/>
                  <w:left w:val="nil"/>
                  <w:bottom w:val="nil"/>
                  <w:right w:val="nil"/>
                </w:tcBorders>
                <w:shd w:val="clear" w:color="auto" w:fill="CAE7F3" w:themeFill="accent1" w:themeFillTint="33"/>
                <w:noWrap/>
                <w:vAlign w:val="bottom"/>
                <w:hideMark/>
              </w:tcPr>
              <w:p w14:paraId="3340B1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123.8</w:t>
                </w:r>
              </w:p>
            </w:tc>
          </w:tr>
          <w:tr w:rsidR="00830FDC" w:rsidRPr="00F63634" w14:paraId="4B8276D0"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43DB0BD"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Moreton Bay</w:t>
                </w:r>
                <w:r>
                  <w:rPr>
                    <w:color w:val="595A5B" w:themeColor="text1"/>
                    <w:sz w:val="12"/>
                    <w:szCs w:val="16"/>
                    <w:lang w:eastAsia="en-AU"/>
                  </w:rPr>
                  <w:t xml:space="preserve"> — </w:t>
                </w:r>
                <w:r w:rsidRPr="009820E8">
                  <w:rPr>
                    <w:color w:val="595A5B" w:themeColor="text1"/>
                    <w:sz w:val="12"/>
                    <w:szCs w:val="16"/>
                    <w:lang w:eastAsia="en-AU"/>
                  </w:rPr>
                  <w:t>South</w:t>
                </w:r>
              </w:p>
            </w:tc>
            <w:tc>
              <w:tcPr>
                <w:tcW w:w="661" w:type="dxa"/>
                <w:tcBorders>
                  <w:top w:val="nil"/>
                  <w:left w:val="nil"/>
                  <w:bottom w:val="nil"/>
                  <w:right w:val="nil"/>
                </w:tcBorders>
                <w:shd w:val="clear" w:color="auto" w:fill="CAE7F3" w:themeFill="accent1" w:themeFillTint="33"/>
                <w:noWrap/>
                <w:vAlign w:val="bottom"/>
                <w:hideMark/>
              </w:tcPr>
              <w:p w14:paraId="7DB22F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45.0</w:t>
                </w:r>
              </w:p>
            </w:tc>
            <w:tc>
              <w:tcPr>
                <w:tcW w:w="662" w:type="dxa"/>
                <w:tcBorders>
                  <w:top w:val="nil"/>
                  <w:left w:val="nil"/>
                  <w:bottom w:val="nil"/>
                  <w:right w:val="nil"/>
                </w:tcBorders>
                <w:shd w:val="clear" w:color="auto" w:fill="CAE7F3" w:themeFill="accent1" w:themeFillTint="33"/>
                <w:noWrap/>
                <w:vAlign w:val="bottom"/>
                <w:hideMark/>
              </w:tcPr>
              <w:p w14:paraId="37D64B6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w:t>
                </w:r>
              </w:p>
            </w:tc>
            <w:tc>
              <w:tcPr>
                <w:tcW w:w="662" w:type="dxa"/>
                <w:tcBorders>
                  <w:top w:val="nil"/>
                  <w:left w:val="nil"/>
                  <w:bottom w:val="nil"/>
                  <w:right w:val="nil"/>
                </w:tcBorders>
                <w:shd w:val="clear" w:color="auto" w:fill="CAE7F3" w:themeFill="accent1" w:themeFillTint="33"/>
                <w:noWrap/>
                <w:vAlign w:val="bottom"/>
                <w:hideMark/>
              </w:tcPr>
              <w:p w14:paraId="33175D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74.7</w:t>
                </w:r>
              </w:p>
            </w:tc>
            <w:tc>
              <w:tcPr>
                <w:tcW w:w="662" w:type="dxa"/>
                <w:tcBorders>
                  <w:top w:val="nil"/>
                  <w:left w:val="nil"/>
                  <w:bottom w:val="nil"/>
                  <w:right w:val="nil"/>
                </w:tcBorders>
                <w:shd w:val="clear" w:color="auto" w:fill="CAE7F3" w:themeFill="accent1" w:themeFillTint="33"/>
                <w:noWrap/>
                <w:vAlign w:val="bottom"/>
                <w:hideMark/>
              </w:tcPr>
              <w:p w14:paraId="226CA75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w:t>
                </w:r>
              </w:p>
            </w:tc>
            <w:tc>
              <w:tcPr>
                <w:tcW w:w="661" w:type="dxa"/>
                <w:tcBorders>
                  <w:top w:val="nil"/>
                  <w:left w:val="nil"/>
                  <w:bottom w:val="nil"/>
                  <w:right w:val="nil"/>
                </w:tcBorders>
                <w:shd w:val="clear" w:color="auto" w:fill="CAE7F3" w:themeFill="accent1" w:themeFillTint="33"/>
                <w:noWrap/>
                <w:vAlign w:val="bottom"/>
                <w:hideMark/>
              </w:tcPr>
              <w:p w14:paraId="3D5D7D0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405.3</w:t>
                </w:r>
              </w:p>
            </w:tc>
            <w:tc>
              <w:tcPr>
                <w:tcW w:w="662" w:type="dxa"/>
                <w:tcBorders>
                  <w:top w:val="nil"/>
                  <w:left w:val="nil"/>
                  <w:bottom w:val="nil"/>
                  <w:right w:val="nil"/>
                </w:tcBorders>
                <w:shd w:val="clear" w:color="auto" w:fill="CAE7F3" w:themeFill="accent1" w:themeFillTint="33"/>
                <w:noWrap/>
                <w:vAlign w:val="bottom"/>
                <w:hideMark/>
              </w:tcPr>
              <w:p w14:paraId="4691E1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50.5</w:t>
                </w:r>
              </w:p>
            </w:tc>
            <w:tc>
              <w:tcPr>
                <w:tcW w:w="662" w:type="dxa"/>
                <w:tcBorders>
                  <w:top w:val="nil"/>
                  <w:left w:val="nil"/>
                  <w:bottom w:val="nil"/>
                  <w:right w:val="nil"/>
                </w:tcBorders>
                <w:shd w:val="clear" w:color="auto" w:fill="CAE7F3" w:themeFill="accent1" w:themeFillTint="33"/>
                <w:noWrap/>
                <w:vAlign w:val="bottom"/>
                <w:hideMark/>
              </w:tcPr>
              <w:p w14:paraId="657D924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119.8</w:t>
                </w:r>
              </w:p>
            </w:tc>
            <w:tc>
              <w:tcPr>
                <w:tcW w:w="662" w:type="dxa"/>
                <w:tcBorders>
                  <w:top w:val="nil"/>
                  <w:left w:val="nil"/>
                  <w:bottom w:val="nil"/>
                  <w:right w:val="nil"/>
                </w:tcBorders>
                <w:shd w:val="clear" w:color="auto" w:fill="CAE7F3" w:themeFill="accent1" w:themeFillTint="33"/>
                <w:noWrap/>
                <w:vAlign w:val="bottom"/>
                <w:hideMark/>
              </w:tcPr>
              <w:p w14:paraId="1D6099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53.5</w:t>
                </w:r>
              </w:p>
            </w:tc>
            <w:tc>
              <w:tcPr>
                <w:tcW w:w="662" w:type="dxa"/>
                <w:tcBorders>
                  <w:top w:val="nil"/>
                  <w:left w:val="nil"/>
                  <w:bottom w:val="nil"/>
                  <w:right w:val="nil"/>
                </w:tcBorders>
                <w:shd w:val="clear" w:color="auto" w:fill="CAE7F3" w:themeFill="accent1" w:themeFillTint="33"/>
                <w:noWrap/>
                <w:vAlign w:val="bottom"/>
                <w:hideMark/>
              </w:tcPr>
              <w:p w14:paraId="1DEB1EA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112.7</w:t>
                </w:r>
              </w:p>
            </w:tc>
            <w:tc>
              <w:tcPr>
                <w:tcW w:w="661" w:type="dxa"/>
                <w:tcBorders>
                  <w:top w:val="nil"/>
                  <w:left w:val="nil"/>
                  <w:bottom w:val="nil"/>
                  <w:right w:val="nil"/>
                </w:tcBorders>
                <w:shd w:val="clear" w:color="auto" w:fill="CAE7F3" w:themeFill="accent1" w:themeFillTint="33"/>
                <w:noWrap/>
                <w:vAlign w:val="bottom"/>
                <w:hideMark/>
              </w:tcPr>
              <w:p w14:paraId="6003B2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w:t>
                </w:r>
              </w:p>
            </w:tc>
            <w:tc>
              <w:tcPr>
                <w:tcW w:w="662" w:type="dxa"/>
                <w:tcBorders>
                  <w:top w:val="nil"/>
                  <w:left w:val="nil"/>
                  <w:bottom w:val="nil"/>
                  <w:right w:val="nil"/>
                </w:tcBorders>
                <w:shd w:val="clear" w:color="auto" w:fill="CAE7F3" w:themeFill="accent1" w:themeFillTint="33"/>
                <w:noWrap/>
                <w:vAlign w:val="bottom"/>
                <w:hideMark/>
              </w:tcPr>
              <w:p w14:paraId="08E97D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122.0</w:t>
                </w:r>
              </w:p>
            </w:tc>
            <w:tc>
              <w:tcPr>
                <w:tcW w:w="662" w:type="dxa"/>
                <w:tcBorders>
                  <w:top w:val="nil"/>
                  <w:left w:val="nil"/>
                  <w:bottom w:val="nil"/>
                  <w:right w:val="nil"/>
                </w:tcBorders>
                <w:shd w:val="clear" w:color="auto" w:fill="CAE7F3" w:themeFill="accent1" w:themeFillTint="33"/>
                <w:noWrap/>
                <w:vAlign w:val="bottom"/>
                <w:hideMark/>
              </w:tcPr>
              <w:p w14:paraId="0073C5E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121.5</w:t>
                </w:r>
              </w:p>
            </w:tc>
            <w:tc>
              <w:tcPr>
                <w:tcW w:w="662" w:type="dxa"/>
                <w:tcBorders>
                  <w:top w:val="nil"/>
                  <w:left w:val="nil"/>
                  <w:bottom w:val="nil"/>
                  <w:right w:val="nil"/>
                </w:tcBorders>
                <w:shd w:val="clear" w:color="auto" w:fill="CAE7F3" w:themeFill="accent1" w:themeFillTint="33"/>
                <w:noWrap/>
                <w:vAlign w:val="bottom"/>
                <w:hideMark/>
              </w:tcPr>
              <w:p w14:paraId="747CA6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261.8</w:t>
                </w:r>
              </w:p>
            </w:tc>
            <w:tc>
              <w:tcPr>
                <w:tcW w:w="662" w:type="dxa"/>
                <w:tcBorders>
                  <w:top w:val="nil"/>
                  <w:left w:val="nil"/>
                  <w:bottom w:val="nil"/>
                  <w:right w:val="nil"/>
                </w:tcBorders>
                <w:shd w:val="clear" w:color="auto" w:fill="CAE7F3" w:themeFill="accent1" w:themeFillTint="33"/>
                <w:noWrap/>
                <w:vAlign w:val="bottom"/>
                <w:hideMark/>
              </w:tcPr>
              <w:p w14:paraId="6D08BC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96.0</w:t>
                </w:r>
              </w:p>
            </w:tc>
            <w:tc>
              <w:tcPr>
                <w:tcW w:w="661" w:type="dxa"/>
                <w:tcBorders>
                  <w:top w:val="nil"/>
                  <w:left w:val="nil"/>
                  <w:bottom w:val="nil"/>
                  <w:right w:val="nil"/>
                </w:tcBorders>
                <w:shd w:val="clear" w:color="auto" w:fill="CAE7F3" w:themeFill="accent1" w:themeFillTint="33"/>
                <w:noWrap/>
                <w:vAlign w:val="bottom"/>
                <w:hideMark/>
              </w:tcPr>
              <w:p w14:paraId="0322FCB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2" w:type="dxa"/>
                <w:tcBorders>
                  <w:top w:val="nil"/>
                  <w:left w:val="nil"/>
                  <w:bottom w:val="nil"/>
                  <w:right w:val="nil"/>
                </w:tcBorders>
                <w:shd w:val="clear" w:color="auto" w:fill="CAE7F3" w:themeFill="accent1" w:themeFillTint="33"/>
                <w:noWrap/>
                <w:vAlign w:val="bottom"/>
                <w:hideMark/>
              </w:tcPr>
              <w:p w14:paraId="7044CE2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30.8</w:t>
                </w:r>
              </w:p>
            </w:tc>
            <w:tc>
              <w:tcPr>
                <w:tcW w:w="662" w:type="dxa"/>
                <w:tcBorders>
                  <w:top w:val="nil"/>
                  <w:left w:val="nil"/>
                  <w:bottom w:val="nil"/>
                  <w:right w:val="nil"/>
                </w:tcBorders>
                <w:shd w:val="clear" w:color="auto" w:fill="CAE7F3" w:themeFill="accent1" w:themeFillTint="33"/>
                <w:noWrap/>
                <w:vAlign w:val="bottom"/>
                <w:hideMark/>
              </w:tcPr>
              <w:p w14:paraId="1AA626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77.2</w:t>
                </w:r>
              </w:p>
            </w:tc>
            <w:tc>
              <w:tcPr>
                <w:tcW w:w="662" w:type="dxa"/>
                <w:tcBorders>
                  <w:top w:val="nil"/>
                  <w:left w:val="nil"/>
                  <w:bottom w:val="nil"/>
                  <w:right w:val="nil"/>
                </w:tcBorders>
                <w:shd w:val="clear" w:color="auto" w:fill="CAE7F3" w:themeFill="accent1" w:themeFillTint="33"/>
                <w:noWrap/>
                <w:vAlign w:val="bottom"/>
                <w:hideMark/>
              </w:tcPr>
              <w:p w14:paraId="731F2B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27.0</w:t>
                </w:r>
              </w:p>
            </w:tc>
            <w:tc>
              <w:tcPr>
                <w:tcW w:w="662" w:type="dxa"/>
                <w:tcBorders>
                  <w:top w:val="nil"/>
                  <w:left w:val="nil"/>
                  <w:bottom w:val="nil"/>
                  <w:right w:val="nil"/>
                </w:tcBorders>
                <w:shd w:val="clear" w:color="auto" w:fill="CAE7F3" w:themeFill="accent1" w:themeFillTint="33"/>
                <w:noWrap/>
                <w:vAlign w:val="bottom"/>
                <w:hideMark/>
              </w:tcPr>
              <w:p w14:paraId="0DE5FF5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103.0</w:t>
                </w:r>
              </w:p>
            </w:tc>
          </w:tr>
          <w:tr w:rsidR="00830FDC" w:rsidRPr="00F63634" w14:paraId="3A84A6F2"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714F635"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Queensland</w:t>
                </w:r>
                <w:r>
                  <w:rPr>
                    <w:color w:val="595A5B" w:themeColor="text1"/>
                    <w:sz w:val="12"/>
                    <w:szCs w:val="16"/>
                    <w:lang w:eastAsia="en-AU"/>
                  </w:rPr>
                  <w:t xml:space="preserve"> — </w:t>
                </w:r>
                <w:r w:rsidRPr="009820E8">
                  <w:rPr>
                    <w:color w:val="595A5B" w:themeColor="text1"/>
                    <w:sz w:val="12"/>
                    <w:szCs w:val="16"/>
                    <w:lang w:eastAsia="en-AU"/>
                  </w:rPr>
                  <w:t>Outback</w:t>
                </w:r>
              </w:p>
            </w:tc>
            <w:tc>
              <w:tcPr>
                <w:tcW w:w="661" w:type="dxa"/>
                <w:tcBorders>
                  <w:top w:val="nil"/>
                  <w:left w:val="nil"/>
                  <w:bottom w:val="nil"/>
                  <w:right w:val="nil"/>
                </w:tcBorders>
                <w:shd w:val="clear" w:color="auto" w:fill="CAE7F3" w:themeFill="accent1" w:themeFillTint="33"/>
                <w:noWrap/>
                <w:vAlign w:val="bottom"/>
                <w:hideMark/>
              </w:tcPr>
              <w:p w14:paraId="2A3637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305.7</w:t>
                </w:r>
              </w:p>
            </w:tc>
            <w:tc>
              <w:tcPr>
                <w:tcW w:w="662" w:type="dxa"/>
                <w:tcBorders>
                  <w:top w:val="nil"/>
                  <w:left w:val="nil"/>
                  <w:bottom w:val="nil"/>
                  <w:right w:val="nil"/>
                </w:tcBorders>
                <w:shd w:val="clear" w:color="auto" w:fill="CAE7F3" w:themeFill="accent1" w:themeFillTint="33"/>
                <w:noWrap/>
                <w:vAlign w:val="bottom"/>
                <w:hideMark/>
              </w:tcPr>
              <w:p w14:paraId="7D00F64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12.0</w:t>
                </w:r>
              </w:p>
            </w:tc>
            <w:tc>
              <w:tcPr>
                <w:tcW w:w="662" w:type="dxa"/>
                <w:tcBorders>
                  <w:top w:val="nil"/>
                  <w:left w:val="nil"/>
                  <w:bottom w:val="nil"/>
                  <w:right w:val="nil"/>
                </w:tcBorders>
                <w:shd w:val="clear" w:color="auto" w:fill="CAE7F3" w:themeFill="accent1" w:themeFillTint="33"/>
                <w:noWrap/>
                <w:vAlign w:val="bottom"/>
                <w:hideMark/>
              </w:tcPr>
              <w:p w14:paraId="28F5C7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24.0</w:t>
                </w:r>
              </w:p>
            </w:tc>
            <w:tc>
              <w:tcPr>
                <w:tcW w:w="662" w:type="dxa"/>
                <w:tcBorders>
                  <w:top w:val="nil"/>
                  <w:left w:val="nil"/>
                  <w:bottom w:val="nil"/>
                  <w:right w:val="nil"/>
                </w:tcBorders>
                <w:shd w:val="clear" w:color="auto" w:fill="CAE7F3" w:themeFill="accent1" w:themeFillTint="33"/>
                <w:noWrap/>
                <w:vAlign w:val="bottom"/>
                <w:hideMark/>
              </w:tcPr>
              <w:p w14:paraId="77F390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1" w:type="dxa"/>
                <w:tcBorders>
                  <w:top w:val="nil"/>
                  <w:left w:val="nil"/>
                  <w:bottom w:val="nil"/>
                  <w:right w:val="nil"/>
                </w:tcBorders>
                <w:shd w:val="clear" w:color="auto" w:fill="CAE7F3" w:themeFill="accent1" w:themeFillTint="33"/>
                <w:noWrap/>
                <w:vAlign w:val="bottom"/>
                <w:hideMark/>
              </w:tcPr>
              <w:p w14:paraId="55FA98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119.7</w:t>
                </w:r>
              </w:p>
            </w:tc>
            <w:tc>
              <w:tcPr>
                <w:tcW w:w="662" w:type="dxa"/>
                <w:tcBorders>
                  <w:top w:val="nil"/>
                  <w:left w:val="nil"/>
                  <w:bottom w:val="nil"/>
                  <w:right w:val="nil"/>
                </w:tcBorders>
                <w:shd w:val="clear" w:color="auto" w:fill="CAE7F3" w:themeFill="accent1" w:themeFillTint="33"/>
                <w:noWrap/>
                <w:vAlign w:val="bottom"/>
                <w:hideMark/>
              </w:tcPr>
              <w:p w14:paraId="09C2BE1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w:t>
                </w:r>
              </w:p>
            </w:tc>
            <w:tc>
              <w:tcPr>
                <w:tcW w:w="662" w:type="dxa"/>
                <w:tcBorders>
                  <w:top w:val="nil"/>
                  <w:left w:val="nil"/>
                  <w:bottom w:val="nil"/>
                  <w:right w:val="nil"/>
                </w:tcBorders>
                <w:shd w:val="clear" w:color="auto" w:fill="CAE7F3" w:themeFill="accent1" w:themeFillTint="33"/>
                <w:noWrap/>
                <w:vAlign w:val="bottom"/>
                <w:hideMark/>
              </w:tcPr>
              <w:p w14:paraId="0F04398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43.7</w:t>
                </w:r>
              </w:p>
            </w:tc>
            <w:tc>
              <w:tcPr>
                <w:tcW w:w="662" w:type="dxa"/>
                <w:tcBorders>
                  <w:top w:val="nil"/>
                  <w:left w:val="nil"/>
                  <w:bottom w:val="nil"/>
                  <w:right w:val="nil"/>
                </w:tcBorders>
                <w:shd w:val="clear" w:color="auto" w:fill="CAE7F3" w:themeFill="accent1" w:themeFillTint="33"/>
                <w:noWrap/>
                <w:vAlign w:val="bottom"/>
                <w:hideMark/>
              </w:tcPr>
              <w:p w14:paraId="301EAA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45.7</w:t>
                </w:r>
              </w:p>
            </w:tc>
            <w:tc>
              <w:tcPr>
                <w:tcW w:w="662" w:type="dxa"/>
                <w:tcBorders>
                  <w:top w:val="nil"/>
                  <w:left w:val="nil"/>
                  <w:bottom w:val="nil"/>
                  <w:right w:val="nil"/>
                </w:tcBorders>
                <w:shd w:val="clear" w:color="auto" w:fill="CAE7F3" w:themeFill="accent1" w:themeFillTint="33"/>
                <w:noWrap/>
                <w:vAlign w:val="bottom"/>
                <w:hideMark/>
              </w:tcPr>
              <w:p w14:paraId="2383E4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54.2</w:t>
                </w:r>
              </w:p>
            </w:tc>
            <w:tc>
              <w:tcPr>
                <w:tcW w:w="661" w:type="dxa"/>
                <w:tcBorders>
                  <w:top w:val="nil"/>
                  <w:left w:val="nil"/>
                  <w:bottom w:val="nil"/>
                  <w:right w:val="nil"/>
                </w:tcBorders>
                <w:shd w:val="clear" w:color="auto" w:fill="CAE7F3" w:themeFill="accent1" w:themeFillTint="33"/>
                <w:noWrap/>
                <w:vAlign w:val="bottom"/>
                <w:hideMark/>
              </w:tcPr>
              <w:p w14:paraId="15E6088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34E193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26.0</w:t>
                </w:r>
              </w:p>
            </w:tc>
            <w:tc>
              <w:tcPr>
                <w:tcW w:w="662" w:type="dxa"/>
                <w:tcBorders>
                  <w:top w:val="nil"/>
                  <w:left w:val="nil"/>
                  <w:bottom w:val="nil"/>
                  <w:right w:val="nil"/>
                </w:tcBorders>
                <w:shd w:val="clear" w:color="auto" w:fill="CAE7F3" w:themeFill="accent1" w:themeFillTint="33"/>
                <w:noWrap/>
                <w:vAlign w:val="bottom"/>
                <w:hideMark/>
              </w:tcPr>
              <w:p w14:paraId="4CE891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57.5</w:t>
                </w:r>
              </w:p>
            </w:tc>
            <w:tc>
              <w:tcPr>
                <w:tcW w:w="662" w:type="dxa"/>
                <w:tcBorders>
                  <w:top w:val="nil"/>
                  <w:left w:val="nil"/>
                  <w:bottom w:val="nil"/>
                  <w:right w:val="nil"/>
                </w:tcBorders>
                <w:shd w:val="clear" w:color="auto" w:fill="CAE7F3" w:themeFill="accent1" w:themeFillTint="33"/>
                <w:noWrap/>
                <w:vAlign w:val="bottom"/>
                <w:hideMark/>
              </w:tcPr>
              <w:p w14:paraId="1121CB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30.5</w:t>
                </w:r>
              </w:p>
            </w:tc>
            <w:tc>
              <w:tcPr>
                <w:tcW w:w="662" w:type="dxa"/>
                <w:tcBorders>
                  <w:top w:val="nil"/>
                  <w:left w:val="nil"/>
                  <w:bottom w:val="nil"/>
                  <w:right w:val="nil"/>
                </w:tcBorders>
                <w:shd w:val="clear" w:color="auto" w:fill="CAE7F3" w:themeFill="accent1" w:themeFillTint="33"/>
                <w:noWrap/>
                <w:vAlign w:val="bottom"/>
                <w:hideMark/>
              </w:tcPr>
              <w:p w14:paraId="58998F2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29.7</w:t>
                </w:r>
              </w:p>
            </w:tc>
            <w:tc>
              <w:tcPr>
                <w:tcW w:w="661" w:type="dxa"/>
                <w:tcBorders>
                  <w:top w:val="nil"/>
                  <w:left w:val="nil"/>
                  <w:bottom w:val="nil"/>
                  <w:right w:val="nil"/>
                </w:tcBorders>
                <w:shd w:val="clear" w:color="auto" w:fill="CAE7F3" w:themeFill="accent1" w:themeFillTint="33"/>
                <w:noWrap/>
                <w:vAlign w:val="bottom"/>
                <w:hideMark/>
              </w:tcPr>
              <w:p w14:paraId="1614AF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2" w:type="dxa"/>
                <w:tcBorders>
                  <w:top w:val="nil"/>
                  <w:left w:val="nil"/>
                  <w:bottom w:val="nil"/>
                  <w:right w:val="nil"/>
                </w:tcBorders>
                <w:shd w:val="clear" w:color="auto" w:fill="CAE7F3" w:themeFill="accent1" w:themeFillTint="33"/>
                <w:noWrap/>
                <w:vAlign w:val="bottom"/>
                <w:hideMark/>
              </w:tcPr>
              <w:p w14:paraId="32A7D6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w:t>
                </w:r>
              </w:p>
            </w:tc>
            <w:tc>
              <w:tcPr>
                <w:tcW w:w="662" w:type="dxa"/>
                <w:tcBorders>
                  <w:top w:val="nil"/>
                  <w:left w:val="nil"/>
                  <w:bottom w:val="nil"/>
                  <w:right w:val="nil"/>
                </w:tcBorders>
                <w:shd w:val="clear" w:color="auto" w:fill="CAE7F3" w:themeFill="accent1" w:themeFillTint="33"/>
                <w:noWrap/>
                <w:vAlign w:val="bottom"/>
                <w:hideMark/>
              </w:tcPr>
              <w:p w14:paraId="6BE3C1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w:t>
                </w:r>
              </w:p>
            </w:tc>
            <w:tc>
              <w:tcPr>
                <w:tcW w:w="662" w:type="dxa"/>
                <w:tcBorders>
                  <w:top w:val="nil"/>
                  <w:left w:val="nil"/>
                  <w:bottom w:val="nil"/>
                  <w:right w:val="nil"/>
                </w:tcBorders>
                <w:shd w:val="clear" w:color="auto" w:fill="CAE7F3" w:themeFill="accent1" w:themeFillTint="33"/>
                <w:noWrap/>
                <w:vAlign w:val="bottom"/>
                <w:hideMark/>
              </w:tcPr>
              <w:p w14:paraId="1B7B9CF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w:t>
                </w:r>
              </w:p>
            </w:tc>
            <w:tc>
              <w:tcPr>
                <w:tcW w:w="662" w:type="dxa"/>
                <w:tcBorders>
                  <w:top w:val="nil"/>
                  <w:left w:val="nil"/>
                  <w:bottom w:val="nil"/>
                  <w:right w:val="nil"/>
                </w:tcBorders>
                <w:shd w:val="clear" w:color="auto" w:fill="CAE7F3" w:themeFill="accent1" w:themeFillTint="33"/>
                <w:noWrap/>
                <w:vAlign w:val="bottom"/>
                <w:hideMark/>
              </w:tcPr>
              <w:p w14:paraId="70424CA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41.5</w:t>
                </w:r>
              </w:p>
            </w:tc>
          </w:tr>
          <w:tr w:rsidR="00830FDC" w:rsidRPr="00F63634" w14:paraId="3790976B"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E0575F2"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Special Purpose Codes SA4 (Qld)</w:t>
                </w:r>
              </w:p>
            </w:tc>
            <w:tc>
              <w:tcPr>
                <w:tcW w:w="661" w:type="dxa"/>
                <w:tcBorders>
                  <w:top w:val="nil"/>
                  <w:left w:val="nil"/>
                  <w:bottom w:val="nil"/>
                  <w:right w:val="nil"/>
                </w:tcBorders>
                <w:shd w:val="clear" w:color="auto" w:fill="CAE7F3" w:themeFill="accent1" w:themeFillTint="33"/>
                <w:noWrap/>
                <w:vAlign w:val="bottom"/>
                <w:hideMark/>
              </w:tcPr>
              <w:p w14:paraId="028A8B3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126.3</w:t>
                </w:r>
              </w:p>
            </w:tc>
            <w:tc>
              <w:tcPr>
                <w:tcW w:w="662" w:type="dxa"/>
                <w:tcBorders>
                  <w:top w:val="nil"/>
                  <w:left w:val="nil"/>
                  <w:bottom w:val="nil"/>
                  <w:right w:val="nil"/>
                </w:tcBorders>
                <w:shd w:val="clear" w:color="auto" w:fill="CAE7F3" w:themeFill="accent1" w:themeFillTint="33"/>
                <w:noWrap/>
                <w:vAlign w:val="bottom"/>
                <w:hideMark/>
              </w:tcPr>
              <w:p w14:paraId="180AE58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w:t>
                </w:r>
              </w:p>
            </w:tc>
            <w:tc>
              <w:tcPr>
                <w:tcW w:w="662" w:type="dxa"/>
                <w:tcBorders>
                  <w:top w:val="nil"/>
                  <w:left w:val="nil"/>
                  <w:bottom w:val="nil"/>
                  <w:right w:val="nil"/>
                </w:tcBorders>
                <w:shd w:val="clear" w:color="auto" w:fill="CAE7F3" w:themeFill="accent1" w:themeFillTint="33"/>
                <w:noWrap/>
                <w:vAlign w:val="bottom"/>
                <w:hideMark/>
              </w:tcPr>
              <w:p w14:paraId="7514B9F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21.5</w:t>
                </w:r>
              </w:p>
            </w:tc>
            <w:tc>
              <w:tcPr>
                <w:tcW w:w="662" w:type="dxa"/>
                <w:tcBorders>
                  <w:top w:val="nil"/>
                  <w:left w:val="nil"/>
                  <w:bottom w:val="nil"/>
                  <w:right w:val="nil"/>
                </w:tcBorders>
                <w:shd w:val="clear" w:color="auto" w:fill="CAE7F3" w:themeFill="accent1" w:themeFillTint="33"/>
                <w:noWrap/>
                <w:vAlign w:val="bottom"/>
                <w:hideMark/>
              </w:tcPr>
              <w:p w14:paraId="372E6F7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w:t>
                </w:r>
              </w:p>
            </w:tc>
            <w:tc>
              <w:tcPr>
                <w:tcW w:w="661" w:type="dxa"/>
                <w:tcBorders>
                  <w:top w:val="nil"/>
                  <w:left w:val="nil"/>
                  <w:bottom w:val="nil"/>
                  <w:right w:val="nil"/>
                </w:tcBorders>
                <w:shd w:val="clear" w:color="auto" w:fill="CAE7F3" w:themeFill="accent1" w:themeFillTint="33"/>
                <w:noWrap/>
                <w:vAlign w:val="bottom"/>
                <w:hideMark/>
              </w:tcPr>
              <w:p w14:paraId="0B7676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69.7</w:t>
                </w:r>
              </w:p>
            </w:tc>
            <w:tc>
              <w:tcPr>
                <w:tcW w:w="662" w:type="dxa"/>
                <w:tcBorders>
                  <w:top w:val="nil"/>
                  <w:left w:val="nil"/>
                  <w:bottom w:val="nil"/>
                  <w:right w:val="nil"/>
                </w:tcBorders>
                <w:shd w:val="clear" w:color="auto" w:fill="CAE7F3" w:themeFill="accent1" w:themeFillTint="33"/>
                <w:noWrap/>
                <w:vAlign w:val="bottom"/>
                <w:hideMark/>
              </w:tcPr>
              <w:p w14:paraId="5AA92F4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21.7</w:t>
                </w:r>
              </w:p>
            </w:tc>
            <w:tc>
              <w:tcPr>
                <w:tcW w:w="662" w:type="dxa"/>
                <w:tcBorders>
                  <w:top w:val="nil"/>
                  <w:left w:val="nil"/>
                  <w:bottom w:val="nil"/>
                  <w:right w:val="nil"/>
                </w:tcBorders>
                <w:shd w:val="clear" w:color="auto" w:fill="CAE7F3" w:themeFill="accent1" w:themeFillTint="33"/>
                <w:noWrap/>
                <w:vAlign w:val="bottom"/>
                <w:hideMark/>
              </w:tcPr>
              <w:p w14:paraId="278772D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49.8</w:t>
                </w:r>
              </w:p>
            </w:tc>
            <w:tc>
              <w:tcPr>
                <w:tcW w:w="662" w:type="dxa"/>
                <w:tcBorders>
                  <w:top w:val="nil"/>
                  <w:left w:val="nil"/>
                  <w:bottom w:val="nil"/>
                  <w:right w:val="nil"/>
                </w:tcBorders>
                <w:shd w:val="clear" w:color="auto" w:fill="CAE7F3" w:themeFill="accent1" w:themeFillTint="33"/>
                <w:noWrap/>
                <w:vAlign w:val="bottom"/>
                <w:hideMark/>
              </w:tcPr>
              <w:p w14:paraId="124C5C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45.5</w:t>
                </w:r>
              </w:p>
            </w:tc>
            <w:tc>
              <w:tcPr>
                <w:tcW w:w="662" w:type="dxa"/>
                <w:tcBorders>
                  <w:top w:val="nil"/>
                  <w:left w:val="nil"/>
                  <w:bottom w:val="nil"/>
                  <w:right w:val="nil"/>
                </w:tcBorders>
                <w:shd w:val="clear" w:color="auto" w:fill="CAE7F3" w:themeFill="accent1" w:themeFillTint="33"/>
                <w:noWrap/>
                <w:vAlign w:val="bottom"/>
                <w:hideMark/>
              </w:tcPr>
              <w:p w14:paraId="1672159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27.3</w:t>
                </w:r>
              </w:p>
            </w:tc>
            <w:tc>
              <w:tcPr>
                <w:tcW w:w="661" w:type="dxa"/>
                <w:tcBorders>
                  <w:top w:val="nil"/>
                  <w:left w:val="nil"/>
                  <w:bottom w:val="nil"/>
                  <w:right w:val="nil"/>
                </w:tcBorders>
                <w:shd w:val="clear" w:color="auto" w:fill="CAE7F3" w:themeFill="accent1" w:themeFillTint="33"/>
                <w:noWrap/>
                <w:vAlign w:val="bottom"/>
                <w:hideMark/>
              </w:tcPr>
              <w:p w14:paraId="31B2EE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w:t>
                </w:r>
              </w:p>
            </w:tc>
            <w:tc>
              <w:tcPr>
                <w:tcW w:w="662" w:type="dxa"/>
                <w:tcBorders>
                  <w:top w:val="nil"/>
                  <w:left w:val="nil"/>
                  <w:bottom w:val="nil"/>
                  <w:right w:val="nil"/>
                </w:tcBorders>
                <w:shd w:val="clear" w:color="auto" w:fill="CAE7F3" w:themeFill="accent1" w:themeFillTint="33"/>
                <w:noWrap/>
                <w:vAlign w:val="bottom"/>
                <w:hideMark/>
              </w:tcPr>
              <w:p w14:paraId="3863BC1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42.7</w:t>
                </w:r>
              </w:p>
            </w:tc>
            <w:tc>
              <w:tcPr>
                <w:tcW w:w="662" w:type="dxa"/>
                <w:tcBorders>
                  <w:top w:val="nil"/>
                  <w:left w:val="nil"/>
                  <w:bottom w:val="nil"/>
                  <w:right w:val="nil"/>
                </w:tcBorders>
                <w:shd w:val="clear" w:color="auto" w:fill="CAE7F3" w:themeFill="accent1" w:themeFillTint="33"/>
                <w:noWrap/>
                <w:vAlign w:val="bottom"/>
                <w:hideMark/>
              </w:tcPr>
              <w:p w14:paraId="6533CE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54.0</w:t>
                </w:r>
              </w:p>
            </w:tc>
            <w:tc>
              <w:tcPr>
                <w:tcW w:w="662" w:type="dxa"/>
                <w:tcBorders>
                  <w:top w:val="nil"/>
                  <w:left w:val="nil"/>
                  <w:bottom w:val="nil"/>
                  <w:right w:val="nil"/>
                </w:tcBorders>
                <w:shd w:val="clear" w:color="auto" w:fill="CAE7F3" w:themeFill="accent1" w:themeFillTint="33"/>
                <w:noWrap/>
                <w:vAlign w:val="bottom"/>
                <w:hideMark/>
              </w:tcPr>
              <w:p w14:paraId="0F7B0A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45.3</w:t>
                </w:r>
              </w:p>
            </w:tc>
            <w:tc>
              <w:tcPr>
                <w:tcW w:w="662" w:type="dxa"/>
                <w:tcBorders>
                  <w:top w:val="nil"/>
                  <w:left w:val="nil"/>
                  <w:bottom w:val="nil"/>
                  <w:right w:val="nil"/>
                </w:tcBorders>
                <w:shd w:val="clear" w:color="auto" w:fill="CAE7F3" w:themeFill="accent1" w:themeFillTint="33"/>
                <w:noWrap/>
                <w:vAlign w:val="bottom"/>
                <w:hideMark/>
              </w:tcPr>
              <w:p w14:paraId="7E52314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23.2</w:t>
                </w:r>
              </w:p>
            </w:tc>
            <w:tc>
              <w:tcPr>
                <w:tcW w:w="661" w:type="dxa"/>
                <w:tcBorders>
                  <w:top w:val="nil"/>
                  <w:left w:val="nil"/>
                  <w:bottom w:val="nil"/>
                  <w:right w:val="nil"/>
                </w:tcBorders>
                <w:shd w:val="clear" w:color="auto" w:fill="CAE7F3" w:themeFill="accent1" w:themeFillTint="33"/>
                <w:noWrap/>
                <w:vAlign w:val="bottom"/>
                <w:hideMark/>
              </w:tcPr>
              <w:p w14:paraId="323A26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w:t>
                </w:r>
              </w:p>
            </w:tc>
            <w:tc>
              <w:tcPr>
                <w:tcW w:w="662" w:type="dxa"/>
                <w:tcBorders>
                  <w:top w:val="nil"/>
                  <w:left w:val="nil"/>
                  <w:bottom w:val="nil"/>
                  <w:right w:val="nil"/>
                </w:tcBorders>
                <w:shd w:val="clear" w:color="auto" w:fill="CAE7F3" w:themeFill="accent1" w:themeFillTint="33"/>
                <w:noWrap/>
                <w:vAlign w:val="bottom"/>
                <w:hideMark/>
              </w:tcPr>
              <w:p w14:paraId="7BEE3EA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w:t>
                </w:r>
              </w:p>
            </w:tc>
            <w:tc>
              <w:tcPr>
                <w:tcW w:w="662" w:type="dxa"/>
                <w:tcBorders>
                  <w:top w:val="nil"/>
                  <w:left w:val="nil"/>
                  <w:bottom w:val="nil"/>
                  <w:right w:val="nil"/>
                </w:tcBorders>
                <w:shd w:val="clear" w:color="auto" w:fill="CAE7F3" w:themeFill="accent1" w:themeFillTint="33"/>
                <w:noWrap/>
                <w:vAlign w:val="bottom"/>
                <w:hideMark/>
              </w:tcPr>
              <w:p w14:paraId="7DE5E2B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31.2</w:t>
                </w:r>
              </w:p>
            </w:tc>
            <w:tc>
              <w:tcPr>
                <w:tcW w:w="662" w:type="dxa"/>
                <w:tcBorders>
                  <w:top w:val="nil"/>
                  <w:left w:val="nil"/>
                  <w:bottom w:val="nil"/>
                  <w:right w:val="nil"/>
                </w:tcBorders>
                <w:shd w:val="clear" w:color="auto" w:fill="CAE7F3" w:themeFill="accent1" w:themeFillTint="33"/>
                <w:noWrap/>
                <w:vAlign w:val="bottom"/>
                <w:hideMark/>
              </w:tcPr>
              <w:p w14:paraId="77371E6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w:t>
                </w:r>
              </w:p>
            </w:tc>
            <w:tc>
              <w:tcPr>
                <w:tcW w:w="662" w:type="dxa"/>
                <w:tcBorders>
                  <w:top w:val="nil"/>
                  <w:left w:val="nil"/>
                  <w:bottom w:val="nil"/>
                  <w:right w:val="nil"/>
                </w:tcBorders>
                <w:shd w:val="clear" w:color="auto" w:fill="CAE7F3" w:themeFill="accent1" w:themeFillTint="33"/>
                <w:noWrap/>
                <w:vAlign w:val="bottom"/>
                <w:hideMark/>
              </w:tcPr>
              <w:p w14:paraId="18956D5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29.0</w:t>
                </w:r>
              </w:p>
            </w:tc>
          </w:tr>
          <w:tr w:rsidR="00830FDC" w:rsidRPr="00F63634" w14:paraId="79932887"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410DC48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Sunshine Coast</w:t>
                </w:r>
              </w:p>
            </w:tc>
            <w:tc>
              <w:tcPr>
                <w:tcW w:w="661" w:type="dxa"/>
                <w:tcBorders>
                  <w:top w:val="nil"/>
                  <w:left w:val="nil"/>
                  <w:bottom w:val="nil"/>
                  <w:right w:val="nil"/>
                </w:tcBorders>
                <w:shd w:val="clear" w:color="auto" w:fill="CAE7F3" w:themeFill="accent1" w:themeFillTint="33"/>
                <w:noWrap/>
                <w:vAlign w:val="bottom"/>
                <w:hideMark/>
              </w:tcPr>
              <w:p w14:paraId="483955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149.2</w:t>
                </w:r>
              </w:p>
            </w:tc>
            <w:tc>
              <w:tcPr>
                <w:tcW w:w="662" w:type="dxa"/>
                <w:tcBorders>
                  <w:top w:val="nil"/>
                  <w:left w:val="nil"/>
                  <w:bottom w:val="nil"/>
                  <w:right w:val="nil"/>
                </w:tcBorders>
                <w:shd w:val="clear" w:color="auto" w:fill="CAE7F3" w:themeFill="accent1" w:themeFillTint="33"/>
                <w:noWrap/>
                <w:vAlign w:val="bottom"/>
                <w:hideMark/>
              </w:tcPr>
              <w:p w14:paraId="5A7F82D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17.3</w:t>
                </w:r>
              </w:p>
            </w:tc>
            <w:tc>
              <w:tcPr>
                <w:tcW w:w="662" w:type="dxa"/>
                <w:tcBorders>
                  <w:top w:val="nil"/>
                  <w:left w:val="nil"/>
                  <w:bottom w:val="nil"/>
                  <w:right w:val="nil"/>
                </w:tcBorders>
                <w:shd w:val="clear" w:color="auto" w:fill="CAE7F3" w:themeFill="accent1" w:themeFillTint="33"/>
                <w:noWrap/>
                <w:vAlign w:val="bottom"/>
                <w:hideMark/>
              </w:tcPr>
              <w:p w14:paraId="68CAA29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162.0</w:t>
                </w:r>
              </w:p>
            </w:tc>
            <w:tc>
              <w:tcPr>
                <w:tcW w:w="662" w:type="dxa"/>
                <w:tcBorders>
                  <w:top w:val="nil"/>
                  <w:left w:val="nil"/>
                  <w:bottom w:val="nil"/>
                  <w:right w:val="nil"/>
                </w:tcBorders>
                <w:shd w:val="clear" w:color="auto" w:fill="CAE7F3" w:themeFill="accent1" w:themeFillTint="33"/>
                <w:noWrap/>
                <w:vAlign w:val="bottom"/>
                <w:hideMark/>
              </w:tcPr>
              <w:p w14:paraId="40CCF8D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16.7</w:t>
                </w:r>
              </w:p>
            </w:tc>
            <w:tc>
              <w:tcPr>
                <w:tcW w:w="661" w:type="dxa"/>
                <w:tcBorders>
                  <w:top w:val="nil"/>
                  <w:left w:val="nil"/>
                  <w:bottom w:val="nil"/>
                  <w:right w:val="nil"/>
                </w:tcBorders>
                <w:shd w:val="clear" w:color="auto" w:fill="CAE7F3" w:themeFill="accent1" w:themeFillTint="33"/>
                <w:noWrap/>
                <w:vAlign w:val="bottom"/>
                <w:hideMark/>
              </w:tcPr>
              <w:p w14:paraId="127406F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1022.8</w:t>
                </w:r>
              </w:p>
            </w:tc>
            <w:tc>
              <w:tcPr>
                <w:tcW w:w="662" w:type="dxa"/>
                <w:tcBorders>
                  <w:top w:val="nil"/>
                  <w:left w:val="nil"/>
                  <w:bottom w:val="nil"/>
                  <w:right w:val="nil"/>
                </w:tcBorders>
                <w:shd w:val="clear" w:color="auto" w:fill="CAE7F3" w:themeFill="accent1" w:themeFillTint="33"/>
                <w:noWrap/>
                <w:vAlign w:val="bottom"/>
                <w:hideMark/>
              </w:tcPr>
              <w:p w14:paraId="083CBD1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139.0</w:t>
                </w:r>
              </w:p>
            </w:tc>
            <w:tc>
              <w:tcPr>
                <w:tcW w:w="662" w:type="dxa"/>
                <w:tcBorders>
                  <w:top w:val="nil"/>
                  <w:left w:val="nil"/>
                  <w:bottom w:val="nil"/>
                  <w:right w:val="nil"/>
                </w:tcBorders>
                <w:shd w:val="clear" w:color="auto" w:fill="CAE7F3" w:themeFill="accent1" w:themeFillTint="33"/>
                <w:noWrap/>
                <w:vAlign w:val="bottom"/>
                <w:hideMark/>
              </w:tcPr>
              <w:p w14:paraId="1D2E5F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349.3</w:t>
                </w:r>
              </w:p>
            </w:tc>
            <w:tc>
              <w:tcPr>
                <w:tcW w:w="662" w:type="dxa"/>
                <w:tcBorders>
                  <w:top w:val="nil"/>
                  <w:left w:val="nil"/>
                  <w:bottom w:val="nil"/>
                  <w:right w:val="nil"/>
                </w:tcBorders>
                <w:shd w:val="clear" w:color="auto" w:fill="CAE7F3" w:themeFill="accent1" w:themeFillTint="33"/>
                <w:noWrap/>
                <w:vAlign w:val="bottom"/>
                <w:hideMark/>
              </w:tcPr>
              <w:p w14:paraId="170C537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228.7</w:t>
                </w:r>
              </w:p>
            </w:tc>
            <w:tc>
              <w:tcPr>
                <w:tcW w:w="662" w:type="dxa"/>
                <w:tcBorders>
                  <w:top w:val="nil"/>
                  <w:left w:val="nil"/>
                  <w:bottom w:val="nil"/>
                  <w:right w:val="nil"/>
                </w:tcBorders>
                <w:shd w:val="clear" w:color="auto" w:fill="CAE7F3" w:themeFill="accent1" w:themeFillTint="33"/>
                <w:noWrap/>
                <w:vAlign w:val="bottom"/>
                <w:hideMark/>
              </w:tcPr>
              <w:p w14:paraId="4EEBB5C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205.0</w:t>
                </w:r>
              </w:p>
            </w:tc>
            <w:tc>
              <w:tcPr>
                <w:tcW w:w="661" w:type="dxa"/>
                <w:tcBorders>
                  <w:top w:val="nil"/>
                  <w:left w:val="nil"/>
                  <w:bottom w:val="nil"/>
                  <w:right w:val="nil"/>
                </w:tcBorders>
                <w:shd w:val="clear" w:color="auto" w:fill="CAE7F3" w:themeFill="accent1" w:themeFillTint="33"/>
                <w:noWrap/>
                <w:vAlign w:val="bottom"/>
                <w:hideMark/>
              </w:tcPr>
              <w:p w14:paraId="43AA80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45.3</w:t>
                </w:r>
              </w:p>
            </w:tc>
            <w:tc>
              <w:tcPr>
                <w:tcW w:w="662" w:type="dxa"/>
                <w:tcBorders>
                  <w:top w:val="nil"/>
                  <w:left w:val="nil"/>
                  <w:bottom w:val="nil"/>
                  <w:right w:val="nil"/>
                </w:tcBorders>
                <w:shd w:val="clear" w:color="auto" w:fill="CAE7F3" w:themeFill="accent1" w:themeFillTint="33"/>
                <w:noWrap/>
                <w:vAlign w:val="bottom"/>
                <w:hideMark/>
              </w:tcPr>
              <w:p w14:paraId="7EFF08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376.7</w:t>
                </w:r>
              </w:p>
            </w:tc>
            <w:tc>
              <w:tcPr>
                <w:tcW w:w="662" w:type="dxa"/>
                <w:tcBorders>
                  <w:top w:val="nil"/>
                  <w:left w:val="nil"/>
                  <w:bottom w:val="nil"/>
                  <w:right w:val="nil"/>
                </w:tcBorders>
                <w:shd w:val="clear" w:color="auto" w:fill="CAE7F3" w:themeFill="accent1" w:themeFillTint="33"/>
                <w:noWrap/>
                <w:vAlign w:val="bottom"/>
                <w:hideMark/>
              </w:tcPr>
              <w:p w14:paraId="18F6F7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437.7</w:t>
                </w:r>
              </w:p>
            </w:tc>
            <w:tc>
              <w:tcPr>
                <w:tcW w:w="662" w:type="dxa"/>
                <w:tcBorders>
                  <w:top w:val="nil"/>
                  <w:left w:val="nil"/>
                  <w:bottom w:val="nil"/>
                  <w:right w:val="nil"/>
                </w:tcBorders>
                <w:shd w:val="clear" w:color="auto" w:fill="CAE7F3" w:themeFill="accent1" w:themeFillTint="33"/>
                <w:noWrap/>
                <w:vAlign w:val="bottom"/>
                <w:hideMark/>
              </w:tcPr>
              <w:p w14:paraId="557E65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538.7</w:t>
                </w:r>
              </w:p>
            </w:tc>
            <w:tc>
              <w:tcPr>
                <w:tcW w:w="662" w:type="dxa"/>
                <w:tcBorders>
                  <w:top w:val="nil"/>
                  <w:left w:val="nil"/>
                  <w:bottom w:val="nil"/>
                  <w:right w:val="nil"/>
                </w:tcBorders>
                <w:shd w:val="clear" w:color="auto" w:fill="CAE7F3" w:themeFill="accent1" w:themeFillTint="33"/>
                <w:noWrap/>
                <w:vAlign w:val="bottom"/>
                <w:hideMark/>
              </w:tcPr>
              <w:p w14:paraId="6D0382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228.0</w:t>
                </w:r>
              </w:p>
            </w:tc>
            <w:tc>
              <w:tcPr>
                <w:tcW w:w="661" w:type="dxa"/>
                <w:tcBorders>
                  <w:top w:val="nil"/>
                  <w:left w:val="nil"/>
                  <w:bottom w:val="nil"/>
                  <w:right w:val="nil"/>
                </w:tcBorders>
                <w:shd w:val="clear" w:color="auto" w:fill="CAE7F3" w:themeFill="accent1" w:themeFillTint="33"/>
                <w:noWrap/>
                <w:vAlign w:val="bottom"/>
                <w:hideMark/>
              </w:tcPr>
              <w:p w14:paraId="3AA0B0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19.0</w:t>
                </w:r>
              </w:p>
            </w:tc>
            <w:tc>
              <w:tcPr>
                <w:tcW w:w="662" w:type="dxa"/>
                <w:tcBorders>
                  <w:top w:val="nil"/>
                  <w:left w:val="nil"/>
                  <w:bottom w:val="nil"/>
                  <w:right w:val="nil"/>
                </w:tcBorders>
                <w:shd w:val="clear" w:color="auto" w:fill="CAE7F3" w:themeFill="accent1" w:themeFillTint="33"/>
                <w:noWrap/>
                <w:vAlign w:val="bottom"/>
                <w:hideMark/>
              </w:tcPr>
              <w:p w14:paraId="41B2E7C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75.7</w:t>
                </w:r>
              </w:p>
            </w:tc>
            <w:tc>
              <w:tcPr>
                <w:tcW w:w="662" w:type="dxa"/>
                <w:tcBorders>
                  <w:top w:val="nil"/>
                  <w:left w:val="nil"/>
                  <w:bottom w:val="nil"/>
                  <w:right w:val="nil"/>
                </w:tcBorders>
                <w:shd w:val="clear" w:color="auto" w:fill="CAE7F3" w:themeFill="accent1" w:themeFillTint="33"/>
                <w:noWrap/>
                <w:vAlign w:val="bottom"/>
                <w:hideMark/>
              </w:tcPr>
              <w:p w14:paraId="077184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209.0</w:t>
                </w:r>
              </w:p>
            </w:tc>
            <w:tc>
              <w:tcPr>
                <w:tcW w:w="662" w:type="dxa"/>
                <w:tcBorders>
                  <w:top w:val="nil"/>
                  <w:left w:val="nil"/>
                  <w:bottom w:val="nil"/>
                  <w:right w:val="nil"/>
                </w:tcBorders>
                <w:shd w:val="clear" w:color="auto" w:fill="CAE7F3" w:themeFill="accent1" w:themeFillTint="33"/>
                <w:noWrap/>
                <w:vAlign w:val="bottom"/>
                <w:hideMark/>
              </w:tcPr>
              <w:p w14:paraId="28FB7E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70.0</w:t>
                </w:r>
              </w:p>
            </w:tc>
            <w:tc>
              <w:tcPr>
                <w:tcW w:w="662" w:type="dxa"/>
                <w:tcBorders>
                  <w:top w:val="nil"/>
                  <w:left w:val="nil"/>
                  <w:bottom w:val="nil"/>
                  <w:right w:val="nil"/>
                </w:tcBorders>
                <w:shd w:val="clear" w:color="auto" w:fill="CAE7F3" w:themeFill="accent1" w:themeFillTint="33"/>
                <w:noWrap/>
                <w:vAlign w:val="bottom"/>
                <w:hideMark/>
              </w:tcPr>
              <w:p w14:paraId="533A2B1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214.3</w:t>
                </w:r>
              </w:p>
            </w:tc>
          </w:tr>
          <w:tr w:rsidR="00830FDC" w:rsidRPr="00F63634" w14:paraId="4AC5CF60"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1D86BED4"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Toowoomba</w:t>
                </w:r>
              </w:p>
            </w:tc>
            <w:tc>
              <w:tcPr>
                <w:tcW w:w="661" w:type="dxa"/>
                <w:tcBorders>
                  <w:top w:val="nil"/>
                  <w:left w:val="nil"/>
                  <w:bottom w:val="nil"/>
                  <w:right w:val="nil"/>
                </w:tcBorders>
                <w:shd w:val="clear" w:color="auto" w:fill="CAE7F3" w:themeFill="accent1" w:themeFillTint="33"/>
                <w:noWrap/>
                <w:vAlign w:val="bottom"/>
                <w:hideMark/>
              </w:tcPr>
              <w:p w14:paraId="5553813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122.0</w:t>
                </w:r>
              </w:p>
            </w:tc>
            <w:tc>
              <w:tcPr>
                <w:tcW w:w="662" w:type="dxa"/>
                <w:tcBorders>
                  <w:top w:val="nil"/>
                  <w:left w:val="nil"/>
                  <w:bottom w:val="nil"/>
                  <w:right w:val="nil"/>
                </w:tcBorders>
                <w:shd w:val="clear" w:color="auto" w:fill="CAE7F3" w:themeFill="accent1" w:themeFillTint="33"/>
                <w:noWrap/>
                <w:vAlign w:val="bottom"/>
                <w:hideMark/>
              </w:tcPr>
              <w:p w14:paraId="7F8FF4C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w:t>
                </w:r>
              </w:p>
            </w:tc>
            <w:tc>
              <w:tcPr>
                <w:tcW w:w="662" w:type="dxa"/>
                <w:tcBorders>
                  <w:top w:val="nil"/>
                  <w:left w:val="nil"/>
                  <w:bottom w:val="nil"/>
                  <w:right w:val="nil"/>
                </w:tcBorders>
                <w:shd w:val="clear" w:color="auto" w:fill="CAE7F3" w:themeFill="accent1" w:themeFillTint="33"/>
                <w:noWrap/>
                <w:vAlign w:val="bottom"/>
                <w:hideMark/>
              </w:tcPr>
              <w:p w14:paraId="50AEC7D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49.2</w:t>
                </w:r>
              </w:p>
            </w:tc>
            <w:tc>
              <w:tcPr>
                <w:tcW w:w="662" w:type="dxa"/>
                <w:tcBorders>
                  <w:top w:val="nil"/>
                  <w:left w:val="nil"/>
                  <w:bottom w:val="nil"/>
                  <w:right w:val="nil"/>
                </w:tcBorders>
                <w:shd w:val="clear" w:color="auto" w:fill="CAE7F3" w:themeFill="accent1" w:themeFillTint="33"/>
                <w:noWrap/>
                <w:vAlign w:val="bottom"/>
                <w:hideMark/>
              </w:tcPr>
              <w:p w14:paraId="5C366B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1" w:type="dxa"/>
                <w:tcBorders>
                  <w:top w:val="nil"/>
                  <w:left w:val="nil"/>
                  <w:bottom w:val="nil"/>
                  <w:right w:val="nil"/>
                </w:tcBorders>
                <w:shd w:val="clear" w:color="auto" w:fill="CAE7F3" w:themeFill="accent1" w:themeFillTint="33"/>
                <w:noWrap/>
                <w:vAlign w:val="bottom"/>
                <w:hideMark/>
              </w:tcPr>
              <w:p w14:paraId="2EC46E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297.5</w:t>
                </w:r>
              </w:p>
            </w:tc>
            <w:tc>
              <w:tcPr>
                <w:tcW w:w="662" w:type="dxa"/>
                <w:tcBorders>
                  <w:top w:val="nil"/>
                  <w:left w:val="nil"/>
                  <w:bottom w:val="nil"/>
                  <w:right w:val="nil"/>
                </w:tcBorders>
                <w:shd w:val="clear" w:color="auto" w:fill="CAE7F3" w:themeFill="accent1" w:themeFillTint="33"/>
                <w:noWrap/>
                <w:vAlign w:val="bottom"/>
                <w:hideMark/>
              </w:tcPr>
              <w:p w14:paraId="40D86A2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33.7</w:t>
                </w:r>
              </w:p>
            </w:tc>
            <w:tc>
              <w:tcPr>
                <w:tcW w:w="662" w:type="dxa"/>
                <w:tcBorders>
                  <w:top w:val="nil"/>
                  <w:left w:val="nil"/>
                  <w:bottom w:val="nil"/>
                  <w:right w:val="nil"/>
                </w:tcBorders>
                <w:shd w:val="clear" w:color="auto" w:fill="CAE7F3" w:themeFill="accent1" w:themeFillTint="33"/>
                <w:noWrap/>
                <w:vAlign w:val="bottom"/>
                <w:hideMark/>
              </w:tcPr>
              <w:p w14:paraId="496E18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104.5</w:t>
                </w:r>
              </w:p>
            </w:tc>
            <w:tc>
              <w:tcPr>
                <w:tcW w:w="662" w:type="dxa"/>
                <w:tcBorders>
                  <w:top w:val="nil"/>
                  <w:left w:val="nil"/>
                  <w:bottom w:val="nil"/>
                  <w:right w:val="nil"/>
                </w:tcBorders>
                <w:shd w:val="clear" w:color="auto" w:fill="CAE7F3" w:themeFill="accent1" w:themeFillTint="33"/>
                <w:noWrap/>
                <w:vAlign w:val="bottom"/>
                <w:hideMark/>
              </w:tcPr>
              <w:p w14:paraId="1FA7985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59.8</w:t>
                </w:r>
              </w:p>
            </w:tc>
            <w:tc>
              <w:tcPr>
                <w:tcW w:w="662" w:type="dxa"/>
                <w:tcBorders>
                  <w:top w:val="nil"/>
                  <w:left w:val="nil"/>
                  <w:bottom w:val="nil"/>
                  <w:right w:val="nil"/>
                </w:tcBorders>
                <w:shd w:val="clear" w:color="auto" w:fill="CAE7F3" w:themeFill="accent1" w:themeFillTint="33"/>
                <w:noWrap/>
                <w:vAlign w:val="bottom"/>
                <w:hideMark/>
              </w:tcPr>
              <w:p w14:paraId="7B8C35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112.5</w:t>
                </w:r>
              </w:p>
            </w:tc>
            <w:tc>
              <w:tcPr>
                <w:tcW w:w="661" w:type="dxa"/>
                <w:tcBorders>
                  <w:top w:val="nil"/>
                  <w:left w:val="nil"/>
                  <w:bottom w:val="nil"/>
                  <w:right w:val="nil"/>
                </w:tcBorders>
                <w:shd w:val="clear" w:color="auto" w:fill="CAE7F3" w:themeFill="accent1" w:themeFillTint="33"/>
                <w:noWrap/>
                <w:vAlign w:val="bottom"/>
                <w:hideMark/>
              </w:tcPr>
              <w:p w14:paraId="4CE569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w:t>
                </w:r>
              </w:p>
            </w:tc>
            <w:tc>
              <w:tcPr>
                <w:tcW w:w="662" w:type="dxa"/>
                <w:tcBorders>
                  <w:top w:val="nil"/>
                  <w:left w:val="nil"/>
                  <w:bottom w:val="nil"/>
                  <w:right w:val="nil"/>
                </w:tcBorders>
                <w:shd w:val="clear" w:color="auto" w:fill="CAE7F3" w:themeFill="accent1" w:themeFillTint="33"/>
                <w:noWrap/>
                <w:vAlign w:val="bottom"/>
                <w:hideMark/>
              </w:tcPr>
              <w:p w14:paraId="180BF7B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108.7</w:t>
                </w:r>
              </w:p>
            </w:tc>
            <w:tc>
              <w:tcPr>
                <w:tcW w:w="662" w:type="dxa"/>
                <w:tcBorders>
                  <w:top w:val="nil"/>
                  <w:left w:val="nil"/>
                  <w:bottom w:val="nil"/>
                  <w:right w:val="nil"/>
                </w:tcBorders>
                <w:shd w:val="clear" w:color="auto" w:fill="CAE7F3" w:themeFill="accent1" w:themeFillTint="33"/>
                <w:noWrap/>
                <w:vAlign w:val="bottom"/>
                <w:hideMark/>
              </w:tcPr>
              <w:p w14:paraId="1E2BCAA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120.0</w:t>
                </w:r>
              </w:p>
            </w:tc>
            <w:tc>
              <w:tcPr>
                <w:tcW w:w="662" w:type="dxa"/>
                <w:tcBorders>
                  <w:top w:val="nil"/>
                  <w:left w:val="nil"/>
                  <w:bottom w:val="nil"/>
                  <w:right w:val="nil"/>
                </w:tcBorders>
                <w:shd w:val="clear" w:color="auto" w:fill="CAE7F3" w:themeFill="accent1" w:themeFillTint="33"/>
                <w:noWrap/>
                <w:vAlign w:val="bottom"/>
                <w:hideMark/>
              </w:tcPr>
              <w:p w14:paraId="110A3CF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137.7</w:t>
                </w:r>
              </w:p>
            </w:tc>
            <w:tc>
              <w:tcPr>
                <w:tcW w:w="662" w:type="dxa"/>
                <w:tcBorders>
                  <w:top w:val="nil"/>
                  <w:left w:val="nil"/>
                  <w:bottom w:val="nil"/>
                  <w:right w:val="nil"/>
                </w:tcBorders>
                <w:shd w:val="clear" w:color="auto" w:fill="CAE7F3" w:themeFill="accent1" w:themeFillTint="33"/>
                <w:noWrap/>
                <w:vAlign w:val="bottom"/>
                <w:hideMark/>
              </w:tcPr>
              <w:p w14:paraId="50D190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69.2</w:t>
                </w:r>
              </w:p>
            </w:tc>
            <w:tc>
              <w:tcPr>
                <w:tcW w:w="661" w:type="dxa"/>
                <w:tcBorders>
                  <w:top w:val="nil"/>
                  <w:left w:val="nil"/>
                  <w:bottom w:val="nil"/>
                  <w:right w:val="nil"/>
                </w:tcBorders>
                <w:shd w:val="clear" w:color="auto" w:fill="CAE7F3" w:themeFill="accent1" w:themeFillTint="33"/>
                <w:noWrap/>
                <w:vAlign w:val="bottom"/>
                <w:hideMark/>
              </w:tcPr>
              <w:p w14:paraId="12A023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246CE9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19.3</w:t>
                </w:r>
              </w:p>
            </w:tc>
            <w:tc>
              <w:tcPr>
                <w:tcW w:w="662" w:type="dxa"/>
                <w:tcBorders>
                  <w:top w:val="nil"/>
                  <w:left w:val="nil"/>
                  <w:bottom w:val="nil"/>
                  <w:right w:val="nil"/>
                </w:tcBorders>
                <w:shd w:val="clear" w:color="auto" w:fill="CAE7F3" w:themeFill="accent1" w:themeFillTint="33"/>
                <w:noWrap/>
                <w:vAlign w:val="bottom"/>
                <w:hideMark/>
              </w:tcPr>
              <w:p w14:paraId="0138A7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65.5</w:t>
                </w:r>
              </w:p>
            </w:tc>
            <w:tc>
              <w:tcPr>
                <w:tcW w:w="662" w:type="dxa"/>
                <w:tcBorders>
                  <w:top w:val="nil"/>
                  <w:left w:val="nil"/>
                  <w:bottom w:val="nil"/>
                  <w:right w:val="nil"/>
                </w:tcBorders>
                <w:shd w:val="clear" w:color="auto" w:fill="CAE7F3" w:themeFill="accent1" w:themeFillTint="33"/>
                <w:noWrap/>
                <w:vAlign w:val="bottom"/>
                <w:hideMark/>
              </w:tcPr>
              <w:p w14:paraId="757FA8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18.2</w:t>
                </w:r>
              </w:p>
            </w:tc>
            <w:tc>
              <w:tcPr>
                <w:tcW w:w="662" w:type="dxa"/>
                <w:tcBorders>
                  <w:top w:val="nil"/>
                  <w:left w:val="nil"/>
                  <w:bottom w:val="nil"/>
                  <w:right w:val="nil"/>
                </w:tcBorders>
                <w:shd w:val="clear" w:color="auto" w:fill="CAE7F3" w:themeFill="accent1" w:themeFillTint="33"/>
                <w:noWrap/>
                <w:vAlign w:val="bottom"/>
                <w:hideMark/>
              </w:tcPr>
              <w:p w14:paraId="3D679B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85.5</w:t>
                </w:r>
              </w:p>
            </w:tc>
          </w:tr>
          <w:tr w:rsidR="00830FDC" w:rsidRPr="00F63634" w14:paraId="5230AFCD"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1B16719"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Townsville</w:t>
                </w:r>
              </w:p>
            </w:tc>
            <w:tc>
              <w:tcPr>
                <w:tcW w:w="661" w:type="dxa"/>
                <w:tcBorders>
                  <w:top w:val="nil"/>
                  <w:left w:val="nil"/>
                  <w:bottom w:val="nil"/>
                  <w:right w:val="nil"/>
                </w:tcBorders>
                <w:shd w:val="clear" w:color="auto" w:fill="CAE7F3" w:themeFill="accent1" w:themeFillTint="33"/>
                <w:noWrap/>
                <w:vAlign w:val="bottom"/>
                <w:hideMark/>
              </w:tcPr>
              <w:p w14:paraId="2DCD00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195.7</w:t>
                </w:r>
              </w:p>
            </w:tc>
            <w:tc>
              <w:tcPr>
                <w:tcW w:w="662" w:type="dxa"/>
                <w:tcBorders>
                  <w:top w:val="nil"/>
                  <w:left w:val="nil"/>
                  <w:bottom w:val="nil"/>
                  <w:right w:val="nil"/>
                </w:tcBorders>
                <w:shd w:val="clear" w:color="auto" w:fill="CAE7F3" w:themeFill="accent1" w:themeFillTint="33"/>
                <w:noWrap/>
                <w:vAlign w:val="bottom"/>
                <w:hideMark/>
              </w:tcPr>
              <w:p w14:paraId="2C86CD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14.3</w:t>
                </w:r>
              </w:p>
            </w:tc>
            <w:tc>
              <w:tcPr>
                <w:tcW w:w="662" w:type="dxa"/>
                <w:tcBorders>
                  <w:top w:val="nil"/>
                  <w:left w:val="nil"/>
                  <w:bottom w:val="nil"/>
                  <w:right w:val="nil"/>
                </w:tcBorders>
                <w:shd w:val="clear" w:color="auto" w:fill="CAE7F3" w:themeFill="accent1" w:themeFillTint="33"/>
                <w:noWrap/>
                <w:vAlign w:val="bottom"/>
                <w:hideMark/>
              </w:tcPr>
              <w:p w14:paraId="4A785AD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61.3</w:t>
                </w:r>
              </w:p>
            </w:tc>
            <w:tc>
              <w:tcPr>
                <w:tcW w:w="662" w:type="dxa"/>
                <w:tcBorders>
                  <w:top w:val="nil"/>
                  <w:left w:val="nil"/>
                  <w:bottom w:val="nil"/>
                  <w:right w:val="nil"/>
                </w:tcBorders>
                <w:shd w:val="clear" w:color="auto" w:fill="CAE7F3" w:themeFill="accent1" w:themeFillTint="33"/>
                <w:noWrap/>
                <w:vAlign w:val="bottom"/>
                <w:hideMark/>
              </w:tcPr>
              <w:p w14:paraId="064264A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w:t>
                </w:r>
              </w:p>
            </w:tc>
            <w:tc>
              <w:tcPr>
                <w:tcW w:w="661" w:type="dxa"/>
                <w:tcBorders>
                  <w:top w:val="nil"/>
                  <w:left w:val="nil"/>
                  <w:bottom w:val="nil"/>
                  <w:right w:val="nil"/>
                </w:tcBorders>
                <w:shd w:val="clear" w:color="auto" w:fill="CAE7F3" w:themeFill="accent1" w:themeFillTint="33"/>
                <w:noWrap/>
                <w:vAlign w:val="bottom"/>
                <w:hideMark/>
              </w:tcPr>
              <w:p w14:paraId="3C1CB72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459.7</w:t>
                </w:r>
              </w:p>
            </w:tc>
            <w:tc>
              <w:tcPr>
                <w:tcW w:w="662" w:type="dxa"/>
                <w:tcBorders>
                  <w:top w:val="nil"/>
                  <w:left w:val="nil"/>
                  <w:bottom w:val="nil"/>
                  <w:right w:val="nil"/>
                </w:tcBorders>
                <w:shd w:val="clear" w:color="auto" w:fill="CAE7F3" w:themeFill="accent1" w:themeFillTint="33"/>
                <w:noWrap/>
                <w:vAlign w:val="bottom"/>
                <w:hideMark/>
              </w:tcPr>
              <w:p w14:paraId="34AC4F5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37.3</w:t>
                </w:r>
              </w:p>
            </w:tc>
            <w:tc>
              <w:tcPr>
                <w:tcW w:w="662" w:type="dxa"/>
                <w:tcBorders>
                  <w:top w:val="nil"/>
                  <w:left w:val="nil"/>
                  <w:bottom w:val="nil"/>
                  <w:right w:val="nil"/>
                </w:tcBorders>
                <w:shd w:val="clear" w:color="auto" w:fill="CAE7F3" w:themeFill="accent1" w:themeFillTint="33"/>
                <w:noWrap/>
                <w:vAlign w:val="bottom"/>
                <w:hideMark/>
              </w:tcPr>
              <w:p w14:paraId="516D224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126.0</w:t>
                </w:r>
              </w:p>
            </w:tc>
            <w:tc>
              <w:tcPr>
                <w:tcW w:w="662" w:type="dxa"/>
                <w:tcBorders>
                  <w:top w:val="nil"/>
                  <w:left w:val="nil"/>
                  <w:bottom w:val="nil"/>
                  <w:right w:val="nil"/>
                </w:tcBorders>
                <w:shd w:val="clear" w:color="auto" w:fill="CAE7F3" w:themeFill="accent1" w:themeFillTint="33"/>
                <w:noWrap/>
                <w:vAlign w:val="bottom"/>
                <w:hideMark/>
              </w:tcPr>
              <w:p w14:paraId="62C833C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100.3</w:t>
                </w:r>
              </w:p>
            </w:tc>
            <w:tc>
              <w:tcPr>
                <w:tcW w:w="662" w:type="dxa"/>
                <w:tcBorders>
                  <w:top w:val="nil"/>
                  <w:left w:val="nil"/>
                  <w:bottom w:val="nil"/>
                  <w:right w:val="nil"/>
                </w:tcBorders>
                <w:shd w:val="clear" w:color="auto" w:fill="CAE7F3" w:themeFill="accent1" w:themeFillTint="33"/>
                <w:noWrap/>
                <w:vAlign w:val="bottom"/>
                <w:hideMark/>
              </w:tcPr>
              <w:p w14:paraId="3576AE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174.7</w:t>
                </w:r>
              </w:p>
            </w:tc>
            <w:tc>
              <w:tcPr>
                <w:tcW w:w="661" w:type="dxa"/>
                <w:tcBorders>
                  <w:top w:val="nil"/>
                  <w:left w:val="nil"/>
                  <w:bottom w:val="nil"/>
                  <w:right w:val="nil"/>
                </w:tcBorders>
                <w:shd w:val="clear" w:color="auto" w:fill="CAE7F3" w:themeFill="accent1" w:themeFillTint="33"/>
                <w:noWrap/>
                <w:vAlign w:val="bottom"/>
                <w:hideMark/>
              </w:tcPr>
              <w:p w14:paraId="250BD63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9.0</w:t>
                </w:r>
              </w:p>
            </w:tc>
            <w:tc>
              <w:tcPr>
                <w:tcW w:w="662" w:type="dxa"/>
                <w:tcBorders>
                  <w:top w:val="nil"/>
                  <w:left w:val="nil"/>
                  <w:bottom w:val="nil"/>
                  <w:right w:val="nil"/>
                </w:tcBorders>
                <w:shd w:val="clear" w:color="auto" w:fill="CAE7F3" w:themeFill="accent1" w:themeFillTint="33"/>
                <w:noWrap/>
                <w:vAlign w:val="bottom"/>
                <w:hideMark/>
              </w:tcPr>
              <w:p w14:paraId="5224D6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102.3</w:t>
                </w:r>
              </w:p>
            </w:tc>
            <w:tc>
              <w:tcPr>
                <w:tcW w:w="662" w:type="dxa"/>
                <w:tcBorders>
                  <w:top w:val="nil"/>
                  <w:left w:val="nil"/>
                  <w:bottom w:val="nil"/>
                  <w:right w:val="nil"/>
                </w:tcBorders>
                <w:shd w:val="clear" w:color="auto" w:fill="CAE7F3" w:themeFill="accent1" w:themeFillTint="33"/>
                <w:noWrap/>
                <w:vAlign w:val="bottom"/>
                <w:hideMark/>
              </w:tcPr>
              <w:p w14:paraId="6A3EA3F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172.8</w:t>
                </w:r>
              </w:p>
            </w:tc>
            <w:tc>
              <w:tcPr>
                <w:tcW w:w="662" w:type="dxa"/>
                <w:tcBorders>
                  <w:top w:val="nil"/>
                  <w:left w:val="nil"/>
                  <w:bottom w:val="nil"/>
                  <w:right w:val="nil"/>
                </w:tcBorders>
                <w:shd w:val="clear" w:color="auto" w:fill="CAE7F3" w:themeFill="accent1" w:themeFillTint="33"/>
                <w:noWrap/>
                <w:vAlign w:val="bottom"/>
                <w:hideMark/>
              </w:tcPr>
              <w:p w14:paraId="0024F99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176.8</w:t>
                </w:r>
              </w:p>
            </w:tc>
            <w:tc>
              <w:tcPr>
                <w:tcW w:w="662" w:type="dxa"/>
                <w:tcBorders>
                  <w:top w:val="nil"/>
                  <w:left w:val="nil"/>
                  <w:bottom w:val="nil"/>
                  <w:right w:val="nil"/>
                </w:tcBorders>
                <w:shd w:val="clear" w:color="auto" w:fill="CAE7F3" w:themeFill="accent1" w:themeFillTint="33"/>
                <w:noWrap/>
                <w:vAlign w:val="bottom"/>
                <w:hideMark/>
              </w:tcPr>
              <w:p w14:paraId="2588254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102.5</w:t>
                </w:r>
              </w:p>
            </w:tc>
            <w:tc>
              <w:tcPr>
                <w:tcW w:w="661" w:type="dxa"/>
                <w:tcBorders>
                  <w:top w:val="nil"/>
                  <w:left w:val="nil"/>
                  <w:bottom w:val="nil"/>
                  <w:right w:val="nil"/>
                </w:tcBorders>
                <w:shd w:val="clear" w:color="auto" w:fill="CAE7F3" w:themeFill="accent1" w:themeFillTint="33"/>
                <w:noWrap/>
                <w:vAlign w:val="bottom"/>
                <w:hideMark/>
              </w:tcPr>
              <w:p w14:paraId="730A94D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2" w:type="dxa"/>
                <w:tcBorders>
                  <w:top w:val="nil"/>
                  <w:left w:val="nil"/>
                  <w:bottom w:val="nil"/>
                  <w:right w:val="nil"/>
                </w:tcBorders>
                <w:shd w:val="clear" w:color="auto" w:fill="CAE7F3" w:themeFill="accent1" w:themeFillTint="33"/>
                <w:noWrap/>
                <w:vAlign w:val="bottom"/>
                <w:hideMark/>
              </w:tcPr>
              <w:p w14:paraId="77FDF7D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37.8</w:t>
                </w:r>
              </w:p>
            </w:tc>
            <w:tc>
              <w:tcPr>
                <w:tcW w:w="662" w:type="dxa"/>
                <w:tcBorders>
                  <w:top w:val="nil"/>
                  <w:left w:val="nil"/>
                  <w:bottom w:val="nil"/>
                  <w:right w:val="nil"/>
                </w:tcBorders>
                <w:shd w:val="clear" w:color="auto" w:fill="CAE7F3" w:themeFill="accent1" w:themeFillTint="33"/>
                <w:noWrap/>
                <w:vAlign w:val="bottom"/>
                <w:hideMark/>
              </w:tcPr>
              <w:p w14:paraId="6519E2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117.2</w:t>
                </w:r>
              </w:p>
            </w:tc>
            <w:tc>
              <w:tcPr>
                <w:tcW w:w="662" w:type="dxa"/>
                <w:tcBorders>
                  <w:top w:val="nil"/>
                  <w:left w:val="nil"/>
                  <w:bottom w:val="nil"/>
                  <w:right w:val="nil"/>
                </w:tcBorders>
                <w:shd w:val="clear" w:color="auto" w:fill="CAE7F3" w:themeFill="accent1" w:themeFillTint="33"/>
                <w:noWrap/>
                <w:vAlign w:val="bottom"/>
                <w:hideMark/>
              </w:tcPr>
              <w:p w14:paraId="2D088C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24.5</w:t>
                </w:r>
              </w:p>
            </w:tc>
            <w:tc>
              <w:tcPr>
                <w:tcW w:w="662" w:type="dxa"/>
                <w:tcBorders>
                  <w:top w:val="nil"/>
                  <w:left w:val="nil"/>
                  <w:bottom w:val="nil"/>
                  <w:right w:val="nil"/>
                </w:tcBorders>
                <w:shd w:val="clear" w:color="auto" w:fill="CAE7F3" w:themeFill="accent1" w:themeFillTint="33"/>
                <w:noWrap/>
                <w:vAlign w:val="bottom"/>
                <w:hideMark/>
              </w:tcPr>
              <w:p w14:paraId="3C1379B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138.3</w:t>
                </w:r>
              </w:p>
            </w:tc>
          </w:tr>
          <w:tr w:rsidR="00830FDC" w:rsidRPr="00F63634" w14:paraId="4AC5ED22"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0D53B44"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Wide Bay</w:t>
                </w:r>
              </w:p>
            </w:tc>
            <w:tc>
              <w:tcPr>
                <w:tcW w:w="661" w:type="dxa"/>
                <w:tcBorders>
                  <w:top w:val="nil"/>
                  <w:left w:val="nil"/>
                  <w:bottom w:val="nil"/>
                  <w:right w:val="nil"/>
                </w:tcBorders>
                <w:shd w:val="clear" w:color="auto" w:fill="CAE7F3" w:themeFill="accent1" w:themeFillTint="33"/>
                <w:noWrap/>
                <w:vAlign w:val="bottom"/>
                <w:hideMark/>
              </w:tcPr>
              <w:p w14:paraId="7F4F79D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413.0</w:t>
                </w:r>
              </w:p>
            </w:tc>
            <w:tc>
              <w:tcPr>
                <w:tcW w:w="662" w:type="dxa"/>
                <w:tcBorders>
                  <w:top w:val="nil"/>
                  <w:left w:val="nil"/>
                  <w:bottom w:val="nil"/>
                  <w:right w:val="nil"/>
                </w:tcBorders>
                <w:shd w:val="clear" w:color="auto" w:fill="CAE7F3" w:themeFill="accent1" w:themeFillTint="33"/>
                <w:noWrap/>
                <w:vAlign w:val="bottom"/>
                <w:hideMark/>
              </w:tcPr>
              <w:p w14:paraId="27021AA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14.0</w:t>
                </w:r>
              </w:p>
            </w:tc>
            <w:tc>
              <w:tcPr>
                <w:tcW w:w="662" w:type="dxa"/>
                <w:tcBorders>
                  <w:top w:val="nil"/>
                  <w:left w:val="nil"/>
                  <w:bottom w:val="nil"/>
                  <w:right w:val="nil"/>
                </w:tcBorders>
                <w:shd w:val="clear" w:color="auto" w:fill="CAE7F3" w:themeFill="accent1" w:themeFillTint="33"/>
                <w:noWrap/>
                <w:vAlign w:val="bottom"/>
                <w:hideMark/>
              </w:tcPr>
              <w:p w14:paraId="16C541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85.0</w:t>
                </w:r>
              </w:p>
            </w:tc>
            <w:tc>
              <w:tcPr>
                <w:tcW w:w="662" w:type="dxa"/>
                <w:tcBorders>
                  <w:top w:val="nil"/>
                  <w:left w:val="nil"/>
                  <w:bottom w:val="nil"/>
                  <w:right w:val="nil"/>
                </w:tcBorders>
                <w:shd w:val="clear" w:color="auto" w:fill="CAE7F3" w:themeFill="accent1" w:themeFillTint="33"/>
                <w:noWrap/>
                <w:vAlign w:val="bottom"/>
                <w:hideMark/>
              </w:tcPr>
              <w:p w14:paraId="287733D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w:t>
                </w:r>
              </w:p>
            </w:tc>
            <w:tc>
              <w:tcPr>
                <w:tcW w:w="661" w:type="dxa"/>
                <w:tcBorders>
                  <w:top w:val="nil"/>
                  <w:left w:val="nil"/>
                  <w:bottom w:val="nil"/>
                  <w:right w:val="nil"/>
                </w:tcBorders>
                <w:shd w:val="clear" w:color="auto" w:fill="CAE7F3" w:themeFill="accent1" w:themeFillTint="33"/>
                <w:noWrap/>
                <w:vAlign w:val="bottom"/>
                <w:hideMark/>
              </w:tcPr>
              <w:p w14:paraId="000DA77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445.7</w:t>
                </w:r>
              </w:p>
            </w:tc>
            <w:tc>
              <w:tcPr>
                <w:tcW w:w="662" w:type="dxa"/>
                <w:tcBorders>
                  <w:top w:val="nil"/>
                  <w:left w:val="nil"/>
                  <w:bottom w:val="nil"/>
                  <w:right w:val="nil"/>
                </w:tcBorders>
                <w:shd w:val="clear" w:color="auto" w:fill="CAE7F3" w:themeFill="accent1" w:themeFillTint="33"/>
                <w:noWrap/>
                <w:vAlign w:val="bottom"/>
                <w:hideMark/>
              </w:tcPr>
              <w:p w14:paraId="26DD3A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49.2</w:t>
                </w:r>
              </w:p>
            </w:tc>
            <w:tc>
              <w:tcPr>
                <w:tcW w:w="662" w:type="dxa"/>
                <w:tcBorders>
                  <w:top w:val="nil"/>
                  <w:left w:val="nil"/>
                  <w:bottom w:val="nil"/>
                  <w:right w:val="nil"/>
                </w:tcBorders>
                <w:shd w:val="clear" w:color="auto" w:fill="CAE7F3" w:themeFill="accent1" w:themeFillTint="33"/>
                <w:noWrap/>
                <w:vAlign w:val="bottom"/>
                <w:hideMark/>
              </w:tcPr>
              <w:p w14:paraId="1022862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173.0</w:t>
                </w:r>
              </w:p>
            </w:tc>
            <w:tc>
              <w:tcPr>
                <w:tcW w:w="662" w:type="dxa"/>
                <w:tcBorders>
                  <w:top w:val="nil"/>
                  <w:left w:val="nil"/>
                  <w:bottom w:val="nil"/>
                  <w:right w:val="nil"/>
                </w:tcBorders>
                <w:shd w:val="clear" w:color="auto" w:fill="CAE7F3" w:themeFill="accent1" w:themeFillTint="33"/>
                <w:noWrap/>
                <w:vAlign w:val="bottom"/>
                <w:hideMark/>
              </w:tcPr>
              <w:p w14:paraId="178251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130.5</w:t>
                </w:r>
              </w:p>
            </w:tc>
            <w:tc>
              <w:tcPr>
                <w:tcW w:w="662" w:type="dxa"/>
                <w:tcBorders>
                  <w:top w:val="nil"/>
                  <w:left w:val="nil"/>
                  <w:bottom w:val="nil"/>
                  <w:right w:val="nil"/>
                </w:tcBorders>
                <w:shd w:val="clear" w:color="auto" w:fill="CAE7F3" w:themeFill="accent1" w:themeFillTint="33"/>
                <w:noWrap/>
                <w:vAlign w:val="bottom"/>
                <w:hideMark/>
              </w:tcPr>
              <w:p w14:paraId="7D8EBC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157.0</w:t>
                </w:r>
              </w:p>
            </w:tc>
            <w:tc>
              <w:tcPr>
                <w:tcW w:w="661" w:type="dxa"/>
                <w:tcBorders>
                  <w:top w:val="nil"/>
                  <w:left w:val="nil"/>
                  <w:bottom w:val="nil"/>
                  <w:right w:val="nil"/>
                </w:tcBorders>
                <w:shd w:val="clear" w:color="auto" w:fill="CAE7F3" w:themeFill="accent1" w:themeFillTint="33"/>
                <w:noWrap/>
                <w:vAlign w:val="bottom"/>
                <w:hideMark/>
              </w:tcPr>
              <w:p w14:paraId="67EE096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15.0</w:t>
                </w:r>
              </w:p>
            </w:tc>
            <w:tc>
              <w:tcPr>
                <w:tcW w:w="662" w:type="dxa"/>
                <w:tcBorders>
                  <w:top w:val="nil"/>
                  <w:left w:val="nil"/>
                  <w:bottom w:val="nil"/>
                  <w:right w:val="nil"/>
                </w:tcBorders>
                <w:shd w:val="clear" w:color="auto" w:fill="CAE7F3" w:themeFill="accent1" w:themeFillTint="33"/>
                <w:noWrap/>
                <w:vAlign w:val="bottom"/>
                <w:hideMark/>
              </w:tcPr>
              <w:p w14:paraId="31EB4A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132.3</w:t>
                </w:r>
              </w:p>
            </w:tc>
            <w:tc>
              <w:tcPr>
                <w:tcW w:w="662" w:type="dxa"/>
                <w:tcBorders>
                  <w:top w:val="nil"/>
                  <w:left w:val="nil"/>
                  <w:bottom w:val="nil"/>
                  <w:right w:val="nil"/>
                </w:tcBorders>
                <w:shd w:val="clear" w:color="auto" w:fill="CAE7F3" w:themeFill="accent1" w:themeFillTint="33"/>
                <w:noWrap/>
                <w:vAlign w:val="bottom"/>
                <w:hideMark/>
              </w:tcPr>
              <w:p w14:paraId="2A96C09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177.0</w:t>
                </w:r>
              </w:p>
            </w:tc>
            <w:tc>
              <w:tcPr>
                <w:tcW w:w="662" w:type="dxa"/>
                <w:tcBorders>
                  <w:top w:val="nil"/>
                  <w:left w:val="nil"/>
                  <w:bottom w:val="nil"/>
                  <w:right w:val="nil"/>
                </w:tcBorders>
                <w:shd w:val="clear" w:color="auto" w:fill="CAE7F3" w:themeFill="accent1" w:themeFillTint="33"/>
                <w:noWrap/>
                <w:vAlign w:val="bottom"/>
                <w:hideMark/>
              </w:tcPr>
              <w:p w14:paraId="74660B8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150.5</w:t>
                </w:r>
              </w:p>
            </w:tc>
            <w:tc>
              <w:tcPr>
                <w:tcW w:w="662" w:type="dxa"/>
                <w:tcBorders>
                  <w:top w:val="nil"/>
                  <w:left w:val="nil"/>
                  <w:bottom w:val="nil"/>
                  <w:right w:val="nil"/>
                </w:tcBorders>
                <w:shd w:val="clear" w:color="auto" w:fill="CAE7F3" w:themeFill="accent1" w:themeFillTint="33"/>
                <w:noWrap/>
                <w:vAlign w:val="bottom"/>
                <w:hideMark/>
              </w:tcPr>
              <w:p w14:paraId="09D55B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108.8</w:t>
                </w:r>
              </w:p>
            </w:tc>
            <w:tc>
              <w:tcPr>
                <w:tcW w:w="661" w:type="dxa"/>
                <w:tcBorders>
                  <w:top w:val="nil"/>
                  <w:left w:val="nil"/>
                  <w:bottom w:val="nil"/>
                  <w:right w:val="nil"/>
                </w:tcBorders>
                <w:shd w:val="clear" w:color="auto" w:fill="CAE7F3" w:themeFill="accent1" w:themeFillTint="33"/>
                <w:noWrap/>
                <w:vAlign w:val="bottom"/>
                <w:hideMark/>
              </w:tcPr>
              <w:p w14:paraId="59277B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w:t>
                </w:r>
              </w:p>
            </w:tc>
            <w:tc>
              <w:tcPr>
                <w:tcW w:w="662" w:type="dxa"/>
                <w:tcBorders>
                  <w:top w:val="nil"/>
                  <w:left w:val="nil"/>
                  <w:bottom w:val="nil"/>
                  <w:right w:val="nil"/>
                </w:tcBorders>
                <w:shd w:val="clear" w:color="auto" w:fill="CAE7F3" w:themeFill="accent1" w:themeFillTint="33"/>
                <w:noWrap/>
                <w:vAlign w:val="bottom"/>
                <w:hideMark/>
              </w:tcPr>
              <w:p w14:paraId="5AA6DC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29.2</w:t>
                </w:r>
              </w:p>
            </w:tc>
            <w:tc>
              <w:tcPr>
                <w:tcW w:w="662" w:type="dxa"/>
                <w:tcBorders>
                  <w:top w:val="nil"/>
                  <w:left w:val="nil"/>
                  <w:bottom w:val="nil"/>
                  <w:right w:val="nil"/>
                </w:tcBorders>
                <w:shd w:val="clear" w:color="auto" w:fill="CAE7F3" w:themeFill="accent1" w:themeFillTint="33"/>
                <w:noWrap/>
                <w:vAlign w:val="bottom"/>
                <w:hideMark/>
              </w:tcPr>
              <w:p w14:paraId="4E6D01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109.5</w:t>
                </w:r>
              </w:p>
            </w:tc>
            <w:tc>
              <w:tcPr>
                <w:tcW w:w="662" w:type="dxa"/>
                <w:tcBorders>
                  <w:top w:val="nil"/>
                  <w:left w:val="nil"/>
                  <w:bottom w:val="nil"/>
                  <w:right w:val="nil"/>
                </w:tcBorders>
                <w:shd w:val="clear" w:color="auto" w:fill="CAE7F3" w:themeFill="accent1" w:themeFillTint="33"/>
                <w:noWrap/>
                <w:vAlign w:val="bottom"/>
                <w:hideMark/>
              </w:tcPr>
              <w:p w14:paraId="46CE945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24.2</w:t>
                </w:r>
              </w:p>
            </w:tc>
            <w:tc>
              <w:tcPr>
                <w:tcW w:w="662" w:type="dxa"/>
                <w:tcBorders>
                  <w:top w:val="nil"/>
                  <w:left w:val="nil"/>
                  <w:bottom w:val="nil"/>
                  <w:right w:val="nil"/>
                </w:tcBorders>
                <w:shd w:val="clear" w:color="auto" w:fill="CAE7F3" w:themeFill="accent1" w:themeFillTint="33"/>
                <w:noWrap/>
                <w:vAlign w:val="bottom"/>
                <w:hideMark/>
              </w:tcPr>
              <w:p w14:paraId="7E1D72B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134.0</w:t>
                </w:r>
              </w:p>
            </w:tc>
          </w:tr>
        </w:tbl>
        <w:p w14:paraId="2626FC82" w14:textId="1822493B" w:rsidR="00830FDC" w:rsidRDefault="00830FDC" w:rsidP="00830FDC">
          <w:pPr>
            <w:pStyle w:val="CaptionWide"/>
          </w:pPr>
          <w:r w:rsidRPr="000618FB">
            <w:t xml:space="preserve">Table </w:t>
          </w:r>
          <w:r>
            <w:t>B2</w:t>
          </w:r>
          <w:r>
            <w:rPr>
              <w:noProof/>
            </w:rPr>
            <w:t xml:space="preserve"> continued</w:t>
          </w:r>
          <w:r>
            <w:t>: Annual business entries by ANZSIC divisions, averaged financial years ending</w:t>
          </w:r>
          <w:r w:rsidR="00544B29">
            <w:t xml:space="preserve"> in June 2009 to June 2014, by s</w:t>
          </w:r>
          <w:r>
            <w:t>tate and SA4 regions</w:t>
          </w:r>
        </w:p>
        <w:tbl>
          <w:tblPr>
            <w:tblW w:w="14034" w:type="dxa"/>
            <w:tblInd w:w="108" w:type="dxa"/>
            <w:shd w:val="clear" w:color="auto" w:fill="CAE7F3" w:themeFill="accent1" w:themeFillTint="33"/>
            <w:tblLayout w:type="fixed"/>
            <w:tblLook w:val="04A0" w:firstRow="1" w:lastRow="0" w:firstColumn="1" w:lastColumn="0" w:noHBand="0" w:noVBand="1"/>
          </w:tblPr>
          <w:tblGrid>
            <w:gridCol w:w="1460"/>
            <w:gridCol w:w="661"/>
            <w:gridCol w:w="662"/>
            <w:gridCol w:w="662"/>
            <w:gridCol w:w="662"/>
            <w:gridCol w:w="661"/>
            <w:gridCol w:w="662"/>
            <w:gridCol w:w="662"/>
            <w:gridCol w:w="662"/>
            <w:gridCol w:w="662"/>
            <w:gridCol w:w="661"/>
            <w:gridCol w:w="662"/>
            <w:gridCol w:w="662"/>
            <w:gridCol w:w="662"/>
            <w:gridCol w:w="662"/>
            <w:gridCol w:w="661"/>
            <w:gridCol w:w="662"/>
            <w:gridCol w:w="662"/>
            <w:gridCol w:w="662"/>
            <w:gridCol w:w="662"/>
          </w:tblGrid>
          <w:tr w:rsidR="00830FDC" w:rsidRPr="00F63634" w14:paraId="7ED70900" w14:textId="77777777" w:rsidTr="00D0090A">
            <w:trPr>
              <w:trHeight w:val="1823"/>
            </w:trPr>
            <w:tc>
              <w:tcPr>
                <w:tcW w:w="1460" w:type="dxa"/>
                <w:tcBorders>
                  <w:top w:val="nil"/>
                  <w:left w:val="nil"/>
                  <w:bottom w:val="single" w:sz="4" w:space="0" w:color="95B3D7"/>
                  <w:right w:val="nil"/>
                </w:tcBorders>
                <w:shd w:val="clear" w:color="auto" w:fill="22789A" w:themeFill="accent1"/>
                <w:noWrap/>
                <w:vAlign w:val="bottom"/>
              </w:tcPr>
              <w:p w14:paraId="40B1C1D2" w14:textId="77777777" w:rsidR="00830FDC" w:rsidRPr="00F47853" w:rsidRDefault="00830FDC" w:rsidP="00D0090A">
                <w:pPr>
                  <w:pStyle w:val="Tabletext"/>
                  <w:rPr>
                    <w:sz w:val="14"/>
                    <w:szCs w:val="16"/>
                    <w:lang w:eastAsia="en-AU"/>
                  </w:rPr>
                </w:pPr>
              </w:p>
            </w:tc>
            <w:tc>
              <w:tcPr>
                <w:tcW w:w="661" w:type="dxa"/>
                <w:tcBorders>
                  <w:top w:val="nil"/>
                  <w:left w:val="nil"/>
                  <w:bottom w:val="single" w:sz="4" w:space="0" w:color="95B3D7"/>
                  <w:right w:val="nil"/>
                </w:tcBorders>
                <w:shd w:val="clear" w:color="auto" w:fill="22789A" w:themeFill="accent1"/>
                <w:noWrap/>
                <w:textDirection w:val="btLr"/>
                <w:vAlign w:val="center"/>
              </w:tcPr>
              <w:p w14:paraId="7E6570C6"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Agriculture, Forestry and Fishing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14A453D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F304460"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Manufacturing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9BC13B4"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Electricity, Gas, Water and Waste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3F4CD1E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Construction</w:t>
                </w:r>
              </w:p>
            </w:tc>
            <w:tc>
              <w:tcPr>
                <w:tcW w:w="662" w:type="dxa"/>
                <w:tcBorders>
                  <w:top w:val="nil"/>
                  <w:left w:val="nil"/>
                  <w:bottom w:val="single" w:sz="4" w:space="0" w:color="95B3D7"/>
                  <w:right w:val="nil"/>
                </w:tcBorders>
                <w:shd w:val="clear" w:color="auto" w:fill="22789A" w:themeFill="accent1"/>
                <w:noWrap/>
                <w:textDirection w:val="btLr"/>
                <w:vAlign w:val="center"/>
              </w:tcPr>
              <w:p w14:paraId="011D925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Wholesale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6682E984"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Retail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474560B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Accommodation and Food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4B9C4A2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Transport, Postal and Warehousing</w:t>
                </w:r>
              </w:p>
            </w:tc>
            <w:tc>
              <w:tcPr>
                <w:tcW w:w="661" w:type="dxa"/>
                <w:tcBorders>
                  <w:top w:val="nil"/>
                  <w:left w:val="nil"/>
                  <w:bottom w:val="single" w:sz="4" w:space="0" w:color="95B3D7"/>
                  <w:right w:val="nil"/>
                </w:tcBorders>
                <w:shd w:val="clear" w:color="auto" w:fill="22789A" w:themeFill="accent1"/>
                <w:noWrap/>
                <w:textDirection w:val="btLr"/>
                <w:vAlign w:val="center"/>
              </w:tcPr>
              <w:p w14:paraId="45D4EBA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Information Media and Telecommunications</w:t>
                </w:r>
              </w:p>
            </w:tc>
            <w:tc>
              <w:tcPr>
                <w:tcW w:w="662" w:type="dxa"/>
                <w:tcBorders>
                  <w:top w:val="nil"/>
                  <w:left w:val="nil"/>
                  <w:bottom w:val="single" w:sz="4" w:space="0" w:color="95B3D7"/>
                  <w:right w:val="nil"/>
                </w:tcBorders>
                <w:shd w:val="clear" w:color="auto" w:fill="22789A" w:themeFill="accent1"/>
                <w:noWrap/>
                <w:textDirection w:val="btLr"/>
                <w:vAlign w:val="center"/>
              </w:tcPr>
              <w:p w14:paraId="1460E4F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Financial and Insurance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643DCC1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Rental, Hiring and Real Estate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31CCB806"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Professional, Scientific and Technical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15BC943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Administrative and Support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7E8E301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Public Administration and Safety</w:t>
                </w:r>
              </w:p>
            </w:tc>
            <w:tc>
              <w:tcPr>
                <w:tcW w:w="662" w:type="dxa"/>
                <w:tcBorders>
                  <w:top w:val="nil"/>
                  <w:left w:val="nil"/>
                  <w:bottom w:val="single" w:sz="4" w:space="0" w:color="95B3D7"/>
                  <w:right w:val="nil"/>
                </w:tcBorders>
                <w:shd w:val="clear" w:color="auto" w:fill="22789A" w:themeFill="accent1"/>
                <w:noWrap/>
                <w:textDirection w:val="btLr"/>
                <w:vAlign w:val="center"/>
              </w:tcPr>
              <w:p w14:paraId="2FD7816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Education and Training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98B2181"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Health Care and Social Assistance</w:t>
                </w:r>
              </w:p>
            </w:tc>
            <w:tc>
              <w:tcPr>
                <w:tcW w:w="662" w:type="dxa"/>
                <w:tcBorders>
                  <w:top w:val="nil"/>
                  <w:left w:val="nil"/>
                  <w:bottom w:val="single" w:sz="4" w:space="0" w:color="95B3D7"/>
                  <w:right w:val="nil"/>
                </w:tcBorders>
                <w:shd w:val="clear" w:color="auto" w:fill="22789A" w:themeFill="accent1"/>
                <w:noWrap/>
                <w:textDirection w:val="btLr"/>
                <w:vAlign w:val="center"/>
              </w:tcPr>
              <w:p w14:paraId="699145B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Arts and Recreation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052BDD5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Other Services</w:t>
                </w:r>
              </w:p>
            </w:tc>
          </w:tr>
          <w:tr w:rsidR="00830FDC" w:rsidRPr="00F63634" w14:paraId="47AE89F9" w14:textId="77777777" w:rsidTr="00D0090A">
            <w:trPr>
              <w:trHeight w:val="225"/>
            </w:trPr>
            <w:tc>
              <w:tcPr>
                <w:tcW w:w="1460" w:type="dxa"/>
                <w:tcBorders>
                  <w:top w:val="nil"/>
                  <w:left w:val="nil"/>
                  <w:bottom w:val="single" w:sz="4" w:space="0" w:color="595A5B" w:themeColor="text1"/>
                  <w:right w:val="nil"/>
                </w:tcBorders>
                <w:shd w:val="clear" w:color="auto" w:fill="22789A" w:themeFill="accent1"/>
                <w:noWrap/>
                <w:vAlign w:val="bottom"/>
              </w:tcPr>
              <w:p w14:paraId="1A814042" w14:textId="77777777" w:rsidR="00830FDC" w:rsidRPr="00844EE1" w:rsidRDefault="00830FDC" w:rsidP="00D0090A">
                <w:pPr>
                  <w:pStyle w:val="Tableheader"/>
                  <w:rPr>
                    <w:sz w:val="16"/>
                    <w:szCs w:val="12"/>
                    <w:lang w:eastAsia="en-AU"/>
                  </w:rPr>
                </w:pPr>
                <w:r w:rsidRPr="007D09BB">
                  <w:rPr>
                    <w:sz w:val="12"/>
                    <w:szCs w:val="12"/>
                    <w:lang w:eastAsia="en-AU"/>
                  </w:rPr>
                  <w:t>Region (State-SA4)</w:t>
                </w:r>
              </w:p>
            </w:tc>
            <w:tc>
              <w:tcPr>
                <w:tcW w:w="661" w:type="dxa"/>
                <w:tcBorders>
                  <w:top w:val="nil"/>
                  <w:left w:val="nil"/>
                  <w:bottom w:val="single" w:sz="4" w:space="0" w:color="595A5B" w:themeColor="text1"/>
                  <w:right w:val="nil"/>
                </w:tcBorders>
                <w:shd w:val="clear" w:color="auto" w:fill="22789A" w:themeFill="accent1"/>
                <w:noWrap/>
              </w:tcPr>
              <w:p w14:paraId="6B8AF62C" w14:textId="77777777" w:rsidR="00830FDC" w:rsidRPr="00844EE1" w:rsidRDefault="00830FDC" w:rsidP="00D0090A">
                <w:pPr>
                  <w:pStyle w:val="Tableheader"/>
                  <w:jc w:val="right"/>
                  <w:rPr>
                    <w:sz w:val="16"/>
                    <w:szCs w:val="12"/>
                  </w:rPr>
                </w:pPr>
                <w:r w:rsidRPr="00844EE1">
                  <w:rPr>
                    <w:sz w:val="16"/>
                    <w:szCs w:val="12"/>
                  </w:rPr>
                  <w:t>A</w:t>
                </w:r>
              </w:p>
            </w:tc>
            <w:tc>
              <w:tcPr>
                <w:tcW w:w="662" w:type="dxa"/>
                <w:tcBorders>
                  <w:top w:val="nil"/>
                  <w:left w:val="nil"/>
                  <w:bottom w:val="single" w:sz="4" w:space="0" w:color="595A5B" w:themeColor="text1"/>
                  <w:right w:val="nil"/>
                </w:tcBorders>
                <w:shd w:val="clear" w:color="auto" w:fill="22789A" w:themeFill="accent1"/>
                <w:noWrap/>
              </w:tcPr>
              <w:p w14:paraId="4D12D9CA" w14:textId="77777777" w:rsidR="00830FDC" w:rsidRPr="00844EE1" w:rsidRDefault="00830FDC" w:rsidP="00D0090A">
                <w:pPr>
                  <w:pStyle w:val="Tableheader"/>
                  <w:jc w:val="right"/>
                  <w:rPr>
                    <w:sz w:val="16"/>
                    <w:szCs w:val="12"/>
                  </w:rPr>
                </w:pPr>
                <w:r w:rsidRPr="00844EE1">
                  <w:rPr>
                    <w:sz w:val="16"/>
                    <w:szCs w:val="12"/>
                  </w:rPr>
                  <w:t>B</w:t>
                </w:r>
              </w:p>
            </w:tc>
            <w:tc>
              <w:tcPr>
                <w:tcW w:w="662" w:type="dxa"/>
                <w:tcBorders>
                  <w:top w:val="nil"/>
                  <w:left w:val="nil"/>
                  <w:bottom w:val="single" w:sz="4" w:space="0" w:color="595A5B" w:themeColor="text1"/>
                  <w:right w:val="nil"/>
                </w:tcBorders>
                <w:shd w:val="clear" w:color="auto" w:fill="22789A" w:themeFill="accent1"/>
                <w:noWrap/>
              </w:tcPr>
              <w:p w14:paraId="6739F21F" w14:textId="77777777" w:rsidR="00830FDC" w:rsidRPr="00844EE1" w:rsidRDefault="00830FDC" w:rsidP="00D0090A">
                <w:pPr>
                  <w:pStyle w:val="Tableheader"/>
                  <w:jc w:val="right"/>
                  <w:rPr>
                    <w:sz w:val="16"/>
                    <w:szCs w:val="12"/>
                  </w:rPr>
                </w:pPr>
                <w:r w:rsidRPr="00844EE1">
                  <w:rPr>
                    <w:sz w:val="16"/>
                    <w:szCs w:val="12"/>
                  </w:rPr>
                  <w:t>C</w:t>
                </w:r>
              </w:p>
            </w:tc>
            <w:tc>
              <w:tcPr>
                <w:tcW w:w="662" w:type="dxa"/>
                <w:tcBorders>
                  <w:top w:val="nil"/>
                  <w:left w:val="nil"/>
                  <w:bottom w:val="single" w:sz="4" w:space="0" w:color="595A5B" w:themeColor="text1"/>
                  <w:right w:val="nil"/>
                </w:tcBorders>
                <w:shd w:val="clear" w:color="auto" w:fill="22789A" w:themeFill="accent1"/>
                <w:noWrap/>
              </w:tcPr>
              <w:p w14:paraId="350A8400" w14:textId="77777777" w:rsidR="00830FDC" w:rsidRPr="00844EE1" w:rsidRDefault="00830FDC" w:rsidP="00D0090A">
                <w:pPr>
                  <w:pStyle w:val="Tableheader"/>
                  <w:jc w:val="right"/>
                  <w:rPr>
                    <w:sz w:val="16"/>
                    <w:szCs w:val="12"/>
                  </w:rPr>
                </w:pPr>
                <w:r w:rsidRPr="00844EE1">
                  <w:rPr>
                    <w:sz w:val="16"/>
                    <w:szCs w:val="12"/>
                  </w:rPr>
                  <w:t>D</w:t>
                </w:r>
              </w:p>
            </w:tc>
            <w:tc>
              <w:tcPr>
                <w:tcW w:w="661" w:type="dxa"/>
                <w:tcBorders>
                  <w:top w:val="nil"/>
                  <w:left w:val="nil"/>
                  <w:bottom w:val="single" w:sz="4" w:space="0" w:color="595A5B" w:themeColor="text1"/>
                  <w:right w:val="nil"/>
                </w:tcBorders>
                <w:shd w:val="clear" w:color="auto" w:fill="22789A" w:themeFill="accent1"/>
                <w:noWrap/>
              </w:tcPr>
              <w:p w14:paraId="6F76CDB0" w14:textId="77777777" w:rsidR="00830FDC" w:rsidRPr="00844EE1" w:rsidRDefault="00830FDC" w:rsidP="00D0090A">
                <w:pPr>
                  <w:pStyle w:val="Tableheader"/>
                  <w:jc w:val="right"/>
                  <w:rPr>
                    <w:sz w:val="16"/>
                    <w:szCs w:val="12"/>
                  </w:rPr>
                </w:pPr>
                <w:r w:rsidRPr="00844EE1">
                  <w:rPr>
                    <w:sz w:val="16"/>
                    <w:szCs w:val="12"/>
                  </w:rPr>
                  <w:t>E</w:t>
                </w:r>
              </w:p>
            </w:tc>
            <w:tc>
              <w:tcPr>
                <w:tcW w:w="662" w:type="dxa"/>
                <w:tcBorders>
                  <w:top w:val="nil"/>
                  <w:left w:val="nil"/>
                  <w:bottom w:val="single" w:sz="4" w:space="0" w:color="595A5B" w:themeColor="text1"/>
                  <w:right w:val="nil"/>
                </w:tcBorders>
                <w:shd w:val="clear" w:color="auto" w:fill="22789A" w:themeFill="accent1"/>
                <w:noWrap/>
              </w:tcPr>
              <w:p w14:paraId="3BBDC309" w14:textId="77777777" w:rsidR="00830FDC" w:rsidRPr="00844EE1" w:rsidRDefault="00830FDC" w:rsidP="00D0090A">
                <w:pPr>
                  <w:pStyle w:val="Tableheader"/>
                  <w:jc w:val="right"/>
                  <w:rPr>
                    <w:sz w:val="16"/>
                    <w:szCs w:val="12"/>
                  </w:rPr>
                </w:pPr>
                <w:r w:rsidRPr="00844EE1">
                  <w:rPr>
                    <w:sz w:val="16"/>
                    <w:szCs w:val="12"/>
                  </w:rPr>
                  <w:t>F</w:t>
                </w:r>
              </w:p>
            </w:tc>
            <w:tc>
              <w:tcPr>
                <w:tcW w:w="662" w:type="dxa"/>
                <w:tcBorders>
                  <w:top w:val="nil"/>
                  <w:left w:val="nil"/>
                  <w:bottom w:val="single" w:sz="4" w:space="0" w:color="595A5B" w:themeColor="text1"/>
                  <w:right w:val="nil"/>
                </w:tcBorders>
                <w:shd w:val="clear" w:color="auto" w:fill="22789A" w:themeFill="accent1"/>
                <w:noWrap/>
              </w:tcPr>
              <w:p w14:paraId="79F011E6" w14:textId="77777777" w:rsidR="00830FDC" w:rsidRPr="00844EE1" w:rsidRDefault="00830FDC" w:rsidP="00D0090A">
                <w:pPr>
                  <w:pStyle w:val="Tableheader"/>
                  <w:jc w:val="right"/>
                  <w:rPr>
                    <w:sz w:val="16"/>
                    <w:szCs w:val="12"/>
                  </w:rPr>
                </w:pPr>
                <w:r w:rsidRPr="00844EE1">
                  <w:rPr>
                    <w:sz w:val="16"/>
                    <w:szCs w:val="12"/>
                  </w:rPr>
                  <w:t>G</w:t>
                </w:r>
              </w:p>
            </w:tc>
            <w:tc>
              <w:tcPr>
                <w:tcW w:w="662" w:type="dxa"/>
                <w:tcBorders>
                  <w:top w:val="nil"/>
                  <w:left w:val="nil"/>
                  <w:bottom w:val="single" w:sz="4" w:space="0" w:color="595A5B" w:themeColor="text1"/>
                  <w:right w:val="nil"/>
                </w:tcBorders>
                <w:shd w:val="clear" w:color="auto" w:fill="22789A" w:themeFill="accent1"/>
                <w:noWrap/>
              </w:tcPr>
              <w:p w14:paraId="09EB9866" w14:textId="77777777" w:rsidR="00830FDC" w:rsidRPr="00844EE1" w:rsidRDefault="00830FDC" w:rsidP="00D0090A">
                <w:pPr>
                  <w:pStyle w:val="Tableheader"/>
                  <w:jc w:val="right"/>
                  <w:rPr>
                    <w:sz w:val="16"/>
                    <w:szCs w:val="12"/>
                  </w:rPr>
                </w:pPr>
                <w:r w:rsidRPr="00844EE1">
                  <w:rPr>
                    <w:sz w:val="16"/>
                    <w:szCs w:val="12"/>
                  </w:rPr>
                  <w:t>H</w:t>
                </w:r>
              </w:p>
            </w:tc>
            <w:tc>
              <w:tcPr>
                <w:tcW w:w="662" w:type="dxa"/>
                <w:tcBorders>
                  <w:top w:val="nil"/>
                  <w:left w:val="nil"/>
                  <w:bottom w:val="single" w:sz="4" w:space="0" w:color="595A5B" w:themeColor="text1"/>
                  <w:right w:val="nil"/>
                </w:tcBorders>
                <w:shd w:val="clear" w:color="auto" w:fill="22789A" w:themeFill="accent1"/>
                <w:noWrap/>
              </w:tcPr>
              <w:p w14:paraId="2E422DA3" w14:textId="77777777" w:rsidR="00830FDC" w:rsidRPr="00844EE1" w:rsidRDefault="00830FDC" w:rsidP="00D0090A">
                <w:pPr>
                  <w:pStyle w:val="Tableheader"/>
                  <w:jc w:val="right"/>
                  <w:rPr>
                    <w:sz w:val="16"/>
                    <w:szCs w:val="12"/>
                  </w:rPr>
                </w:pPr>
                <w:r w:rsidRPr="00844EE1">
                  <w:rPr>
                    <w:sz w:val="16"/>
                    <w:szCs w:val="12"/>
                  </w:rPr>
                  <w:t>I</w:t>
                </w:r>
              </w:p>
            </w:tc>
            <w:tc>
              <w:tcPr>
                <w:tcW w:w="661" w:type="dxa"/>
                <w:tcBorders>
                  <w:top w:val="nil"/>
                  <w:left w:val="nil"/>
                  <w:bottom w:val="single" w:sz="4" w:space="0" w:color="595A5B" w:themeColor="text1"/>
                  <w:right w:val="nil"/>
                </w:tcBorders>
                <w:shd w:val="clear" w:color="auto" w:fill="22789A" w:themeFill="accent1"/>
                <w:noWrap/>
              </w:tcPr>
              <w:p w14:paraId="3BDDA2FA" w14:textId="77777777" w:rsidR="00830FDC" w:rsidRPr="00844EE1" w:rsidRDefault="00830FDC" w:rsidP="00D0090A">
                <w:pPr>
                  <w:pStyle w:val="Tableheader"/>
                  <w:jc w:val="right"/>
                  <w:rPr>
                    <w:sz w:val="16"/>
                    <w:szCs w:val="12"/>
                  </w:rPr>
                </w:pPr>
                <w:r w:rsidRPr="00844EE1">
                  <w:rPr>
                    <w:sz w:val="16"/>
                    <w:szCs w:val="12"/>
                  </w:rPr>
                  <w:t>J</w:t>
                </w:r>
              </w:p>
            </w:tc>
            <w:tc>
              <w:tcPr>
                <w:tcW w:w="662" w:type="dxa"/>
                <w:tcBorders>
                  <w:top w:val="nil"/>
                  <w:left w:val="nil"/>
                  <w:bottom w:val="single" w:sz="4" w:space="0" w:color="595A5B" w:themeColor="text1"/>
                  <w:right w:val="nil"/>
                </w:tcBorders>
                <w:shd w:val="clear" w:color="auto" w:fill="22789A" w:themeFill="accent1"/>
                <w:noWrap/>
              </w:tcPr>
              <w:p w14:paraId="40C225B7" w14:textId="77777777" w:rsidR="00830FDC" w:rsidRPr="00844EE1" w:rsidRDefault="00830FDC" w:rsidP="00D0090A">
                <w:pPr>
                  <w:pStyle w:val="Tableheader"/>
                  <w:jc w:val="right"/>
                  <w:rPr>
                    <w:sz w:val="16"/>
                    <w:szCs w:val="12"/>
                  </w:rPr>
                </w:pPr>
                <w:r w:rsidRPr="00844EE1">
                  <w:rPr>
                    <w:sz w:val="16"/>
                    <w:szCs w:val="12"/>
                  </w:rPr>
                  <w:t>K</w:t>
                </w:r>
              </w:p>
            </w:tc>
            <w:tc>
              <w:tcPr>
                <w:tcW w:w="662" w:type="dxa"/>
                <w:tcBorders>
                  <w:top w:val="nil"/>
                  <w:left w:val="nil"/>
                  <w:bottom w:val="single" w:sz="4" w:space="0" w:color="595A5B" w:themeColor="text1"/>
                  <w:right w:val="nil"/>
                </w:tcBorders>
                <w:shd w:val="clear" w:color="auto" w:fill="22789A" w:themeFill="accent1"/>
                <w:noWrap/>
              </w:tcPr>
              <w:p w14:paraId="732DAF99" w14:textId="77777777" w:rsidR="00830FDC" w:rsidRPr="00844EE1" w:rsidRDefault="00830FDC" w:rsidP="00D0090A">
                <w:pPr>
                  <w:pStyle w:val="Tableheader"/>
                  <w:jc w:val="right"/>
                  <w:rPr>
                    <w:sz w:val="16"/>
                    <w:szCs w:val="12"/>
                  </w:rPr>
                </w:pPr>
                <w:r w:rsidRPr="00844EE1">
                  <w:rPr>
                    <w:sz w:val="16"/>
                    <w:szCs w:val="12"/>
                  </w:rPr>
                  <w:t>L</w:t>
                </w:r>
              </w:p>
            </w:tc>
            <w:tc>
              <w:tcPr>
                <w:tcW w:w="662" w:type="dxa"/>
                <w:tcBorders>
                  <w:top w:val="nil"/>
                  <w:left w:val="nil"/>
                  <w:bottom w:val="single" w:sz="4" w:space="0" w:color="595A5B" w:themeColor="text1"/>
                  <w:right w:val="nil"/>
                </w:tcBorders>
                <w:shd w:val="clear" w:color="auto" w:fill="22789A" w:themeFill="accent1"/>
                <w:noWrap/>
              </w:tcPr>
              <w:p w14:paraId="3AB683C8" w14:textId="77777777" w:rsidR="00830FDC" w:rsidRPr="00844EE1" w:rsidRDefault="00830FDC" w:rsidP="00D0090A">
                <w:pPr>
                  <w:pStyle w:val="Tableheader"/>
                  <w:jc w:val="right"/>
                  <w:rPr>
                    <w:sz w:val="16"/>
                    <w:szCs w:val="12"/>
                  </w:rPr>
                </w:pPr>
                <w:r w:rsidRPr="00844EE1">
                  <w:rPr>
                    <w:sz w:val="16"/>
                    <w:szCs w:val="12"/>
                  </w:rPr>
                  <w:t>M</w:t>
                </w:r>
              </w:p>
            </w:tc>
            <w:tc>
              <w:tcPr>
                <w:tcW w:w="662" w:type="dxa"/>
                <w:tcBorders>
                  <w:top w:val="nil"/>
                  <w:left w:val="nil"/>
                  <w:bottom w:val="single" w:sz="4" w:space="0" w:color="595A5B" w:themeColor="text1"/>
                  <w:right w:val="nil"/>
                </w:tcBorders>
                <w:shd w:val="clear" w:color="auto" w:fill="22789A" w:themeFill="accent1"/>
                <w:noWrap/>
              </w:tcPr>
              <w:p w14:paraId="06EA6B99" w14:textId="77777777" w:rsidR="00830FDC" w:rsidRPr="00844EE1" w:rsidRDefault="00830FDC" w:rsidP="00D0090A">
                <w:pPr>
                  <w:pStyle w:val="Tableheader"/>
                  <w:jc w:val="right"/>
                  <w:rPr>
                    <w:sz w:val="16"/>
                    <w:szCs w:val="12"/>
                  </w:rPr>
                </w:pPr>
                <w:r w:rsidRPr="00844EE1">
                  <w:rPr>
                    <w:sz w:val="16"/>
                    <w:szCs w:val="12"/>
                  </w:rPr>
                  <w:t>N</w:t>
                </w:r>
              </w:p>
            </w:tc>
            <w:tc>
              <w:tcPr>
                <w:tcW w:w="661" w:type="dxa"/>
                <w:tcBorders>
                  <w:top w:val="nil"/>
                  <w:left w:val="nil"/>
                  <w:bottom w:val="single" w:sz="4" w:space="0" w:color="595A5B" w:themeColor="text1"/>
                  <w:right w:val="nil"/>
                </w:tcBorders>
                <w:shd w:val="clear" w:color="auto" w:fill="22789A" w:themeFill="accent1"/>
                <w:noWrap/>
              </w:tcPr>
              <w:p w14:paraId="6A2E7B2F" w14:textId="77777777" w:rsidR="00830FDC" w:rsidRPr="00844EE1" w:rsidRDefault="00830FDC" w:rsidP="00D0090A">
                <w:pPr>
                  <w:pStyle w:val="Tableheader"/>
                  <w:jc w:val="right"/>
                  <w:rPr>
                    <w:sz w:val="16"/>
                    <w:szCs w:val="12"/>
                  </w:rPr>
                </w:pPr>
                <w:r w:rsidRPr="00844EE1">
                  <w:rPr>
                    <w:sz w:val="16"/>
                    <w:szCs w:val="12"/>
                  </w:rPr>
                  <w:t>O</w:t>
                </w:r>
              </w:p>
            </w:tc>
            <w:tc>
              <w:tcPr>
                <w:tcW w:w="662" w:type="dxa"/>
                <w:tcBorders>
                  <w:top w:val="nil"/>
                  <w:left w:val="nil"/>
                  <w:bottom w:val="single" w:sz="4" w:space="0" w:color="595A5B" w:themeColor="text1"/>
                  <w:right w:val="nil"/>
                </w:tcBorders>
                <w:shd w:val="clear" w:color="auto" w:fill="22789A" w:themeFill="accent1"/>
                <w:noWrap/>
              </w:tcPr>
              <w:p w14:paraId="1438B988" w14:textId="77777777" w:rsidR="00830FDC" w:rsidRPr="00844EE1" w:rsidRDefault="00830FDC" w:rsidP="00D0090A">
                <w:pPr>
                  <w:pStyle w:val="Tableheader"/>
                  <w:jc w:val="right"/>
                  <w:rPr>
                    <w:sz w:val="16"/>
                    <w:szCs w:val="12"/>
                  </w:rPr>
                </w:pPr>
                <w:r w:rsidRPr="00844EE1">
                  <w:rPr>
                    <w:sz w:val="16"/>
                    <w:szCs w:val="12"/>
                  </w:rPr>
                  <w:t>P</w:t>
                </w:r>
              </w:p>
            </w:tc>
            <w:tc>
              <w:tcPr>
                <w:tcW w:w="662" w:type="dxa"/>
                <w:tcBorders>
                  <w:top w:val="nil"/>
                  <w:left w:val="nil"/>
                  <w:bottom w:val="single" w:sz="4" w:space="0" w:color="595A5B" w:themeColor="text1"/>
                  <w:right w:val="nil"/>
                </w:tcBorders>
                <w:shd w:val="clear" w:color="auto" w:fill="22789A" w:themeFill="accent1"/>
                <w:noWrap/>
              </w:tcPr>
              <w:p w14:paraId="5F3248C2" w14:textId="77777777" w:rsidR="00830FDC" w:rsidRPr="00844EE1" w:rsidRDefault="00830FDC" w:rsidP="00D0090A">
                <w:pPr>
                  <w:pStyle w:val="Tableheader"/>
                  <w:jc w:val="right"/>
                  <w:rPr>
                    <w:sz w:val="16"/>
                    <w:szCs w:val="12"/>
                  </w:rPr>
                </w:pPr>
                <w:r w:rsidRPr="00844EE1">
                  <w:rPr>
                    <w:sz w:val="16"/>
                    <w:szCs w:val="12"/>
                  </w:rPr>
                  <w:t>Q</w:t>
                </w:r>
              </w:p>
            </w:tc>
            <w:tc>
              <w:tcPr>
                <w:tcW w:w="662" w:type="dxa"/>
                <w:tcBorders>
                  <w:top w:val="nil"/>
                  <w:left w:val="nil"/>
                  <w:bottom w:val="single" w:sz="4" w:space="0" w:color="595A5B" w:themeColor="text1"/>
                  <w:right w:val="nil"/>
                </w:tcBorders>
                <w:shd w:val="clear" w:color="auto" w:fill="22789A" w:themeFill="accent1"/>
                <w:noWrap/>
              </w:tcPr>
              <w:p w14:paraId="271E16B7" w14:textId="77777777" w:rsidR="00830FDC" w:rsidRPr="00844EE1" w:rsidRDefault="00830FDC" w:rsidP="00D0090A">
                <w:pPr>
                  <w:pStyle w:val="Tableheader"/>
                  <w:jc w:val="right"/>
                  <w:rPr>
                    <w:sz w:val="16"/>
                    <w:szCs w:val="12"/>
                  </w:rPr>
                </w:pPr>
                <w:r w:rsidRPr="00844EE1">
                  <w:rPr>
                    <w:sz w:val="16"/>
                    <w:szCs w:val="12"/>
                  </w:rPr>
                  <w:t>R</w:t>
                </w:r>
              </w:p>
            </w:tc>
            <w:tc>
              <w:tcPr>
                <w:tcW w:w="662" w:type="dxa"/>
                <w:tcBorders>
                  <w:top w:val="nil"/>
                  <w:left w:val="nil"/>
                  <w:bottom w:val="single" w:sz="4" w:space="0" w:color="595A5B" w:themeColor="text1"/>
                  <w:right w:val="nil"/>
                </w:tcBorders>
                <w:shd w:val="clear" w:color="auto" w:fill="22789A" w:themeFill="accent1"/>
                <w:noWrap/>
              </w:tcPr>
              <w:p w14:paraId="485A34F6" w14:textId="77777777" w:rsidR="00830FDC" w:rsidRPr="00844EE1" w:rsidRDefault="00830FDC" w:rsidP="00D0090A">
                <w:pPr>
                  <w:pStyle w:val="Tableheader"/>
                  <w:jc w:val="right"/>
                  <w:rPr>
                    <w:sz w:val="16"/>
                    <w:szCs w:val="12"/>
                  </w:rPr>
                </w:pPr>
                <w:r w:rsidRPr="00844EE1">
                  <w:rPr>
                    <w:sz w:val="16"/>
                    <w:szCs w:val="12"/>
                  </w:rPr>
                  <w:t>S</w:t>
                </w:r>
              </w:p>
            </w:tc>
          </w:tr>
          <w:tr w:rsidR="00830FDC" w:rsidRPr="00F63634" w14:paraId="6688B02A" w14:textId="77777777" w:rsidTr="00D0090A">
            <w:trPr>
              <w:trHeight w:val="225"/>
            </w:trPr>
            <w:tc>
              <w:tcPr>
                <w:tcW w:w="1460"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DEFEFAD"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South Australia</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48CA67A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1342.7</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17F69D0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82.7</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AF1D91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571.2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5B22749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72.5</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53DF9CE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2727.2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4492E77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538.5</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52C5A34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1120.5</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314E03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836.8</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52EA4B2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1203.2</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152520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138.2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4E223AE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1560.3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123B622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1497.2</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0B313F1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1710.3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7B4F50A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799.3</w:t>
                </w:r>
              </w:p>
            </w:tc>
            <w:tc>
              <w:tcPr>
                <w:tcW w:w="661"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2CD58F4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76.3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17E564D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195.3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565A56B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738.7</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62BE40D6"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191.3</w:t>
                </w:r>
              </w:p>
            </w:tc>
            <w:tc>
              <w:tcPr>
                <w:tcW w:w="662" w:type="dxa"/>
                <w:tcBorders>
                  <w:top w:val="single" w:sz="4" w:space="0" w:color="595A5B" w:themeColor="text1"/>
                  <w:left w:val="nil"/>
                  <w:bottom w:val="single" w:sz="4" w:space="0" w:color="95B3D7"/>
                  <w:right w:val="nil"/>
                </w:tcBorders>
                <w:shd w:val="clear" w:color="auto" w:fill="CAE7F3" w:themeFill="accent1" w:themeFillTint="33"/>
                <w:noWrap/>
                <w:vAlign w:val="bottom"/>
                <w:hideMark/>
              </w:tcPr>
              <w:p w14:paraId="37CA4A1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733.0</w:t>
                </w:r>
              </w:p>
            </w:tc>
          </w:tr>
          <w:tr w:rsidR="00830FDC" w:rsidRPr="00F63634" w14:paraId="71FF369A"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4DB1F5D"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Adelaide</w:t>
                </w:r>
                <w:r>
                  <w:rPr>
                    <w:color w:val="595A5B" w:themeColor="text1"/>
                    <w:sz w:val="12"/>
                    <w:szCs w:val="16"/>
                    <w:lang w:eastAsia="en-AU"/>
                  </w:rPr>
                  <w:t xml:space="preserve"> — </w:t>
                </w:r>
                <w:r w:rsidRPr="009820E8">
                  <w:rPr>
                    <w:color w:val="595A5B" w:themeColor="text1"/>
                    <w:sz w:val="12"/>
                    <w:szCs w:val="16"/>
                    <w:lang w:eastAsia="en-AU"/>
                  </w:rPr>
                  <w:t>Central and Hills</w:t>
                </w:r>
              </w:p>
            </w:tc>
            <w:tc>
              <w:tcPr>
                <w:tcW w:w="661" w:type="dxa"/>
                <w:tcBorders>
                  <w:top w:val="nil"/>
                  <w:left w:val="nil"/>
                  <w:bottom w:val="nil"/>
                  <w:right w:val="nil"/>
                </w:tcBorders>
                <w:shd w:val="clear" w:color="auto" w:fill="CAE7F3" w:themeFill="accent1" w:themeFillTint="33"/>
                <w:noWrap/>
                <w:vAlign w:val="bottom"/>
                <w:hideMark/>
              </w:tcPr>
              <w:p w14:paraId="054F00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185.7</w:t>
                </w:r>
              </w:p>
            </w:tc>
            <w:tc>
              <w:tcPr>
                <w:tcW w:w="662" w:type="dxa"/>
                <w:tcBorders>
                  <w:top w:val="nil"/>
                  <w:left w:val="nil"/>
                  <w:bottom w:val="nil"/>
                  <w:right w:val="nil"/>
                </w:tcBorders>
                <w:shd w:val="clear" w:color="auto" w:fill="CAE7F3" w:themeFill="accent1" w:themeFillTint="33"/>
                <w:noWrap/>
                <w:vAlign w:val="bottom"/>
                <w:hideMark/>
              </w:tcPr>
              <w:p w14:paraId="42C13D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28.0</w:t>
                </w:r>
              </w:p>
            </w:tc>
            <w:tc>
              <w:tcPr>
                <w:tcW w:w="662" w:type="dxa"/>
                <w:tcBorders>
                  <w:top w:val="nil"/>
                  <w:left w:val="nil"/>
                  <w:bottom w:val="nil"/>
                  <w:right w:val="nil"/>
                </w:tcBorders>
                <w:shd w:val="clear" w:color="auto" w:fill="CAE7F3" w:themeFill="accent1" w:themeFillTint="33"/>
                <w:noWrap/>
                <w:vAlign w:val="bottom"/>
                <w:hideMark/>
              </w:tcPr>
              <w:p w14:paraId="0A6218D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130.7</w:t>
                </w:r>
              </w:p>
            </w:tc>
            <w:tc>
              <w:tcPr>
                <w:tcW w:w="662" w:type="dxa"/>
                <w:tcBorders>
                  <w:top w:val="nil"/>
                  <w:left w:val="nil"/>
                  <w:bottom w:val="nil"/>
                  <w:right w:val="nil"/>
                </w:tcBorders>
                <w:shd w:val="clear" w:color="auto" w:fill="CAE7F3" w:themeFill="accent1" w:themeFillTint="33"/>
                <w:noWrap/>
                <w:vAlign w:val="bottom"/>
                <w:hideMark/>
              </w:tcPr>
              <w:p w14:paraId="7060D8A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16.7</w:t>
                </w:r>
              </w:p>
            </w:tc>
            <w:tc>
              <w:tcPr>
                <w:tcW w:w="661" w:type="dxa"/>
                <w:tcBorders>
                  <w:top w:val="nil"/>
                  <w:left w:val="nil"/>
                  <w:bottom w:val="nil"/>
                  <w:right w:val="nil"/>
                </w:tcBorders>
                <w:shd w:val="clear" w:color="auto" w:fill="CAE7F3" w:themeFill="accent1" w:themeFillTint="33"/>
                <w:noWrap/>
                <w:vAlign w:val="bottom"/>
                <w:hideMark/>
              </w:tcPr>
              <w:p w14:paraId="4E64A7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570.2</w:t>
                </w:r>
              </w:p>
            </w:tc>
            <w:tc>
              <w:tcPr>
                <w:tcW w:w="662" w:type="dxa"/>
                <w:tcBorders>
                  <w:top w:val="nil"/>
                  <w:left w:val="nil"/>
                  <w:bottom w:val="nil"/>
                  <w:right w:val="nil"/>
                </w:tcBorders>
                <w:shd w:val="clear" w:color="auto" w:fill="CAE7F3" w:themeFill="accent1" w:themeFillTint="33"/>
                <w:noWrap/>
                <w:vAlign w:val="bottom"/>
                <w:hideMark/>
              </w:tcPr>
              <w:p w14:paraId="06743C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166.5</w:t>
                </w:r>
              </w:p>
            </w:tc>
            <w:tc>
              <w:tcPr>
                <w:tcW w:w="662" w:type="dxa"/>
                <w:tcBorders>
                  <w:top w:val="nil"/>
                  <w:left w:val="nil"/>
                  <w:bottom w:val="nil"/>
                  <w:right w:val="nil"/>
                </w:tcBorders>
                <w:shd w:val="clear" w:color="auto" w:fill="CAE7F3" w:themeFill="accent1" w:themeFillTint="33"/>
                <w:noWrap/>
                <w:vAlign w:val="bottom"/>
                <w:hideMark/>
              </w:tcPr>
              <w:p w14:paraId="345209C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304.0</w:t>
                </w:r>
              </w:p>
            </w:tc>
            <w:tc>
              <w:tcPr>
                <w:tcW w:w="662" w:type="dxa"/>
                <w:tcBorders>
                  <w:top w:val="nil"/>
                  <w:left w:val="nil"/>
                  <w:bottom w:val="nil"/>
                  <w:right w:val="nil"/>
                </w:tcBorders>
                <w:shd w:val="clear" w:color="auto" w:fill="CAE7F3" w:themeFill="accent1" w:themeFillTint="33"/>
                <w:noWrap/>
                <w:vAlign w:val="bottom"/>
                <w:hideMark/>
              </w:tcPr>
              <w:p w14:paraId="4A4E85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291.7</w:t>
                </w:r>
              </w:p>
            </w:tc>
            <w:tc>
              <w:tcPr>
                <w:tcW w:w="662" w:type="dxa"/>
                <w:tcBorders>
                  <w:top w:val="nil"/>
                  <w:left w:val="nil"/>
                  <w:bottom w:val="nil"/>
                  <w:right w:val="nil"/>
                </w:tcBorders>
                <w:shd w:val="clear" w:color="auto" w:fill="CAE7F3" w:themeFill="accent1" w:themeFillTint="33"/>
                <w:noWrap/>
                <w:vAlign w:val="bottom"/>
                <w:hideMark/>
              </w:tcPr>
              <w:p w14:paraId="415E373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204.8</w:t>
                </w:r>
              </w:p>
            </w:tc>
            <w:tc>
              <w:tcPr>
                <w:tcW w:w="661" w:type="dxa"/>
                <w:tcBorders>
                  <w:top w:val="nil"/>
                  <w:left w:val="nil"/>
                  <w:bottom w:val="nil"/>
                  <w:right w:val="nil"/>
                </w:tcBorders>
                <w:shd w:val="clear" w:color="auto" w:fill="CAE7F3" w:themeFill="accent1" w:themeFillTint="33"/>
                <w:noWrap/>
                <w:vAlign w:val="bottom"/>
                <w:hideMark/>
              </w:tcPr>
              <w:p w14:paraId="567926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60.5</w:t>
                </w:r>
              </w:p>
            </w:tc>
            <w:tc>
              <w:tcPr>
                <w:tcW w:w="662" w:type="dxa"/>
                <w:tcBorders>
                  <w:top w:val="nil"/>
                  <w:left w:val="nil"/>
                  <w:bottom w:val="nil"/>
                  <w:right w:val="nil"/>
                </w:tcBorders>
                <w:shd w:val="clear" w:color="auto" w:fill="CAE7F3" w:themeFill="accent1" w:themeFillTint="33"/>
                <w:noWrap/>
                <w:vAlign w:val="bottom"/>
                <w:hideMark/>
              </w:tcPr>
              <w:p w14:paraId="00BF32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875.8</w:t>
                </w:r>
              </w:p>
            </w:tc>
            <w:tc>
              <w:tcPr>
                <w:tcW w:w="662" w:type="dxa"/>
                <w:tcBorders>
                  <w:top w:val="nil"/>
                  <w:left w:val="nil"/>
                  <w:bottom w:val="nil"/>
                  <w:right w:val="nil"/>
                </w:tcBorders>
                <w:shd w:val="clear" w:color="auto" w:fill="CAE7F3" w:themeFill="accent1" w:themeFillTint="33"/>
                <w:noWrap/>
                <w:vAlign w:val="bottom"/>
                <w:hideMark/>
              </w:tcPr>
              <w:p w14:paraId="41FAE9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617.7</w:t>
                </w:r>
              </w:p>
            </w:tc>
            <w:tc>
              <w:tcPr>
                <w:tcW w:w="662" w:type="dxa"/>
                <w:tcBorders>
                  <w:top w:val="nil"/>
                  <w:left w:val="nil"/>
                  <w:bottom w:val="nil"/>
                  <w:right w:val="nil"/>
                </w:tcBorders>
                <w:shd w:val="clear" w:color="auto" w:fill="CAE7F3" w:themeFill="accent1" w:themeFillTint="33"/>
                <w:noWrap/>
                <w:vAlign w:val="bottom"/>
                <w:hideMark/>
              </w:tcPr>
              <w:p w14:paraId="51D61E6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713.8</w:t>
                </w:r>
              </w:p>
            </w:tc>
            <w:tc>
              <w:tcPr>
                <w:tcW w:w="662" w:type="dxa"/>
                <w:tcBorders>
                  <w:top w:val="nil"/>
                  <w:left w:val="nil"/>
                  <w:bottom w:val="nil"/>
                  <w:right w:val="nil"/>
                </w:tcBorders>
                <w:shd w:val="clear" w:color="auto" w:fill="CAE7F3" w:themeFill="accent1" w:themeFillTint="33"/>
                <w:noWrap/>
                <w:vAlign w:val="bottom"/>
                <w:hideMark/>
              </w:tcPr>
              <w:p w14:paraId="1E59F18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201.5</w:t>
                </w:r>
              </w:p>
            </w:tc>
            <w:tc>
              <w:tcPr>
                <w:tcW w:w="661" w:type="dxa"/>
                <w:tcBorders>
                  <w:top w:val="nil"/>
                  <w:left w:val="nil"/>
                  <w:bottom w:val="nil"/>
                  <w:right w:val="nil"/>
                </w:tcBorders>
                <w:shd w:val="clear" w:color="auto" w:fill="CAE7F3" w:themeFill="accent1" w:themeFillTint="33"/>
                <w:noWrap/>
                <w:vAlign w:val="bottom"/>
                <w:hideMark/>
              </w:tcPr>
              <w:p w14:paraId="7B9459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18.0</w:t>
                </w:r>
              </w:p>
            </w:tc>
            <w:tc>
              <w:tcPr>
                <w:tcW w:w="662" w:type="dxa"/>
                <w:tcBorders>
                  <w:top w:val="nil"/>
                  <w:left w:val="nil"/>
                  <w:bottom w:val="nil"/>
                  <w:right w:val="nil"/>
                </w:tcBorders>
                <w:shd w:val="clear" w:color="auto" w:fill="CAE7F3" w:themeFill="accent1" w:themeFillTint="33"/>
                <w:noWrap/>
                <w:vAlign w:val="bottom"/>
                <w:hideMark/>
              </w:tcPr>
              <w:p w14:paraId="0532F03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66.0</w:t>
                </w:r>
              </w:p>
            </w:tc>
            <w:tc>
              <w:tcPr>
                <w:tcW w:w="662" w:type="dxa"/>
                <w:tcBorders>
                  <w:top w:val="nil"/>
                  <w:left w:val="nil"/>
                  <w:bottom w:val="nil"/>
                  <w:right w:val="nil"/>
                </w:tcBorders>
                <w:shd w:val="clear" w:color="auto" w:fill="CAE7F3" w:themeFill="accent1" w:themeFillTint="33"/>
                <w:noWrap/>
                <w:vAlign w:val="bottom"/>
                <w:hideMark/>
              </w:tcPr>
              <w:p w14:paraId="0E3515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299.8</w:t>
                </w:r>
              </w:p>
            </w:tc>
            <w:tc>
              <w:tcPr>
                <w:tcW w:w="662" w:type="dxa"/>
                <w:tcBorders>
                  <w:top w:val="nil"/>
                  <w:left w:val="nil"/>
                  <w:bottom w:val="nil"/>
                  <w:right w:val="nil"/>
                </w:tcBorders>
                <w:shd w:val="clear" w:color="auto" w:fill="CAE7F3" w:themeFill="accent1" w:themeFillTint="33"/>
                <w:noWrap/>
                <w:vAlign w:val="bottom"/>
                <w:hideMark/>
              </w:tcPr>
              <w:p w14:paraId="2592A5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62.0</w:t>
                </w:r>
              </w:p>
            </w:tc>
            <w:tc>
              <w:tcPr>
                <w:tcW w:w="662" w:type="dxa"/>
                <w:tcBorders>
                  <w:top w:val="nil"/>
                  <w:left w:val="nil"/>
                  <w:bottom w:val="nil"/>
                  <w:right w:val="nil"/>
                </w:tcBorders>
                <w:shd w:val="clear" w:color="auto" w:fill="CAE7F3" w:themeFill="accent1" w:themeFillTint="33"/>
                <w:noWrap/>
                <w:vAlign w:val="bottom"/>
                <w:hideMark/>
              </w:tcPr>
              <w:p w14:paraId="05D5B1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163.8</w:t>
                </w:r>
              </w:p>
            </w:tc>
          </w:tr>
          <w:tr w:rsidR="00830FDC" w:rsidRPr="00F63634" w14:paraId="14D32A68"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6DEA02A"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Adelaide</w:t>
                </w:r>
                <w:r>
                  <w:rPr>
                    <w:color w:val="595A5B" w:themeColor="text1"/>
                    <w:sz w:val="12"/>
                    <w:szCs w:val="16"/>
                    <w:lang w:eastAsia="en-AU"/>
                  </w:rPr>
                  <w:t xml:space="preserve"> — </w:t>
                </w:r>
                <w:r w:rsidRPr="009820E8">
                  <w:rPr>
                    <w:color w:val="595A5B" w:themeColor="text1"/>
                    <w:sz w:val="12"/>
                    <w:szCs w:val="16"/>
                    <w:lang w:eastAsia="en-AU"/>
                  </w:rPr>
                  <w:t>North</w:t>
                </w:r>
              </w:p>
            </w:tc>
            <w:tc>
              <w:tcPr>
                <w:tcW w:w="661" w:type="dxa"/>
                <w:tcBorders>
                  <w:top w:val="nil"/>
                  <w:left w:val="nil"/>
                  <w:bottom w:val="nil"/>
                  <w:right w:val="nil"/>
                </w:tcBorders>
                <w:shd w:val="clear" w:color="auto" w:fill="CAE7F3" w:themeFill="accent1" w:themeFillTint="33"/>
                <w:noWrap/>
                <w:vAlign w:val="bottom"/>
                <w:hideMark/>
              </w:tcPr>
              <w:p w14:paraId="05B34C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150.8</w:t>
                </w:r>
              </w:p>
            </w:tc>
            <w:tc>
              <w:tcPr>
                <w:tcW w:w="662" w:type="dxa"/>
                <w:tcBorders>
                  <w:top w:val="nil"/>
                  <w:left w:val="nil"/>
                  <w:bottom w:val="nil"/>
                  <w:right w:val="nil"/>
                </w:tcBorders>
                <w:shd w:val="clear" w:color="auto" w:fill="CAE7F3" w:themeFill="accent1" w:themeFillTint="33"/>
                <w:noWrap/>
                <w:vAlign w:val="bottom"/>
                <w:hideMark/>
              </w:tcPr>
              <w:p w14:paraId="4A8E14D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w:t>
                </w:r>
              </w:p>
            </w:tc>
            <w:tc>
              <w:tcPr>
                <w:tcW w:w="662" w:type="dxa"/>
                <w:tcBorders>
                  <w:top w:val="nil"/>
                  <w:left w:val="nil"/>
                  <w:bottom w:val="nil"/>
                  <w:right w:val="nil"/>
                </w:tcBorders>
                <w:shd w:val="clear" w:color="auto" w:fill="CAE7F3" w:themeFill="accent1" w:themeFillTint="33"/>
                <w:noWrap/>
                <w:vAlign w:val="bottom"/>
                <w:hideMark/>
              </w:tcPr>
              <w:p w14:paraId="47C19F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115.8</w:t>
                </w:r>
              </w:p>
            </w:tc>
            <w:tc>
              <w:tcPr>
                <w:tcW w:w="662" w:type="dxa"/>
                <w:tcBorders>
                  <w:top w:val="nil"/>
                  <w:left w:val="nil"/>
                  <w:bottom w:val="nil"/>
                  <w:right w:val="nil"/>
                </w:tcBorders>
                <w:shd w:val="clear" w:color="auto" w:fill="CAE7F3" w:themeFill="accent1" w:themeFillTint="33"/>
                <w:noWrap/>
                <w:vAlign w:val="bottom"/>
                <w:hideMark/>
              </w:tcPr>
              <w:p w14:paraId="6A1371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w:t>
                </w:r>
              </w:p>
            </w:tc>
            <w:tc>
              <w:tcPr>
                <w:tcW w:w="661" w:type="dxa"/>
                <w:tcBorders>
                  <w:top w:val="nil"/>
                  <w:left w:val="nil"/>
                  <w:bottom w:val="nil"/>
                  <w:right w:val="nil"/>
                </w:tcBorders>
                <w:shd w:val="clear" w:color="auto" w:fill="CAE7F3" w:themeFill="accent1" w:themeFillTint="33"/>
                <w:noWrap/>
                <w:vAlign w:val="bottom"/>
                <w:hideMark/>
              </w:tcPr>
              <w:p w14:paraId="06F0E8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659.0</w:t>
                </w:r>
              </w:p>
            </w:tc>
            <w:tc>
              <w:tcPr>
                <w:tcW w:w="662" w:type="dxa"/>
                <w:tcBorders>
                  <w:top w:val="nil"/>
                  <w:left w:val="nil"/>
                  <w:bottom w:val="nil"/>
                  <w:right w:val="nil"/>
                </w:tcBorders>
                <w:shd w:val="clear" w:color="auto" w:fill="CAE7F3" w:themeFill="accent1" w:themeFillTint="33"/>
                <w:noWrap/>
                <w:vAlign w:val="bottom"/>
                <w:hideMark/>
              </w:tcPr>
              <w:p w14:paraId="63016BC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104.0</w:t>
                </w:r>
              </w:p>
            </w:tc>
            <w:tc>
              <w:tcPr>
                <w:tcW w:w="662" w:type="dxa"/>
                <w:tcBorders>
                  <w:top w:val="nil"/>
                  <w:left w:val="nil"/>
                  <w:bottom w:val="nil"/>
                  <w:right w:val="nil"/>
                </w:tcBorders>
                <w:shd w:val="clear" w:color="auto" w:fill="CAE7F3" w:themeFill="accent1" w:themeFillTint="33"/>
                <w:noWrap/>
                <w:vAlign w:val="bottom"/>
                <w:hideMark/>
              </w:tcPr>
              <w:p w14:paraId="489127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226.5</w:t>
                </w:r>
              </w:p>
            </w:tc>
            <w:tc>
              <w:tcPr>
                <w:tcW w:w="662" w:type="dxa"/>
                <w:tcBorders>
                  <w:top w:val="nil"/>
                  <w:left w:val="nil"/>
                  <w:bottom w:val="nil"/>
                  <w:right w:val="nil"/>
                </w:tcBorders>
                <w:shd w:val="clear" w:color="auto" w:fill="CAE7F3" w:themeFill="accent1" w:themeFillTint="33"/>
                <w:noWrap/>
                <w:vAlign w:val="bottom"/>
                <w:hideMark/>
              </w:tcPr>
              <w:p w14:paraId="03971B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127.3</w:t>
                </w:r>
              </w:p>
            </w:tc>
            <w:tc>
              <w:tcPr>
                <w:tcW w:w="662" w:type="dxa"/>
                <w:tcBorders>
                  <w:top w:val="nil"/>
                  <w:left w:val="nil"/>
                  <w:bottom w:val="nil"/>
                  <w:right w:val="nil"/>
                </w:tcBorders>
                <w:shd w:val="clear" w:color="auto" w:fill="CAE7F3" w:themeFill="accent1" w:themeFillTint="33"/>
                <w:noWrap/>
                <w:vAlign w:val="bottom"/>
                <w:hideMark/>
              </w:tcPr>
              <w:p w14:paraId="571114E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361.8</w:t>
                </w:r>
              </w:p>
            </w:tc>
            <w:tc>
              <w:tcPr>
                <w:tcW w:w="661" w:type="dxa"/>
                <w:tcBorders>
                  <w:top w:val="nil"/>
                  <w:left w:val="nil"/>
                  <w:bottom w:val="nil"/>
                  <w:right w:val="nil"/>
                </w:tcBorders>
                <w:shd w:val="clear" w:color="auto" w:fill="CAE7F3" w:themeFill="accent1" w:themeFillTint="33"/>
                <w:noWrap/>
                <w:vAlign w:val="bottom"/>
                <w:hideMark/>
              </w:tcPr>
              <w:p w14:paraId="455CC96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w:t>
                </w:r>
              </w:p>
            </w:tc>
            <w:tc>
              <w:tcPr>
                <w:tcW w:w="662" w:type="dxa"/>
                <w:tcBorders>
                  <w:top w:val="nil"/>
                  <w:left w:val="nil"/>
                  <w:bottom w:val="nil"/>
                  <w:right w:val="nil"/>
                </w:tcBorders>
                <w:shd w:val="clear" w:color="auto" w:fill="CAE7F3" w:themeFill="accent1" w:themeFillTint="33"/>
                <w:noWrap/>
                <w:vAlign w:val="bottom"/>
                <w:hideMark/>
              </w:tcPr>
              <w:p w14:paraId="13A821B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137.3</w:t>
                </w:r>
              </w:p>
            </w:tc>
            <w:tc>
              <w:tcPr>
                <w:tcW w:w="662" w:type="dxa"/>
                <w:tcBorders>
                  <w:top w:val="nil"/>
                  <w:left w:val="nil"/>
                  <w:bottom w:val="nil"/>
                  <w:right w:val="nil"/>
                </w:tcBorders>
                <w:shd w:val="clear" w:color="auto" w:fill="CAE7F3" w:themeFill="accent1" w:themeFillTint="33"/>
                <w:noWrap/>
                <w:vAlign w:val="bottom"/>
                <w:hideMark/>
              </w:tcPr>
              <w:p w14:paraId="3421DEB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178.7</w:t>
                </w:r>
              </w:p>
            </w:tc>
            <w:tc>
              <w:tcPr>
                <w:tcW w:w="662" w:type="dxa"/>
                <w:tcBorders>
                  <w:top w:val="nil"/>
                  <w:left w:val="nil"/>
                  <w:bottom w:val="nil"/>
                  <w:right w:val="nil"/>
                </w:tcBorders>
                <w:shd w:val="clear" w:color="auto" w:fill="CAE7F3" w:themeFill="accent1" w:themeFillTint="33"/>
                <w:noWrap/>
                <w:vAlign w:val="bottom"/>
                <w:hideMark/>
              </w:tcPr>
              <w:p w14:paraId="1269002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230.5</w:t>
                </w:r>
              </w:p>
            </w:tc>
            <w:tc>
              <w:tcPr>
                <w:tcW w:w="662" w:type="dxa"/>
                <w:tcBorders>
                  <w:top w:val="nil"/>
                  <w:left w:val="nil"/>
                  <w:bottom w:val="nil"/>
                  <w:right w:val="nil"/>
                </w:tcBorders>
                <w:shd w:val="clear" w:color="auto" w:fill="CAE7F3" w:themeFill="accent1" w:themeFillTint="33"/>
                <w:noWrap/>
                <w:vAlign w:val="bottom"/>
                <w:hideMark/>
              </w:tcPr>
              <w:p w14:paraId="61376F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199.2</w:t>
                </w:r>
              </w:p>
            </w:tc>
            <w:tc>
              <w:tcPr>
                <w:tcW w:w="661" w:type="dxa"/>
                <w:tcBorders>
                  <w:top w:val="nil"/>
                  <w:left w:val="nil"/>
                  <w:bottom w:val="nil"/>
                  <w:right w:val="nil"/>
                </w:tcBorders>
                <w:shd w:val="clear" w:color="auto" w:fill="CAE7F3" w:themeFill="accent1" w:themeFillTint="33"/>
                <w:noWrap/>
                <w:vAlign w:val="bottom"/>
                <w:hideMark/>
              </w:tcPr>
              <w:p w14:paraId="26ADDB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17.3</w:t>
                </w:r>
              </w:p>
            </w:tc>
            <w:tc>
              <w:tcPr>
                <w:tcW w:w="662" w:type="dxa"/>
                <w:tcBorders>
                  <w:top w:val="nil"/>
                  <w:left w:val="nil"/>
                  <w:bottom w:val="nil"/>
                  <w:right w:val="nil"/>
                </w:tcBorders>
                <w:shd w:val="clear" w:color="auto" w:fill="CAE7F3" w:themeFill="accent1" w:themeFillTint="33"/>
                <w:noWrap/>
                <w:vAlign w:val="bottom"/>
                <w:hideMark/>
              </w:tcPr>
              <w:p w14:paraId="76D96A1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34.2</w:t>
                </w:r>
              </w:p>
            </w:tc>
            <w:tc>
              <w:tcPr>
                <w:tcW w:w="662" w:type="dxa"/>
                <w:tcBorders>
                  <w:top w:val="nil"/>
                  <w:left w:val="nil"/>
                  <w:bottom w:val="nil"/>
                  <w:right w:val="nil"/>
                </w:tcBorders>
                <w:shd w:val="clear" w:color="auto" w:fill="CAE7F3" w:themeFill="accent1" w:themeFillTint="33"/>
                <w:noWrap/>
                <w:vAlign w:val="bottom"/>
                <w:hideMark/>
              </w:tcPr>
              <w:p w14:paraId="0DC780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114.8</w:t>
                </w:r>
              </w:p>
            </w:tc>
            <w:tc>
              <w:tcPr>
                <w:tcW w:w="662" w:type="dxa"/>
                <w:tcBorders>
                  <w:top w:val="nil"/>
                  <w:left w:val="nil"/>
                  <w:bottom w:val="nil"/>
                  <w:right w:val="nil"/>
                </w:tcBorders>
                <w:shd w:val="clear" w:color="auto" w:fill="CAE7F3" w:themeFill="accent1" w:themeFillTint="33"/>
                <w:noWrap/>
                <w:vAlign w:val="bottom"/>
                <w:hideMark/>
              </w:tcPr>
              <w:p w14:paraId="399C2B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31.2</w:t>
                </w:r>
              </w:p>
            </w:tc>
            <w:tc>
              <w:tcPr>
                <w:tcW w:w="662" w:type="dxa"/>
                <w:tcBorders>
                  <w:top w:val="nil"/>
                  <w:left w:val="nil"/>
                  <w:bottom w:val="nil"/>
                  <w:right w:val="nil"/>
                </w:tcBorders>
                <w:shd w:val="clear" w:color="auto" w:fill="CAE7F3" w:themeFill="accent1" w:themeFillTint="33"/>
                <w:noWrap/>
                <w:vAlign w:val="bottom"/>
                <w:hideMark/>
              </w:tcPr>
              <w:p w14:paraId="374CB5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169.3</w:t>
                </w:r>
              </w:p>
            </w:tc>
          </w:tr>
          <w:tr w:rsidR="00830FDC" w:rsidRPr="00F63634" w14:paraId="1DEBE613"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040E8172"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Adelaide</w:t>
                </w:r>
                <w:r>
                  <w:rPr>
                    <w:color w:val="595A5B" w:themeColor="text1"/>
                    <w:sz w:val="12"/>
                    <w:szCs w:val="16"/>
                    <w:lang w:eastAsia="en-AU"/>
                  </w:rPr>
                  <w:t xml:space="preserve"> — </w:t>
                </w:r>
                <w:r w:rsidRPr="009820E8">
                  <w:rPr>
                    <w:color w:val="595A5B" w:themeColor="text1"/>
                    <w:sz w:val="12"/>
                    <w:szCs w:val="16"/>
                    <w:lang w:eastAsia="en-AU"/>
                  </w:rPr>
                  <w:t>South</w:t>
                </w:r>
              </w:p>
            </w:tc>
            <w:tc>
              <w:tcPr>
                <w:tcW w:w="661" w:type="dxa"/>
                <w:tcBorders>
                  <w:top w:val="nil"/>
                  <w:left w:val="nil"/>
                  <w:bottom w:val="nil"/>
                  <w:right w:val="nil"/>
                </w:tcBorders>
                <w:shd w:val="clear" w:color="auto" w:fill="CAE7F3" w:themeFill="accent1" w:themeFillTint="33"/>
                <w:noWrap/>
                <w:vAlign w:val="bottom"/>
                <w:hideMark/>
              </w:tcPr>
              <w:p w14:paraId="3B88A59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88.8</w:t>
                </w:r>
              </w:p>
            </w:tc>
            <w:tc>
              <w:tcPr>
                <w:tcW w:w="662" w:type="dxa"/>
                <w:tcBorders>
                  <w:top w:val="nil"/>
                  <w:left w:val="nil"/>
                  <w:bottom w:val="nil"/>
                  <w:right w:val="nil"/>
                </w:tcBorders>
                <w:shd w:val="clear" w:color="auto" w:fill="CAE7F3" w:themeFill="accent1" w:themeFillTint="33"/>
                <w:noWrap/>
                <w:vAlign w:val="bottom"/>
                <w:hideMark/>
              </w:tcPr>
              <w:p w14:paraId="04456E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w:t>
                </w:r>
              </w:p>
            </w:tc>
            <w:tc>
              <w:tcPr>
                <w:tcW w:w="662" w:type="dxa"/>
                <w:tcBorders>
                  <w:top w:val="nil"/>
                  <w:left w:val="nil"/>
                  <w:bottom w:val="nil"/>
                  <w:right w:val="nil"/>
                </w:tcBorders>
                <w:shd w:val="clear" w:color="auto" w:fill="CAE7F3" w:themeFill="accent1" w:themeFillTint="33"/>
                <w:noWrap/>
                <w:vAlign w:val="bottom"/>
                <w:hideMark/>
              </w:tcPr>
              <w:p w14:paraId="769A79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100.5</w:t>
                </w:r>
              </w:p>
            </w:tc>
            <w:tc>
              <w:tcPr>
                <w:tcW w:w="662" w:type="dxa"/>
                <w:tcBorders>
                  <w:top w:val="nil"/>
                  <w:left w:val="nil"/>
                  <w:bottom w:val="nil"/>
                  <w:right w:val="nil"/>
                </w:tcBorders>
                <w:shd w:val="clear" w:color="auto" w:fill="CAE7F3" w:themeFill="accent1" w:themeFillTint="33"/>
                <w:noWrap/>
                <w:vAlign w:val="bottom"/>
                <w:hideMark/>
              </w:tcPr>
              <w:p w14:paraId="1F2D583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w:t>
                </w:r>
              </w:p>
            </w:tc>
            <w:tc>
              <w:tcPr>
                <w:tcW w:w="661" w:type="dxa"/>
                <w:tcBorders>
                  <w:top w:val="nil"/>
                  <w:left w:val="nil"/>
                  <w:bottom w:val="nil"/>
                  <w:right w:val="nil"/>
                </w:tcBorders>
                <w:shd w:val="clear" w:color="auto" w:fill="CAE7F3" w:themeFill="accent1" w:themeFillTint="33"/>
                <w:noWrap/>
                <w:vAlign w:val="bottom"/>
                <w:hideMark/>
              </w:tcPr>
              <w:p w14:paraId="299F1C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630.8</w:t>
                </w:r>
              </w:p>
            </w:tc>
            <w:tc>
              <w:tcPr>
                <w:tcW w:w="662" w:type="dxa"/>
                <w:tcBorders>
                  <w:top w:val="nil"/>
                  <w:left w:val="nil"/>
                  <w:bottom w:val="nil"/>
                  <w:right w:val="nil"/>
                </w:tcBorders>
                <w:shd w:val="clear" w:color="auto" w:fill="CAE7F3" w:themeFill="accent1" w:themeFillTint="33"/>
                <w:noWrap/>
                <w:vAlign w:val="bottom"/>
                <w:hideMark/>
              </w:tcPr>
              <w:p w14:paraId="580FED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88.0</w:t>
                </w:r>
              </w:p>
            </w:tc>
            <w:tc>
              <w:tcPr>
                <w:tcW w:w="662" w:type="dxa"/>
                <w:tcBorders>
                  <w:top w:val="nil"/>
                  <w:left w:val="nil"/>
                  <w:bottom w:val="nil"/>
                  <w:right w:val="nil"/>
                </w:tcBorders>
                <w:shd w:val="clear" w:color="auto" w:fill="CAE7F3" w:themeFill="accent1" w:themeFillTint="33"/>
                <w:noWrap/>
                <w:vAlign w:val="bottom"/>
                <w:hideMark/>
              </w:tcPr>
              <w:p w14:paraId="76157A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197.8</w:t>
                </w:r>
              </w:p>
            </w:tc>
            <w:tc>
              <w:tcPr>
                <w:tcW w:w="662" w:type="dxa"/>
                <w:tcBorders>
                  <w:top w:val="nil"/>
                  <w:left w:val="nil"/>
                  <w:bottom w:val="nil"/>
                  <w:right w:val="nil"/>
                </w:tcBorders>
                <w:shd w:val="clear" w:color="auto" w:fill="CAE7F3" w:themeFill="accent1" w:themeFillTint="33"/>
                <w:noWrap/>
                <w:vAlign w:val="bottom"/>
                <w:hideMark/>
              </w:tcPr>
              <w:p w14:paraId="311871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121.3</w:t>
                </w:r>
              </w:p>
            </w:tc>
            <w:tc>
              <w:tcPr>
                <w:tcW w:w="662" w:type="dxa"/>
                <w:tcBorders>
                  <w:top w:val="nil"/>
                  <w:left w:val="nil"/>
                  <w:bottom w:val="nil"/>
                  <w:right w:val="nil"/>
                </w:tcBorders>
                <w:shd w:val="clear" w:color="auto" w:fill="CAE7F3" w:themeFill="accent1" w:themeFillTint="33"/>
                <w:noWrap/>
                <w:vAlign w:val="bottom"/>
                <w:hideMark/>
              </w:tcPr>
              <w:p w14:paraId="11C3E1A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169.0</w:t>
                </w:r>
              </w:p>
            </w:tc>
            <w:tc>
              <w:tcPr>
                <w:tcW w:w="661" w:type="dxa"/>
                <w:tcBorders>
                  <w:top w:val="nil"/>
                  <w:left w:val="nil"/>
                  <w:bottom w:val="nil"/>
                  <w:right w:val="nil"/>
                </w:tcBorders>
                <w:shd w:val="clear" w:color="auto" w:fill="CAE7F3" w:themeFill="accent1" w:themeFillTint="33"/>
                <w:noWrap/>
                <w:vAlign w:val="bottom"/>
                <w:hideMark/>
              </w:tcPr>
              <w:p w14:paraId="22B383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25.8</w:t>
                </w:r>
              </w:p>
            </w:tc>
            <w:tc>
              <w:tcPr>
                <w:tcW w:w="662" w:type="dxa"/>
                <w:tcBorders>
                  <w:top w:val="nil"/>
                  <w:left w:val="nil"/>
                  <w:bottom w:val="nil"/>
                  <w:right w:val="nil"/>
                </w:tcBorders>
                <w:shd w:val="clear" w:color="auto" w:fill="CAE7F3" w:themeFill="accent1" w:themeFillTint="33"/>
                <w:noWrap/>
                <w:vAlign w:val="bottom"/>
                <w:hideMark/>
              </w:tcPr>
              <w:p w14:paraId="5BB95D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196.3</w:t>
                </w:r>
              </w:p>
            </w:tc>
            <w:tc>
              <w:tcPr>
                <w:tcW w:w="662" w:type="dxa"/>
                <w:tcBorders>
                  <w:top w:val="nil"/>
                  <w:left w:val="nil"/>
                  <w:bottom w:val="nil"/>
                  <w:right w:val="nil"/>
                </w:tcBorders>
                <w:shd w:val="clear" w:color="auto" w:fill="CAE7F3" w:themeFill="accent1" w:themeFillTint="33"/>
                <w:noWrap/>
                <w:vAlign w:val="bottom"/>
                <w:hideMark/>
              </w:tcPr>
              <w:p w14:paraId="713E34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204.2</w:t>
                </w:r>
              </w:p>
            </w:tc>
            <w:tc>
              <w:tcPr>
                <w:tcW w:w="662" w:type="dxa"/>
                <w:tcBorders>
                  <w:top w:val="nil"/>
                  <w:left w:val="nil"/>
                  <w:bottom w:val="nil"/>
                  <w:right w:val="nil"/>
                </w:tcBorders>
                <w:shd w:val="clear" w:color="auto" w:fill="CAE7F3" w:themeFill="accent1" w:themeFillTint="33"/>
                <w:noWrap/>
                <w:vAlign w:val="bottom"/>
                <w:hideMark/>
              </w:tcPr>
              <w:p w14:paraId="7A5F12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355.8</w:t>
                </w:r>
              </w:p>
            </w:tc>
            <w:tc>
              <w:tcPr>
                <w:tcW w:w="662" w:type="dxa"/>
                <w:tcBorders>
                  <w:top w:val="nil"/>
                  <w:left w:val="nil"/>
                  <w:bottom w:val="nil"/>
                  <w:right w:val="nil"/>
                </w:tcBorders>
                <w:shd w:val="clear" w:color="auto" w:fill="CAE7F3" w:themeFill="accent1" w:themeFillTint="33"/>
                <w:noWrap/>
                <w:vAlign w:val="bottom"/>
                <w:hideMark/>
              </w:tcPr>
              <w:p w14:paraId="2C65662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132.8</w:t>
                </w:r>
              </w:p>
            </w:tc>
            <w:tc>
              <w:tcPr>
                <w:tcW w:w="661" w:type="dxa"/>
                <w:tcBorders>
                  <w:top w:val="nil"/>
                  <w:left w:val="nil"/>
                  <w:bottom w:val="nil"/>
                  <w:right w:val="nil"/>
                </w:tcBorders>
                <w:shd w:val="clear" w:color="auto" w:fill="CAE7F3" w:themeFill="accent1" w:themeFillTint="33"/>
                <w:noWrap/>
                <w:vAlign w:val="bottom"/>
                <w:hideMark/>
              </w:tcPr>
              <w:p w14:paraId="490D13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15.0</w:t>
                </w:r>
              </w:p>
            </w:tc>
            <w:tc>
              <w:tcPr>
                <w:tcW w:w="662" w:type="dxa"/>
                <w:tcBorders>
                  <w:top w:val="nil"/>
                  <w:left w:val="nil"/>
                  <w:bottom w:val="nil"/>
                  <w:right w:val="nil"/>
                </w:tcBorders>
                <w:shd w:val="clear" w:color="auto" w:fill="CAE7F3" w:themeFill="accent1" w:themeFillTint="33"/>
                <w:noWrap/>
                <w:vAlign w:val="bottom"/>
                <w:hideMark/>
              </w:tcPr>
              <w:p w14:paraId="15C24D8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43.0</w:t>
                </w:r>
              </w:p>
            </w:tc>
            <w:tc>
              <w:tcPr>
                <w:tcW w:w="662" w:type="dxa"/>
                <w:tcBorders>
                  <w:top w:val="nil"/>
                  <w:left w:val="nil"/>
                  <w:bottom w:val="nil"/>
                  <w:right w:val="nil"/>
                </w:tcBorders>
                <w:shd w:val="clear" w:color="auto" w:fill="CAE7F3" w:themeFill="accent1" w:themeFillTint="33"/>
                <w:noWrap/>
                <w:vAlign w:val="bottom"/>
                <w:hideMark/>
              </w:tcPr>
              <w:p w14:paraId="5A260DF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133.8</w:t>
                </w:r>
              </w:p>
            </w:tc>
            <w:tc>
              <w:tcPr>
                <w:tcW w:w="662" w:type="dxa"/>
                <w:tcBorders>
                  <w:top w:val="nil"/>
                  <w:left w:val="nil"/>
                  <w:bottom w:val="nil"/>
                  <w:right w:val="nil"/>
                </w:tcBorders>
                <w:shd w:val="clear" w:color="auto" w:fill="CAE7F3" w:themeFill="accent1" w:themeFillTint="33"/>
                <w:noWrap/>
                <w:vAlign w:val="bottom"/>
                <w:hideMark/>
              </w:tcPr>
              <w:p w14:paraId="00F36E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33.0</w:t>
                </w:r>
              </w:p>
            </w:tc>
            <w:tc>
              <w:tcPr>
                <w:tcW w:w="662" w:type="dxa"/>
                <w:tcBorders>
                  <w:top w:val="nil"/>
                  <w:left w:val="nil"/>
                  <w:bottom w:val="nil"/>
                  <w:right w:val="nil"/>
                </w:tcBorders>
                <w:shd w:val="clear" w:color="auto" w:fill="CAE7F3" w:themeFill="accent1" w:themeFillTint="33"/>
                <w:noWrap/>
                <w:vAlign w:val="bottom"/>
                <w:hideMark/>
              </w:tcPr>
              <w:p w14:paraId="15EC1B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136.3</w:t>
                </w:r>
              </w:p>
            </w:tc>
          </w:tr>
          <w:tr w:rsidR="00830FDC" w:rsidRPr="00F63634" w14:paraId="5B6F1E7E"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DE620EE"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Adelaide</w:t>
                </w:r>
                <w:r>
                  <w:rPr>
                    <w:color w:val="595A5B" w:themeColor="text1"/>
                    <w:sz w:val="12"/>
                    <w:szCs w:val="16"/>
                    <w:lang w:eastAsia="en-AU"/>
                  </w:rPr>
                  <w:t xml:space="preserve"> — </w:t>
                </w:r>
                <w:r w:rsidRPr="009820E8">
                  <w:rPr>
                    <w:color w:val="595A5B" w:themeColor="text1"/>
                    <w:sz w:val="12"/>
                    <w:szCs w:val="16"/>
                    <w:lang w:eastAsia="en-AU"/>
                  </w:rPr>
                  <w:t>West</w:t>
                </w:r>
              </w:p>
            </w:tc>
            <w:tc>
              <w:tcPr>
                <w:tcW w:w="661" w:type="dxa"/>
                <w:tcBorders>
                  <w:top w:val="nil"/>
                  <w:left w:val="nil"/>
                  <w:bottom w:val="nil"/>
                  <w:right w:val="nil"/>
                </w:tcBorders>
                <w:shd w:val="clear" w:color="auto" w:fill="CAE7F3" w:themeFill="accent1" w:themeFillTint="33"/>
                <w:noWrap/>
                <w:vAlign w:val="bottom"/>
                <w:hideMark/>
              </w:tcPr>
              <w:p w14:paraId="008A519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44.3</w:t>
                </w:r>
              </w:p>
            </w:tc>
            <w:tc>
              <w:tcPr>
                <w:tcW w:w="662" w:type="dxa"/>
                <w:tcBorders>
                  <w:top w:val="nil"/>
                  <w:left w:val="nil"/>
                  <w:bottom w:val="nil"/>
                  <w:right w:val="nil"/>
                </w:tcBorders>
                <w:shd w:val="clear" w:color="auto" w:fill="CAE7F3" w:themeFill="accent1" w:themeFillTint="33"/>
                <w:noWrap/>
                <w:vAlign w:val="bottom"/>
                <w:hideMark/>
              </w:tcPr>
              <w:p w14:paraId="5569118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w:t>
                </w:r>
              </w:p>
            </w:tc>
            <w:tc>
              <w:tcPr>
                <w:tcW w:w="662" w:type="dxa"/>
                <w:tcBorders>
                  <w:top w:val="nil"/>
                  <w:left w:val="nil"/>
                  <w:bottom w:val="nil"/>
                  <w:right w:val="nil"/>
                </w:tcBorders>
                <w:shd w:val="clear" w:color="auto" w:fill="CAE7F3" w:themeFill="accent1" w:themeFillTint="33"/>
                <w:noWrap/>
                <w:vAlign w:val="bottom"/>
                <w:hideMark/>
              </w:tcPr>
              <w:p w14:paraId="3AD1612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99.3</w:t>
                </w:r>
              </w:p>
            </w:tc>
            <w:tc>
              <w:tcPr>
                <w:tcW w:w="662" w:type="dxa"/>
                <w:tcBorders>
                  <w:top w:val="nil"/>
                  <w:left w:val="nil"/>
                  <w:bottom w:val="nil"/>
                  <w:right w:val="nil"/>
                </w:tcBorders>
                <w:shd w:val="clear" w:color="auto" w:fill="CAE7F3" w:themeFill="accent1" w:themeFillTint="33"/>
                <w:noWrap/>
                <w:vAlign w:val="bottom"/>
                <w:hideMark/>
              </w:tcPr>
              <w:p w14:paraId="0D89BC1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w:t>
                </w:r>
              </w:p>
            </w:tc>
            <w:tc>
              <w:tcPr>
                <w:tcW w:w="661" w:type="dxa"/>
                <w:tcBorders>
                  <w:top w:val="nil"/>
                  <w:left w:val="nil"/>
                  <w:bottom w:val="nil"/>
                  <w:right w:val="nil"/>
                </w:tcBorders>
                <w:shd w:val="clear" w:color="auto" w:fill="CAE7F3" w:themeFill="accent1" w:themeFillTint="33"/>
                <w:noWrap/>
                <w:vAlign w:val="bottom"/>
                <w:hideMark/>
              </w:tcPr>
              <w:p w14:paraId="78016F6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389.5</w:t>
                </w:r>
              </w:p>
            </w:tc>
            <w:tc>
              <w:tcPr>
                <w:tcW w:w="662" w:type="dxa"/>
                <w:tcBorders>
                  <w:top w:val="nil"/>
                  <w:left w:val="nil"/>
                  <w:bottom w:val="nil"/>
                  <w:right w:val="nil"/>
                </w:tcBorders>
                <w:shd w:val="clear" w:color="auto" w:fill="CAE7F3" w:themeFill="accent1" w:themeFillTint="33"/>
                <w:noWrap/>
                <w:vAlign w:val="bottom"/>
                <w:hideMark/>
              </w:tcPr>
              <w:p w14:paraId="6A1CCE3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99.7</w:t>
                </w:r>
              </w:p>
            </w:tc>
            <w:tc>
              <w:tcPr>
                <w:tcW w:w="662" w:type="dxa"/>
                <w:tcBorders>
                  <w:top w:val="nil"/>
                  <w:left w:val="nil"/>
                  <w:bottom w:val="nil"/>
                  <w:right w:val="nil"/>
                </w:tcBorders>
                <w:shd w:val="clear" w:color="auto" w:fill="CAE7F3" w:themeFill="accent1" w:themeFillTint="33"/>
                <w:noWrap/>
                <w:vAlign w:val="bottom"/>
                <w:hideMark/>
              </w:tcPr>
              <w:p w14:paraId="6E1EF1C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168.8</w:t>
                </w:r>
              </w:p>
            </w:tc>
            <w:tc>
              <w:tcPr>
                <w:tcW w:w="662" w:type="dxa"/>
                <w:tcBorders>
                  <w:top w:val="nil"/>
                  <w:left w:val="nil"/>
                  <w:bottom w:val="nil"/>
                  <w:right w:val="nil"/>
                </w:tcBorders>
                <w:shd w:val="clear" w:color="auto" w:fill="CAE7F3" w:themeFill="accent1" w:themeFillTint="33"/>
                <w:noWrap/>
                <w:vAlign w:val="bottom"/>
                <w:hideMark/>
              </w:tcPr>
              <w:p w14:paraId="342D960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119.0</w:t>
                </w:r>
              </w:p>
            </w:tc>
            <w:tc>
              <w:tcPr>
                <w:tcW w:w="662" w:type="dxa"/>
                <w:tcBorders>
                  <w:top w:val="nil"/>
                  <w:left w:val="nil"/>
                  <w:bottom w:val="nil"/>
                  <w:right w:val="nil"/>
                </w:tcBorders>
                <w:shd w:val="clear" w:color="auto" w:fill="CAE7F3" w:themeFill="accent1" w:themeFillTint="33"/>
                <w:noWrap/>
                <w:vAlign w:val="bottom"/>
                <w:hideMark/>
              </w:tcPr>
              <w:p w14:paraId="53E0D8B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270.5</w:t>
                </w:r>
              </w:p>
            </w:tc>
            <w:tc>
              <w:tcPr>
                <w:tcW w:w="661" w:type="dxa"/>
                <w:tcBorders>
                  <w:top w:val="nil"/>
                  <w:left w:val="nil"/>
                  <w:bottom w:val="nil"/>
                  <w:right w:val="nil"/>
                </w:tcBorders>
                <w:shd w:val="clear" w:color="auto" w:fill="CAE7F3" w:themeFill="accent1" w:themeFillTint="33"/>
                <w:noWrap/>
                <w:vAlign w:val="bottom"/>
                <w:hideMark/>
              </w:tcPr>
              <w:p w14:paraId="73E6C6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19.2</w:t>
                </w:r>
              </w:p>
            </w:tc>
            <w:tc>
              <w:tcPr>
                <w:tcW w:w="662" w:type="dxa"/>
                <w:tcBorders>
                  <w:top w:val="nil"/>
                  <w:left w:val="nil"/>
                  <w:bottom w:val="nil"/>
                  <w:right w:val="nil"/>
                </w:tcBorders>
                <w:shd w:val="clear" w:color="auto" w:fill="CAE7F3" w:themeFill="accent1" w:themeFillTint="33"/>
                <w:noWrap/>
                <w:vAlign w:val="bottom"/>
                <w:hideMark/>
              </w:tcPr>
              <w:p w14:paraId="7753B39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140.7</w:t>
                </w:r>
              </w:p>
            </w:tc>
            <w:tc>
              <w:tcPr>
                <w:tcW w:w="662" w:type="dxa"/>
                <w:tcBorders>
                  <w:top w:val="nil"/>
                  <w:left w:val="nil"/>
                  <w:bottom w:val="nil"/>
                  <w:right w:val="nil"/>
                </w:tcBorders>
                <w:shd w:val="clear" w:color="auto" w:fill="CAE7F3" w:themeFill="accent1" w:themeFillTint="33"/>
                <w:noWrap/>
                <w:vAlign w:val="bottom"/>
                <w:hideMark/>
              </w:tcPr>
              <w:p w14:paraId="611EC7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213.2</w:t>
                </w:r>
              </w:p>
            </w:tc>
            <w:tc>
              <w:tcPr>
                <w:tcW w:w="662" w:type="dxa"/>
                <w:tcBorders>
                  <w:top w:val="nil"/>
                  <w:left w:val="nil"/>
                  <w:bottom w:val="nil"/>
                  <w:right w:val="nil"/>
                </w:tcBorders>
                <w:shd w:val="clear" w:color="auto" w:fill="CAE7F3" w:themeFill="accent1" w:themeFillTint="33"/>
                <w:noWrap/>
                <w:vAlign w:val="bottom"/>
                <w:hideMark/>
              </w:tcPr>
              <w:p w14:paraId="74DD68D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215.0</w:t>
                </w:r>
              </w:p>
            </w:tc>
            <w:tc>
              <w:tcPr>
                <w:tcW w:w="662" w:type="dxa"/>
                <w:tcBorders>
                  <w:top w:val="nil"/>
                  <w:left w:val="nil"/>
                  <w:bottom w:val="nil"/>
                  <w:right w:val="nil"/>
                </w:tcBorders>
                <w:shd w:val="clear" w:color="auto" w:fill="CAE7F3" w:themeFill="accent1" w:themeFillTint="33"/>
                <w:noWrap/>
                <w:vAlign w:val="bottom"/>
                <w:hideMark/>
              </w:tcPr>
              <w:p w14:paraId="6D0BFBE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153.0</w:t>
                </w:r>
              </w:p>
            </w:tc>
            <w:tc>
              <w:tcPr>
                <w:tcW w:w="661" w:type="dxa"/>
                <w:tcBorders>
                  <w:top w:val="nil"/>
                  <w:left w:val="nil"/>
                  <w:bottom w:val="nil"/>
                  <w:right w:val="nil"/>
                </w:tcBorders>
                <w:shd w:val="clear" w:color="auto" w:fill="CAE7F3" w:themeFill="accent1" w:themeFillTint="33"/>
                <w:noWrap/>
                <w:vAlign w:val="bottom"/>
                <w:hideMark/>
              </w:tcPr>
              <w:p w14:paraId="7FCB0F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w:t>
                </w:r>
              </w:p>
            </w:tc>
            <w:tc>
              <w:tcPr>
                <w:tcW w:w="662" w:type="dxa"/>
                <w:tcBorders>
                  <w:top w:val="nil"/>
                  <w:left w:val="nil"/>
                  <w:bottom w:val="nil"/>
                  <w:right w:val="nil"/>
                </w:tcBorders>
                <w:shd w:val="clear" w:color="auto" w:fill="CAE7F3" w:themeFill="accent1" w:themeFillTint="33"/>
                <w:noWrap/>
                <w:vAlign w:val="bottom"/>
                <w:hideMark/>
              </w:tcPr>
              <w:p w14:paraId="2C31B66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23.5</w:t>
                </w:r>
              </w:p>
            </w:tc>
            <w:tc>
              <w:tcPr>
                <w:tcW w:w="662" w:type="dxa"/>
                <w:tcBorders>
                  <w:top w:val="nil"/>
                  <w:left w:val="nil"/>
                  <w:bottom w:val="nil"/>
                  <w:right w:val="nil"/>
                </w:tcBorders>
                <w:shd w:val="clear" w:color="auto" w:fill="CAE7F3" w:themeFill="accent1" w:themeFillTint="33"/>
                <w:noWrap/>
                <w:vAlign w:val="bottom"/>
                <w:hideMark/>
              </w:tcPr>
              <w:p w14:paraId="0A3059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86.3</w:t>
                </w:r>
              </w:p>
            </w:tc>
            <w:tc>
              <w:tcPr>
                <w:tcW w:w="662" w:type="dxa"/>
                <w:tcBorders>
                  <w:top w:val="nil"/>
                  <w:left w:val="nil"/>
                  <w:bottom w:val="nil"/>
                  <w:right w:val="nil"/>
                </w:tcBorders>
                <w:shd w:val="clear" w:color="auto" w:fill="CAE7F3" w:themeFill="accent1" w:themeFillTint="33"/>
                <w:noWrap/>
                <w:vAlign w:val="bottom"/>
                <w:hideMark/>
              </w:tcPr>
              <w:p w14:paraId="7BD7FF2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30.7</w:t>
                </w:r>
              </w:p>
            </w:tc>
            <w:tc>
              <w:tcPr>
                <w:tcW w:w="662" w:type="dxa"/>
                <w:tcBorders>
                  <w:top w:val="nil"/>
                  <w:left w:val="nil"/>
                  <w:bottom w:val="nil"/>
                  <w:right w:val="nil"/>
                </w:tcBorders>
                <w:shd w:val="clear" w:color="auto" w:fill="CAE7F3" w:themeFill="accent1" w:themeFillTint="33"/>
                <w:noWrap/>
                <w:vAlign w:val="bottom"/>
                <w:hideMark/>
              </w:tcPr>
              <w:p w14:paraId="286590C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108.8</w:t>
                </w:r>
              </w:p>
            </w:tc>
          </w:tr>
          <w:tr w:rsidR="00830FDC" w:rsidRPr="00F63634" w14:paraId="2DB0D7E8"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50F1B492"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Barossa</w:t>
                </w:r>
                <w:r>
                  <w:rPr>
                    <w:color w:val="595A5B" w:themeColor="text1"/>
                    <w:sz w:val="12"/>
                    <w:szCs w:val="16"/>
                    <w:lang w:eastAsia="en-AU"/>
                  </w:rPr>
                  <w:t xml:space="preserve"> — </w:t>
                </w:r>
                <w:r w:rsidRPr="009820E8">
                  <w:rPr>
                    <w:color w:val="595A5B" w:themeColor="text1"/>
                    <w:sz w:val="12"/>
                    <w:szCs w:val="16"/>
                    <w:lang w:eastAsia="en-AU"/>
                  </w:rPr>
                  <w:t>Yorke</w:t>
                </w:r>
                <w:r>
                  <w:rPr>
                    <w:color w:val="595A5B" w:themeColor="text1"/>
                    <w:sz w:val="12"/>
                    <w:szCs w:val="16"/>
                    <w:lang w:eastAsia="en-AU"/>
                  </w:rPr>
                  <w:t xml:space="preserve"> — </w:t>
                </w:r>
                <w:r w:rsidRPr="009820E8">
                  <w:rPr>
                    <w:color w:val="595A5B" w:themeColor="text1"/>
                    <w:sz w:val="12"/>
                    <w:szCs w:val="16"/>
                    <w:lang w:eastAsia="en-AU"/>
                  </w:rPr>
                  <w:t>Mid North</w:t>
                </w:r>
              </w:p>
            </w:tc>
            <w:tc>
              <w:tcPr>
                <w:tcW w:w="661" w:type="dxa"/>
                <w:tcBorders>
                  <w:top w:val="nil"/>
                  <w:left w:val="nil"/>
                  <w:bottom w:val="nil"/>
                  <w:right w:val="nil"/>
                </w:tcBorders>
                <w:shd w:val="clear" w:color="auto" w:fill="CAE7F3" w:themeFill="accent1" w:themeFillTint="33"/>
                <w:noWrap/>
                <w:vAlign w:val="bottom"/>
                <w:hideMark/>
              </w:tcPr>
              <w:p w14:paraId="63A914F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258.2</w:t>
                </w:r>
              </w:p>
            </w:tc>
            <w:tc>
              <w:tcPr>
                <w:tcW w:w="662" w:type="dxa"/>
                <w:tcBorders>
                  <w:top w:val="nil"/>
                  <w:left w:val="nil"/>
                  <w:bottom w:val="nil"/>
                  <w:right w:val="nil"/>
                </w:tcBorders>
                <w:shd w:val="clear" w:color="auto" w:fill="CAE7F3" w:themeFill="accent1" w:themeFillTint="33"/>
                <w:noWrap/>
                <w:vAlign w:val="bottom"/>
                <w:hideMark/>
              </w:tcPr>
              <w:p w14:paraId="6897007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w:t>
                </w:r>
              </w:p>
            </w:tc>
            <w:tc>
              <w:tcPr>
                <w:tcW w:w="662" w:type="dxa"/>
                <w:tcBorders>
                  <w:top w:val="nil"/>
                  <w:left w:val="nil"/>
                  <w:bottom w:val="nil"/>
                  <w:right w:val="nil"/>
                </w:tcBorders>
                <w:shd w:val="clear" w:color="auto" w:fill="CAE7F3" w:themeFill="accent1" w:themeFillTint="33"/>
                <w:noWrap/>
                <w:vAlign w:val="bottom"/>
                <w:hideMark/>
              </w:tcPr>
              <w:p w14:paraId="03FA4E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41.0</w:t>
                </w:r>
              </w:p>
            </w:tc>
            <w:tc>
              <w:tcPr>
                <w:tcW w:w="662" w:type="dxa"/>
                <w:tcBorders>
                  <w:top w:val="nil"/>
                  <w:left w:val="nil"/>
                  <w:bottom w:val="nil"/>
                  <w:right w:val="nil"/>
                </w:tcBorders>
                <w:shd w:val="clear" w:color="auto" w:fill="CAE7F3" w:themeFill="accent1" w:themeFillTint="33"/>
                <w:noWrap/>
                <w:vAlign w:val="bottom"/>
                <w:hideMark/>
              </w:tcPr>
              <w:p w14:paraId="34B4433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w:t>
                </w:r>
              </w:p>
            </w:tc>
            <w:tc>
              <w:tcPr>
                <w:tcW w:w="661" w:type="dxa"/>
                <w:tcBorders>
                  <w:top w:val="nil"/>
                  <w:left w:val="nil"/>
                  <w:bottom w:val="nil"/>
                  <w:right w:val="nil"/>
                </w:tcBorders>
                <w:shd w:val="clear" w:color="auto" w:fill="CAE7F3" w:themeFill="accent1" w:themeFillTint="33"/>
                <w:noWrap/>
                <w:vAlign w:val="bottom"/>
                <w:hideMark/>
              </w:tcPr>
              <w:p w14:paraId="0283FEB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136.0</w:t>
                </w:r>
              </w:p>
            </w:tc>
            <w:tc>
              <w:tcPr>
                <w:tcW w:w="662" w:type="dxa"/>
                <w:tcBorders>
                  <w:top w:val="nil"/>
                  <w:left w:val="nil"/>
                  <w:bottom w:val="nil"/>
                  <w:right w:val="nil"/>
                </w:tcBorders>
                <w:shd w:val="clear" w:color="auto" w:fill="CAE7F3" w:themeFill="accent1" w:themeFillTint="33"/>
                <w:noWrap/>
                <w:vAlign w:val="bottom"/>
                <w:hideMark/>
              </w:tcPr>
              <w:p w14:paraId="1CCE47A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22.2</w:t>
                </w:r>
              </w:p>
            </w:tc>
            <w:tc>
              <w:tcPr>
                <w:tcW w:w="662" w:type="dxa"/>
                <w:tcBorders>
                  <w:top w:val="nil"/>
                  <w:left w:val="nil"/>
                  <w:bottom w:val="nil"/>
                  <w:right w:val="nil"/>
                </w:tcBorders>
                <w:shd w:val="clear" w:color="auto" w:fill="CAE7F3" w:themeFill="accent1" w:themeFillTint="33"/>
                <w:noWrap/>
                <w:vAlign w:val="bottom"/>
                <w:hideMark/>
              </w:tcPr>
              <w:p w14:paraId="309FC7D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63.0</w:t>
                </w:r>
              </w:p>
            </w:tc>
            <w:tc>
              <w:tcPr>
                <w:tcW w:w="662" w:type="dxa"/>
                <w:tcBorders>
                  <w:top w:val="nil"/>
                  <w:left w:val="nil"/>
                  <w:bottom w:val="nil"/>
                  <w:right w:val="nil"/>
                </w:tcBorders>
                <w:shd w:val="clear" w:color="auto" w:fill="CAE7F3" w:themeFill="accent1" w:themeFillTint="33"/>
                <w:noWrap/>
                <w:vAlign w:val="bottom"/>
                <w:hideMark/>
              </w:tcPr>
              <w:p w14:paraId="7CC212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56.2</w:t>
                </w:r>
              </w:p>
            </w:tc>
            <w:tc>
              <w:tcPr>
                <w:tcW w:w="662" w:type="dxa"/>
                <w:tcBorders>
                  <w:top w:val="nil"/>
                  <w:left w:val="nil"/>
                  <w:bottom w:val="nil"/>
                  <w:right w:val="nil"/>
                </w:tcBorders>
                <w:shd w:val="clear" w:color="auto" w:fill="CAE7F3" w:themeFill="accent1" w:themeFillTint="33"/>
                <w:noWrap/>
                <w:vAlign w:val="bottom"/>
                <w:hideMark/>
              </w:tcPr>
              <w:p w14:paraId="3C3A02E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55.2</w:t>
                </w:r>
              </w:p>
            </w:tc>
            <w:tc>
              <w:tcPr>
                <w:tcW w:w="661" w:type="dxa"/>
                <w:tcBorders>
                  <w:top w:val="nil"/>
                  <w:left w:val="nil"/>
                  <w:bottom w:val="nil"/>
                  <w:right w:val="nil"/>
                </w:tcBorders>
                <w:shd w:val="clear" w:color="auto" w:fill="CAE7F3" w:themeFill="accent1" w:themeFillTint="33"/>
                <w:noWrap/>
                <w:vAlign w:val="bottom"/>
                <w:hideMark/>
              </w:tcPr>
              <w:p w14:paraId="188E8E5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w:t>
                </w:r>
              </w:p>
            </w:tc>
            <w:tc>
              <w:tcPr>
                <w:tcW w:w="662" w:type="dxa"/>
                <w:tcBorders>
                  <w:top w:val="nil"/>
                  <w:left w:val="nil"/>
                  <w:bottom w:val="nil"/>
                  <w:right w:val="nil"/>
                </w:tcBorders>
                <w:shd w:val="clear" w:color="auto" w:fill="CAE7F3" w:themeFill="accent1" w:themeFillTint="33"/>
                <w:noWrap/>
                <w:vAlign w:val="bottom"/>
                <w:hideMark/>
              </w:tcPr>
              <w:p w14:paraId="2FF891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50.8</w:t>
                </w:r>
              </w:p>
            </w:tc>
            <w:tc>
              <w:tcPr>
                <w:tcW w:w="662" w:type="dxa"/>
                <w:tcBorders>
                  <w:top w:val="nil"/>
                  <w:left w:val="nil"/>
                  <w:bottom w:val="nil"/>
                  <w:right w:val="nil"/>
                </w:tcBorders>
                <w:shd w:val="clear" w:color="auto" w:fill="CAE7F3" w:themeFill="accent1" w:themeFillTint="33"/>
                <w:noWrap/>
                <w:vAlign w:val="bottom"/>
                <w:hideMark/>
              </w:tcPr>
              <w:p w14:paraId="6DEB19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87.0</w:t>
                </w:r>
              </w:p>
            </w:tc>
            <w:tc>
              <w:tcPr>
                <w:tcW w:w="662" w:type="dxa"/>
                <w:tcBorders>
                  <w:top w:val="nil"/>
                  <w:left w:val="nil"/>
                  <w:bottom w:val="nil"/>
                  <w:right w:val="nil"/>
                </w:tcBorders>
                <w:shd w:val="clear" w:color="auto" w:fill="CAE7F3" w:themeFill="accent1" w:themeFillTint="33"/>
                <w:noWrap/>
                <w:vAlign w:val="bottom"/>
                <w:hideMark/>
              </w:tcPr>
              <w:p w14:paraId="6F2CFF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56.0</w:t>
                </w:r>
              </w:p>
            </w:tc>
            <w:tc>
              <w:tcPr>
                <w:tcW w:w="662" w:type="dxa"/>
                <w:tcBorders>
                  <w:top w:val="nil"/>
                  <w:left w:val="nil"/>
                  <w:bottom w:val="nil"/>
                  <w:right w:val="nil"/>
                </w:tcBorders>
                <w:shd w:val="clear" w:color="auto" w:fill="CAE7F3" w:themeFill="accent1" w:themeFillTint="33"/>
                <w:noWrap/>
                <w:vAlign w:val="bottom"/>
                <w:hideMark/>
              </w:tcPr>
              <w:p w14:paraId="2C3FD02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29.8</w:t>
                </w:r>
              </w:p>
            </w:tc>
            <w:tc>
              <w:tcPr>
                <w:tcW w:w="661" w:type="dxa"/>
                <w:tcBorders>
                  <w:top w:val="nil"/>
                  <w:left w:val="nil"/>
                  <w:bottom w:val="nil"/>
                  <w:right w:val="nil"/>
                </w:tcBorders>
                <w:shd w:val="clear" w:color="auto" w:fill="CAE7F3" w:themeFill="accent1" w:themeFillTint="33"/>
                <w:noWrap/>
                <w:vAlign w:val="bottom"/>
                <w:hideMark/>
              </w:tcPr>
              <w:p w14:paraId="272186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w:t>
                </w:r>
              </w:p>
            </w:tc>
            <w:tc>
              <w:tcPr>
                <w:tcW w:w="662" w:type="dxa"/>
                <w:tcBorders>
                  <w:top w:val="nil"/>
                  <w:left w:val="nil"/>
                  <w:bottom w:val="nil"/>
                  <w:right w:val="nil"/>
                </w:tcBorders>
                <w:shd w:val="clear" w:color="auto" w:fill="CAE7F3" w:themeFill="accent1" w:themeFillTint="33"/>
                <w:noWrap/>
                <w:vAlign w:val="bottom"/>
                <w:hideMark/>
              </w:tcPr>
              <w:p w14:paraId="4C2022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w:t>
                </w:r>
              </w:p>
            </w:tc>
            <w:tc>
              <w:tcPr>
                <w:tcW w:w="662" w:type="dxa"/>
                <w:tcBorders>
                  <w:top w:val="nil"/>
                  <w:left w:val="nil"/>
                  <w:bottom w:val="nil"/>
                  <w:right w:val="nil"/>
                </w:tcBorders>
                <w:shd w:val="clear" w:color="auto" w:fill="CAE7F3" w:themeFill="accent1" w:themeFillTint="33"/>
                <w:noWrap/>
                <w:vAlign w:val="bottom"/>
                <w:hideMark/>
              </w:tcPr>
              <w:p w14:paraId="07EA6F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26.7</w:t>
                </w:r>
              </w:p>
            </w:tc>
            <w:tc>
              <w:tcPr>
                <w:tcW w:w="662" w:type="dxa"/>
                <w:tcBorders>
                  <w:top w:val="nil"/>
                  <w:left w:val="nil"/>
                  <w:bottom w:val="nil"/>
                  <w:right w:val="nil"/>
                </w:tcBorders>
                <w:shd w:val="clear" w:color="auto" w:fill="CAE7F3" w:themeFill="accent1" w:themeFillTint="33"/>
                <w:noWrap/>
                <w:vAlign w:val="bottom"/>
                <w:hideMark/>
              </w:tcPr>
              <w:p w14:paraId="47B78DC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w:t>
                </w:r>
              </w:p>
            </w:tc>
            <w:tc>
              <w:tcPr>
                <w:tcW w:w="662" w:type="dxa"/>
                <w:tcBorders>
                  <w:top w:val="nil"/>
                  <w:left w:val="nil"/>
                  <w:bottom w:val="nil"/>
                  <w:right w:val="nil"/>
                </w:tcBorders>
                <w:shd w:val="clear" w:color="auto" w:fill="CAE7F3" w:themeFill="accent1" w:themeFillTint="33"/>
                <w:noWrap/>
                <w:vAlign w:val="bottom"/>
                <w:hideMark/>
              </w:tcPr>
              <w:p w14:paraId="67C5E36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46.7</w:t>
                </w:r>
              </w:p>
            </w:tc>
          </w:tr>
          <w:tr w:rsidR="00830FDC" w:rsidRPr="00F63634" w14:paraId="6173D33D"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457A6AF"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South Australia</w:t>
                </w:r>
                <w:r>
                  <w:rPr>
                    <w:color w:val="595A5B" w:themeColor="text1"/>
                    <w:sz w:val="12"/>
                    <w:szCs w:val="16"/>
                    <w:lang w:eastAsia="en-AU"/>
                  </w:rPr>
                  <w:t xml:space="preserve"> — </w:t>
                </w:r>
                <w:r w:rsidRPr="009820E8">
                  <w:rPr>
                    <w:color w:val="595A5B" w:themeColor="text1"/>
                    <w:sz w:val="12"/>
                    <w:szCs w:val="16"/>
                    <w:lang w:eastAsia="en-AU"/>
                  </w:rPr>
                  <w:t>Outback</w:t>
                </w:r>
              </w:p>
            </w:tc>
            <w:tc>
              <w:tcPr>
                <w:tcW w:w="661" w:type="dxa"/>
                <w:tcBorders>
                  <w:top w:val="nil"/>
                  <w:left w:val="nil"/>
                  <w:bottom w:val="nil"/>
                  <w:right w:val="nil"/>
                </w:tcBorders>
                <w:shd w:val="clear" w:color="auto" w:fill="CAE7F3" w:themeFill="accent1" w:themeFillTint="33"/>
                <w:noWrap/>
                <w:vAlign w:val="bottom"/>
                <w:hideMark/>
              </w:tcPr>
              <w:p w14:paraId="61A28B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137.5</w:t>
                </w:r>
              </w:p>
            </w:tc>
            <w:tc>
              <w:tcPr>
                <w:tcW w:w="662" w:type="dxa"/>
                <w:tcBorders>
                  <w:top w:val="nil"/>
                  <w:left w:val="nil"/>
                  <w:bottom w:val="nil"/>
                  <w:right w:val="nil"/>
                </w:tcBorders>
                <w:shd w:val="clear" w:color="auto" w:fill="CAE7F3" w:themeFill="accent1" w:themeFillTint="33"/>
                <w:noWrap/>
                <w:vAlign w:val="bottom"/>
                <w:hideMark/>
              </w:tcPr>
              <w:p w14:paraId="33D8081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w:t>
                </w:r>
              </w:p>
            </w:tc>
            <w:tc>
              <w:tcPr>
                <w:tcW w:w="662" w:type="dxa"/>
                <w:tcBorders>
                  <w:top w:val="nil"/>
                  <w:left w:val="nil"/>
                  <w:bottom w:val="nil"/>
                  <w:right w:val="nil"/>
                </w:tcBorders>
                <w:shd w:val="clear" w:color="auto" w:fill="CAE7F3" w:themeFill="accent1" w:themeFillTint="33"/>
                <w:noWrap/>
                <w:vAlign w:val="bottom"/>
                <w:hideMark/>
              </w:tcPr>
              <w:p w14:paraId="01BBFF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17.5</w:t>
                </w:r>
              </w:p>
            </w:tc>
            <w:tc>
              <w:tcPr>
                <w:tcW w:w="662" w:type="dxa"/>
                <w:tcBorders>
                  <w:top w:val="nil"/>
                  <w:left w:val="nil"/>
                  <w:bottom w:val="nil"/>
                  <w:right w:val="nil"/>
                </w:tcBorders>
                <w:shd w:val="clear" w:color="auto" w:fill="CAE7F3" w:themeFill="accent1" w:themeFillTint="33"/>
                <w:noWrap/>
                <w:vAlign w:val="bottom"/>
                <w:hideMark/>
              </w:tcPr>
              <w:p w14:paraId="243EF5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w:t>
                </w:r>
              </w:p>
            </w:tc>
            <w:tc>
              <w:tcPr>
                <w:tcW w:w="661" w:type="dxa"/>
                <w:tcBorders>
                  <w:top w:val="nil"/>
                  <w:left w:val="nil"/>
                  <w:bottom w:val="nil"/>
                  <w:right w:val="nil"/>
                </w:tcBorders>
                <w:shd w:val="clear" w:color="auto" w:fill="CAE7F3" w:themeFill="accent1" w:themeFillTint="33"/>
                <w:noWrap/>
                <w:vAlign w:val="bottom"/>
                <w:hideMark/>
              </w:tcPr>
              <w:p w14:paraId="1E52CF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96.0</w:t>
                </w:r>
              </w:p>
            </w:tc>
            <w:tc>
              <w:tcPr>
                <w:tcW w:w="662" w:type="dxa"/>
                <w:tcBorders>
                  <w:top w:val="nil"/>
                  <w:left w:val="nil"/>
                  <w:bottom w:val="nil"/>
                  <w:right w:val="nil"/>
                </w:tcBorders>
                <w:shd w:val="clear" w:color="auto" w:fill="CAE7F3" w:themeFill="accent1" w:themeFillTint="33"/>
                <w:noWrap/>
                <w:vAlign w:val="bottom"/>
                <w:hideMark/>
              </w:tcPr>
              <w:p w14:paraId="69F7BD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w:t>
                </w:r>
              </w:p>
            </w:tc>
            <w:tc>
              <w:tcPr>
                <w:tcW w:w="662" w:type="dxa"/>
                <w:tcBorders>
                  <w:top w:val="nil"/>
                  <w:left w:val="nil"/>
                  <w:bottom w:val="nil"/>
                  <w:right w:val="nil"/>
                </w:tcBorders>
                <w:shd w:val="clear" w:color="auto" w:fill="CAE7F3" w:themeFill="accent1" w:themeFillTint="33"/>
                <w:noWrap/>
                <w:vAlign w:val="bottom"/>
                <w:hideMark/>
              </w:tcPr>
              <w:p w14:paraId="60253B2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47.8</w:t>
                </w:r>
              </w:p>
            </w:tc>
            <w:tc>
              <w:tcPr>
                <w:tcW w:w="662" w:type="dxa"/>
                <w:tcBorders>
                  <w:top w:val="nil"/>
                  <w:left w:val="nil"/>
                  <w:bottom w:val="nil"/>
                  <w:right w:val="nil"/>
                </w:tcBorders>
                <w:shd w:val="clear" w:color="auto" w:fill="CAE7F3" w:themeFill="accent1" w:themeFillTint="33"/>
                <w:noWrap/>
                <w:vAlign w:val="bottom"/>
                <w:hideMark/>
              </w:tcPr>
              <w:p w14:paraId="0F5B831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29.8</w:t>
                </w:r>
              </w:p>
            </w:tc>
            <w:tc>
              <w:tcPr>
                <w:tcW w:w="662" w:type="dxa"/>
                <w:tcBorders>
                  <w:top w:val="nil"/>
                  <w:left w:val="nil"/>
                  <w:bottom w:val="nil"/>
                  <w:right w:val="nil"/>
                </w:tcBorders>
                <w:shd w:val="clear" w:color="auto" w:fill="CAE7F3" w:themeFill="accent1" w:themeFillTint="33"/>
                <w:noWrap/>
                <w:vAlign w:val="bottom"/>
                <w:hideMark/>
              </w:tcPr>
              <w:p w14:paraId="44C0D21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48.2</w:t>
                </w:r>
              </w:p>
            </w:tc>
            <w:tc>
              <w:tcPr>
                <w:tcW w:w="661" w:type="dxa"/>
                <w:tcBorders>
                  <w:top w:val="nil"/>
                  <w:left w:val="nil"/>
                  <w:bottom w:val="nil"/>
                  <w:right w:val="nil"/>
                </w:tcBorders>
                <w:shd w:val="clear" w:color="auto" w:fill="CAE7F3" w:themeFill="accent1" w:themeFillTint="33"/>
                <w:noWrap/>
                <w:vAlign w:val="bottom"/>
                <w:hideMark/>
              </w:tcPr>
              <w:p w14:paraId="344964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2" w:type="dxa"/>
                <w:tcBorders>
                  <w:top w:val="nil"/>
                  <w:left w:val="nil"/>
                  <w:bottom w:val="nil"/>
                  <w:right w:val="nil"/>
                </w:tcBorders>
                <w:shd w:val="clear" w:color="auto" w:fill="CAE7F3" w:themeFill="accent1" w:themeFillTint="33"/>
                <w:noWrap/>
                <w:vAlign w:val="bottom"/>
                <w:hideMark/>
              </w:tcPr>
              <w:p w14:paraId="7E9A8A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49.8</w:t>
                </w:r>
              </w:p>
            </w:tc>
            <w:tc>
              <w:tcPr>
                <w:tcW w:w="662" w:type="dxa"/>
                <w:tcBorders>
                  <w:top w:val="nil"/>
                  <w:left w:val="nil"/>
                  <w:bottom w:val="nil"/>
                  <w:right w:val="nil"/>
                </w:tcBorders>
                <w:shd w:val="clear" w:color="auto" w:fill="CAE7F3" w:themeFill="accent1" w:themeFillTint="33"/>
                <w:noWrap/>
                <w:vAlign w:val="bottom"/>
                <w:hideMark/>
              </w:tcPr>
              <w:p w14:paraId="09AF4D5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60.7</w:t>
                </w:r>
              </w:p>
            </w:tc>
            <w:tc>
              <w:tcPr>
                <w:tcW w:w="662" w:type="dxa"/>
                <w:tcBorders>
                  <w:top w:val="nil"/>
                  <w:left w:val="nil"/>
                  <w:bottom w:val="nil"/>
                  <w:right w:val="nil"/>
                </w:tcBorders>
                <w:shd w:val="clear" w:color="auto" w:fill="CAE7F3" w:themeFill="accent1" w:themeFillTint="33"/>
                <w:noWrap/>
                <w:vAlign w:val="bottom"/>
                <w:hideMark/>
              </w:tcPr>
              <w:p w14:paraId="253718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32.0</w:t>
                </w:r>
              </w:p>
            </w:tc>
            <w:tc>
              <w:tcPr>
                <w:tcW w:w="662" w:type="dxa"/>
                <w:tcBorders>
                  <w:top w:val="nil"/>
                  <w:left w:val="nil"/>
                  <w:bottom w:val="nil"/>
                  <w:right w:val="nil"/>
                </w:tcBorders>
                <w:shd w:val="clear" w:color="auto" w:fill="CAE7F3" w:themeFill="accent1" w:themeFillTint="33"/>
                <w:noWrap/>
                <w:vAlign w:val="bottom"/>
                <w:hideMark/>
              </w:tcPr>
              <w:p w14:paraId="4DAF6BA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24.7</w:t>
                </w:r>
              </w:p>
            </w:tc>
            <w:tc>
              <w:tcPr>
                <w:tcW w:w="661" w:type="dxa"/>
                <w:tcBorders>
                  <w:top w:val="nil"/>
                  <w:left w:val="nil"/>
                  <w:bottom w:val="nil"/>
                  <w:right w:val="nil"/>
                </w:tcBorders>
                <w:shd w:val="clear" w:color="auto" w:fill="CAE7F3" w:themeFill="accent1" w:themeFillTint="33"/>
                <w:noWrap/>
                <w:vAlign w:val="bottom"/>
                <w:hideMark/>
              </w:tcPr>
              <w:p w14:paraId="5DC0B4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w:t>
                </w:r>
              </w:p>
            </w:tc>
            <w:tc>
              <w:tcPr>
                <w:tcW w:w="662" w:type="dxa"/>
                <w:tcBorders>
                  <w:top w:val="nil"/>
                  <w:left w:val="nil"/>
                  <w:bottom w:val="nil"/>
                  <w:right w:val="nil"/>
                </w:tcBorders>
                <w:shd w:val="clear" w:color="auto" w:fill="CAE7F3" w:themeFill="accent1" w:themeFillTint="33"/>
                <w:noWrap/>
                <w:vAlign w:val="bottom"/>
                <w:hideMark/>
              </w:tcPr>
              <w:p w14:paraId="44E93C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42B12CF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28.3</w:t>
                </w:r>
              </w:p>
            </w:tc>
            <w:tc>
              <w:tcPr>
                <w:tcW w:w="662" w:type="dxa"/>
                <w:tcBorders>
                  <w:top w:val="nil"/>
                  <w:left w:val="nil"/>
                  <w:bottom w:val="nil"/>
                  <w:right w:val="nil"/>
                </w:tcBorders>
                <w:shd w:val="clear" w:color="auto" w:fill="CAE7F3" w:themeFill="accent1" w:themeFillTint="33"/>
                <w:noWrap/>
                <w:vAlign w:val="bottom"/>
                <w:hideMark/>
              </w:tcPr>
              <w:p w14:paraId="2216D7B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615DAA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36.3</w:t>
                </w:r>
              </w:p>
            </w:tc>
          </w:tr>
          <w:tr w:rsidR="00830FDC" w:rsidRPr="00F63634" w14:paraId="4D9C3892"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337BB662"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South Australia</w:t>
                </w:r>
                <w:r>
                  <w:rPr>
                    <w:color w:val="595A5B" w:themeColor="text1"/>
                    <w:sz w:val="12"/>
                    <w:szCs w:val="16"/>
                    <w:lang w:eastAsia="en-AU"/>
                  </w:rPr>
                  <w:t xml:space="preserve"> — </w:t>
                </w:r>
                <w:r w:rsidRPr="009820E8">
                  <w:rPr>
                    <w:color w:val="595A5B" w:themeColor="text1"/>
                    <w:sz w:val="12"/>
                    <w:szCs w:val="16"/>
                    <w:lang w:eastAsia="en-AU"/>
                  </w:rPr>
                  <w:t>South East</w:t>
                </w:r>
              </w:p>
            </w:tc>
            <w:tc>
              <w:tcPr>
                <w:tcW w:w="661" w:type="dxa"/>
                <w:tcBorders>
                  <w:top w:val="nil"/>
                  <w:left w:val="nil"/>
                  <w:bottom w:val="nil"/>
                  <w:right w:val="nil"/>
                </w:tcBorders>
                <w:shd w:val="clear" w:color="auto" w:fill="CAE7F3" w:themeFill="accent1" w:themeFillTint="33"/>
                <w:noWrap/>
                <w:vAlign w:val="bottom"/>
                <w:hideMark/>
              </w:tcPr>
              <w:p w14:paraId="2C10A4A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433.2</w:t>
                </w:r>
              </w:p>
            </w:tc>
            <w:tc>
              <w:tcPr>
                <w:tcW w:w="662" w:type="dxa"/>
                <w:tcBorders>
                  <w:top w:val="nil"/>
                  <w:left w:val="nil"/>
                  <w:bottom w:val="nil"/>
                  <w:right w:val="nil"/>
                </w:tcBorders>
                <w:shd w:val="clear" w:color="auto" w:fill="CAE7F3" w:themeFill="accent1" w:themeFillTint="33"/>
                <w:noWrap/>
                <w:vAlign w:val="bottom"/>
                <w:hideMark/>
              </w:tcPr>
              <w:p w14:paraId="158A10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w:t>
                </w:r>
              </w:p>
            </w:tc>
            <w:tc>
              <w:tcPr>
                <w:tcW w:w="662" w:type="dxa"/>
                <w:tcBorders>
                  <w:top w:val="nil"/>
                  <w:left w:val="nil"/>
                  <w:bottom w:val="nil"/>
                  <w:right w:val="nil"/>
                </w:tcBorders>
                <w:shd w:val="clear" w:color="auto" w:fill="CAE7F3" w:themeFill="accent1" w:themeFillTint="33"/>
                <w:noWrap/>
                <w:vAlign w:val="bottom"/>
                <w:hideMark/>
              </w:tcPr>
              <w:p w14:paraId="6CA823A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58.3</w:t>
                </w:r>
              </w:p>
            </w:tc>
            <w:tc>
              <w:tcPr>
                <w:tcW w:w="662" w:type="dxa"/>
                <w:tcBorders>
                  <w:top w:val="nil"/>
                  <w:left w:val="nil"/>
                  <w:bottom w:val="nil"/>
                  <w:right w:val="nil"/>
                </w:tcBorders>
                <w:shd w:val="clear" w:color="auto" w:fill="CAE7F3" w:themeFill="accent1" w:themeFillTint="33"/>
                <w:noWrap/>
                <w:vAlign w:val="bottom"/>
                <w:hideMark/>
              </w:tcPr>
              <w:p w14:paraId="096C314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w:t>
                </w:r>
              </w:p>
            </w:tc>
            <w:tc>
              <w:tcPr>
                <w:tcW w:w="661" w:type="dxa"/>
                <w:tcBorders>
                  <w:top w:val="nil"/>
                  <w:left w:val="nil"/>
                  <w:bottom w:val="nil"/>
                  <w:right w:val="nil"/>
                </w:tcBorders>
                <w:shd w:val="clear" w:color="auto" w:fill="CAE7F3" w:themeFill="accent1" w:themeFillTint="33"/>
                <w:noWrap/>
                <w:vAlign w:val="bottom"/>
                <w:hideMark/>
              </w:tcPr>
              <w:p w14:paraId="16AC586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231.5</w:t>
                </w:r>
              </w:p>
            </w:tc>
            <w:tc>
              <w:tcPr>
                <w:tcW w:w="662" w:type="dxa"/>
                <w:tcBorders>
                  <w:top w:val="nil"/>
                  <w:left w:val="nil"/>
                  <w:bottom w:val="nil"/>
                  <w:right w:val="nil"/>
                </w:tcBorders>
                <w:shd w:val="clear" w:color="auto" w:fill="CAE7F3" w:themeFill="accent1" w:themeFillTint="33"/>
                <w:noWrap/>
                <w:vAlign w:val="bottom"/>
                <w:hideMark/>
              </w:tcPr>
              <w:p w14:paraId="6CC728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37.5</w:t>
                </w:r>
              </w:p>
            </w:tc>
            <w:tc>
              <w:tcPr>
                <w:tcW w:w="662" w:type="dxa"/>
                <w:tcBorders>
                  <w:top w:val="nil"/>
                  <w:left w:val="nil"/>
                  <w:bottom w:val="nil"/>
                  <w:right w:val="nil"/>
                </w:tcBorders>
                <w:shd w:val="clear" w:color="auto" w:fill="CAE7F3" w:themeFill="accent1" w:themeFillTint="33"/>
                <w:noWrap/>
                <w:vAlign w:val="bottom"/>
                <w:hideMark/>
              </w:tcPr>
              <w:p w14:paraId="2F7AD6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104.7</w:t>
                </w:r>
              </w:p>
            </w:tc>
            <w:tc>
              <w:tcPr>
                <w:tcW w:w="662" w:type="dxa"/>
                <w:tcBorders>
                  <w:top w:val="nil"/>
                  <w:left w:val="nil"/>
                  <w:bottom w:val="nil"/>
                  <w:right w:val="nil"/>
                </w:tcBorders>
                <w:shd w:val="clear" w:color="auto" w:fill="CAE7F3" w:themeFill="accent1" w:themeFillTint="33"/>
                <w:noWrap/>
                <w:vAlign w:val="bottom"/>
                <w:hideMark/>
              </w:tcPr>
              <w:p w14:paraId="16821A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85.2</w:t>
                </w:r>
              </w:p>
            </w:tc>
            <w:tc>
              <w:tcPr>
                <w:tcW w:w="662" w:type="dxa"/>
                <w:tcBorders>
                  <w:top w:val="nil"/>
                  <w:left w:val="nil"/>
                  <w:bottom w:val="nil"/>
                  <w:right w:val="nil"/>
                </w:tcBorders>
                <w:shd w:val="clear" w:color="auto" w:fill="CAE7F3" w:themeFill="accent1" w:themeFillTint="33"/>
                <w:noWrap/>
                <w:vAlign w:val="bottom"/>
                <w:hideMark/>
              </w:tcPr>
              <w:p w14:paraId="184AEB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86.5</w:t>
                </w:r>
              </w:p>
            </w:tc>
            <w:tc>
              <w:tcPr>
                <w:tcW w:w="661" w:type="dxa"/>
                <w:tcBorders>
                  <w:top w:val="nil"/>
                  <w:left w:val="nil"/>
                  <w:bottom w:val="nil"/>
                  <w:right w:val="nil"/>
                </w:tcBorders>
                <w:shd w:val="clear" w:color="auto" w:fill="CAE7F3" w:themeFill="accent1" w:themeFillTint="33"/>
                <w:noWrap/>
                <w:vAlign w:val="bottom"/>
                <w:hideMark/>
              </w:tcPr>
              <w:p w14:paraId="0D2E4E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w:t>
                </w:r>
              </w:p>
            </w:tc>
            <w:tc>
              <w:tcPr>
                <w:tcW w:w="662" w:type="dxa"/>
                <w:tcBorders>
                  <w:top w:val="nil"/>
                  <w:left w:val="nil"/>
                  <w:bottom w:val="nil"/>
                  <w:right w:val="nil"/>
                </w:tcBorders>
                <w:shd w:val="clear" w:color="auto" w:fill="CAE7F3" w:themeFill="accent1" w:themeFillTint="33"/>
                <w:noWrap/>
                <w:vAlign w:val="bottom"/>
                <w:hideMark/>
              </w:tcPr>
              <w:p w14:paraId="44756E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100.2</w:t>
                </w:r>
              </w:p>
            </w:tc>
            <w:tc>
              <w:tcPr>
                <w:tcW w:w="662" w:type="dxa"/>
                <w:tcBorders>
                  <w:top w:val="nil"/>
                  <w:left w:val="nil"/>
                  <w:bottom w:val="nil"/>
                  <w:right w:val="nil"/>
                </w:tcBorders>
                <w:shd w:val="clear" w:color="auto" w:fill="CAE7F3" w:themeFill="accent1" w:themeFillTint="33"/>
                <w:noWrap/>
                <w:vAlign w:val="bottom"/>
                <w:hideMark/>
              </w:tcPr>
              <w:p w14:paraId="6815DD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123.5</w:t>
                </w:r>
              </w:p>
            </w:tc>
            <w:tc>
              <w:tcPr>
                <w:tcW w:w="662" w:type="dxa"/>
                <w:tcBorders>
                  <w:top w:val="nil"/>
                  <w:left w:val="nil"/>
                  <w:bottom w:val="nil"/>
                  <w:right w:val="nil"/>
                </w:tcBorders>
                <w:shd w:val="clear" w:color="auto" w:fill="CAE7F3" w:themeFill="accent1" w:themeFillTint="33"/>
                <w:noWrap/>
                <w:vAlign w:val="bottom"/>
                <w:hideMark/>
              </w:tcPr>
              <w:p w14:paraId="29D52F6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96.0</w:t>
                </w:r>
              </w:p>
            </w:tc>
            <w:tc>
              <w:tcPr>
                <w:tcW w:w="662" w:type="dxa"/>
                <w:tcBorders>
                  <w:top w:val="nil"/>
                  <w:left w:val="nil"/>
                  <w:bottom w:val="nil"/>
                  <w:right w:val="nil"/>
                </w:tcBorders>
                <w:shd w:val="clear" w:color="auto" w:fill="CAE7F3" w:themeFill="accent1" w:themeFillTint="33"/>
                <w:noWrap/>
                <w:vAlign w:val="bottom"/>
                <w:hideMark/>
              </w:tcPr>
              <w:p w14:paraId="728825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53.7</w:t>
                </w:r>
              </w:p>
            </w:tc>
            <w:tc>
              <w:tcPr>
                <w:tcW w:w="661" w:type="dxa"/>
                <w:tcBorders>
                  <w:top w:val="nil"/>
                  <w:left w:val="nil"/>
                  <w:bottom w:val="nil"/>
                  <w:right w:val="nil"/>
                </w:tcBorders>
                <w:shd w:val="clear" w:color="auto" w:fill="CAE7F3" w:themeFill="accent1" w:themeFillTint="33"/>
                <w:noWrap/>
                <w:vAlign w:val="bottom"/>
                <w:hideMark/>
              </w:tcPr>
              <w:p w14:paraId="6C1000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w:t>
                </w:r>
              </w:p>
            </w:tc>
            <w:tc>
              <w:tcPr>
                <w:tcW w:w="662" w:type="dxa"/>
                <w:tcBorders>
                  <w:top w:val="nil"/>
                  <w:left w:val="nil"/>
                  <w:bottom w:val="nil"/>
                  <w:right w:val="nil"/>
                </w:tcBorders>
                <w:shd w:val="clear" w:color="auto" w:fill="CAE7F3" w:themeFill="accent1" w:themeFillTint="33"/>
                <w:noWrap/>
                <w:vAlign w:val="bottom"/>
                <w:hideMark/>
              </w:tcPr>
              <w:p w14:paraId="3CE8EEE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11.5</w:t>
                </w:r>
              </w:p>
            </w:tc>
            <w:tc>
              <w:tcPr>
                <w:tcW w:w="662" w:type="dxa"/>
                <w:tcBorders>
                  <w:top w:val="nil"/>
                  <w:left w:val="nil"/>
                  <w:bottom w:val="nil"/>
                  <w:right w:val="nil"/>
                </w:tcBorders>
                <w:shd w:val="clear" w:color="auto" w:fill="CAE7F3" w:themeFill="accent1" w:themeFillTint="33"/>
                <w:noWrap/>
                <w:vAlign w:val="bottom"/>
                <w:hideMark/>
              </w:tcPr>
              <w:p w14:paraId="4F21044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43.0</w:t>
                </w:r>
              </w:p>
            </w:tc>
            <w:tc>
              <w:tcPr>
                <w:tcW w:w="662" w:type="dxa"/>
                <w:tcBorders>
                  <w:top w:val="nil"/>
                  <w:left w:val="nil"/>
                  <w:bottom w:val="nil"/>
                  <w:right w:val="nil"/>
                </w:tcBorders>
                <w:shd w:val="clear" w:color="auto" w:fill="CAE7F3" w:themeFill="accent1" w:themeFillTint="33"/>
                <w:noWrap/>
                <w:vAlign w:val="bottom"/>
                <w:hideMark/>
              </w:tcPr>
              <w:p w14:paraId="40AE10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18.2</w:t>
                </w:r>
              </w:p>
            </w:tc>
            <w:tc>
              <w:tcPr>
                <w:tcW w:w="662" w:type="dxa"/>
                <w:tcBorders>
                  <w:top w:val="nil"/>
                  <w:left w:val="nil"/>
                  <w:bottom w:val="nil"/>
                  <w:right w:val="nil"/>
                </w:tcBorders>
                <w:shd w:val="clear" w:color="auto" w:fill="CAE7F3" w:themeFill="accent1" w:themeFillTint="33"/>
                <w:noWrap/>
                <w:vAlign w:val="bottom"/>
                <w:hideMark/>
              </w:tcPr>
              <w:p w14:paraId="70AD90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68.5</w:t>
                </w:r>
              </w:p>
            </w:tc>
          </w:tr>
          <w:tr w:rsidR="00830FDC" w:rsidRPr="00F63634" w14:paraId="2F6F1450" w14:textId="77777777" w:rsidTr="00D0090A">
            <w:trPr>
              <w:trHeight w:val="225"/>
            </w:trPr>
            <w:tc>
              <w:tcPr>
                <w:tcW w:w="1460" w:type="dxa"/>
                <w:tcBorders>
                  <w:top w:val="nil"/>
                  <w:left w:val="nil"/>
                  <w:bottom w:val="single" w:sz="8" w:space="0" w:color="595A5B" w:themeColor="text1"/>
                  <w:right w:val="nil"/>
                </w:tcBorders>
                <w:shd w:val="clear" w:color="auto" w:fill="CAE7F3" w:themeFill="accent1" w:themeFillTint="33"/>
                <w:noWrap/>
                <w:vAlign w:val="bottom"/>
                <w:hideMark/>
              </w:tcPr>
              <w:p w14:paraId="7D330649"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Special Purpose Codes SA4 (SA)</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298529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487FF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0507F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4B3EBD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40F223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43C18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308FD4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8C4DC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35CD4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2B4A7E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3F6C6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0D24D3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8DE162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B05606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784F9DF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16BEB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4425B9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63810D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FEA02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w:t>
                </w:r>
              </w:p>
            </w:tc>
          </w:tr>
          <w:tr w:rsidR="00830FDC" w:rsidRPr="009820E8" w14:paraId="3FD647DA" w14:textId="77777777" w:rsidTr="00D0090A">
            <w:trPr>
              <w:trHeight w:val="225"/>
            </w:trPr>
            <w:tc>
              <w:tcPr>
                <w:tcW w:w="1460" w:type="dxa"/>
                <w:tcBorders>
                  <w:top w:val="single" w:sz="8" w:space="0" w:color="595A5B" w:themeColor="text1"/>
                  <w:left w:val="nil"/>
                  <w:right w:val="nil"/>
                </w:tcBorders>
                <w:shd w:val="clear" w:color="auto" w:fill="CAE7F3" w:themeFill="accent1" w:themeFillTint="33"/>
                <w:noWrap/>
                <w:vAlign w:val="bottom"/>
                <w:hideMark/>
              </w:tcPr>
              <w:p w14:paraId="536B07CB"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Tasmania</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4C16E29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402.3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4FEBD2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25.5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5BAA5668"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156.2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0C1AF3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26.5</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116ADBB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684.3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4B7BF16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105.3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CE96BF6"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316.2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51DFB14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281.2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0D9FF23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291.2</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4C1CF00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44.7</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0D30ABD6"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292.2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1F3CF72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332.3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00E3494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404.7</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A7FBB2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146.0</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013CB40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27.2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10D20C4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55.2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52DB85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205.3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605428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64.7</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2D566D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189.8</w:t>
                </w:r>
              </w:p>
            </w:tc>
          </w:tr>
          <w:tr w:rsidR="00830FDC" w:rsidRPr="00F63634" w14:paraId="36D35274" w14:textId="77777777" w:rsidTr="00D0090A">
            <w:trPr>
              <w:trHeight w:val="225"/>
            </w:trPr>
            <w:tc>
              <w:tcPr>
                <w:tcW w:w="1460" w:type="dxa"/>
                <w:tcBorders>
                  <w:left w:val="nil"/>
                  <w:bottom w:val="nil"/>
                  <w:right w:val="nil"/>
                </w:tcBorders>
                <w:shd w:val="clear" w:color="auto" w:fill="CAE7F3" w:themeFill="accent1" w:themeFillTint="33"/>
                <w:noWrap/>
                <w:vAlign w:val="bottom"/>
                <w:hideMark/>
              </w:tcPr>
              <w:p w14:paraId="1A8F4D90"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Hobart</w:t>
                </w:r>
              </w:p>
            </w:tc>
            <w:tc>
              <w:tcPr>
                <w:tcW w:w="661" w:type="dxa"/>
                <w:tcBorders>
                  <w:left w:val="nil"/>
                  <w:bottom w:val="nil"/>
                  <w:right w:val="nil"/>
                </w:tcBorders>
                <w:shd w:val="clear" w:color="auto" w:fill="CAE7F3" w:themeFill="accent1" w:themeFillTint="33"/>
                <w:noWrap/>
                <w:vAlign w:val="bottom"/>
                <w:hideMark/>
              </w:tcPr>
              <w:p w14:paraId="069F5F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67.3</w:t>
                </w:r>
              </w:p>
            </w:tc>
            <w:tc>
              <w:tcPr>
                <w:tcW w:w="662" w:type="dxa"/>
                <w:tcBorders>
                  <w:left w:val="nil"/>
                  <w:bottom w:val="nil"/>
                  <w:right w:val="nil"/>
                </w:tcBorders>
                <w:shd w:val="clear" w:color="auto" w:fill="CAE7F3" w:themeFill="accent1" w:themeFillTint="33"/>
                <w:noWrap/>
                <w:vAlign w:val="bottom"/>
                <w:hideMark/>
              </w:tcPr>
              <w:p w14:paraId="2B1462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left w:val="nil"/>
                  <w:bottom w:val="nil"/>
                  <w:right w:val="nil"/>
                </w:tcBorders>
                <w:shd w:val="clear" w:color="auto" w:fill="CAE7F3" w:themeFill="accent1" w:themeFillTint="33"/>
                <w:noWrap/>
                <w:vAlign w:val="bottom"/>
                <w:hideMark/>
              </w:tcPr>
              <w:p w14:paraId="48157D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67.7</w:t>
                </w:r>
              </w:p>
            </w:tc>
            <w:tc>
              <w:tcPr>
                <w:tcW w:w="662" w:type="dxa"/>
                <w:tcBorders>
                  <w:left w:val="nil"/>
                  <w:bottom w:val="nil"/>
                  <w:right w:val="nil"/>
                </w:tcBorders>
                <w:shd w:val="clear" w:color="auto" w:fill="CAE7F3" w:themeFill="accent1" w:themeFillTint="33"/>
                <w:noWrap/>
                <w:vAlign w:val="bottom"/>
                <w:hideMark/>
              </w:tcPr>
              <w:p w14:paraId="7B6C81D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12.7</w:t>
                </w:r>
              </w:p>
            </w:tc>
            <w:tc>
              <w:tcPr>
                <w:tcW w:w="661" w:type="dxa"/>
                <w:tcBorders>
                  <w:left w:val="nil"/>
                  <w:bottom w:val="nil"/>
                  <w:right w:val="nil"/>
                </w:tcBorders>
                <w:shd w:val="clear" w:color="auto" w:fill="CAE7F3" w:themeFill="accent1" w:themeFillTint="33"/>
                <w:noWrap/>
                <w:vAlign w:val="bottom"/>
                <w:hideMark/>
              </w:tcPr>
              <w:p w14:paraId="0CBF096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313.0</w:t>
                </w:r>
              </w:p>
            </w:tc>
            <w:tc>
              <w:tcPr>
                <w:tcW w:w="662" w:type="dxa"/>
                <w:tcBorders>
                  <w:left w:val="nil"/>
                  <w:bottom w:val="nil"/>
                  <w:right w:val="nil"/>
                </w:tcBorders>
                <w:shd w:val="clear" w:color="auto" w:fill="CAE7F3" w:themeFill="accent1" w:themeFillTint="33"/>
                <w:noWrap/>
                <w:vAlign w:val="bottom"/>
                <w:hideMark/>
              </w:tcPr>
              <w:p w14:paraId="17D964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45.2</w:t>
                </w:r>
              </w:p>
            </w:tc>
            <w:tc>
              <w:tcPr>
                <w:tcW w:w="662" w:type="dxa"/>
                <w:tcBorders>
                  <w:left w:val="nil"/>
                  <w:bottom w:val="nil"/>
                  <w:right w:val="nil"/>
                </w:tcBorders>
                <w:shd w:val="clear" w:color="auto" w:fill="CAE7F3" w:themeFill="accent1" w:themeFillTint="33"/>
                <w:noWrap/>
                <w:vAlign w:val="bottom"/>
                <w:hideMark/>
              </w:tcPr>
              <w:p w14:paraId="09E21A8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138.2</w:t>
                </w:r>
              </w:p>
            </w:tc>
            <w:tc>
              <w:tcPr>
                <w:tcW w:w="662" w:type="dxa"/>
                <w:tcBorders>
                  <w:left w:val="nil"/>
                  <w:bottom w:val="nil"/>
                  <w:right w:val="nil"/>
                </w:tcBorders>
                <w:shd w:val="clear" w:color="auto" w:fill="CAE7F3" w:themeFill="accent1" w:themeFillTint="33"/>
                <w:noWrap/>
                <w:vAlign w:val="bottom"/>
                <w:hideMark/>
              </w:tcPr>
              <w:p w14:paraId="42217C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126.5</w:t>
                </w:r>
              </w:p>
            </w:tc>
            <w:tc>
              <w:tcPr>
                <w:tcW w:w="662" w:type="dxa"/>
                <w:tcBorders>
                  <w:left w:val="nil"/>
                  <w:bottom w:val="nil"/>
                  <w:right w:val="nil"/>
                </w:tcBorders>
                <w:shd w:val="clear" w:color="auto" w:fill="CAE7F3" w:themeFill="accent1" w:themeFillTint="33"/>
                <w:noWrap/>
                <w:vAlign w:val="bottom"/>
                <w:hideMark/>
              </w:tcPr>
              <w:p w14:paraId="19B7B59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148.8</w:t>
                </w:r>
              </w:p>
            </w:tc>
            <w:tc>
              <w:tcPr>
                <w:tcW w:w="661" w:type="dxa"/>
                <w:tcBorders>
                  <w:left w:val="nil"/>
                  <w:bottom w:val="nil"/>
                  <w:right w:val="nil"/>
                </w:tcBorders>
                <w:shd w:val="clear" w:color="auto" w:fill="CAE7F3" w:themeFill="accent1" w:themeFillTint="33"/>
                <w:noWrap/>
                <w:vAlign w:val="bottom"/>
                <w:hideMark/>
              </w:tcPr>
              <w:p w14:paraId="37BE07B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24.8</w:t>
                </w:r>
              </w:p>
            </w:tc>
            <w:tc>
              <w:tcPr>
                <w:tcW w:w="662" w:type="dxa"/>
                <w:tcBorders>
                  <w:left w:val="nil"/>
                  <w:bottom w:val="nil"/>
                  <w:right w:val="nil"/>
                </w:tcBorders>
                <w:shd w:val="clear" w:color="auto" w:fill="CAE7F3" w:themeFill="accent1" w:themeFillTint="33"/>
                <w:noWrap/>
                <w:vAlign w:val="bottom"/>
                <w:hideMark/>
              </w:tcPr>
              <w:p w14:paraId="103A071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144.2</w:t>
                </w:r>
              </w:p>
            </w:tc>
            <w:tc>
              <w:tcPr>
                <w:tcW w:w="662" w:type="dxa"/>
                <w:tcBorders>
                  <w:left w:val="nil"/>
                  <w:bottom w:val="nil"/>
                  <w:right w:val="nil"/>
                </w:tcBorders>
                <w:shd w:val="clear" w:color="auto" w:fill="CAE7F3" w:themeFill="accent1" w:themeFillTint="33"/>
                <w:noWrap/>
                <w:vAlign w:val="bottom"/>
                <w:hideMark/>
              </w:tcPr>
              <w:p w14:paraId="1D2EC58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133.2</w:t>
                </w:r>
              </w:p>
            </w:tc>
            <w:tc>
              <w:tcPr>
                <w:tcW w:w="662" w:type="dxa"/>
                <w:tcBorders>
                  <w:left w:val="nil"/>
                  <w:bottom w:val="nil"/>
                  <w:right w:val="nil"/>
                </w:tcBorders>
                <w:shd w:val="clear" w:color="auto" w:fill="CAE7F3" w:themeFill="accent1" w:themeFillTint="33"/>
                <w:noWrap/>
                <w:vAlign w:val="bottom"/>
                <w:hideMark/>
              </w:tcPr>
              <w:p w14:paraId="265C09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218.5</w:t>
                </w:r>
              </w:p>
            </w:tc>
            <w:tc>
              <w:tcPr>
                <w:tcW w:w="662" w:type="dxa"/>
                <w:tcBorders>
                  <w:left w:val="nil"/>
                  <w:bottom w:val="nil"/>
                  <w:right w:val="nil"/>
                </w:tcBorders>
                <w:shd w:val="clear" w:color="auto" w:fill="CAE7F3" w:themeFill="accent1" w:themeFillTint="33"/>
                <w:noWrap/>
                <w:vAlign w:val="bottom"/>
                <w:hideMark/>
              </w:tcPr>
              <w:p w14:paraId="33DFCE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63.7</w:t>
                </w:r>
              </w:p>
            </w:tc>
            <w:tc>
              <w:tcPr>
                <w:tcW w:w="661" w:type="dxa"/>
                <w:tcBorders>
                  <w:left w:val="nil"/>
                  <w:bottom w:val="nil"/>
                  <w:right w:val="nil"/>
                </w:tcBorders>
                <w:shd w:val="clear" w:color="auto" w:fill="CAE7F3" w:themeFill="accent1" w:themeFillTint="33"/>
                <w:noWrap/>
                <w:vAlign w:val="bottom"/>
                <w:hideMark/>
              </w:tcPr>
              <w:p w14:paraId="2C128F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17.2</w:t>
                </w:r>
              </w:p>
            </w:tc>
            <w:tc>
              <w:tcPr>
                <w:tcW w:w="662" w:type="dxa"/>
                <w:tcBorders>
                  <w:left w:val="nil"/>
                  <w:bottom w:val="nil"/>
                  <w:right w:val="nil"/>
                </w:tcBorders>
                <w:shd w:val="clear" w:color="auto" w:fill="CAE7F3" w:themeFill="accent1" w:themeFillTint="33"/>
                <w:noWrap/>
                <w:vAlign w:val="bottom"/>
                <w:hideMark/>
              </w:tcPr>
              <w:p w14:paraId="5F2091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25.8</w:t>
                </w:r>
              </w:p>
            </w:tc>
            <w:tc>
              <w:tcPr>
                <w:tcW w:w="662" w:type="dxa"/>
                <w:tcBorders>
                  <w:left w:val="nil"/>
                  <w:bottom w:val="nil"/>
                  <w:right w:val="nil"/>
                </w:tcBorders>
                <w:shd w:val="clear" w:color="auto" w:fill="CAE7F3" w:themeFill="accent1" w:themeFillTint="33"/>
                <w:noWrap/>
                <w:vAlign w:val="bottom"/>
                <w:hideMark/>
              </w:tcPr>
              <w:p w14:paraId="7F78385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105.8</w:t>
                </w:r>
              </w:p>
            </w:tc>
            <w:tc>
              <w:tcPr>
                <w:tcW w:w="662" w:type="dxa"/>
                <w:tcBorders>
                  <w:left w:val="nil"/>
                  <w:bottom w:val="nil"/>
                  <w:right w:val="nil"/>
                </w:tcBorders>
                <w:shd w:val="clear" w:color="auto" w:fill="CAE7F3" w:themeFill="accent1" w:themeFillTint="33"/>
                <w:noWrap/>
                <w:vAlign w:val="bottom"/>
                <w:hideMark/>
              </w:tcPr>
              <w:p w14:paraId="421787A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34.5</w:t>
                </w:r>
              </w:p>
            </w:tc>
            <w:tc>
              <w:tcPr>
                <w:tcW w:w="662" w:type="dxa"/>
                <w:tcBorders>
                  <w:left w:val="nil"/>
                  <w:bottom w:val="nil"/>
                  <w:right w:val="nil"/>
                </w:tcBorders>
                <w:shd w:val="clear" w:color="auto" w:fill="CAE7F3" w:themeFill="accent1" w:themeFillTint="33"/>
                <w:noWrap/>
                <w:vAlign w:val="bottom"/>
                <w:hideMark/>
              </w:tcPr>
              <w:p w14:paraId="1BBCD8B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77.2</w:t>
                </w:r>
              </w:p>
            </w:tc>
          </w:tr>
          <w:tr w:rsidR="00830FDC" w:rsidRPr="00F63634" w14:paraId="656F2280"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40F01C8"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Launceston and North East</w:t>
                </w:r>
              </w:p>
            </w:tc>
            <w:tc>
              <w:tcPr>
                <w:tcW w:w="661" w:type="dxa"/>
                <w:tcBorders>
                  <w:top w:val="nil"/>
                  <w:left w:val="nil"/>
                  <w:bottom w:val="nil"/>
                  <w:right w:val="nil"/>
                </w:tcBorders>
                <w:shd w:val="clear" w:color="auto" w:fill="CAE7F3" w:themeFill="accent1" w:themeFillTint="33"/>
                <w:noWrap/>
                <w:vAlign w:val="bottom"/>
                <w:hideMark/>
              </w:tcPr>
              <w:p w14:paraId="2EC4471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143.8</w:t>
                </w:r>
              </w:p>
            </w:tc>
            <w:tc>
              <w:tcPr>
                <w:tcW w:w="662" w:type="dxa"/>
                <w:tcBorders>
                  <w:top w:val="nil"/>
                  <w:left w:val="nil"/>
                  <w:bottom w:val="nil"/>
                  <w:right w:val="nil"/>
                </w:tcBorders>
                <w:shd w:val="clear" w:color="auto" w:fill="CAE7F3" w:themeFill="accent1" w:themeFillTint="33"/>
                <w:noWrap/>
                <w:vAlign w:val="bottom"/>
                <w:hideMark/>
              </w:tcPr>
              <w:p w14:paraId="3AE8641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top w:val="nil"/>
                  <w:left w:val="nil"/>
                  <w:bottom w:val="nil"/>
                  <w:right w:val="nil"/>
                </w:tcBorders>
                <w:shd w:val="clear" w:color="auto" w:fill="CAE7F3" w:themeFill="accent1" w:themeFillTint="33"/>
                <w:noWrap/>
                <w:vAlign w:val="bottom"/>
                <w:hideMark/>
              </w:tcPr>
              <w:p w14:paraId="0053E62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42.5</w:t>
                </w:r>
              </w:p>
            </w:tc>
            <w:tc>
              <w:tcPr>
                <w:tcW w:w="662" w:type="dxa"/>
                <w:tcBorders>
                  <w:top w:val="nil"/>
                  <w:left w:val="nil"/>
                  <w:bottom w:val="nil"/>
                  <w:right w:val="nil"/>
                </w:tcBorders>
                <w:shd w:val="clear" w:color="auto" w:fill="CAE7F3" w:themeFill="accent1" w:themeFillTint="33"/>
                <w:noWrap/>
                <w:vAlign w:val="bottom"/>
                <w:hideMark/>
              </w:tcPr>
              <w:p w14:paraId="2DB110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w:t>
                </w:r>
              </w:p>
            </w:tc>
            <w:tc>
              <w:tcPr>
                <w:tcW w:w="661" w:type="dxa"/>
                <w:tcBorders>
                  <w:top w:val="nil"/>
                  <w:left w:val="nil"/>
                  <w:bottom w:val="nil"/>
                  <w:right w:val="nil"/>
                </w:tcBorders>
                <w:shd w:val="clear" w:color="auto" w:fill="CAE7F3" w:themeFill="accent1" w:themeFillTint="33"/>
                <w:noWrap/>
                <w:vAlign w:val="bottom"/>
                <w:hideMark/>
              </w:tcPr>
              <w:p w14:paraId="7CE42F9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194.3</w:t>
                </w:r>
              </w:p>
            </w:tc>
            <w:tc>
              <w:tcPr>
                <w:tcW w:w="662" w:type="dxa"/>
                <w:tcBorders>
                  <w:top w:val="nil"/>
                  <w:left w:val="nil"/>
                  <w:bottom w:val="nil"/>
                  <w:right w:val="nil"/>
                </w:tcBorders>
                <w:shd w:val="clear" w:color="auto" w:fill="CAE7F3" w:themeFill="accent1" w:themeFillTint="33"/>
                <w:noWrap/>
                <w:vAlign w:val="bottom"/>
                <w:hideMark/>
              </w:tcPr>
              <w:p w14:paraId="5903937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34.7</w:t>
                </w:r>
              </w:p>
            </w:tc>
            <w:tc>
              <w:tcPr>
                <w:tcW w:w="662" w:type="dxa"/>
                <w:tcBorders>
                  <w:top w:val="nil"/>
                  <w:left w:val="nil"/>
                  <w:bottom w:val="nil"/>
                  <w:right w:val="nil"/>
                </w:tcBorders>
                <w:shd w:val="clear" w:color="auto" w:fill="CAE7F3" w:themeFill="accent1" w:themeFillTint="33"/>
                <w:noWrap/>
                <w:vAlign w:val="bottom"/>
                <w:hideMark/>
              </w:tcPr>
              <w:p w14:paraId="793E338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88.7</w:t>
                </w:r>
              </w:p>
            </w:tc>
            <w:tc>
              <w:tcPr>
                <w:tcW w:w="662" w:type="dxa"/>
                <w:tcBorders>
                  <w:top w:val="nil"/>
                  <w:left w:val="nil"/>
                  <w:bottom w:val="nil"/>
                  <w:right w:val="nil"/>
                </w:tcBorders>
                <w:shd w:val="clear" w:color="auto" w:fill="CAE7F3" w:themeFill="accent1" w:themeFillTint="33"/>
                <w:noWrap/>
                <w:vAlign w:val="bottom"/>
                <w:hideMark/>
              </w:tcPr>
              <w:p w14:paraId="624C55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69.8</w:t>
                </w:r>
              </w:p>
            </w:tc>
            <w:tc>
              <w:tcPr>
                <w:tcW w:w="662" w:type="dxa"/>
                <w:tcBorders>
                  <w:top w:val="nil"/>
                  <w:left w:val="nil"/>
                  <w:bottom w:val="nil"/>
                  <w:right w:val="nil"/>
                </w:tcBorders>
                <w:shd w:val="clear" w:color="auto" w:fill="CAE7F3" w:themeFill="accent1" w:themeFillTint="33"/>
                <w:noWrap/>
                <w:vAlign w:val="bottom"/>
                <w:hideMark/>
              </w:tcPr>
              <w:p w14:paraId="25781E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73.0</w:t>
                </w:r>
              </w:p>
            </w:tc>
            <w:tc>
              <w:tcPr>
                <w:tcW w:w="661" w:type="dxa"/>
                <w:tcBorders>
                  <w:top w:val="nil"/>
                  <w:left w:val="nil"/>
                  <w:bottom w:val="nil"/>
                  <w:right w:val="nil"/>
                </w:tcBorders>
                <w:shd w:val="clear" w:color="auto" w:fill="CAE7F3" w:themeFill="accent1" w:themeFillTint="33"/>
                <w:noWrap/>
                <w:vAlign w:val="bottom"/>
                <w:hideMark/>
              </w:tcPr>
              <w:p w14:paraId="0C345E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w:t>
                </w:r>
              </w:p>
            </w:tc>
            <w:tc>
              <w:tcPr>
                <w:tcW w:w="662" w:type="dxa"/>
                <w:tcBorders>
                  <w:top w:val="nil"/>
                  <w:left w:val="nil"/>
                  <w:bottom w:val="nil"/>
                  <w:right w:val="nil"/>
                </w:tcBorders>
                <w:shd w:val="clear" w:color="auto" w:fill="CAE7F3" w:themeFill="accent1" w:themeFillTint="33"/>
                <w:noWrap/>
                <w:vAlign w:val="bottom"/>
                <w:hideMark/>
              </w:tcPr>
              <w:p w14:paraId="5019DD4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73.8</w:t>
                </w:r>
              </w:p>
            </w:tc>
            <w:tc>
              <w:tcPr>
                <w:tcW w:w="662" w:type="dxa"/>
                <w:tcBorders>
                  <w:top w:val="nil"/>
                  <w:left w:val="nil"/>
                  <w:bottom w:val="nil"/>
                  <w:right w:val="nil"/>
                </w:tcBorders>
                <w:shd w:val="clear" w:color="auto" w:fill="CAE7F3" w:themeFill="accent1" w:themeFillTint="33"/>
                <w:noWrap/>
                <w:vAlign w:val="bottom"/>
                <w:hideMark/>
              </w:tcPr>
              <w:p w14:paraId="0B4A5D3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103.3</w:t>
                </w:r>
              </w:p>
            </w:tc>
            <w:tc>
              <w:tcPr>
                <w:tcW w:w="662" w:type="dxa"/>
                <w:tcBorders>
                  <w:top w:val="nil"/>
                  <w:left w:val="nil"/>
                  <w:bottom w:val="nil"/>
                  <w:right w:val="nil"/>
                </w:tcBorders>
                <w:shd w:val="clear" w:color="auto" w:fill="CAE7F3" w:themeFill="accent1" w:themeFillTint="33"/>
                <w:noWrap/>
                <w:vAlign w:val="bottom"/>
                <w:hideMark/>
              </w:tcPr>
              <w:p w14:paraId="3EE69C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96.7</w:t>
                </w:r>
              </w:p>
            </w:tc>
            <w:tc>
              <w:tcPr>
                <w:tcW w:w="662" w:type="dxa"/>
                <w:tcBorders>
                  <w:top w:val="nil"/>
                  <w:left w:val="nil"/>
                  <w:bottom w:val="nil"/>
                  <w:right w:val="nil"/>
                </w:tcBorders>
                <w:shd w:val="clear" w:color="auto" w:fill="CAE7F3" w:themeFill="accent1" w:themeFillTint="33"/>
                <w:noWrap/>
                <w:vAlign w:val="bottom"/>
                <w:hideMark/>
              </w:tcPr>
              <w:p w14:paraId="300E1F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42.7</w:t>
                </w:r>
              </w:p>
            </w:tc>
            <w:tc>
              <w:tcPr>
                <w:tcW w:w="661" w:type="dxa"/>
                <w:tcBorders>
                  <w:top w:val="nil"/>
                  <w:left w:val="nil"/>
                  <w:bottom w:val="nil"/>
                  <w:right w:val="nil"/>
                </w:tcBorders>
                <w:shd w:val="clear" w:color="auto" w:fill="CAE7F3" w:themeFill="accent1" w:themeFillTint="33"/>
                <w:noWrap/>
                <w:vAlign w:val="bottom"/>
                <w:hideMark/>
              </w:tcPr>
              <w:p w14:paraId="28EADF7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2" w:type="dxa"/>
                <w:tcBorders>
                  <w:top w:val="nil"/>
                  <w:left w:val="nil"/>
                  <w:bottom w:val="nil"/>
                  <w:right w:val="nil"/>
                </w:tcBorders>
                <w:shd w:val="clear" w:color="auto" w:fill="CAE7F3" w:themeFill="accent1" w:themeFillTint="33"/>
                <w:noWrap/>
                <w:vAlign w:val="bottom"/>
                <w:hideMark/>
              </w:tcPr>
              <w:p w14:paraId="558BF6C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14.7</w:t>
                </w:r>
              </w:p>
            </w:tc>
            <w:tc>
              <w:tcPr>
                <w:tcW w:w="662" w:type="dxa"/>
                <w:tcBorders>
                  <w:top w:val="nil"/>
                  <w:left w:val="nil"/>
                  <w:bottom w:val="nil"/>
                  <w:right w:val="nil"/>
                </w:tcBorders>
                <w:shd w:val="clear" w:color="auto" w:fill="CAE7F3" w:themeFill="accent1" w:themeFillTint="33"/>
                <w:noWrap/>
                <w:vAlign w:val="bottom"/>
                <w:hideMark/>
              </w:tcPr>
              <w:p w14:paraId="758717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52.5</w:t>
                </w:r>
              </w:p>
            </w:tc>
            <w:tc>
              <w:tcPr>
                <w:tcW w:w="662" w:type="dxa"/>
                <w:tcBorders>
                  <w:top w:val="nil"/>
                  <w:left w:val="nil"/>
                  <w:bottom w:val="nil"/>
                  <w:right w:val="nil"/>
                </w:tcBorders>
                <w:shd w:val="clear" w:color="auto" w:fill="CAE7F3" w:themeFill="accent1" w:themeFillTint="33"/>
                <w:noWrap/>
                <w:vAlign w:val="bottom"/>
                <w:hideMark/>
              </w:tcPr>
              <w:p w14:paraId="5AA1F4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w:t>
                </w:r>
              </w:p>
            </w:tc>
            <w:tc>
              <w:tcPr>
                <w:tcW w:w="662" w:type="dxa"/>
                <w:tcBorders>
                  <w:top w:val="nil"/>
                  <w:left w:val="nil"/>
                  <w:bottom w:val="nil"/>
                  <w:right w:val="nil"/>
                </w:tcBorders>
                <w:shd w:val="clear" w:color="auto" w:fill="CAE7F3" w:themeFill="accent1" w:themeFillTint="33"/>
                <w:noWrap/>
                <w:vAlign w:val="bottom"/>
                <w:hideMark/>
              </w:tcPr>
              <w:p w14:paraId="123710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52.5</w:t>
                </w:r>
              </w:p>
            </w:tc>
          </w:tr>
          <w:tr w:rsidR="00830FDC" w:rsidRPr="00F63634" w14:paraId="559394D9"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38B84A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South East</w:t>
                </w:r>
              </w:p>
            </w:tc>
            <w:tc>
              <w:tcPr>
                <w:tcW w:w="661" w:type="dxa"/>
                <w:tcBorders>
                  <w:top w:val="nil"/>
                  <w:left w:val="nil"/>
                  <w:bottom w:val="nil"/>
                  <w:right w:val="nil"/>
                </w:tcBorders>
                <w:shd w:val="clear" w:color="auto" w:fill="CAE7F3" w:themeFill="accent1" w:themeFillTint="33"/>
                <w:noWrap/>
                <w:vAlign w:val="bottom"/>
                <w:hideMark/>
              </w:tcPr>
              <w:p w14:paraId="4A6CFA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60.0</w:t>
                </w:r>
              </w:p>
            </w:tc>
            <w:tc>
              <w:tcPr>
                <w:tcW w:w="662" w:type="dxa"/>
                <w:tcBorders>
                  <w:top w:val="nil"/>
                  <w:left w:val="nil"/>
                  <w:bottom w:val="nil"/>
                  <w:right w:val="nil"/>
                </w:tcBorders>
                <w:shd w:val="clear" w:color="auto" w:fill="CAE7F3" w:themeFill="accent1" w:themeFillTint="33"/>
                <w:noWrap/>
                <w:vAlign w:val="bottom"/>
                <w:hideMark/>
              </w:tcPr>
              <w:p w14:paraId="51C170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04F69C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w:t>
                </w:r>
              </w:p>
            </w:tc>
            <w:tc>
              <w:tcPr>
                <w:tcW w:w="662" w:type="dxa"/>
                <w:tcBorders>
                  <w:top w:val="nil"/>
                  <w:left w:val="nil"/>
                  <w:bottom w:val="nil"/>
                  <w:right w:val="nil"/>
                </w:tcBorders>
                <w:shd w:val="clear" w:color="auto" w:fill="CAE7F3" w:themeFill="accent1" w:themeFillTint="33"/>
                <w:noWrap/>
                <w:vAlign w:val="bottom"/>
                <w:hideMark/>
              </w:tcPr>
              <w:p w14:paraId="03D1E7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1" w:type="dxa"/>
                <w:tcBorders>
                  <w:top w:val="nil"/>
                  <w:left w:val="nil"/>
                  <w:bottom w:val="nil"/>
                  <w:right w:val="nil"/>
                </w:tcBorders>
                <w:shd w:val="clear" w:color="auto" w:fill="CAE7F3" w:themeFill="accent1" w:themeFillTint="33"/>
                <w:noWrap/>
                <w:vAlign w:val="bottom"/>
                <w:hideMark/>
              </w:tcPr>
              <w:p w14:paraId="26B396B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46.5</w:t>
                </w:r>
              </w:p>
            </w:tc>
            <w:tc>
              <w:tcPr>
                <w:tcW w:w="662" w:type="dxa"/>
                <w:tcBorders>
                  <w:top w:val="nil"/>
                  <w:left w:val="nil"/>
                  <w:bottom w:val="nil"/>
                  <w:right w:val="nil"/>
                </w:tcBorders>
                <w:shd w:val="clear" w:color="auto" w:fill="CAE7F3" w:themeFill="accent1" w:themeFillTint="33"/>
                <w:noWrap/>
                <w:vAlign w:val="bottom"/>
                <w:hideMark/>
              </w:tcPr>
              <w:p w14:paraId="52A9197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2" w:type="dxa"/>
                <w:tcBorders>
                  <w:top w:val="nil"/>
                  <w:left w:val="nil"/>
                  <w:bottom w:val="nil"/>
                  <w:right w:val="nil"/>
                </w:tcBorders>
                <w:shd w:val="clear" w:color="auto" w:fill="CAE7F3" w:themeFill="accent1" w:themeFillTint="33"/>
                <w:noWrap/>
                <w:vAlign w:val="bottom"/>
                <w:hideMark/>
              </w:tcPr>
              <w:p w14:paraId="3C4376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18.5</w:t>
                </w:r>
              </w:p>
            </w:tc>
            <w:tc>
              <w:tcPr>
                <w:tcW w:w="662" w:type="dxa"/>
                <w:tcBorders>
                  <w:top w:val="nil"/>
                  <w:left w:val="nil"/>
                  <w:bottom w:val="nil"/>
                  <w:right w:val="nil"/>
                </w:tcBorders>
                <w:shd w:val="clear" w:color="auto" w:fill="CAE7F3" w:themeFill="accent1" w:themeFillTint="33"/>
                <w:noWrap/>
                <w:vAlign w:val="bottom"/>
                <w:hideMark/>
              </w:tcPr>
              <w:p w14:paraId="031F248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24.7</w:t>
                </w:r>
              </w:p>
            </w:tc>
            <w:tc>
              <w:tcPr>
                <w:tcW w:w="662" w:type="dxa"/>
                <w:tcBorders>
                  <w:top w:val="nil"/>
                  <w:left w:val="nil"/>
                  <w:bottom w:val="nil"/>
                  <w:right w:val="nil"/>
                </w:tcBorders>
                <w:shd w:val="clear" w:color="auto" w:fill="CAE7F3" w:themeFill="accent1" w:themeFillTint="33"/>
                <w:noWrap/>
                <w:vAlign w:val="bottom"/>
                <w:hideMark/>
              </w:tcPr>
              <w:p w14:paraId="5CC9D2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18.7</w:t>
                </w:r>
              </w:p>
            </w:tc>
            <w:tc>
              <w:tcPr>
                <w:tcW w:w="661" w:type="dxa"/>
                <w:tcBorders>
                  <w:top w:val="nil"/>
                  <w:left w:val="nil"/>
                  <w:bottom w:val="nil"/>
                  <w:right w:val="nil"/>
                </w:tcBorders>
                <w:shd w:val="clear" w:color="auto" w:fill="CAE7F3" w:themeFill="accent1" w:themeFillTint="33"/>
                <w:noWrap/>
                <w:vAlign w:val="bottom"/>
                <w:hideMark/>
              </w:tcPr>
              <w:p w14:paraId="45AC725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w:t>
                </w:r>
              </w:p>
            </w:tc>
            <w:tc>
              <w:tcPr>
                <w:tcW w:w="662" w:type="dxa"/>
                <w:tcBorders>
                  <w:top w:val="nil"/>
                  <w:left w:val="nil"/>
                  <w:bottom w:val="nil"/>
                  <w:right w:val="nil"/>
                </w:tcBorders>
                <w:shd w:val="clear" w:color="auto" w:fill="CAE7F3" w:themeFill="accent1" w:themeFillTint="33"/>
                <w:noWrap/>
                <w:vAlign w:val="bottom"/>
                <w:hideMark/>
              </w:tcPr>
              <w:p w14:paraId="03AB21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16.0</w:t>
                </w:r>
              </w:p>
            </w:tc>
            <w:tc>
              <w:tcPr>
                <w:tcW w:w="662" w:type="dxa"/>
                <w:tcBorders>
                  <w:top w:val="nil"/>
                  <w:left w:val="nil"/>
                  <w:bottom w:val="nil"/>
                  <w:right w:val="nil"/>
                </w:tcBorders>
                <w:shd w:val="clear" w:color="auto" w:fill="CAE7F3" w:themeFill="accent1" w:themeFillTint="33"/>
                <w:noWrap/>
                <w:vAlign w:val="bottom"/>
                <w:hideMark/>
              </w:tcPr>
              <w:p w14:paraId="5726EC6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19.2</w:t>
                </w:r>
              </w:p>
            </w:tc>
            <w:tc>
              <w:tcPr>
                <w:tcW w:w="662" w:type="dxa"/>
                <w:tcBorders>
                  <w:top w:val="nil"/>
                  <w:left w:val="nil"/>
                  <w:bottom w:val="nil"/>
                  <w:right w:val="nil"/>
                </w:tcBorders>
                <w:shd w:val="clear" w:color="auto" w:fill="CAE7F3" w:themeFill="accent1" w:themeFillTint="33"/>
                <w:noWrap/>
                <w:vAlign w:val="bottom"/>
                <w:hideMark/>
              </w:tcPr>
              <w:p w14:paraId="0B4779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30.8</w:t>
                </w:r>
              </w:p>
            </w:tc>
            <w:tc>
              <w:tcPr>
                <w:tcW w:w="662" w:type="dxa"/>
                <w:tcBorders>
                  <w:top w:val="nil"/>
                  <w:left w:val="nil"/>
                  <w:bottom w:val="nil"/>
                  <w:right w:val="nil"/>
                </w:tcBorders>
                <w:shd w:val="clear" w:color="auto" w:fill="CAE7F3" w:themeFill="accent1" w:themeFillTint="33"/>
                <w:noWrap/>
                <w:vAlign w:val="bottom"/>
                <w:hideMark/>
              </w:tcPr>
              <w:p w14:paraId="501BF73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w:t>
                </w:r>
              </w:p>
            </w:tc>
            <w:tc>
              <w:tcPr>
                <w:tcW w:w="661" w:type="dxa"/>
                <w:tcBorders>
                  <w:top w:val="nil"/>
                  <w:left w:val="nil"/>
                  <w:bottom w:val="nil"/>
                  <w:right w:val="nil"/>
                </w:tcBorders>
                <w:shd w:val="clear" w:color="auto" w:fill="CAE7F3" w:themeFill="accent1" w:themeFillTint="33"/>
                <w:noWrap/>
                <w:vAlign w:val="bottom"/>
                <w:hideMark/>
              </w:tcPr>
              <w:p w14:paraId="5BE70B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top w:val="nil"/>
                  <w:left w:val="nil"/>
                  <w:bottom w:val="nil"/>
                  <w:right w:val="nil"/>
                </w:tcBorders>
                <w:shd w:val="clear" w:color="auto" w:fill="CAE7F3" w:themeFill="accent1" w:themeFillTint="33"/>
                <w:noWrap/>
                <w:vAlign w:val="bottom"/>
                <w:hideMark/>
              </w:tcPr>
              <w:p w14:paraId="49A02C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20E15D4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w:t>
                </w:r>
              </w:p>
            </w:tc>
            <w:tc>
              <w:tcPr>
                <w:tcW w:w="662" w:type="dxa"/>
                <w:tcBorders>
                  <w:top w:val="nil"/>
                  <w:left w:val="nil"/>
                  <w:bottom w:val="nil"/>
                  <w:right w:val="nil"/>
                </w:tcBorders>
                <w:shd w:val="clear" w:color="auto" w:fill="CAE7F3" w:themeFill="accent1" w:themeFillTint="33"/>
                <w:noWrap/>
                <w:vAlign w:val="bottom"/>
                <w:hideMark/>
              </w:tcPr>
              <w:p w14:paraId="00C32D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w:t>
                </w:r>
              </w:p>
            </w:tc>
            <w:tc>
              <w:tcPr>
                <w:tcW w:w="662" w:type="dxa"/>
                <w:tcBorders>
                  <w:top w:val="nil"/>
                  <w:left w:val="nil"/>
                  <w:bottom w:val="nil"/>
                  <w:right w:val="nil"/>
                </w:tcBorders>
                <w:shd w:val="clear" w:color="auto" w:fill="CAE7F3" w:themeFill="accent1" w:themeFillTint="33"/>
                <w:noWrap/>
                <w:vAlign w:val="bottom"/>
                <w:hideMark/>
              </w:tcPr>
              <w:p w14:paraId="5AA70C6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w:t>
                </w:r>
              </w:p>
            </w:tc>
          </w:tr>
          <w:tr w:rsidR="00830FDC" w:rsidRPr="00F63634" w14:paraId="76ECCD11"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19C22E70"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Special Purpose Codes SA4 (Tas.)</w:t>
                </w:r>
              </w:p>
            </w:tc>
            <w:tc>
              <w:tcPr>
                <w:tcW w:w="661" w:type="dxa"/>
                <w:tcBorders>
                  <w:top w:val="nil"/>
                  <w:left w:val="nil"/>
                  <w:bottom w:val="nil"/>
                  <w:right w:val="nil"/>
                </w:tcBorders>
                <w:shd w:val="clear" w:color="auto" w:fill="CAE7F3" w:themeFill="accent1" w:themeFillTint="33"/>
                <w:noWrap/>
                <w:vAlign w:val="bottom"/>
                <w:hideMark/>
              </w:tcPr>
              <w:p w14:paraId="497C3DD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w:t>
                </w:r>
              </w:p>
            </w:tc>
            <w:tc>
              <w:tcPr>
                <w:tcW w:w="662" w:type="dxa"/>
                <w:tcBorders>
                  <w:top w:val="nil"/>
                  <w:left w:val="nil"/>
                  <w:bottom w:val="nil"/>
                  <w:right w:val="nil"/>
                </w:tcBorders>
                <w:shd w:val="clear" w:color="auto" w:fill="CAE7F3" w:themeFill="accent1" w:themeFillTint="33"/>
                <w:noWrap/>
                <w:vAlign w:val="bottom"/>
                <w:hideMark/>
              </w:tcPr>
              <w:p w14:paraId="3E5DB2C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2B9F78C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w:t>
                </w:r>
              </w:p>
            </w:tc>
            <w:tc>
              <w:tcPr>
                <w:tcW w:w="662" w:type="dxa"/>
                <w:tcBorders>
                  <w:top w:val="nil"/>
                  <w:left w:val="nil"/>
                  <w:bottom w:val="nil"/>
                  <w:right w:val="nil"/>
                </w:tcBorders>
                <w:shd w:val="clear" w:color="auto" w:fill="CAE7F3" w:themeFill="accent1" w:themeFillTint="33"/>
                <w:noWrap/>
                <w:vAlign w:val="bottom"/>
                <w:hideMark/>
              </w:tcPr>
              <w:p w14:paraId="1FE9E6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1" w:type="dxa"/>
                <w:tcBorders>
                  <w:top w:val="nil"/>
                  <w:left w:val="nil"/>
                  <w:bottom w:val="nil"/>
                  <w:right w:val="nil"/>
                </w:tcBorders>
                <w:shd w:val="clear" w:color="auto" w:fill="CAE7F3" w:themeFill="accent1" w:themeFillTint="33"/>
                <w:noWrap/>
                <w:vAlign w:val="bottom"/>
                <w:hideMark/>
              </w:tcPr>
              <w:p w14:paraId="6B2B668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w:t>
                </w:r>
              </w:p>
            </w:tc>
            <w:tc>
              <w:tcPr>
                <w:tcW w:w="662" w:type="dxa"/>
                <w:tcBorders>
                  <w:top w:val="nil"/>
                  <w:left w:val="nil"/>
                  <w:bottom w:val="nil"/>
                  <w:right w:val="nil"/>
                </w:tcBorders>
                <w:shd w:val="clear" w:color="auto" w:fill="CAE7F3" w:themeFill="accent1" w:themeFillTint="33"/>
                <w:noWrap/>
                <w:vAlign w:val="bottom"/>
                <w:hideMark/>
              </w:tcPr>
              <w:p w14:paraId="7B0A034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4A2D26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w:t>
                </w:r>
              </w:p>
            </w:tc>
            <w:tc>
              <w:tcPr>
                <w:tcW w:w="662" w:type="dxa"/>
                <w:tcBorders>
                  <w:top w:val="nil"/>
                  <w:left w:val="nil"/>
                  <w:bottom w:val="nil"/>
                  <w:right w:val="nil"/>
                </w:tcBorders>
                <w:shd w:val="clear" w:color="auto" w:fill="CAE7F3" w:themeFill="accent1" w:themeFillTint="33"/>
                <w:noWrap/>
                <w:vAlign w:val="bottom"/>
                <w:hideMark/>
              </w:tcPr>
              <w:p w14:paraId="412E60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w:t>
                </w:r>
              </w:p>
            </w:tc>
            <w:tc>
              <w:tcPr>
                <w:tcW w:w="662" w:type="dxa"/>
                <w:tcBorders>
                  <w:top w:val="nil"/>
                  <w:left w:val="nil"/>
                  <w:bottom w:val="nil"/>
                  <w:right w:val="nil"/>
                </w:tcBorders>
                <w:shd w:val="clear" w:color="auto" w:fill="CAE7F3" w:themeFill="accent1" w:themeFillTint="33"/>
                <w:noWrap/>
                <w:vAlign w:val="bottom"/>
                <w:hideMark/>
              </w:tcPr>
              <w:p w14:paraId="2B3F7C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w:t>
                </w:r>
              </w:p>
            </w:tc>
            <w:tc>
              <w:tcPr>
                <w:tcW w:w="661" w:type="dxa"/>
                <w:tcBorders>
                  <w:top w:val="nil"/>
                  <w:left w:val="nil"/>
                  <w:bottom w:val="nil"/>
                  <w:right w:val="nil"/>
                </w:tcBorders>
                <w:shd w:val="clear" w:color="auto" w:fill="CAE7F3" w:themeFill="accent1" w:themeFillTint="33"/>
                <w:noWrap/>
                <w:vAlign w:val="bottom"/>
                <w:hideMark/>
              </w:tcPr>
              <w:p w14:paraId="3DA967A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w:t>
                </w:r>
              </w:p>
            </w:tc>
            <w:tc>
              <w:tcPr>
                <w:tcW w:w="662" w:type="dxa"/>
                <w:tcBorders>
                  <w:top w:val="nil"/>
                  <w:left w:val="nil"/>
                  <w:bottom w:val="nil"/>
                  <w:right w:val="nil"/>
                </w:tcBorders>
                <w:shd w:val="clear" w:color="auto" w:fill="CAE7F3" w:themeFill="accent1" w:themeFillTint="33"/>
                <w:noWrap/>
                <w:vAlign w:val="bottom"/>
                <w:hideMark/>
              </w:tcPr>
              <w:p w14:paraId="26F9F7F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c>
              <w:tcPr>
                <w:tcW w:w="662" w:type="dxa"/>
                <w:tcBorders>
                  <w:top w:val="nil"/>
                  <w:left w:val="nil"/>
                  <w:bottom w:val="nil"/>
                  <w:right w:val="nil"/>
                </w:tcBorders>
                <w:shd w:val="clear" w:color="auto" w:fill="CAE7F3" w:themeFill="accent1" w:themeFillTint="33"/>
                <w:noWrap/>
                <w:vAlign w:val="bottom"/>
                <w:hideMark/>
              </w:tcPr>
              <w:p w14:paraId="5EAA7C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w:t>
                </w:r>
              </w:p>
            </w:tc>
            <w:tc>
              <w:tcPr>
                <w:tcW w:w="662" w:type="dxa"/>
                <w:tcBorders>
                  <w:top w:val="nil"/>
                  <w:left w:val="nil"/>
                  <w:bottom w:val="nil"/>
                  <w:right w:val="nil"/>
                </w:tcBorders>
                <w:shd w:val="clear" w:color="auto" w:fill="CAE7F3" w:themeFill="accent1" w:themeFillTint="33"/>
                <w:noWrap/>
                <w:vAlign w:val="bottom"/>
                <w:hideMark/>
              </w:tcPr>
              <w:p w14:paraId="4D679BD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1AD2F3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1" w:type="dxa"/>
                <w:tcBorders>
                  <w:top w:val="nil"/>
                  <w:left w:val="nil"/>
                  <w:bottom w:val="nil"/>
                  <w:right w:val="nil"/>
                </w:tcBorders>
                <w:shd w:val="clear" w:color="auto" w:fill="CAE7F3" w:themeFill="accent1" w:themeFillTint="33"/>
                <w:noWrap/>
                <w:vAlign w:val="bottom"/>
                <w:hideMark/>
              </w:tcPr>
              <w:p w14:paraId="29C339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0.0</w:t>
                </w:r>
              </w:p>
            </w:tc>
            <w:tc>
              <w:tcPr>
                <w:tcW w:w="662" w:type="dxa"/>
                <w:tcBorders>
                  <w:top w:val="nil"/>
                  <w:left w:val="nil"/>
                  <w:bottom w:val="nil"/>
                  <w:right w:val="nil"/>
                </w:tcBorders>
                <w:shd w:val="clear" w:color="auto" w:fill="CAE7F3" w:themeFill="accent1" w:themeFillTint="33"/>
                <w:noWrap/>
                <w:vAlign w:val="bottom"/>
                <w:hideMark/>
              </w:tcPr>
              <w:p w14:paraId="417DEBA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w:t>
                </w:r>
              </w:p>
            </w:tc>
            <w:tc>
              <w:tcPr>
                <w:tcW w:w="662" w:type="dxa"/>
                <w:tcBorders>
                  <w:top w:val="nil"/>
                  <w:left w:val="nil"/>
                  <w:bottom w:val="nil"/>
                  <w:right w:val="nil"/>
                </w:tcBorders>
                <w:shd w:val="clear" w:color="auto" w:fill="CAE7F3" w:themeFill="accent1" w:themeFillTint="33"/>
                <w:noWrap/>
                <w:vAlign w:val="bottom"/>
                <w:hideMark/>
              </w:tcPr>
              <w:p w14:paraId="16C71B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w:t>
                </w:r>
              </w:p>
            </w:tc>
            <w:tc>
              <w:tcPr>
                <w:tcW w:w="662" w:type="dxa"/>
                <w:tcBorders>
                  <w:top w:val="nil"/>
                  <w:left w:val="nil"/>
                  <w:bottom w:val="nil"/>
                  <w:right w:val="nil"/>
                </w:tcBorders>
                <w:shd w:val="clear" w:color="auto" w:fill="CAE7F3" w:themeFill="accent1" w:themeFillTint="33"/>
                <w:noWrap/>
                <w:vAlign w:val="bottom"/>
                <w:hideMark/>
              </w:tcPr>
              <w:p w14:paraId="6F7F53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top w:val="nil"/>
                  <w:left w:val="nil"/>
                  <w:bottom w:val="nil"/>
                  <w:right w:val="nil"/>
                </w:tcBorders>
                <w:shd w:val="clear" w:color="auto" w:fill="CAE7F3" w:themeFill="accent1" w:themeFillTint="33"/>
                <w:noWrap/>
                <w:vAlign w:val="bottom"/>
                <w:hideMark/>
              </w:tcPr>
              <w:p w14:paraId="02BF109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w:t>
                </w:r>
              </w:p>
            </w:tc>
          </w:tr>
          <w:tr w:rsidR="00830FDC" w:rsidRPr="00F63634" w14:paraId="40E301EF" w14:textId="77777777" w:rsidTr="00D0090A">
            <w:trPr>
              <w:trHeight w:val="225"/>
            </w:trPr>
            <w:tc>
              <w:tcPr>
                <w:tcW w:w="1460" w:type="dxa"/>
                <w:tcBorders>
                  <w:top w:val="nil"/>
                  <w:left w:val="nil"/>
                  <w:bottom w:val="single" w:sz="8" w:space="0" w:color="595A5B" w:themeColor="text1"/>
                  <w:right w:val="nil"/>
                </w:tcBorders>
                <w:shd w:val="clear" w:color="auto" w:fill="CAE7F3" w:themeFill="accent1" w:themeFillTint="33"/>
                <w:noWrap/>
                <w:vAlign w:val="bottom"/>
                <w:hideMark/>
              </w:tcPr>
              <w:p w14:paraId="7583FF4F"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West and North West</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63E66D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A023A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27D044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1197D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79EA6E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126.8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3193E8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25B08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4970C8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06D90B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48.3</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4F9A504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E07023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DED08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963F9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B57CB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26.5</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7213FB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03B356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218FC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38BA5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F5D7F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48.0</w:t>
                </w:r>
              </w:p>
            </w:tc>
          </w:tr>
          <w:tr w:rsidR="00830FDC" w:rsidRPr="009820E8" w14:paraId="037B57A8" w14:textId="77777777" w:rsidTr="00D0090A">
            <w:trPr>
              <w:trHeight w:val="225"/>
            </w:trPr>
            <w:tc>
              <w:tcPr>
                <w:tcW w:w="1460" w:type="dxa"/>
                <w:tcBorders>
                  <w:top w:val="single" w:sz="8" w:space="0" w:color="595A5B" w:themeColor="text1"/>
                  <w:left w:val="nil"/>
                  <w:right w:val="nil"/>
                </w:tcBorders>
                <w:shd w:val="clear" w:color="auto" w:fill="CAE7F3" w:themeFill="accent1" w:themeFillTint="33"/>
                <w:noWrap/>
                <w:vAlign w:val="bottom"/>
                <w:hideMark/>
              </w:tcPr>
              <w:p w14:paraId="5FCE0BDC"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Victoria</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7EA9CF2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3370.2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537E3D3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133.0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CFFBD5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2348.0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A0FF30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247.0</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00EAF20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12862.5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505440B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2796.3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4B42EF6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5186.5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1E7996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3879.5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0CF449A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4908.5</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12BB3C1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785.5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3FD8B8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6050.2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0DDE0C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5725.3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7B060BD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9372.8</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201ECA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3329.5</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0EDFEA7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333.5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F332C2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987.0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9329CB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3014.5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15B3785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1034.8</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11D7E1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2913.2</w:t>
                </w:r>
              </w:p>
            </w:tc>
          </w:tr>
          <w:tr w:rsidR="00830FDC" w:rsidRPr="00F63634" w14:paraId="3D40AA52" w14:textId="77777777" w:rsidTr="00D0090A">
            <w:trPr>
              <w:trHeight w:val="225"/>
            </w:trPr>
            <w:tc>
              <w:tcPr>
                <w:tcW w:w="1460" w:type="dxa"/>
                <w:tcBorders>
                  <w:left w:val="nil"/>
                  <w:bottom w:val="nil"/>
                  <w:right w:val="nil"/>
                </w:tcBorders>
                <w:shd w:val="clear" w:color="auto" w:fill="CAE7F3" w:themeFill="accent1" w:themeFillTint="33"/>
                <w:noWrap/>
                <w:vAlign w:val="bottom"/>
                <w:hideMark/>
              </w:tcPr>
              <w:p w14:paraId="2DDE81F4"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Ballarat</w:t>
                </w:r>
              </w:p>
            </w:tc>
            <w:tc>
              <w:tcPr>
                <w:tcW w:w="661" w:type="dxa"/>
                <w:tcBorders>
                  <w:left w:val="nil"/>
                  <w:bottom w:val="nil"/>
                  <w:right w:val="nil"/>
                </w:tcBorders>
                <w:shd w:val="clear" w:color="auto" w:fill="CAE7F3" w:themeFill="accent1" w:themeFillTint="33"/>
                <w:noWrap/>
                <w:vAlign w:val="bottom"/>
                <w:hideMark/>
              </w:tcPr>
              <w:p w14:paraId="4C2C30C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137.7</w:t>
                </w:r>
              </w:p>
            </w:tc>
            <w:tc>
              <w:tcPr>
                <w:tcW w:w="662" w:type="dxa"/>
                <w:tcBorders>
                  <w:left w:val="nil"/>
                  <w:bottom w:val="nil"/>
                  <w:right w:val="nil"/>
                </w:tcBorders>
                <w:shd w:val="clear" w:color="auto" w:fill="CAE7F3" w:themeFill="accent1" w:themeFillTint="33"/>
                <w:noWrap/>
                <w:vAlign w:val="bottom"/>
                <w:hideMark/>
              </w:tcPr>
              <w:p w14:paraId="5658128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left w:val="nil"/>
                  <w:bottom w:val="nil"/>
                  <w:right w:val="nil"/>
                </w:tcBorders>
                <w:shd w:val="clear" w:color="auto" w:fill="CAE7F3" w:themeFill="accent1" w:themeFillTint="33"/>
                <w:noWrap/>
                <w:vAlign w:val="bottom"/>
                <w:hideMark/>
              </w:tcPr>
              <w:p w14:paraId="0BCC26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57.0</w:t>
                </w:r>
              </w:p>
            </w:tc>
            <w:tc>
              <w:tcPr>
                <w:tcW w:w="662" w:type="dxa"/>
                <w:tcBorders>
                  <w:left w:val="nil"/>
                  <w:bottom w:val="nil"/>
                  <w:right w:val="nil"/>
                </w:tcBorders>
                <w:shd w:val="clear" w:color="auto" w:fill="CAE7F3" w:themeFill="accent1" w:themeFillTint="33"/>
                <w:noWrap/>
                <w:vAlign w:val="bottom"/>
                <w:hideMark/>
              </w:tcPr>
              <w:p w14:paraId="31F0CB9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w:t>
                </w:r>
              </w:p>
            </w:tc>
            <w:tc>
              <w:tcPr>
                <w:tcW w:w="661" w:type="dxa"/>
                <w:tcBorders>
                  <w:left w:val="nil"/>
                  <w:bottom w:val="nil"/>
                  <w:right w:val="nil"/>
                </w:tcBorders>
                <w:shd w:val="clear" w:color="auto" w:fill="CAE7F3" w:themeFill="accent1" w:themeFillTint="33"/>
                <w:noWrap/>
                <w:vAlign w:val="bottom"/>
                <w:hideMark/>
              </w:tcPr>
              <w:p w14:paraId="7DBE3E4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322.7</w:t>
                </w:r>
              </w:p>
            </w:tc>
            <w:tc>
              <w:tcPr>
                <w:tcW w:w="662" w:type="dxa"/>
                <w:tcBorders>
                  <w:left w:val="nil"/>
                  <w:bottom w:val="nil"/>
                  <w:right w:val="nil"/>
                </w:tcBorders>
                <w:shd w:val="clear" w:color="auto" w:fill="CAE7F3" w:themeFill="accent1" w:themeFillTint="33"/>
                <w:noWrap/>
                <w:vAlign w:val="bottom"/>
                <w:hideMark/>
              </w:tcPr>
              <w:p w14:paraId="0669453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36.3</w:t>
                </w:r>
              </w:p>
            </w:tc>
            <w:tc>
              <w:tcPr>
                <w:tcW w:w="662" w:type="dxa"/>
                <w:tcBorders>
                  <w:left w:val="nil"/>
                  <w:bottom w:val="nil"/>
                  <w:right w:val="nil"/>
                </w:tcBorders>
                <w:shd w:val="clear" w:color="auto" w:fill="CAE7F3" w:themeFill="accent1" w:themeFillTint="33"/>
                <w:noWrap/>
                <w:vAlign w:val="bottom"/>
                <w:hideMark/>
              </w:tcPr>
              <w:p w14:paraId="0F91848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97.5</w:t>
                </w:r>
              </w:p>
            </w:tc>
            <w:tc>
              <w:tcPr>
                <w:tcW w:w="662" w:type="dxa"/>
                <w:tcBorders>
                  <w:left w:val="nil"/>
                  <w:bottom w:val="nil"/>
                  <w:right w:val="nil"/>
                </w:tcBorders>
                <w:shd w:val="clear" w:color="auto" w:fill="CAE7F3" w:themeFill="accent1" w:themeFillTint="33"/>
                <w:noWrap/>
                <w:vAlign w:val="bottom"/>
                <w:hideMark/>
              </w:tcPr>
              <w:p w14:paraId="5C9633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80.8</w:t>
                </w:r>
              </w:p>
            </w:tc>
            <w:tc>
              <w:tcPr>
                <w:tcW w:w="662" w:type="dxa"/>
                <w:tcBorders>
                  <w:left w:val="nil"/>
                  <w:bottom w:val="nil"/>
                  <w:right w:val="nil"/>
                </w:tcBorders>
                <w:shd w:val="clear" w:color="auto" w:fill="CAE7F3" w:themeFill="accent1" w:themeFillTint="33"/>
                <w:noWrap/>
                <w:vAlign w:val="bottom"/>
                <w:hideMark/>
              </w:tcPr>
              <w:p w14:paraId="0948ED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86.3</w:t>
                </w:r>
              </w:p>
            </w:tc>
            <w:tc>
              <w:tcPr>
                <w:tcW w:w="661" w:type="dxa"/>
                <w:tcBorders>
                  <w:left w:val="nil"/>
                  <w:bottom w:val="nil"/>
                  <w:right w:val="nil"/>
                </w:tcBorders>
                <w:shd w:val="clear" w:color="auto" w:fill="CAE7F3" w:themeFill="accent1" w:themeFillTint="33"/>
                <w:noWrap/>
                <w:vAlign w:val="bottom"/>
                <w:hideMark/>
              </w:tcPr>
              <w:p w14:paraId="4DDC8F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w:t>
                </w:r>
              </w:p>
            </w:tc>
            <w:tc>
              <w:tcPr>
                <w:tcW w:w="662" w:type="dxa"/>
                <w:tcBorders>
                  <w:left w:val="nil"/>
                  <w:bottom w:val="nil"/>
                  <w:right w:val="nil"/>
                </w:tcBorders>
                <w:shd w:val="clear" w:color="auto" w:fill="CAE7F3" w:themeFill="accent1" w:themeFillTint="33"/>
                <w:noWrap/>
                <w:vAlign w:val="bottom"/>
                <w:hideMark/>
              </w:tcPr>
              <w:p w14:paraId="2188DBC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130.3</w:t>
                </w:r>
              </w:p>
            </w:tc>
            <w:tc>
              <w:tcPr>
                <w:tcW w:w="662" w:type="dxa"/>
                <w:tcBorders>
                  <w:left w:val="nil"/>
                  <w:bottom w:val="nil"/>
                  <w:right w:val="nil"/>
                </w:tcBorders>
                <w:shd w:val="clear" w:color="auto" w:fill="CAE7F3" w:themeFill="accent1" w:themeFillTint="33"/>
                <w:noWrap/>
                <w:vAlign w:val="bottom"/>
                <w:hideMark/>
              </w:tcPr>
              <w:p w14:paraId="1A64DC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113.0</w:t>
                </w:r>
              </w:p>
            </w:tc>
            <w:tc>
              <w:tcPr>
                <w:tcW w:w="662" w:type="dxa"/>
                <w:tcBorders>
                  <w:left w:val="nil"/>
                  <w:bottom w:val="nil"/>
                  <w:right w:val="nil"/>
                </w:tcBorders>
                <w:shd w:val="clear" w:color="auto" w:fill="CAE7F3" w:themeFill="accent1" w:themeFillTint="33"/>
                <w:noWrap/>
                <w:vAlign w:val="bottom"/>
                <w:hideMark/>
              </w:tcPr>
              <w:p w14:paraId="2A7B61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130.0</w:t>
                </w:r>
              </w:p>
            </w:tc>
            <w:tc>
              <w:tcPr>
                <w:tcW w:w="662" w:type="dxa"/>
                <w:tcBorders>
                  <w:left w:val="nil"/>
                  <w:bottom w:val="nil"/>
                  <w:right w:val="nil"/>
                </w:tcBorders>
                <w:shd w:val="clear" w:color="auto" w:fill="CAE7F3" w:themeFill="accent1" w:themeFillTint="33"/>
                <w:noWrap/>
                <w:vAlign w:val="bottom"/>
                <w:hideMark/>
              </w:tcPr>
              <w:p w14:paraId="5A641E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49.8</w:t>
                </w:r>
              </w:p>
            </w:tc>
            <w:tc>
              <w:tcPr>
                <w:tcW w:w="661" w:type="dxa"/>
                <w:tcBorders>
                  <w:left w:val="nil"/>
                  <w:bottom w:val="nil"/>
                  <w:right w:val="nil"/>
                </w:tcBorders>
                <w:shd w:val="clear" w:color="auto" w:fill="CAE7F3" w:themeFill="accent1" w:themeFillTint="33"/>
                <w:noWrap/>
                <w:vAlign w:val="bottom"/>
                <w:hideMark/>
              </w:tcPr>
              <w:p w14:paraId="4DF359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left w:val="nil"/>
                  <w:bottom w:val="nil"/>
                  <w:right w:val="nil"/>
                </w:tcBorders>
                <w:shd w:val="clear" w:color="auto" w:fill="CAE7F3" w:themeFill="accent1" w:themeFillTint="33"/>
                <w:noWrap/>
                <w:vAlign w:val="bottom"/>
                <w:hideMark/>
              </w:tcPr>
              <w:p w14:paraId="0BAB991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18.5</w:t>
                </w:r>
              </w:p>
            </w:tc>
            <w:tc>
              <w:tcPr>
                <w:tcW w:w="662" w:type="dxa"/>
                <w:tcBorders>
                  <w:left w:val="nil"/>
                  <w:bottom w:val="nil"/>
                  <w:right w:val="nil"/>
                </w:tcBorders>
                <w:shd w:val="clear" w:color="auto" w:fill="CAE7F3" w:themeFill="accent1" w:themeFillTint="33"/>
                <w:noWrap/>
                <w:vAlign w:val="bottom"/>
                <w:hideMark/>
              </w:tcPr>
              <w:p w14:paraId="511DEE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64.8</w:t>
                </w:r>
              </w:p>
            </w:tc>
            <w:tc>
              <w:tcPr>
                <w:tcW w:w="662" w:type="dxa"/>
                <w:tcBorders>
                  <w:left w:val="nil"/>
                  <w:bottom w:val="nil"/>
                  <w:right w:val="nil"/>
                </w:tcBorders>
                <w:shd w:val="clear" w:color="auto" w:fill="CAE7F3" w:themeFill="accent1" w:themeFillTint="33"/>
                <w:noWrap/>
                <w:vAlign w:val="bottom"/>
                <w:hideMark/>
              </w:tcPr>
              <w:p w14:paraId="0452FC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23.5</w:t>
                </w:r>
              </w:p>
            </w:tc>
            <w:tc>
              <w:tcPr>
                <w:tcW w:w="662" w:type="dxa"/>
                <w:tcBorders>
                  <w:left w:val="nil"/>
                  <w:bottom w:val="nil"/>
                  <w:right w:val="nil"/>
                </w:tcBorders>
                <w:shd w:val="clear" w:color="auto" w:fill="CAE7F3" w:themeFill="accent1" w:themeFillTint="33"/>
                <w:noWrap/>
                <w:vAlign w:val="bottom"/>
                <w:hideMark/>
              </w:tcPr>
              <w:p w14:paraId="7E9BE2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66.8</w:t>
                </w:r>
              </w:p>
            </w:tc>
          </w:tr>
          <w:tr w:rsidR="00830FDC" w:rsidRPr="00F63634" w14:paraId="2F9CAD2E"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74D2DAD6"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Bendigo</w:t>
                </w:r>
              </w:p>
            </w:tc>
            <w:tc>
              <w:tcPr>
                <w:tcW w:w="661" w:type="dxa"/>
                <w:tcBorders>
                  <w:top w:val="nil"/>
                  <w:left w:val="nil"/>
                  <w:bottom w:val="nil"/>
                  <w:right w:val="nil"/>
                </w:tcBorders>
                <w:shd w:val="clear" w:color="auto" w:fill="CAE7F3" w:themeFill="accent1" w:themeFillTint="33"/>
                <w:noWrap/>
                <w:vAlign w:val="bottom"/>
                <w:hideMark/>
              </w:tcPr>
              <w:p w14:paraId="582235C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130.5</w:t>
                </w:r>
              </w:p>
            </w:tc>
            <w:tc>
              <w:tcPr>
                <w:tcW w:w="662" w:type="dxa"/>
                <w:tcBorders>
                  <w:top w:val="nil"/>
                  <w:left w:val="nil"/>
                  <w:bottom w:val="nil"/>
                  <w:right w:val="nil"/>
                </w:tcBorders>
                <w:shd w:val="clear" w:color="auto" w:fill="CAE7F3" w:themeFill="accent1" w:themeFillTint="33"/>
                <w:noWrap/>
                <w:vAlign w:val="bottom"/>
                <w:hideMark/>
              </w:tcPr>
              <w:p w14:paraId="3376252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w:t>
                </w:r>
              </w:p>
            </w:tc>
            <w:tc>
              <w:tcPr>
                <w:tcW w:w="662" w:type="dxa"/>
                <w:tcBorders>
                  <w:top w:val="nil"/>
                  <w:left w:val="nil"/>
                  <w:bottom w:val="nil"/>
                  <w:right w:val="nil"/>
                </w:tcBorders>
                <w:shd w:val="clear" w:color="auto" w:fill="CAE7F3" w:themeFill="accent1" w:themeFillTint="33"/>
                <w:noWrap/>
                <w:vAlign w:val="bottom"/>
                <w:hideMark/>
              </w:tcPr>
              <w:p w14:paraId="567D22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48.8</w:t>
                </w:r>
              </w:p>
            </w:tc>
            <w:tc>
              <w:tcPr>
                <w:tcW w:w="662" w:type="dxa"/>
                <w:tcBorders>
                  <w:top w:val="nil"/>
                  <w:left w:val="nil"/>
                  <w:bottom w:val="nil"/>
                  <w:right w:val="nil"/>
                </w:tcBorders>
                <w:shd w:val="clear" w:color="auto" w:fill="CAE7F3" w:themeFill="accent1" w:themeFillTint="33"/>
                <w:noWrap/>
                <w:vAlign w:val="bottom"/>
                <w:hideMark/>
              </w:tcPr>
              <w:p w14:paraId="19993C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1" w:type="dxa"/>
                <w:tcBorders>
                  <w:top w:val="nil"/>
                  <w:left w:val="nil"/>
                  <w:bottom w:val="nil"/>
                  <w:right w:val="nil"/>
                </w:tcBorders>
                <w:shd w:val="clear" w:color="auto" w:fill="CAE7F3" w:themeFill="accent1" w:themeFillTint="33"/>
                <w:noWrap/>
                <w:vAlign w:val="bottom"/>
                <w:hideMark/>
              </w:tcPr>
              <w:p w14:paraId="26BDC4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267.0</w:t>
                </w:r>
              </w:p>
            </w:tc>
            <w:tc>
              <w:tcPr>
                <w:tcW w:w="662" w:type="dxa"/>
                <w:tcBorders>
                  <w:top w:val="nil"/>
                  <w:left w:val="nil"/>
                  <w:bottom w:val="nil"/>
                  <w:right w:val="nil"/>
                </w:tcBorders>
                <w:shd w:val="clear" w:color="auto" w:fill="CAE7F3" w:themeFill="accent1" w:themeFillTint="33"/>
                <w:noWrap/>
                <w:vAlign w:val="bottom"/>
                <w:hideMark/>
              </w:tcPr>
              <w:p w14:paraId="5938DD7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35.7</w:t>
                </w:r>
              </w:p>
            </w:tc>
            <w:tc>
              <w:tcPr>
                <w:tcW w:w="662" w:type="dxa"/>
                <w:tcBorders>
                  <w:top w:val="nil"/>
                  <w:left w:val="nil"/>
                  <w:bottom w:val="nil"/>
                  <w:right w:val="nil"/>
                </w:tcBorders>
                <w:shd w:val="clear" w:color="auto" w:fill="CAE7F3" w:themeFill="accent1" w:themeFillTint="33"/>
                <w:noWrap/>
                <w:vAlign w:val="bottom"/>
                <w:hideMark/>
              </w:tcPr>
              <w:p w14:paraId="7594F3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102.0</w:t>
                </w:r>
              </w:p>
            </w:tc>
            <w:tc>
              <w:tcPr>
                <w:tcW w:w="662" w:type="dxa"/>
                <w:tcBorders>
                  <w:top w:val="nil"/>
                  <w:left w:val="nil"/>
                  <w:bottom w:val="nil"/>
                  <w:right w:val="nil"/>
                </w:tcBorders>
                <w:shd w:val="clear" w:color="auto" w:fill="CAE7F3" w:themeFill="accent1" w:themeFillTint="33"/>
                <w:noWrap/>
                <w:vAlign w:val="bottom"/>
                <w:hideMark/>
              </w:tcPr>
              <w:p w14:paraId="6E4E441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75.3</w:t>
                </w:r>
              </w:p>
            </w:tc>
            <w:tc>
              <w:tcPr>
                <w:tcW w:w="662" w:type="dxa"/>
                <w:tcBorders>
                  <w:top w:val="nil"/>
                  <w:left w:val="nil"/>
                  <w:bottom w:val="nil"/>
                  <w:right w:val="nil"/>
                </w:tcBorders>
                <w:shd w:val="clear" w:color="auto" w:fill="CAE7F3" w:themeFill="accent1" w:themeFillTint="33"/>
                <w:noWrap/>
                <w:vAlign w:val="bottom"/>
                <w:hideMark/>
              </w:tcPr>
              <w:p w14:paraId="4B9761C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66.5</w:t>
                </w:r>
              </w:p>
            </w:tc>
            <w:tc>
              <w:tcPr>
                <w:tcW w:w="661" w:type="dxa"/>
                <w:tcBorders>
                  <w:top w:val="nil"/>
                  <w:left w:val="nil"/>
                  <w:bottom w:val="nil"/>
                  <w:right w:val="nil"/>
                </w:tcBorders>
                <w:shd w:val="clear" w:color="auto" w:fill="CAE7F3" w:themeFill="accent1" w:themeFillTint="33"/>
                <w:noWrap/>
                <w:vAlign w:val="bottom"/>
                <w:hideMark/>
              </w:tcPr>
              <w:p w14:paraId="098DE78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11.3</w:t>
                </w:r>
              </w:p>
            </w:tc>
            <w:tc>
              <w:tcPr>
                <w:tcW w:w="662" w:type="dxa"/>
                <w:tcBorders>
                  <w:top w:val="nil"/>
                  <w:left w:val="nil"/>
                  <w:bottom w:val="nil"/>
                  <w:right w:val="nil"/>
                </w:tcBorders>
                <w:shd w:val="clear" w:color="auto" w:fill="CAE7F3" w:themeFill="accent1" w:themeFillTint="33"/>
                <w:noWrap/>
                <w:vAlign w:val="bottom"/>
                <w:hideMark/>
              </w:tcPr>
              <w:p w14:paraId="23F80B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88.5</w:t>
                </w:r>
              </w:p>
            </w:tc>
            <w:tc>
              <w:tcPr>
                <w:tcW w:w="662" w:type="dxa"/>
                <w:tcBorders>
                  <w:top w:val="nil"/>
                  <w:left w:val="nil"/>
                  <w:bottom w:val="nil"/>
                  <w:right w:val="nil"/>
                </w:tcBorders>
                <w:shd w:val="clear" w:color="auto" w:fill="CAE7F3" w:themeFill="accent1" w:themeFillTint="33"/>
                <w:noWrap/>
                <w:vAlign w:val="bottom"/>
                <w:hideMark/>
              </w:tcPr>
              <w:p w14:paraId="7DE39E7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89.2</w:t>
                </w:r>
              </w:p>
            </w:tc>
            <w:tc>
              <w:tcPr>
                <w:tcW w:w="662" w:type="dxa"/>
                <w:tcBorders>
                  <w:top w:val="nil"/>
                  <w:left w:val="nil"/>
                  <w:bottom w:val="nil"/>
                  <w:right w:val="nil"/>
                </w:tcBorders>
                <w:shd w:val="clear" w:color="auto" w:fill="CAE7F3" w:themeFill="accent1" w:themeFillTint="33"/>
                <w:noWrap/>
                <w:vAlign w:val="bottom"/>
                <w:hideMark/>
              </w:tcPr>
              <w:p w14:paraId="2043402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136.0</w:t>
                </w:r>
              </w:p>
            </w:tc>
            <w:tc>
              <w:tcPr>
                <w:tcW w:w="662" w:type="dxa"/>
                <w:tcBorders>
                  <w:top w:val="nil"/>
                  <w:left w:val="nil"/>
                  <w:bottom w:val="nil"/>
                  <w:right w:val="nil"/>
                </w:tcBorders>
                <w:shd w:val="clear" w:color="auto" w:fill="CAE7F3" w:themeFill="accent1" w:themeFillTint="33"/>
                <w:noWrap/>
                <w:vAlign w:val="bottom"/>
                <w:hideMark/>
              </w:tcPr>
              <w:p w14:paraId="4F00FA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45.5</w:t>
                </w:r>
              </w:p>
            </w:tc>
            <w:tc>
              <w:tcPr>
                <w:tcW w:w="661" w:type="dxa"/>
                <w:tcBorders>
                  <w:top w:val="nil"/>
                  <w:left w:val="nil"/>
                  <w:bottom w:val="nil"/>
                  <w:right w:val="nil"/>
                </w:tcBorders>
                <w:shd w:val="clear" w:color="auto" w:fill="CAE7F3" w:themeFill="accent1" w:themeFillTint="33"/>
                <w:noWrap/>
                <w:vAlign w:val="bottom"/>
                <w:hideMark/>
              </w:tcPr>
              <w:p w14:paraId="73A9F8E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w:t>
                </w:r>
              </w:p>
            </w:tc>
            <w:tc>
              <w:tcPr>
                <w:tcW w:w="662" w:type="dxa"/>
                <w:tcBorders>
                  <w:top w:val="nil"/>
                  <w:left w:val="nil"/>
                  <w:bottom w:val="nil"/>
                  <w:right w:val="nil"/>
                </w:tcBorders>
                <w:shd w:val="clear" w:color="auto" w:fill="CAE7F3" w:themeFill="accent1" w:themeFillTint="33"/>
                <w:noWrap/>
                <w:vAlign w:val="bottom"/>
                <w:hideMark/>
              </w:tcPr>
              <w:p w14:paraId="5ABDAD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19.5</w:t>
                </w:r>
              </w:p>
            </w:tc>
            <w:tc>
              <w:tcPr>
                <w:tcW w:w="662" w:type="dxa"/>
                <w:tcBorders>
                  <w:top w:val="nil"/>
                  <w:left w:val="nil"/>
                  <w:bottom w:val="nil"/>
                  <w:right w:val="nil"/>
                </w:tcBorders>
                <w:shd w:val="clear" w:color="auto" w:fill="CAE7F3" w:themeFill="accent1" w:themeFillTint="33"/>
                <w:noWrap/>
                <w:vAlign w:val="bottom"/>
                <w:hideMark/>
              </w:tcPr>
              <w:p w14:paraId="39AF1E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54.3</w:t>
                </w:r>
              </w:p>
            </w:tc>
            <w:tc>
              <w:tcPr>
                <w:tcW w:w="662" w:type="dxa"/>
                <w:tcBorders>
                  <w:top w:val="nil"/>
                  <w:left w:val="nil"/>
                  <w:bottom w:val="nil"/>
                  <w:right w:val="nil"/>
                </w:tcBorders>
                <w:shd w:val="clear" w:color="auto" w:fill="CAE7F3" w:themeFill="accent1" w:themeFillTint="33"/>
                <w:noWrap/>
                <w:vAlign w:val="bottom"/>
                <w:hideMark/>
              </w:tcPr>
              <w:p w14:paraId="0E2084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23.0</w:t>
                </w:r>
              </w:p>
            </w:tc>
            <w:tc>
              <w:tcPr>
                <w:tcW w:w="662" w:type="dxa"/>
                <w:tcBorders>
                  <w:top w:val="nil"/>
                  <w:left w:val="nil"/>
                  <w:bottom w:val="nil"/>
                  <w:right w:val="nil"/>
                </w:tcBorders>
                <w:shd w:val="clear" w:color="auto" w:fill="CAE7F3" w:themeFill="accent1" w:themeFillTint="33"/>
                <w:noWrap/>
                <w:vAlign w:val="bottom"/>
                <w:hideMark/>
              </w:tcPr>
              <w:p w14:paraId="10873F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64.0</w:t>
                </w:r>
              </w:p>
            </w:tc>
          </w:tr>
          <w:tr w:rsidR="00830FDC" w:rsidRPr="00F63634" w14:paraId="214EAF04"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28AC8BB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Geelong</w:t>
                </w:r>
              </w:p>
            </w:tc>
            <w:tc>
              <w:tcPr>
                <w:tcW w:w="661" w:type="dxa"/>
                <w:tcBorders>
                  <w:top w:val="nil"/>
                  <w:left w:val="nil"/>
                  <w:bottom w:val="nil"/>
                  <w:right w:val="nil"/>
                </w:tcBorders>
                <w:shd w:val="clear" w:color="auto" w:fill="CAE7F3" w:themeFill="accent1" w:themeFillTint="33"/>
                <w:noWrap/>
                <w:vAlign w:val="bottom"/>
                <w:hideMark/>
              </w:tcPr>
              <w:p w14:paraId="7E78A25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119.0</w:t>
                </w:r>
              </w:p>
            </w:tc>
            <w:tc>
              <w:tcPr>
                <w:tcW w:w="662" w:type="dxa"/>
                <w:tcBorders>
                  <w:top w:val="nil"/>
                  <w:left w:val="nil"/>
                  <w:bottom w:val="nil"/>
                  <w:right w:val="nil"/>
                </w:tcBorders>
                <w:shd w:val="clear" w:color="auto" w:fill="CAE7F3" w:themeFill="accent1" w:themeFillTint="33"/>
                <w:noWrap/>
                <w:vAlign w:val="bottom"/>
                <w:hideMark/>
              </w:tcPr>
              <w:p w14:paraId="74F848D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740FD9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89.3</w:t>
                </w:r>
              </w:p>
            </w:tc>
            <w:tc>
              <w:tcPr>
                <w:tcW w:w="662" w:type="dxa"/>
                <w:tcBorders>
                  <w:top w:val="nil"/>
                  <w:left w:val="nil"/>
                  <w:bottom w:val="nil"/>
                  <w:right w:val="nil"/>
                </w:tcBorders>
                <w:shd w:val="clear" w:color="auto" w:fill="CAE7F3" w:themeFill="accent1" w:themeFillTint="33"/>
                <w:noWrap/>
                <w:vAlign w:val="bottom"/>
                <w:hideMark/>
              </w:tcPr>
              <w:p w14:paraId="1F13B7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w:t>
                </w:r>
              </w:p>
            </w:tc>
            <w:tc>
              <w:tcPr>
                <w:tcW w:w="661" w:type="dxa"/>
                <w:tcBorders>
                  <w:top w:val="nil"/>
                  <w:left w:val="nil"/>
                  <w:bottom w:val="nil"/>
                  <w:right w:val="nil"/>
                </w:tcBorders>
                <w:shd w:val="clear" w:color="auto" w:fill="CAE7F3" w:themeFill="accent1" w:themeFillTint="33"/>
                <w:noWrap/>
                <w:vAlign w:val="bottom"/>
                <w:hideMark/>
              </w:tcPr>
              <w:p w14:paraId="5271CD2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590.2</w:t>
                </w:r>
              </w:p>
            </w:tc>
            <w:tc>
              <w:tcPr>
                <w:tcW w:w="662" w:type="dxa"/>
                <w:tcBorders>
                  <w:top w:val="nil"/>
                  <w:left w:val="nil"/>
                  <w:bottom w:val="nil"/>
                  <w:right w:val="nil"/>
                </w:tcBorders>
                <w:shd w:val="clear" w:color="auto" w:fill="CAE7F3" w:themeFill="accent1" w:themeFillTint="33"/>
                <w:noWrap/>
                <w:vAlign w:val="bottom"/>
                <w:hideMark/>
              </w:tcPr>
              <w:p w14:paraId="72D866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64.5</w:t>
                </w:r>
              </w:p>
            </w:tc>
            <w:tc>
              <w:tcPr>
                <w:tcW w:w="662" w:type="dxa"/>
                <w:tcBorders>
                  <w:top w:val="nil"/>
                  <w:left w:val="nil"/>
                  <w:bottom w:val="nil"/>
                  <w:right w:val="nil"/>
                </w:tcBorders>
                <w:shd w:val="clear" w:color="auto" w:fill="CAE7F3" w:themeFill="accent1" w:themeFillTint="33"/>
                <w:noWrap/>
                <w:vAlign w:val="bottom"/>
                <w:hideMark/>
              </w:tcPr>
              <w:p w14:paraId="72E3F6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188.5</w:t>
                </w:r>
              </w:p>
            </w:tc>
            <w:tc>
              <w:tcPr>
                <w:tcW w:w="662" w:type="dxa"/>
                <w:tcBorders>
                  <w:top w:val="nil"/>
                  <w:left w:val="nil"/>
                  <w:bottom w:val="nil"/>
                  <w:right w:val="nil"/>
                </w:tcBorders>
                <w:shd w:val="clear" w:color="auto" w:fill="CAE7F3" w:themeFill="accent1" w:themeFillTint="33"/>
                <w:noWrap/>
                <w:vAlign w:val="bottom"/>
                <w:hideMark/>
              </w:tcPr>
              <w:p w14:paraId="2E77A29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151.0</w:t>
                </w:r>
              </w:p>
            </w:tc>
            <w:tc>
              <w:tcPr>
                <w:tcW w:w="662" w:type="dxa"/>
                <w:tcBorders>
                  <w:top w:val="nil"/>
                  <w:left w:val="nil"/>
                  <w:bottom w:val="nil"/>
                  <w:right w:val="nil"/>
                </w:tcBorders>
                <w:shd w:val="clear" w:color="auto" w:fill="CAE7F3" w:themeFill="accent1" w:themeFillTint="33"/>
                <w:noWrap/>
                <w:vAlign w:val="bottom"/>
                <w:hideMark/>
              </w:tcPr>
              <w:p w14:paraId="3EA593C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136.2</w:t>
                </w:r>
              </w:p>
            </w:tc>
            <w:tc>
              <w:tcPr>
                <w:tcW w:w="661" w:type="dxa"/>
                <w:tcBorders>
                  <w:top w:val="nil"/>
                  <w:left w:val="nil"/>
                  <w:bottom w:val="nil"/>
                  <w:right w:val="nil"/>
                </w:tcBorders>
                <w:shd w:val="clear" w:color="auto" w:fill="CAE7F3" w:themeFill="accent1" w:themeFillTint="33"/>
                <w:noWrap/>
                <w:vAlign w:val="bottom"/>
                <w:hideMark/>
              </w:tcPr>
              <w:p w14:paraId="7123557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18.7</w:t>
                </w:r>
              </w:p>
            </w:tc>
            <w:tc>
              <w:tcPr>
                <w:tcW w:w="662" w:type="dxa"/>
                <w:tcBorders>
                  <w:top w:val="nil"/>
                  <w:left w:val="nil"/>
                  <w:bottom w:val="nil"/>
                  <w:right w:val="nil"/>
                </w:tcBorders>
                <w:shd w:val="clear" w:color="auto" w:fill="CAE7F3" w:themeFill="accent1" w:themeFillTint="33"/>
                <w:noWrap/>
                <w:vAlign w:val="bottom"/>
                <w:hideMark/>
              </w:tcPr>
              <w:p w14:paraId="7391BE9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203.2</w:t>
                </w:r>
              </w:p>
            </w:tc>
            <w:tc>
              <w:tcPr>
                <w:tcW w:w="662" w:type="dxa"/>
                <w:tcBorders>
                  <w:top w:val="nil"/>
                  <w:left w:val="nil"/>
                  <w:bottom w:val="nil"/>
                  <w:right w:val="nil"/>
                </w:tcBorders>
                <w:shd w:val="clear" w:color="auto" w:fill="CAE7F3" w:themeFill="accent1" w:themeFillTint="33"/>
                <w:noWrap/>
                <w:vAlign w:val="bottom"/>
                <w:hideMark/>
              </w:tcPr>
              <w:p w14:paraId="3948BDE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223.3</w:t>
                </w:r>
              </w:p>
            </w:tc>
            <w:tc>
              <w:tcPr>
                <w:tcW w:w="662" w:type="dxa"/>
                <w:tcBorders>
                  <w:top w:val="nil"/>
                  <w:left w:val="nil"/>
                  <w:bottom w:val="nil"/>
                  <w:right w:val="nil"/>
                </w:tcBorders>
                <w:shd w:val="clear" w:color="auto" w:fill="CAE7F3" w:themeFill="accent1" w:themeFillTint="33"/>
                <w:noWrap/>
                <w:vAlign w:val="bottom"/>
                <w:hideMark/>
              </w:tcPr>
              <w:p w14:paraId="36A94E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284.5</w:t>
                </w:r>
              </w:p>
            </w:tc>
            <w:tc>
              <w:tcPr>
                <w:tcW w:w="662" w:type="dxa"/>
                <w:tcBorders>
                  <w:top w:val="nil"/>
                  <w:left w:val="nil"/>
                  <w:bottom w:val="nil"/>
                  <w:right w:val="nil"/>
                </w:tcBorders>
                <w:shd w:val="clear" w:color="auto" w:fill="CAE7F3" w:themeFill="accent1" w:themeFillTint="33"/>
                <w:noWrap/>
                <w:vAlign w:val="bottom"/>
                <w:hideMark/>
              </w:tcPr>
              <w:p w14:paraId="183B6EC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96.5</w:t>
                </w:r>
              </w:p>
            </w:tc>
            <w:tc>
              <w:tcPr>
                <w:tcW w:w="661" w:type="dxa"/>
                <w:tcBorders>
                  <w:top w:val="nil"/>
                  <w:left w:val="nil"/>
                  <w:bottom w:val="nil"/>
                  <w:right w:val="nil"/>
                </w:tcBorders>
                <w:shd w:val="clear" w:color="auto" w:fill="CAE7F3" w:themeFill="accent1" w:themeFillTint="33"/>
                <w:noWrap/>
                <w:vAlign w:val="bottom"/>
                <w:hideMark/>
              </w:tcPr>
              <w:p w14:paraId="3B15A9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w:t>
                </w:r>
              </w:p>
            </w:tc>
            <w:tc>
              <w:tcPr>
                <w:tcW w:w="662" w:type="dxa"/>
                <w:tcBorders>
                  <w:top w:val="nil"/>
                  <w:left w:val="nil"/>
                  <w:bottom w:val="nil"/>
                  <w:right w:val="nil"/>
                </w:tcBorders>
                <w:shd w:val="clear" w:color="auto" w:fill="CAE7F3" w:themeFill="accent1" w:themeFillTint="33"/>
                <w:noWrap/>
                <w:vAlign w:val="bottom"/>
                <w:hideMark/>
              </w:tcPr>
              <w:p w14:paraId="491EF6D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36.5</w:t>
                </w:r>
              </w:p>
            </w:tc>
            <w:tc>
              <w:tcPr>
                <w:tcW w:w="662" w:type="dxa"/>
                <w:tcBorders>
                  <w:top w:val="nil"/>
                  <w:left w:val="nil"/>
                  <w:bottom w:val="nil"/>
                  <w:right w:val="nil"/>
                </w:tcBorders>
                <w:shd w:val="clear" w:color="auto" w:fill="CAE7F3" w:themeFill="accent1" w:themeFillTint="33"/>
                <w:noWrap/>
                <w:vAlign w:val="bottom"/>
                <w:hideMark/>
              </w:tcPr>
              <w:p w14:paraId="43F024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120.7</w:t>
                </w:r>
              </w:p>
            </w:tc>
            <w:tc>
              <w:tcPr>
                <w:tcW w:w="662" w:type="dxa"/>
                <w:tcBorders>
                  <w:top w:val="nil"/>
                  <w:left w:val="nil"/>
                  <w:bottom w:val="nil"/>
                  <w:right w:val="nil"/>
                </w:tcBorders>
                <w:shd w:val="clear" w:color="auto" w:fill="CAE7F3" w:themeFill="accent1" w:themeFillTint="33"/>
                <w:noWrap/>
                <w:vAlign w:val="bottom"/>
                <w:hideMark/>
              </w:tcPr>
              <w:p w14:paraId="6EB1EAF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42.3</w:t>
                </w:r>
              </w:p>
            </w:tc>
            <w:tc>
              <w:tcPr>
                <w:tcW w:w="662" w:type="dxa"/>
                <w:tcBorders>
                  <w:top w:val="nil"/>
                  <w:left w:val="nil"/>
                  <w:bottom w:val="nil"/>
                  <w:right w:val="nil"/>
                </w:tcBorders>
                <w:shd w:val="clear" w:color="auto" w:fill="CAE7F3" w:themeFill="accent1" w:themeFillTint="33"/>
                <w:noWrap/>
                <w:vAlign w:val="bottom"/>
                <w:hideMark/>
              </w:tcPr>
              <w:p w14:paraId="3A8F2A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115.3</w:t>
                </w:r>
              </w:p>
            </w:tc>
          </w:tr>
          <w:tr w:rsidR="00830FDC" w:rsidRPr="00F63634" w14:paraId="1EEBCFEB" w14:textId="77777777" w:rsidTr="00D0090A">
            <w:trPr>
              <w:trHeight w:val="225"/>
            </w:trPr>
            <w:tc>
              <w:tcPr>
                <w:tcW w:w="1460" w:type="dxa"/>
                <w:tcBorders>
                  <w:top w:val="nil"/>
                  <w:left w:val="nil"/>
                  <w:bottom w:val="nil"/>
                  <w:right w:val="nil"/>
                </w:tcBorders>
                <w:shd w:val="clear" w:color="auto" w:fill="CAE7F3" w:themeFill="accent1" w:themeFillTint="33"/>
                <w:noWrap/>
                <w:vAlign w:val="bottom"/>
                <w:hideMark/>
              </w:tcPr>
              <w:p w14:paraId="629CED30"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Hume</w:t>
                </w:r>
              </w:p>
            </w:tc>
            <w:tc>
              <w:tcPr>
                <w:tcW w:w="661" w:type="dxa"/>
                <w:tcBorders>
                  <w:top w:val="nil"/>
                  <w:left w:val="nil"/>
                  <w:bottom w:val="nil"/>
                  <w:right w:val="nil"/>
                </w:tcBorders>
                <w:shd w:val="clear" w:color="auto" w:fill="CAE7F3" w:themeFill="accent1" w:themeFillTint="33"/>
                <w:noWrap/>
                <w:vAlign w:val="bottom"/>
                <w:hideMark/>
              </w:tcPr>
              <w:p w14:paraId="394448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320.0</w:t>
                </w:r>
              </w:p>
            </w:tc>
            <w:tc>
              <w:tcPr>
                <w:tcW w:w="662" w:type="dxa"/>
                <w:tcBorders>
                  <w:top w:val="nil"/>
                  <w:left w:val="nil"/>
                  <w:bottom w:val="nil"/>
                  <w:right w:val="nil"/>
                </w:tcBorders>
                <w:shd w:val="clear" w:color="auto" w:fill="CAE7F3" w:themeFill="accent1" w:themeFillTint="33"/>
                <w:noWrap/>
                <w:vAlign w:val="bottom"/>
                <w:hideMark/>
              </w:tcPr>
              <w:p w14:paraId="0B944B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w:t>
                </w:r>
              </w:p>
            </w:tc>
            <w:tc>
              <w:tcPr>
                <w:tcW w:w="662" w:type="dxa"/>
                <w:tcBorders>
                  <w:top w:val="nil"/>
                  <w:left w:val="nil"/>
                  <w:bottom w:val="nil"/>
                  <w:right w:val="nil"/>
                </w:tcBorders>
                <w:shd w:val="clear" w:color="auto" w:fill="CAE7F3" w:themeFill="accent1" w:themeFillTint="33"/>
                <w:noWrap/>
                <w:vAlign w:val="bottom"/>
                <w:hideMark/>
              </w:tcPr>
              <w:p w14:paraId="531CFF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65.0</w:t>
                </w:r>
              </w:p>
            </w:tc>
            <w:tc>
              <w:tcPr>
                <w:tcW w:w="662" w:type="dxa"/>
                <w:tcBorders>
                  <w:top w:val="nil"/>
                  <w:left w:val="nil"/>
                  <w:bottom w:val="nil"/>
                  <w:right w:val="nil"/>
                </w:tcBorders>
                <w:shd w:val="clear" w:color="auto" w:fill="CAE7F3" w:themeFill="accent1" w:themeFillTint="33"/>
                <w:noWrap/>
                <w:vAlign w:val="bottom"/>
                <w:hideMark/>
              </w:tcPr>
              <w:p w14:paraId="1A74CA5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w:t>
                </w:r>
              </w:p>
            </w:tc>
            <w:tc>
              <w:tcPr>
                <w:tcW w:w="661" w:type="dxa"/>
                <w:tcBorders>
                  <w:top w:val="nil"/>
                  <w:left w:val="nil"/>
                  <w:bottom w:val="nil"/>
                  <w:right w:val="nil"/>
                </w:tcBorders>
                <w:shd w:val="clear" w:color="auto" w:fill="CAE7F3" w:themeFill="accent1" w:themeFillTint="33"/>
                <w:noWrap/>
                <w:vAlign w:val="bottom"/>
                <w:hideMark/>
              </w:tcPr>
              <w:p w14:paraId="0D824EC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314.3</w:t>
                </w:r>
              </w:p>
            </w:tc>
            <w:tc>
              <w:tcPr>
                <w:tcW w:w="662" w:type="dxa"/>
                <w:tcBorders>
                  <w:top w:val="nil"/>
                  <w:left w:val="nil"/>
                  <w:bottom w:val="nil"/>
                  <w:right w:val="nil"/>
                </w:tcBorders>
                <w:shd w:val="clear" w:color="auto" w:fill="CAE7F3" w:themeFill="accent1" w:themeFillTint="33"/>
                <w:noWrap/>
                <w:vAlign w:val="bottom"/>
                <w:hideMark/>
              </w:tcPr>
              <w:p w14:paraId="5B1521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38.7</w:t>
                </w:r>
              </w:p>
            </w:tc>
            <w:tc>
              <w:tcPr>
                <w:tcW w:w="662" w:type="dxa"/>
                <w:tcBorders>
                  <w:top w:val="nil"/>
                  <w:left w:val="nil"/>
                  <w:bottom w:val="nil"/>
                  <w:right w:val="nil"/>
                </w:tcBorders>
                <w:shd w:val="clear" w:color="auto" w:fill="CAE7F3" w:themeFill="accent1" w:themeFillTint="33"/>
                <w:noWrap/>
                <w:vAlign w:val="bottom"/>
                <w:hideMark/>
              </w:tcPr>
              <w:p w14:paraId="54BF8D5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105.0</w:t>
                </w:r>
              </w:p>
            </w:tc>
            <w:tc>
              <w:tcPr>
                <w:tcW w:w="662" w:type="dxa"/>
                <w:tcBorders>
                  <w:top w:val="nil"/>
                  <w:left w:val="nil"/>
                  <w:bottom w:val="nil"/>
                  <w:right w:val="nil"/>
                </w:tcBorders>
                <w:shd w:val="clear" w:color="auto" w:fill="CAE7F3" w:themeFill="accent1" w:themeFillTint="33"/>
                <w:noWrap/>
                <w:vAlign w:val="bottom"/>
                <w:hideMark/>
              </w:tcPr>
              <w:p w14:paraId="539D4B5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116.3</w:t>
                </w:r>
              </w:p>
            </w:tc>
            <w:tc>
              <w:tcPr>
                <w:tcW w:w="662" w:type="dxa"/>
                <w:tcBorders>
                  <w:top w:val="nil"/>
                  <w:left w:val="nil"/>
                  <w:bottom w:val="nil"/>
                  <w:right w:val="nil"/>
                </w:tcBorders>
                <w:shd w:val="clear" w:color="auto" w:fill="CAE7F3" w:themeFill="accent1" w:themeFillTint="33"/>
                <w:noWrap/>
                <w:vAlign w:val="bottom"/>
                <w:hideMark/>
              </w:tcPr>
              <w:p w14:paraId="545F5C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99.3</w:t>
                </w:r>
              </w:p>
            </w:tc>
            <w:tc>
              <w:tcPr>
                <w:tcW w:w="661" w:type="dxa"/>
                <w:tcBorders>
                  <w:top w:val="nil"/>
                  <w:left w:val="nil"/>
                  <w:bottom w:val="nil"/>
                  <w:right w:val="nil"/>
                </w:tcBorders>
                <w:shd w:val="clear" w:color="auto" w:fill="CAE7F3" w:themeFill="accent1" w:themeFillTint="33"/>
                <w:noWrap/>
                <w:vAlign w:val="bottom"/>
                <w:hideMark/>
              </w:tcPr>
              <w:p w14:paraId="695A978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w:t>
                </w:r>
              </w:p>
            </w:tc>
            <w:tc>
              <w:tcPr>
                <w:tcW w:w="662" w:type="dxa"/>
                <w:tcBorders>
                  <w:top w:val="nil"/>
                  <w:left w:val="nil"/>
                  <w:bottom w:val="nil"/>
                  <w:right w:val="nil"/>
                </w:tcBorders>
                <w:shd w:val="clear" w:color="auto" w:fill="CAE7F3" w:themeFill="accent1" w:themeFillTint="33"/>
                <w:noWrap/>
                <w:vAlign w:val="bottom"/>
                <w:hideMark/>
              </w:tcPr>
              <w:p w14:paraId="537473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88.8</w:t>
                </w:r>
              </w:p>
            </w:tc>
            <w:tc>
              <w:tcPr>
                <w:tcW w:w="662" w:type="dxa"/>
                <w:tcBorders>
                  <w:top w:val="nil"/>
                  <w:left w:val="nil"/>
                  <w:bottom w:val="nil"/>
                  <w:right w:val="nil"/>
                </w:tcBorders>
                <w:shd w:val="clear" w:color="auto" w:fill="CAE7F3" w:themeFill="accent1" w:themeFillTint="33"/>
                <w:noWrap/>
                <w:vAlign w:val="bottom"/>
                <w:hideMark/>
              </w:tcPr>
              <w:p w14:paraId="358F5EE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107.3</w:t>
                </w:r>
              </w:p>
            </w:tc>
            <w:tc>
              <w:tcPr>
                <w:tcW w:w="662" w:type="dxa"/>
                <w:tcBorders>
                  <w:top w:val="nil"/>
                  <w:left w:val="nil"/>
                  <w:bottom w:val="nil"/>
                  <w:right w:val="nil"/>
                </w:tcBorders>
                <w:shd w:val="clear" w:color="auto" w:fill="CAE7F3" w:themeFill="accent1" w:themeFillTint="33"/>
                <w:noWrap/>
                <w:vAlign w:val="bottom"/>
                <w:hideMark/>
              </w:tcPr>
              <w:p w14:paraId="583892A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124.8</w:t>
                </w:r>
              </w:p>
            </w:tc>
            <w:tc>
              <w:tcPr>
                <w:tcW w:w="662" w:type="dxa"/>
                <w:tcBorders>
                  <w:top w:val="nil"/>
                  <w:left w:val="nil"/>
                  <w:bottom w:val="nil"/>
                  <w:right w:val="nil"/>
                </w:tcBorders>
                <w:shd w:val="clear" w:color="auto" w:fill="CAE7F3" w:themeFill="accent1" w:themeFillTint="33"/>
                <w:noWrap/>
                <w:vAlign w:val="bottom"/>
                <w:hideMark/>
              </w:tcPr>
              <w:p w14:paraId="0D5F80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52.8</w:t>
                </w:r>
              </w:p>
            </w:tc>
            <w:tc>
              <w:tcPr>
                <w:tcW w:w="661" w:type="dxa"/>
                <w:tcBorders>
                  <w:top w:val="nil"/>
                  <w:left w:val="nil"/>
                  <w:bottom w:val="nil"/>
                  <w:right w:val="nil"/>
                </w:tcBorders>
                <w:shd w:val="clear" w:color="auto" w:fill="CAE7F3" w:themeFill="accent1" w:themeFillTint="33"/>
                <w:noWrap/>
                <w:vAlign w:val="bottom"/>
                <w:hideMark/>
              </w:tcPr>
              <w:p w14:paraId="23C96C6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w:t>
                </w:r>
              </w:p>
            </w:tc>
            <w:tc>
              <w:tcPr>
                <w:tcW w:w="662" w:type="dxa"/>
                <w:tcBorders>
                  <w:top w:val="nil"/>
                  <w:left w:val="nil"/>
                  <w:bottom w:val="nil"/>
                  <w:right w:val="nil"/>
                </w:tcBorders>
                <w:shd w:val="clear" w:color="auto" w:fill="CAE7F3" w:themeFill="accent1" w:themeFillTint="33"/>
                <w:noWrap/>
                <w:vAlign w:val="bottom"/>
                <w:hideMark/>
              </w:tcPr>
              <w:p w14:paraId="014F826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19.8</w:t>
                </w:r>
              </w:p>
            </w:tc>
            <w:tc>
              <w:tcPr>
                <w:tcW w:w="662" w:type="dxa"/>
                <w:tcBorders>
                  <w:top w:val="nil"/>
                  <w:left w:val="nil"/>
                  <w:bottom w:val="nil"/>
                  <w:right w:val="nil"/>
                </w:tcBorders>
                <w:shd w:val="clear" w:color="auto" w:fill="CAE7F3" w:themeFill="accent1" w:themeFillTint="33"/>
                <w:noWrap/>
                <w:vAlign w:val="bottom"/>
                <w:hideMark/>
              </w:tcPr>
              <w:p w14:paraId="6249A5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50.8</w:t>
                </w:r>
              </w:p>
            </w:tc>
            <w:tc>
              <w:tcPr>
                <w:tcW w:w="662" w:type="dxa"/>
                <w:tcBorders>
                  <w:top w:val="nil"/>
                  <w:left w:val="nil"/>
                  <w:bottom w:val="nil"/>
                  <w:right w:val="nil"/>
                </w:tcBorders>
                <w:shd w:val="clear" w:color="auto" w:fill="CAE7F3" w:themeFill="accent1" w:themeFillTint="33"/>
                <w:noWrap/>
                <w:vAlign w:val="bottom"/>
                <w:hideMark/>
              </w:tcPr>
              <w:p w14:paraId="3E5DCB7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23.7</w:t>
                </w:r>
              </w:p>
            </w:tc>
            <w:tc>
              <w:tcPr>
                <w:tcW w:w="662" w:type="dxa"/>
                <w:tcBorders>
                  <w:top w:val="nil"/>
                  <w:left w:val="nil"/>
                  <w:bottom w:val="nil"/>
                  <w:right w:val="nil"/>
                </w:tcBorders>
                <w:shd w:val="clear" w:color="auto" w:fill="CAE7F3" w:themeFill="accent1" w:themeFillTint="33"/>
                <w:noWrap/>
                <w:vAlign w:val="bottom"/>
                <w:hideMark/>
              </w:tcPr>
              <w:p w14:paraId="2F5304C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80.5</w:t>
                </w:r>
              </w:p>
            </w:tc>
          </w:tr>
        </w:tbl>
        <w:p w14:paraId="57941AA0" w14:textId="6148ED0B" w:rsidR="00830FDC" w:rsidRDefault="00830FDC" w:rsidP="00830FDC">
          <w:pPr>
            <w:pStyle w:val="CaptionWide"/>
          </w:pPr>
          <w:r w:rsidRPr="000618FB">
            <w:t xml:space="preserve">Table </w:t>
          </w:r>
          <w:r>
            <w:t xml:space="preserve">B2 </w:t>
          </w:r>
          <w:r>
            <w:rPr>
              <w:noProof/>
            </w:rPr>
            <w:t>continued</w:t>
          </w:r>
          <w:r>
            <w:t xml:space="preserve">: Annual business entries by ANZSIC divisions, averaged financial years ending in June 2009 to June 2014, by </w:t>
          </w:r>
          <w:r w:rsidR="00544B29">
            <w:t>s</w:t>
          </w:r>
          <w:r>
            <w:t>tate and SA4 regions</w:t>
          </w:r>
        </w:p>
        <w:tbl>
          <w:tblPr>
            <w:tblW w:w="14142" w:type="dxa"/>
            <w:shd w:val="clear" w:color="auto" w:fill="CAE7F3" w:themeFill="accent1" w:themeFillTint="33"/>
            <w:tblLayout w:type="fixed"/>
            <w:tblLook w:val="04A0" w:firstRow="1" w:lastRow="0" w:firstColumn="1" w:lastColumn="0" w:noHBand="0" w:noVBand="1"/>
          </w:tblPr>
          <w:tblGrid>
            <w:gridCol w:w="1568"/>
            <w:gridCol w:w="661"/>
            <w:gridCol w:w="662"/>
            <w:gridCol w:w="662"/>
            <w:gridCol w:w="662"/>
            <w:gridCol w:w="661"/>
            <w:gridCol w:w="662"/>
            <w:gridCol w:w="662"/>
            <w:gridCol w:w="662"/>
            <w:gridCol w:w="662"/>
            <w:gridCol w:w="661"/>
            <w:gridCol w:w="662"/>
            <w:gridCol w:w="662"/>
            <w:gridCol w:w="662"/>
            <w:gridCol w:w="662"/>
            <w:gridCol w:w="661"/>
            <w:gridCol w:w="662"/>
            <w:gridCol w:w="662"/>
            <w:gridCol w:w="662"/>
            <w:gridCol w:w="662"/>
          </w:tblGrid>
          <w:tr w:rsidR="00830FDC" w:rsidRPr="00F63634" w14:paraId="3CD4C3EE" w14:textId="77777777" w:rsidTr="00D0090A">
            <w:trPr>
              <w:trHeight w:val="1823"/>
            </w:trPr>
            <w:tc>
              <w:tcPr>
                <w:tcW w:w="1568" w:type="dxa"/>
                <w:tcBorders>
                  <w:top w:val="nil"/>
                  <w:left w:val="nil"/>
                  <w:bottom w:val="single" w:sz="4" w:space="0" w:color="95B3D7"/>
                  <w:right w:val="nil"/>
                </w:tcBorders>
                <w:shd w:val="clear" w:color="auto" w:fill="22789A" w:themeFill="accent1"/>
                <w:noWrap/>
                <w:vAlign w:val="bottom"/>
              </w:tcPr>
              <w:p w14:paraId="67CE4510" w14:textId="77777777" w:rsidR="00830FDC" w:rsidRPr="00F47853" w:rsidRDefault="00830FDC" w:rsidP="00D0090A">
                <w:pPr>
                  <w:pStyle w:val="Tabletext"/>
                  <w:rPr>
                    <w:sz w:val="14"/>
                    <w:szCs w:val="16"/>
                    <w:lang w:eastAsia="en-AU"/>
                  </w:rPr>
                </w:pPr>
              </w:p>
            </w:tc>
            <w:tc>
              <w:tcPr>
                <w:tcW w:w="661" w:type="dxa"/>
                <w:tcBorders>
                  <w:top w:val="nil"/>
                  <w:left w:val="nil"/>
                  <w:bottom w:val="single" w:sz="4" w:space="0" w:color="95B3D7"/>
                  <w:right w:val="nil"/>
                </w:tcBorders>
                <w:shd w:val="clear" w:color="auto" w:fill="22789A" w:themeFill="accent1"/>
                <w:noWrap/>
                <w:textDirection w:val="btLr"/>
                <w:vAlign w:val="center"/>
              </w:tcPr>
              <w:p w14:paraId="6F3C67F4"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Agriculture, Forestry and Fishing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B6CE01E"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1ADECF1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Manufacturing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0BA95DD"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Electricity, Gas, Water and Waste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4114458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Construction</w:t>
                </w:r>
              </w:p>
            </w:tc>
            <w:tc>
              <w:tcPr>
                <w:tcW w:w="662" w:type="dxa"/>
                <w:tcBorders>
                  <w:top w:val="nil"/>
                  <w:left w:val="nil"/>
                  <w:bottom w:val="single" w:sz="4" w:space="0" w:color="95B3D7"/>
                  <w:right w:val="nil"/>
                </w:tcBorders>
                <w:shd w:val="clear" w:color="auto" w:fill="22789A" w:themeFill="accent1"/>
                <w:noWrap/>
                <w:textDirection w:val="btLr"/>
                <w:vAlign w:val="center"/>
              </w:tcPr>
              <w:p w14:paraId="41BD459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Wholesale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1524302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Retail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2858817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Accommodation and Food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666B93A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Transport, Postal and Warehousing</w:t>
                </w:r>
              </w:p>
            </w:tc>
            <w:tc>
              <w:tcPr>
                <w:tcW w:w="661" w:type="dxa"/>
                <w:tcBorders>
                  <w:top w:val="nil"/>
                  <w:left w:val="nil"/>
                  <w:bottom w:val="single" w:sz="4" w:space="0" w:color="95B3D7"/>
                  <w:right w:val="nil"/>
                </w:tcBorders>
                <w:shd w:val="clear" w:color="auto" w:fill="22789A" w:themeFill="accent1"/>
                <w:noWrap/>
                <w:textDirection w:val="btLr"/>
                <w:vAlign w:val="center"/>
              </w:tcPr>
              <w:p w14:paraId="480BB326"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Information Media and Telecommunications</w:t>
                </w:r>
              </w:p>
            </w:tc>
            <w:tc>
              <w:tcPr>
                <w:tcW w:w="662" w:type="dxa"/>
                <w:tcBorders>
                  <w:top w:val="nil"/>
                  <w:left w:val="nil"/>
                  <w:bottom w:val="single" w:sz="4" w:space="0" w:color="95B3D7"/>
                  <w:right w:val="nil"/>
                </w:tcBorders>
                <w:shd w:val="clear" w:color="auto" w:fill="22789A" w:themeFill="accent1"/>
                <w:noWrap/>
                <w:textDirection w:val="btLr"/>
                <w:vAlign w:val="center"/>
              </w:tcPr>
              <w:p w14:paraId="03E497F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Financial and Insurance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73A6AC6E"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Rental, Hiring and Real Estate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5C31DFA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Professional, Scientific and Technical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005E3F3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Administrative and Support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3AAC259B"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Public Administration and Safety</w:t>
                </w:r>
              </w:p>
            </w:tc>
            <w:tc>
              <w:tcPr>
                <w:tcW w:w="662" w:type="dxa"/>
                <w:tcBorders>
                  <w:top w:val="nil"/>
                  <w:left w:val="nil"/>
                  <w:bottom w:val="single" w:sz="4" w:space="0" w:color="95B3D7"/>
                  <w:right w:val="nil"/>
                </w:tcBorders>
                <w:shd w:val="clear" w:color="auto" w:fill="22789A" w:themeFill="accent1"/>
                <w:noWrap/>
                <w:textDirection w:val="btLr"/>
                <w:vAlign w:val="center"/>
              </w:tcPr>
              <w:p w14:paraId="792B721D"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Education and Training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12C5C3B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Health Care and Social Assistance</w:t>
                </w:r>
              </w:p>
            </w:tc>
            <w:tc>
              <w:tcPr>
                <w:tcW w:w="662" w:type="dxa"/>
                <w:tcBorders>
                  <w:top w:val="nil"/>
                  <w:left w:val="nil"/>
                  <w:bottom w:val="single" w:sz="4" w:space="0" w:color="95B3D7"/>
                  <w:right w:val="nil"/>
                </w:tcBorders>
                <w:shd w:val="clear" w:color="auto" w:fill="22789A" w:themeFill="accent1"/>
                <w:noWrap/>
                <w:textDirection w:val="btLr"/>
                <w:vAlign w:val="center"/>
              </w:tcPr>
              <w:p w14:paraId="47F1FCA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Arts and Recreation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29765CD9"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Other Services</w:t>
                </w:r>
              </w:p>
            </w:tc>
          </w:tr>
          <w:tr w:rsidR="00830FDC" w:rsidRPr="00F63634" w14:paraId="746470CB" w14:textId="77777777" w:rsidTr="00D0090A">
            <w:trPr>
              <w:trHeight w:val="225"/>
            </w:trPr>
            <w:tc>
              <w:tcPr>
                <w:tcW w:w="1568" w:type="dxa"/>
                <w:tcBorders>
                  <w:top w:val="nil"/>
                  <w:left w:val="nil"/>
                  <w:bottom w:val="single" w:sz="4" w:space="0" w:color="95B3D7"/>
                  <w:right w:val="nil"/>
                </w:tcBorders>
                <w:shd w:val="clear" w:color="auto" w:fill="22789A" w:themeFill="accent1"/>
                <w:noWrap/>
                <w:vAlign w:val="bottom"/>
              </w:tcPr>
              <w:p w14:paraId="496D45CC" w14:textId="77777777" w:rsidR="00830FDC" w:rsidRPr="00844EE1" w:rsidRDefault="00830FDC" w:rsidP="00D0090A">
                <w:pPr>
                  <w:pStyle w:val="Tableheader"/>
                  <w:rPr>
                    <w:sz w:val="16"/>
                    <w:szCs w:val="12"/>
                    <w:lang w:eastAsia="en-AU"/>
                  </w:rPr>
                </w:pPr>
                <w:r w:rsidRPr="007D09BB">
                  <w:rPr>
                    <w:sz w:val="12"/>
                    <w:szCs w:val="12"/>
                    <w:lang w:eastAsia="en-AU"/>
                  </w:rPr>
                  <w:t>Region (State-SA4)</w:t>
                </w:r>
              </w:p>
            </w:tc>
            <w:tc>
              <w:tcPr>
                <w:tcW w:w="661" w:type="dxa"/>
                <w:tcBorders>
                  <w:top w:val="nil"/>
                  <w:left w:val="nil"/>
                  <w:bottom w:val="single" w:sz="4" w:space="0" w:color="95B3D7"/>
                  <w:right w:val="nil"/>
                </w:tcBorders>
                <w:shd w:val="clear" w:color="auto" w:fill="22789A" w:themeFill="accent1"/>
                <w:noWrap/>
              </w:tcPr>
              <w:p w14:paraId="001B6FC4" w14:textId="77777777" w:rsidR="00830FDC" w:rsidRPr="00844EE1" w:rsidRDefault="00830FDC" w:rsidP="00D0090A">
                <w:pPr>
                  <w:pStyle w:val="Tableheader"/>
                  <w:jc w:val="right"/>
                  <w:rPr>
                    <w:sz w:val="16"/>
                    <w:szCs w:val="12"/>
                  </w:rPr>
                </w:pPr>
                <w:r w:rsidRPr="00844EE1">
                  <w:rPr>
                    <w:sz w:val="16"/>
                    <w:szCs w:val="12"/>
                  </w:rPr>
                  <w:t>A</w:t>
                </w:r>
              </w:p>
            </w:tc>
            <w:tc>
              <w:tcPr>
                <w:tcW w:w="662" w:type="dxa"/>
                <w:tcBorders>
                  <w:top w:val="nil"/>
                  <w:left w:val="nil"/>
                  <w:bottom w:val="single" w:sz="4" w:space="0" w:color="95B3D7"/>
                  <w:right w:val="nil"/>
                </w:tcBorders>
                <w:shd w:val="clear" w:color="auto" w:fill="22789A" w:themeFill="accent1"/>
                <w:noWrap/>
              </w:tcPr>
              <w:p w14:paraId="379B5EB6" w14:textId="77777777" w:rsidR="00830FDC" w:rsidRPr="00844EE1" w:rsidRDefault="00830FDC" w:rsidP="00D0090A">
                <w:pPr>
                  <w:pStyle w:val="Tableheader"/>
                  <w:jc w:val="right"/>
                  <w:rPr>
                    <w:sz w:val="16"/>
                    <w:szCs w:val="12"/>
                  </w:rPr>
                </w:pPr>
                <w:r w:rsidRPr="00844EE1">
                  <w:rPr>
                    <w:sz w:val="16"/>
                    <w:szCs w:val="12"/>
                  </w:rPr>
                  <w:t>B</w:t>
                </w:r>
              </w:p>
            </w:tc>
            <w:tc>
              <w:tcPr>
                <w:tcW w:w="662" w:type="dxa"/>
                <w:tcBorders>
                  <w:top w:val="nil"/>
                  <w:left w:val="nil"/>
                  <w:bottom w:val="single" w:sz="4" w:space="0" w:color="95B3D7"/>
                  <w:right w:val="nil"/>
                </w:tcBorders>
                <w:shd w:val="clear" w:color="auto" w:fill="22789A" w:themeFill="accent1"/>
                <w:noWrap/>
              </w:tcPr>
              <w:p w14:paraId="5E8D41E9" w14:textId="77777777" w:rsidR="00830FDC" w:rsidRPr="00844EE1" w:rsidRDefault="00830FDC" w:rsidP="00D0090A">
                <w:pPr>
                  <w:pStyle w:val="Tableheader"/>
                  <w:jc w:val="right"/>
                  <w:rPr>
                    <w:sz w:val="16"/>
                    <w:szCs w:val="12"/>
                  </w:rPr>
                </w:pPr>
                <w:r w:rsidRPr="00844EE1">
                  <w:rPr>
                    <w:sz w:val="16"/>
                    <w:szCs w:val="12"/>
                  </w:rPr>
                  <w:t>C</w:t>
                </w:r>
              </w:p>
            </w:tc>
            <w:tc>
              <w:tcPr>
                <w:tcW w:w="662" w:type="dxa"/>
                <w:tcBorders>
                  <w:top w:val="nil"/>
                  <w:left w:val="nil"/>
                  <w:bottom w:val="single" w:sz="4" w:space="0" w:color="95B3D7"/>
                  <w:right w:val="nil"/>
                </w:tcBorders>
                <w:shd w:val="clear" w:color="auto" w:fill="22789A" w:themeFill="accent1"/>
                <w:noWrap/>
              </w:tcPr>
              <w:p w14:paraId="6C266F0B" w14:textId="77777777" w:rsidR="00830FDC" w:rsidRPr="00844EE1" w:rsidRDefault="00830FDC" w:rsidP="00D0090A">
                <w:pPr>
                  <w:pStyle w:val="Tableheader"/>
                  <w:jc w:val="right"/>
                  <w:rPr>
                    <w:sz w:val="16"/>
                    <w:szCs w:val="12"/>
                  </w:rPr>
                </w:pPr>
                <w:r w:rsidRPr="00844EE1">
                  <w:rPr>
                    <w:sz w:val="16"/>
                    <w:szCs w:val="12"/>
                  </w:rPr>
                  <w:t>D</w:t>
                </w:r>
              </w:p>
            </w:tc>
            <w:tc>
              <w:tcPr>
                <w:tcW w:w="661" w:type="dxa"/>
                <w:tcBorders>
                  <w:top w:val="nil"/>
                  <w:left w:val="nil"/>
                  <w:bottom w:val="single" w:sz="4" w:space="0" w:color="95B3D7"/>
                  <w:right w:val="nil"/>
                </w:tcBorders>
                <w:shd w:val="clear" w:color="auto" w:fill="22789A" w:themeFill="accent1"/>
                <w:noWrap/>
              </w:tcPr>
              <w:p w14:paraId="197EEC50" w14:textId="77777777" w:rsidR="00830FDC" w:rsidRPr="00844EE1" w:rsidRDefault="00830FDC" w:rsidP="00D0090A">
                <w:pPr>
                  <w:pStyle w:val="Tableheader"/>
                  <w:jc w:val="right"/>
                  <w:rPr>
                    <w:sz w:val="16"/>
                    <w:szCs w:val="12"/>
                  </w:rPr>
                </w:pPr>
                <w:r w:rsidRPr="00844EE1">
                  <w:rPr>
                    <w:sz w:val="16"/>
                    <w:szCs w:val="12"/>
                  </w:rPr>
                  <w:t>E</w:t>
                </w:r>
              </w:p>
            </w:tc>
            <w:tc>
              <w:tcPr>
                <w:tcW w:w="662" w:type="dxa"/>
                <w:tcBorders>
                  <w:top w:val="nil"/>
                  <w:left w:val="nil"/>
                  <w:bottom w:val="single" w:sz="4" w:space="0" w:color="95B3D7"/>
                  <w:right w:val="nil"/>
                </w:tcBorders>
                <w:shd w:val="clear" w:color="auto" w:fill="22789A" w:themeFill="accent1"/>
                <w:noWrap/>
              </w:tcPr>
              <w:p w14:paraId="353C8185" w14:textId="77777777" w:rsidR="00830FDC" w:rsidRPr="00844EE1" w:rsidRDefault="00830FDC" w:rsidP="00D0090A">
                <w:pPr>
                  <w:pStyle w:val="Tableheader"/>
                  <w:jc w:val="right"/>
                  <w:rPr>
                    <w:sz w:val="16"/>
                    <w:szCs w:val="12"/>
                  </w:rPr>
                </w:pPr>
                <w:r w:rsidRPr="00844EE1">
                  <w:rPr>
                    <w:sz w:val="16"/>
                    <w:szCs w:val="12"/>
                  </w:rPr>
                  <w:t>F</w:t>
                </w:r>
              </w:p>
            </w:tc>
            <w:tc>
              <w:tcPr>
                <w:tcW w:w="662" w:type="dxa"/>
                <w:tcBorders>
                  <w:top w:val="nil"/>
                  <w:left w:val="nil"/>
                  <w:bottom w:val="single" w:sz="4" w:space="0" w:color="95B3D7"/>
                  <w:right w:val="nil"/>
                </w:tcBorders>
                <w:shd w:val="clear" w:color="auto" w:fill="22789A" w:themeFill="accent1"/>
                <w:noWrap/>
              </w:tcPr>
              <w:p w14:paraId="6D419797" w14:textId="77777777" w:rsidR="00830FDC" w:rsidRPr="00844EE1" w:rsidRDefault="00830FDC" w:rsidP="00D0090A">
                <w:pPr>
                  <w:pStyle w:val="Tableheader"/>
                  <w:jc w:val="right"/>
                  <w:rPr>
                    <w:sz w:val="16"/>
                    <w:szCs w:val="12"/>
                  </w:rPr>
                </w:pPr>
                <w:r w:rsidRPr="00844EE1">
                  <w:rPr>
                    <w:sz w:val="16"/>
                    <w:szCs w:val="12"/>
                  </w:rPr>
                  <w:t>G</w:t>
                </w:r>
              </w:p>
            </w:tc>
            <w:tc>
              <w:tcPr>
                <w:tcW w:w="662" w:type="dxa"/>
                <w:tcBorders>
                  <w:top w:val="nil"/>
                  <w:left w:val="nil"/>
                  <w:bottom w:val="single" w:sz="4" w:space="0" w:color="95B3D7"/>
                  <w:right w:val="nil"/>
                </w:tcBorders>
                <w:shd w:val="clear" w:color="auto" w:fill="22789A" w:themeFill="accent1"/>
                <w:noWrap/>
              </w:tcPr>
              <w:p w14:paraId="0861789D" w14:textId="77777777" w:rsidR="00830FDC" w:rsidRPr="00844EE1" w:rsidRDefault="00830FDC" w:rsidP="00D0090A">
                <w:pPr>
                  <w:pStyle w:val="Tableheader"/>
                  <w:jc w:val="right"/>
                  <w:rPr>
                    <w:sz w:val="16"/>
                    <w:szCs w:val="12"/>
                  </w:rPr>
                </w:pPr>
                <w:r w:rsidRPr="00844EE1">
                  <w:rPr>
                    <w:sz w:val="16"/>
                    <w:szCs w:val="12"/>
                  </w:rPr>
                  <w:t>H</w:t>
                </w:r>
              </w:p>
            </w:tc>
            <w:tc>
              <w:tcPr>
                <w:tcW w:w="662" w:type="dxa"/>
                <w:tcBorders>
                  <w:top w:val="nil"/>
                  <w:left w:val="nil"/>
                  <w:bottom w:val="single" w:sz="4" w:space="0" w:color="95B3D7"/>
                  <w:right w:val="nil"/>
                </w:tcBorders>
                <w:shd w:val="clear" w:color="auto" w:fill="22789A" w:themeFill="accent1"/>
                <w:noWrap/>
              </w:tcPr>
              <w:p w14:paraId="1E5CE326" w14:textId="77777777" w:rsidR="00830FDC" w:rsidRPr="00844EE1" w:rsidRDefault="00830FDC" w:rsidP="00D0090A">
                <w:pPr>
                  <w:pStyle w:val="Tableheader"/>
                  <w:jc w:val="right"/>
                  <w:rPr>
                    <w:sz w:val="16"/>
                    <w:szCs w:val="12"/>
                  </w:rPr>
                </w:pPr>
                <w:r w:rsidRPr="00844EE1">
                  <w:rPr>
                    <w:sz w:val="16"/>
                    <w:szCs w:val="12"/>
                  </w:rPr>
                  <w:t>I</w:t>
                </w:r>
              </w:p>
            </w:tc>
            <w:tc>
              <w:tcPr>
                <w:tcW w:w="661" w:type="dxa"/>
                <w:tcBorders>
                  <w:top w:val="nil"/>
                  <w:left w:val="nil"/>
                  <w:bottom w:val="single" w:sz="4" w:space="0" w:color="95B3D7"/>
                  <w:right w:val="nil"/>
                </w:tcBorders>
                <w:shd w:val="clear" w:color="auto" w:fill="22789A" w:themeFill="accent1"/>
                <w:noWrap/>
              </w:tcPr>
              <w:p w14:paraId="6C82E08D" w14:textId="77777777" w:rsidR="00830FDC" w:rsidRPr="00844EE1" w:rsidRDefault="00830FDC" w:rsidP="00D0090A">
                <w:pPr>
                  <w:pStyle w:val="Tableheader"/>
                  <w:jc w:val="right"/>
                  <w:rPr>
                    <w:sz w:val="16"/>
                    <w:szCs w:val="12"/>
                  </w:rPr>
                </w:pPr>
                <w:r w:rsidRPr="00844EE1">
                  <w:rPr>
                    <w:sz w:val="16"/>
                    <w:szCs w:val="12"/>
                  </w:rPr>
                  <w:t>J</w:t>
                </w:r>
              </w:p>
            </w:tc>
            <w:tc>
              <w:tcPr>
                <w:tcW w:w="662" w:type="dxa"/>
                <w:tcBorders>
                  <w:top w:val="nil"/>
                  <w:left w:val="nil"/>
                  <w:bottom w:val="single" w:sz="4" w:space="0" w:color="95B3D7"/>
                  <w:right w:val="nil"/>
                </w:tcBorders>
                <w:shd w:val="clear" w:color="auto" w:fill="22789A" w:themeFill="accent1"/>
                <w:noWrap/>
              </w:tcPr>
              <w:p w14:paraId="73ED6074" w14:textId="77777777" w:rsidR="00830FDC" w:rsidRPr="00844EE1" w:rsidRDefault="00830FDC" w:rsidP="00D0090A">
                <w:pPr>
                  <w:pStyle w:val="Tableheader"/>
                  <w:jc w:val="right"/>
                  <w:rPr>
                    <w:sz w:val="16"/>
                    <w:szCs w:val="12"/>
                  </w:rPr>
                </w:pPr>
                <w:r w:rsidRPr="00844EE1">
                  <w:rPr>
                    <w:sz w:val="16"/>
                    <w:szCs w:val="12"/>
                  </w:rPr>
                  <w:t>K</w:t>
                </w:r>
              </w:p>
            </w:tc>
            <w:tc>
              <w:tcPr>
                <w:tcW w:w="662" w:type="dxa"/>
                <w:tcBorders>
                  <w:top w:val="nil"/>
                  <w:left w:val="nil"/>
                  <w:bottom w:val="single" w:sz="4" w:space="0" w:color="95B3D7"/>
                  <w:right w:val="nil"/>
                </w:tcBorders>
                <w:shd w:val="clear" w:color="auto" w:fill="22789A" w:themeFill="accent1"/>
                <w:noWrap/>
              </w:tcPr>
              <w:p w14:paraId="749A3D3F" w14:textId="77777777" w:rsidR="00830FDC" w:rsidRPr="00844EE1" w:rsidRDefault="00830FDC" w:rsidP="00D0090A">
                <w:pPr>
                  <w:pStyle w:val="Tableheader"/>
                  <w:jc w:val="right"/>
                  <w:rPr>
                    <w:sz w:val="16"/>
                    <w:szCs w:val="12"/>
                  </w:rPr>
                </w:pPr>
                <w:r w:rsidRPr="00844EE1">
                  <w:rPr>
                    <w:sz w:val="16"/>
                    <w:szCs w:val="12"/>
                  </w:rPr>
                  <w:t>L</w:t>
                </w:r>
              </w:p>
            </w:tc>
            <w:tc>
              <w:tcPr>
                <w:tcW w:w="662" w:type="dxa"/>
                <w:tcBorders>
                  <w:top w:val="nil"/>
                  <w:left w:val="nil"/>
                  <w:bottom w:val="single" w:sz="4" w:space="0" w:color="95B3D7"/>
                  <w:right w:val="nil"/>
                </w:tcBorders>
                <w:shd w:val="clear" w:color="auto" w:fill="22789A" w:themeFill="accent1"/>
                <w:noWrap/>
              </w:tcPr>
              <w:p w14:paraId="5C2C8482" w14:textId="77777777" w:rsidR="00830FDC" w:rsidRPr="00844EE1" w:rsidRDefault="00830FDC" w:rsidP="00D0090A">
                <w:pPr>
                  <w:pStyle w:val="Tableheader"/>
                  <w:jc w:val="right"/>
                  <w:rPr>
                    <w:sz w:val="16"/>
                    <w:szCs w:val="12"/>
                  </w:rPr>
                </w:pPr>
                <w:r w:rsidRPr="00844EE1">
                  <w:rPr>
                    <w:sz w:val="16"/>
                    <w:szCs w:val="12"/>
                  </w:rPr>
                  <w:t>M</w:t>
                </w:r>
              </w:p>
            </w:tc>
            <w:tc>
              <w:tcPr>
                <w:tcW w:w="662" w:type="dxa"/>
                <w:tcBorders>
                  <w:top w:val="nil"/>
                  <w:left w:val="nil"/>
                  <w:bottom w:val="single" w:sz="4" w:space="0" w:color="95B3D7"/>
                  <w:right w:val="nil"/>
                </w:tcBorders>
                <w:shd w:val="clear" w:color="auto" w:fill="22789A" w:themeFill="accent1"/>
                <w:noWrap/>
              </w:tcPr>
              <w:p w14:paraId="32E45B59" w14:textId="77777777" w:rsidR="00830FDC" w:rsidRPr="00844EE1" w:rsidRDefault="00830FDC" w:rsidP="00D0090A">
                <w:pPr>
                  <w:pStyle w:val="Tableheader"/>
                  <w:jc w:val="right"/>
                  <w:rPr>
                    <w:sz w:val="16"/>
                    <w:szCs w:val="12"/>
                  </w:rPr>
                </w:pPr>
                <w:r w:rsidRPr="00844EE1">
                  <w:rPr>
                    <w:sz w:val="16"/>
                    <w:szCs w:val="12"/>
                  </w:rPr>
                  <w:t>N</w:t>
                </w:r>
              </w:p>
            </w:tc>
            <w:tc>
              <w:tcPr>
                <w:tcW w:w="661" w:type="dxa"/>
                <w:tcBorders>
                  <w:top w:val="nil"/>
                  <w:left w:val="nil"/>
                  <w:bottom w:val="single" w:sz="4" w:space="0" w:color="95B3D7"/>
                  <w:right w:val="nil"/>
                </w:tcBorders>
                <w:shd w:val="clear" w:color="auto" w:fill="22789A" w:themeFill="accent1"/>
                <w:noWrap/>
              </w:tcPr>
              <w:p w14:paraId="7D91434A" w14:textId="77777777" w:rsidR="00830FDC" w:rsidRPr="00844EE1" w:rsidRDefault="00830FDC" w:rsidP="00D0090A">
                <w:pPr>
                  <w:pStyle w:val="Tableheader"/>
                  <w:jc w:val="right"/>
                  <w:rPr>
                    <w:sz w:val="16"/>
                    <w:szCs w:val="12"/>
                  </w:rPr>
                </w:pPr>
                <w:r w:rsidRPr="00844EE1">
                  <w:rPr>
                    <w:sz w:val="16"/>
                    <w:szCs w:val="12"/>
                  </w:rPr>
                  <w:t>O</w:t>
                </w:r>
              </w:p>
            </w:tc>
            <w:tc>
              <w:tcPr>
                <w:tcW w:w="662" w:type="dxa"/>
                <w:tcBorders>
                  <w:top w:val="nil"/>
                  <w:left w:val="nil"/>
                  <w:bottom w:val="single" w:sz="4" w:space="0" w:color="95B3D7"/>
                  <w:right w:val="nil"/>
                </w:tcBorders>
                <w:shd w:val="clear" w:color="auto" w:fill="22789A" w:themeFill="accent1"/>
                <w:noWrap/>
              </w:tcPr>
              <w:p w14:paraId="48CF658B" w14:textId="77777777" w:rsidR="00830FDC" w:rsidRPr="00844EE1" w:rsidRDefault="00830FDC" w:rsidP="00D0090A">
                <w:pPr>
                  <w:pStyle w:val="Tableheader"/>
                  <w:jc w:val="right"/>
                  <w:rPr>
                    <w:sz w:val="16"/>
                    <w:szCs w:val="12"/>
                  </w:rPr>
                </w:pPr>
                <w:r w:rsidRPr="00844EE1">
                  <w:rPr>
                    <w:sz w:val="16"/>
                    <w:szCs w:val="12"/>
                  </w:rPr>
                  <w:t>P</w:t>
                </w:r>
              </w:p>
            </w:tc>
            <w:tc>
              <w:tcPr>
                <w:tcW w:w="662" w:type="dxa"/>
                <w:tcBorders>
                  <w:top w:val="nil"/>
                  <w:left w:val="nil"/>
                  <w:bottom w:val="single" w:sz="4" w:space="0" w:color="95B3D7"/>
                  <w:right w:val="nil"/>
                </w:tcBorders>
                <w:shd w:val="clear" w:color="auto" w:fill="22789A" w:themeFill="accent1"/>
                <w:noWrap/>
              </w:tcPr>
              <w:p w14:paraId="5777627B" w14:textId="77777777" w:rsidR="00830FDC" w:rsidRPr="00844EE1" w:rsidRDefault="00830FDC" w:rsidP="00D0090A">
                <w:pPr>
                  <w:pStyle w:val="Tableheader"/>
                  <w:jc w:val="right"/>
                  <w:rPr>
                    <w:sz w:val="16"/>
                    <w:szCs w:val="12"/>
                  </w:rPr>
                </w:pPr>
                <w:r w:rsidRPr="00844EE1">
                  <w:rPr>
                    <w:sz w:val="16"/>
                    <w:szCs w:val="12"/>
                  </w:rPr>
                  <w:t>Q</w:t>
                </w:r>
              </w:p>
            </w:tc>
            <w:tc>
              <w:tcPr>
                <w:tcW w:w="662" w:type="dxa"/>
                <w:tcBorders>
                  <w:top w:val="nil"/>
                  <w:left w:val="nil"/>
                  <w:bottom w:val="single" w:sz="4" w:space="0" w:color="95B3D7"/>
                  <w:right w:val="nil"/>
                </w:tcBorders>
                <w:shd w:val="clear" w:color="auto" w:fill="22789A" w:themeFill="accent1"/>
                <w:noWrap/>
              </w:tcPr>
              <w:p w14:paraId="1A09F27C" w14:textId="77777777" w:rsidR="00830FDC" w:rsidRPr="00844EE1" w:rsidRDefault="00830FDC" w:rsidP="00D0090A">
                <w:pPr>
                  <w:pStyle w:val="Tableheader"/>
                  <w:jc w:val="right"/>
                  <w:rPr>
                    <w:sz w:val="16"/>
                    <w:szCs w:val="12"/>
                  </w:rPr>
                </w:pPr>
                <w:r w:rsidRPr="00844EE1">
                  <w:rPr>
                    <w:sz w:val="16"/>
                    <w:szCs w:val="12"/>
                  </w:rPr>
                  <w:t>R</w:t>
                </w:r>
              </w:p>
            </w:tc>
            <w:tc>
              <w:tcPr>
                <w:tcW w:w="662" w:type="dxa"/>
                <w:tcBorders>
                  <w:top w:val="nil"/>
                  <w:left w:val="nil"/>
                  <w:bottom w:val="single" w:sz="4" w:space="0" w:color="95B3D7"/>
                  <w:right w:val="nil"/>
                </w:tcBorders>
                <w:shd w:val="clear" w:color="auto" w:fill="22789A" w:themeFill="accent1"/>
                <w:noWrap/>
              </w:tcPr>
              <w:p w14:paraId="0AA844CF" w14:textId="77777777" w:rsidR="00830FDC" w:rsidRPr="00844EE1" w:rsidRDefault="00830FDC" w:rsidP="00D0090A">
                <w:pPr>
                  <w:pStyle w:val="Tableheader"/>
                  <w:jc w:val="right"/>
                  <w:rPr>
                    <w:sz w:val="16"/>
                    <w:szCs w:val="12"/>
                  </w:rPr>
                </w:pPr>
                <w:r w:rsidRPr="00844EE1">
                  <w:rPr>
                    <w:sz w:val="16"/>
                    <w:szCs w:val="12"/>
                  </w:rPr>
                  <w:t>S</w:t>
                </w:r>
              </w:p>
            </w:tc>
          </w:tr>
          <w:tr w:rsidR="00830FDC" w:rsidRPr="00F63634" w14:paraId="1A2F826B"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4C481368"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Latrobe</w:t>
                </w:r>
                <w:r>
                  <w:rPr>
                    <w:color w:val="595A5B" w:themeColor="text1"/>
                    <w:sz w:val="12"/>
                    <w:szCs w:val="16"/>
                    <w:lang w:eastAsia="en-AU"/>
                  </w:rPr>
                  <w:t xml:space="preserve"> — </w:t>
                </w:r>
                <w:r w:rsidRPr="009820E8">
                  <w:rPr>
                    <w:color w:val="595A5B" w:themeColor="text1"/>
                    <w:sz w:val="12"/>
                    <w:szCs w:val="16"/>
                    <w:lang w:eastAsia="en-AU"/>
                  </w:rPr>
                  <w:t>Gippsland</w:t>
                </w:r>
              </w:p>
            </w:tc>
            <w:tc>
              <w:tcPr>
                <w:tcW w:w="661" w:type="dxa"/>
                <w:tcBorders>
                  <w:top w:val="nil"/>
                  <w:left w:val="nil"/>
                  <w:bottom w:val="nil"/>
                  <w:right w:val="nil"/>
                </w:tcBorders>
                <w:shd w:val="clear" w:color="auto" w:fill="CAE7F3" w:themeFill="accent1" w:themeFillTint="33"/>
                <w:noWrap/>
                <w:vAlign w:val="bottom"/>
                <w:hideMark/>
              </w:tcPr>
              <w:p w14:paraId="041D59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402.3</w:t>
                </w:r>
              </w:p>
            </w:tc>
            <w:tc>
              <w:tcPr>
                <w:tcW w:w="662" w:type="dxa"/>
                <w:tcBorders>
                  <w:top w:val="nil"/>
                  <w:left w:val="nil"/>
                  <w:bottom w:val="nil"/>
                  <w:right w:val="nil"/>
                </w:tcBorders>
                <w:shd w:val="clear" w:color="auto" w:fill="CAE7F3" w:themeFill="accent1" w:themeFillTint="33"/>
                <w:noWrap/>
                <w:vAlign w:val="bottom"/>
                <w:hideMark/>
              </w:tcPr>
              <w:p w14:paraId="75099E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w:t>
                </w:r>
              </w:p>
            </w:tc>
            <w:tc>
              <w:tcPr>
                <w:tcW w:w="662" w:type="dxa"/>
                <w:tcBorders>
                  <w:top w:val="nil"/>
                  <w:left w:val="nil"/>
                  <w:bottom w:val="nil"/>
                  <w:right w:val="nil"/>
                </w:tcBorders>
                <w:shd w:val="clear" w:color="auto" w:fill="CAE7F3" w:themeFill="accent1" w:themeFillTint="33"/>
                <w:noWrap/>
                <w:vAlign w:val="bottom"/>
                <w:hideMark/>
              </w:tcPr>
              <w:p w14:paraId="0CFF522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84.3</w:t>
                </w:r>
              </w:p>
            </w:tc>
            <w:tc>
              <w:tcPr>
                <w:tcW w:w="662" w:type="dxa"/>
                <w:tcBorders>
                  <w:top w:val="nil"/>
                  <w:left w:val="nil"/>
                  <w:bottom w:val="nil"/>
                  <w:right w:val="nil"/>
                </w:tcBorders>
                <w:shd w:val="clear" w:color="auto" w:fill="CAE7F3" w:themeFill="accent1" w:themeFillTint="33"/>
                <w:noWrap/>
                <w:vAlign w:val="bottom"/>
                <w:hideMark/>
              </w:tcPr>
              <w:p w14:paraId="39FE4D4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11.7</w:t>
                </w:r>
              </w:p>
            </w:tc>
            <w:tc>
              <w:tcPr>
                <w:tcW w:w="661" w:type="dxa"/>
                <w:tcBorders>
                  <w:top w:val="nil"/>
                  <w:left w:val="nil"/>
                  <w:bottom w:val="nil"/>
                  <w:right w:val="nil"/>
                </w:tcBorders>
                <w:shd w:val="clear" w:color="auto" w:fill="CAE7F3" w:themeFill="accent1" w:themeFillTint="33"/>
                <w:noWrap/>
                <w:vAlign w:val="bottom"/>
                <w:hideMark/>
              </w:tcPr>
              <w:p w14:paraId="6BE834D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495.0</w:t>
                </w:r>
              </w:p>
            </w:tc>
            <w:tc>
              <w:tcPr>
                <w:tcW w:w="662" w:type="dxa"/>
                <w:tcBorders>
                  <w:top w:val="nil"/>
                  <w:left w:val="nil"/>
                  <w:bottom w:val="nil"/>
                  <w:right w:val="nil"/>
                </w:tcBorders>
                <w:shd w:val="clear" w:color="auto" w:fill="CAE7F3" w:themeFill="accent1" w:themeFillTint="33"/>
                <w:noWrap/>
                <w:vAlign w:val="bottom"/>
                <w:hideMark/>
              </w:tcPr>
              <w:p w14:paraId="46414E2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43.0</w:t>
                </w:r>
              </w:p>
            </w:tc>
            <w:tc>
              <w:tcPr>
                <w:tcW w:w="662" w:type="dxa"/>
                <w:tcBorders>
                  <w:top w:val="nil"/>
                  <w:left w:val="nil"/>
                  <w:bottom w:val="nil"/>
                  <w:right w:val="nil"/>
                </w:tcBorders>
                <w:shd w:val="clear" w:color="auto" w:fill="CAE7F3" w:themeFill="accent1" w:themeFillTint="33"/>
                <w:noWrap/>
                <w:vAlign w:val="bottom"/>
                <w:hideMark/>
              </w:tcPr>
              <w:p w14:paraId="5260848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169.2</w:t>
                </w:r>
              </w:p>
            </w:tc>
            <w:tc>
              <w:tcPr>
                <w:tcW w:w="662" w:type="dxa"/>
                <w:tcBorders>
                  <w:top w:val="nil"/>
                  <w:left w:val="nil"/>
                  <w:bottom w:val="nil"/>
                  <w:right w:val="nil"/>
                </w:tcBorders>
                <w:shd w:val="clear" w:color="auto" w:fill="CAE7F3" w:themeFill="accent1" w:themeFillTint="33"/>
                <w:noWrap/>
                <w:vAlign w:val="bottom"/>
                <w:hideMark/>
              </w:tcPr>
              <w:p w14:paraId="5BC96F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138.2</w:t>
                </w:r>
              </w:p>
            </w:tc>
            <w:tc>
              <w:tcPr>
                <w:tcW w:w="662" w:type="dxa"/>
                <w:tcBorders>
                  <w:top w:val="nil"/>
                  <w:left w:val="nil"/>
                  <w:bottom w:val="nil"/>
                  <w:right w:val="nil"/>
                </w:tcBorders>
                <w:shd w:val="clear" w:color="auto" w:fill="CAE7F3" w:themeFill="accent1" w:themeFillTint="33"/>
                <w:noWrap/>
                <w:vAlign w:val="bottom"/>
                <w:hideMark/>
              </w:tcPr>
              <w:p w14:paraId="59C5C6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121.2</w:t>
                </w:r>
              </w:p>
            </w:tc>
            <w:tc>
              <w:tcPr>
                <w:tcW w:w="661" w:type="dxa"/>
                <w:tcBorders>
                  <w:top w:val="nil"/>
                  <w:left w:val="nil"/>
                  <w:bottom w:val="nil"/>
                  <w:right w:val="nil"/>
                </w:tcBorders>
                <w:shd w:val="clear" w:color="auto" w:fill="CAE7F3" w:themeFill="accent1" w:themeFillTint="33"/>
                <w:noWrap/>
                <w:vAlign w:val="bottom"/>
                <w:hideMark/>
              </w:tcPr>
              <w:p w14:paraId="1365A4A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15.7</w:t>
                </w:r>
              </w:p>
            </w:tc>
            <w:tc>
              <w:tcPr>
                <w:tcW w:w="662" w:type="dxa"/>
                <w:tcBorders>
                  <w:top w:val="nil"/>
                  <w:left w:val="nil"/>
                  <w:bottom w:val="nil"/>
                  <w:right w:val="nil"/>
                </w:tcBorders>
                <w:shd w:val="clear" w:color="auto" w:fill="CAE7F3" w:themeFill="accent1" w:themeFillTint="33"/>
                <w:noWrap/>
                <w:vAlign w:val="bottom"/>
                <w:hideMark/>
              </w:tcPr>
              <w:p w14:paraId="3D69DD9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158.2</w:t>
                </w:r>
              </w:p>
            </w:tc>
            <w:tc>
              <w:tcPr>
                <w:tcW w:w="662" w:type="dxa"/>
                <w:tcBorders>
                  <w:top w:val="nil"/>
                  <w:left w:val="nil"/>
                  <w:bottom w:val="nil"/>
                  <w:right w:val="nil"/>
                </w:tcBorders>
                <w:shd w:val="clear" w:color="auto" w:fill="CAE7F3" w:themeFill="accent1" w:themeFillTint="33"/>
                <w:noWrap/>
                <w:vAlign w:val="bottom"/>
                <w:hideMark/>
              </w:tcPr>
              <w:p w14:paraId="216735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176.8</w:t>
                </w:r>
              </w:p>
            </w:tc>
            <w:tc>
              <w:tcPr>
                <w:tcW w:w="662" w:type="dxa"/>
                <w:tcBorders>
                  <w:top w:val="nil"/>
                  <w:left w:val="nil"/>
                  <w:bottom w:val="nil"/>
                  <w:right w:val="nil"/>
                </w:tcBorders>
                <w:shd w:val="clear" w:color="auto" w:fill="CAE7F3" w:themeFill="accent1" w:themeFillTint="33"/>
                <w:noWrap/>
                <w:vAlign w:val="bottom"/>
                <w:hideMark/>
              </w:tcPr>
              <w:p w14:paraId="0F76F12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168.7</w:t>
                </w:r>
              </w:p>
            </w:tc>
            <w:tc>
              <w:tcPr>
                <w:tcW w:w="662" w:type="dxa"/>
                <w:tcBorders>
                  <w:top w:val="nil"/>
                  <w:left w:val="nil"/>
                  <w:bottom w:val="nil"/>
                  <w:right w:val="nil"/>
                </w:tcBorders>
                <w:shd w:val="clear" w:color="auto" w:fill="CAE7F3" w:themeFill="accent1" w:themeFillTint="33"/>
                <w:noWrap/>
                <w:vAlign w:val="bottom"/>
                <w:hideMark/>
              </w:tcPr>
              <w:p w14:paraId="610E19C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83.5</w:t>
                </w:r>
              </w:p>
            </w:tc>
            <w:tc>
              <w:tcPr>
                <w:tcW w:w="661" w:type="dxa"/>
                <w:tcBorders>
                  <w:top w:val="nil"/>
                  <w:left w:val="nil"/>
                  <w:bottom w:val="nil"/>
                  <w:right w:val="nil"/>
                </w:tcBorders>
                <w:shd w:val="clear" w:color="auto" w:fill="CAE7F3" w:themeFill="accent1" w:themeFillTint="33"/>
                <w:noWrap/>
                <w:vAlign w:val="bottom"/>
                <w:hideMark/>
              </w:tcPr>
              <w:p w14:paraId="74FF61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9.8</w:t>
                </w:r>
              </w:p>
            </w:tc>
            <w:tc>
              <w:tcPr>
                <w:tcW w:w="662" w:type="dxa"/>
                <w:tcBorders>
                  <w:top w:val="nil"/>
                  <w:left w:val="nil"/>
                  <w:bottom w:val="nil"/>
                  <w:right w:val="nil"/>
                </w:tcBorders>
                <w:shd w:val="clear" w:color="auto" w:fill="CAE7F3" w:themeFill="accent1" w:themeFillTint="33"/>
                <w:noWrap/>
                <w:vAlign w:val="bottom"/>
                <w:hideMark/>
              </w:tcPr>
              <w:p w14:paraId="0452EB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25.5</w:t>
                </w:r>
              </w:p>
            </w:tc>
            <w:tc>
              <w:tcPr>
                <w:tcW w:w="662" w:type="dxa"/>
                <w:tcBorders>
                  <w:top w:val="nil"/>
                  <w:left w:val="nil"/>
                  <w:bottom w:val="nil"/>
                  <w:right w:val="nil"/>
                </w:tcBorders>
                <w:shd w:val="clear" w:color="auto" w:fill="CAE7F3" w:themeFill="accent1" w:themeFillTint="33"/>
                <w:noWrap/>
                <w:vAlign w:val="bottom"/>
                <w:hideMark/>
              </w:tcPr>
              <w:p w14:paraId="7C2C51D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77.8</w:t>
                </w:r>
              </w:p>
            </w:tc>
            <w:tc>
              <w:tcPr>
                <w:tcW w:w="662" w:type="dxa"/>
                <w:tcBorders>
                  <w:top w:val="nil"/>
                  <w:left w:val="nil"/>
                  <w:bottom w:val="nil"/>
                  <w:right w:val="nil"/>
                </w:tcBorders>
                <w:shd w:val="clear" w:color="auto" w:fill="CAE7F3" w:themeFill="accent1" w:themeFillTint="33"/>
                <w:noWrap/>
                <w:vAlign w:val="bottom"/>
                <w:hideMark/>
              </w:tcPr>
              <w:p w14:paraId="4B4D6E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26.7</w:t>
                </w:r>
              </w:p>
            </w:tc>
            <w:tc>
              <w:tcPr>
                <w:tcW w:w="662" w:type="dxa"/>
                <w:tcBorders>
                  <w:top w:val="nil"/>
                  <w:left w:val="nil"/>
                  <w:bottom w:val="nil"/>
                  <w:right w:val="nil"/>
                </w:tcBorders>
                <w:shd w:val="clear" w:color="auto" w:fill="CAE7F3" w:themeFill="accent1" w:themeFillTint="33"/>
                <w:noWrap/>
                <w:vAlign w:val="bottom"/>
                <w:hideMark/>
              </w:tcPr>
              <w:p w14:paraId="74A5DD8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111.7</w:t>
                </w:r>
              </w:p>
            </w:tc>
          </w:tr>
          <w:tr w:rsidR="00830FDC" w:rsidRPr="00F63634" w14:paraId="51D920FC"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2BAB13B8"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Inner</w:t>
                </w:r>
              </w:p>
            </w:tc>
            <w:tc>
              <w:tcPr>
                <w:tcW w:w="661" w:type="dxa"/>
                <w:tcBorders>
                  <w:top w:val="nil"/>
                  <w:left w:val="nil"/>
                  <w:bottom w:val="nil"/>
                  <w:right w:val="nil"/>
                </w:tcBorders>
                <w:shd w:val="clear" w:color="auto" w:fill="CAE7F3" w:themeFill="accent1" w:themeFillTint="33"/>
                <w:noWrap/>
                <w:vAlign w:val="bottom"/>
                <w:hideMark/>
              </w:tcPr>
              <w:p w14:paraId="5D20534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208.3</w:t>
                </w:r>
              </w:p>
            </w:tc>
            <w:tc>
              <w:tcPr>
                <w:tcW w:w="662" w:type="dxa"/>
                <w:tcBorders>
                  <w:top w:val="nil"/>
                  <w:left w:val="nil"/>
                  <w:bottom w:val="nil"/>
                  <w:right w:val="nil"/>
                </w:tcBorders>
                <w:shd w:val="clear" w:color="auto" w:fill="CAE7F3" w:themeFill="accent1" w:themeFillTint="33"/>
                <w:noWrap/>
                <w:vAlign w:val="bottom"/>
                <w:hideMark/>
              </w:tcPr>
              <w:p w14:paraId="3C28D2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36.2</w:t>
                </w:r>
              </w:p>
            </w:tc>
            <w:tc>
              <w:tcPr>
                <w:tcW w:w="662" w:type="dxa"/>
                <w:tcBorders>
                  <w:top w:val="nil"/>
                  <w:left w:val="nil"/>
                  <w:bottom w:val="nil"/>
                  <w:right w:val="nil"/>
                </w:tcBorders>
                <w:shd w:val="clear" w:color="auto" w:fill="CAE7F3" w:themeFill="accent1" w:themeFillTint="33"/>
                <w:noWrap/>
                <w:vAlign w:val="bottom"/>
                <w:hideMark/>
              </w:tcPr>
              <w:p w14:paraId="052F62D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295.3</w:t>
                </w:r>
              </w:p>
            </w:tc>
            <w:tc>
              <w:tcPr>
                <w:tcW w:w="662" w:type="dxa"/>
                <w:tcBorders>
                  <w:top w:val="nil"/>
                  <w:left w:val="nil"/>
                  <w:bottom w:val="nil"/>
                  <w:right w:val="nil"/>
                </w:tcBorders>
                <w:shd w:val="clear" w:color="auto" w:fill="CAE7F3" w:themeFill="accent1" w:themeFillTint="33"/>
                <w:noWrap/>
                <w:vAlign w:val="bottom"/>
                <w:hideMark/>
              </w:tcPr>
              <w:p w14:paraId="05EF05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32.7</w:t>
                </w:r>
              </w:p>
            </w:tc>
            <w:tc>
              <w:tcPr>
                <w:tcW w:w="661" w:type="dxa"/>
                <w:tcBorders>
                  <w:top w:val="nil"/>
                  <w:left w:val="nil"/>
                  <w:bottom w:val="nil"/>
                  <w:right w:val="nil"/>
                </w:tcBorders>
                <w:shd w:val="clear" w:color="auto" w:fill="CAE7F3" w:themeFill="accent1" w:themeFillTint="33"/>
                <w:noWrap/>
                <w:vAlign w:val="bottom"/>
                <w:hideMark/>
              </w:tcPr>
              <w:p w14:paraId="3D9FD4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1269.7</w:t>
                </w:r>
              </w:p>
            </w:tc>
            <w:tc>
              <w:tcPr>
                <w:tcW w:w="662" w:type="dxa"/>
                <w:tcBorders>
                  <w:top w:val="nil"/>
                  <w:left w:val="nil"/>
                  <w:bottom w:val="nil"/>
                  <w:right w:val="nil"/>
                </w:tcBorders>
                <w:shd w:val="clear" w:color="auto" w:fill="CAE7F3" w:themeFill="accent1" w:themeFillTint="33"/>
                <w:noWrap/>
                <w:vAlign w:val="bottom"/>
                <w:hideMark/>
              </w:tcPr>
              <w:p w14:paraId="37B0A3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560.0</w:t>
                </w:r>
              </w:p>
            </w:tc>
            <w:tc>
              <w:tcPr>
                <w:tcW w:w="662" w:type="dxa"/>
                <w:tcBorders>
                  <w:top w:val="nil"/>
                  <w:left w:val="nil"/>
                  <w:bottom w:val="nil"/>
                  <w:right w:val="nil"/>
                </w:tcBorders>
                <w:shd w:val="clear" w:color="auto" w:fill="CAE7F3" w:themeFill="accent1" w:themeFillTint="33"/>
                <w:noWrap/>
                <w:vAlign w:val="bottom"/>
                <w:hideMark/>
              </w:tcPr>
              <w:p w14:paraId="0E7CA39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887.0</w:t>
                </w:r>
              </w:p>
            </w:tc>
            <w:tc>
              <w:tcPr>
                <w:tcW w:w="662" w:type="dxa"/>
                <w:tcBorders>
                  <w:top w:val="nil"/>
                  <w:left w:val="nil"/>
                  <w:bottom w:val="nil"/>
                  <w:right w:val="nil"/>
                </w:tcBorders>
                <w:shd w:val="clear" w:color="auto" w:fill="CAE7F3" w:themeFill="accent1" w:themeFillTint="33"/>
                <w:noWrap/>
                <w:vAlign w:val="bottom"/>
                <w:hideMark/>
              </w:tcPr>
              <w:p w14:paraId="5E9BAB2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919.2</w:t>
                </w:r>
              </w:p>
            </w:tc>
            <w:tc>
              <w:tcPr>
                <w:tcW w:w="662" w:type="dxa"/>
                <w:tcBorders>
                  <w:top w:val="nil"/>
                  <w:left w:val="nil"/>
                  <w:bottom w:val="nil"/>
                  <w:right w:val="nil"/>
                </w:tcBorders>
                <w:shd w:val="clear" w:color="auto" w:fill="CAE7F3" w:themeFill="accent1" w:themeFillTint="33"/>
                <w:noWrap/>
                <w:vAlign w:val="bottom"/>
                <w:hideMark/>
              </w:tcPr>
              <w:p w14:paraId="150190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397.5</w:t>
                </w:r>
              </w:p>
            </w:tc>
            <w:tc>
              <w:tcPr>
                <w:tcW w:w="661" w:type="dxa"/>
                <w:tcBorders>
                  <w:top w:val="nil"/>
                  <w:left w:val="nil"/>
                  <w:bottom w:val="nil"/>
                  <w:right w:val="nil"/>
                </w:tcBorders>
                <w:shd w:val="clear" w:color="auto" w:fill="CAE7F3" w:themeFill="accent1" w:themeFillTint="33"/>
                <w:noWrap/>
                <w:vAlign w:val="bottom"/>
                <w:hideMark/>
              </w:tcPr>
              <w:p w14:paraId="78111A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290.2</w:t>
                </w:r>
              </w:p>
            </w:tc>
            <w:tc>
              <w:tcPr>
                <w:tcW w:w="662" w:type="dxa"/>
                <w:tcBorders>
                  <w:top w:val="nil"/>
                  <w:left w:val="nil"/>
                  <w:bottom w:val="nil"/>
                  <w:right w:val="nil"/>
                </w:tcBorders>
                <w:shd w:val="clear" w:color="auto" w:fill="CAE7F3" w:themeFill="accent1" w:themeFillTint="33"/>
                <w:noWrap/>
                <w:vAlign w:val="bottom"/>
                <w:hideMark/>
              </w:tcPr>
              <w:p w14:paraId="433BFD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1554.5</w:t>
                </w:r>
              </w:p>
            </w:tc>
            <w:tc>
              <w:tcPr>
                <w:tcW w:w="662" w:type="dxa"/>
                <w:tcBorders>
                  <w:top w:val="nil"/>
                  <w:left w:val="nil"/>
                  <w:bottom w:val="nil"/>
                  <w:right w:val="nil"/>
                </w:tcBorders>
                <w:shd w:val="clear" w:color="auto" w:fill="CAE7F3" w:themeFill="accent1" w:themeFillTint="33"/>
                <w:noWrap/>
                <w:vAlign w:val="bottom"/>
                <w:hideMark/>
              </w:tcPr>
              <w:p w14:paraId="6F7C22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1292.5</w:t>
                </w:r>
              </w:p>
            </w:tc>
            <w:tc>
              <w:tcPr>
                <w:tcW w:w="662" w:type="dxa"/>
                <w:tcBorders>
                  <w:top w:val="nil"/>
                  <w:left w:val="nil"/>
                  <w:bottom w:val="nil"/>
                  <w:right w:val="nil"/>
                </w:tcBorders>
                <w:shd w:val="clear" w:color="auto" w:fill="CAE7F3" w:themeFill="accent1" w:themeFillTint="33"/>
                <w:noWrap/>
                <w:vAlign w:val="bottom"/>
                <w:hideMark/>
              </w:tcPr>
              <w:p w14:paraId="083366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2569.3</w:t>
                </w:r>
              </w:p>
            </w:tc>
            <w:tc>
              <w:tcPr>
                <w:tcW w:w="662" w:type="dxa"/>
                <w:tcBorders>
                  <w:top w:val="nil"/>
                  <w:left w:val="nil"/>
                  <w:bottom w:val="nil"/>
                  <w:right w:val="nil"/>
                </w:tcBorders>
                <w:shd w:val="clear" w:color="auto" w:fill="CAE7F3" w:themeFill="accent1" w:themeFillTint="33"/>
                <w:noWrap/>
                <w:vAlign w:val="bottom"/>
                <w:hideMark/>
              </w:tcPr>
              <w:p w14:paraId="36F4E59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587.2</w:t>
                </w:r>
              </w:p>
            </w:tc>
            <w:tc>
              <w:tcPr>
                <w:tcW w:w="661" w:type="dxa"/>
                <w:tcBorders>
                  <w:top w:val="nil"/>
                  <w:left w:val="nil"/>
                  <w:bottom w:val="nil"/>
                  <w:right w:val="nil"/>
                </w:tcBorders>
                <w:shd w:val="clear" w:color="auto" w:fill="CAE7F3" w:themeFill="accent1" w:themeFillTint="33"/>
                <w:noWrap/>
                <w:vAlign w:val="bottom"/>
                <w:hideMark/>
              </w:tcPr>
              <w:p w14:paraId="6C178C3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50.8</w:t>
                </w:r>
              </w:p>
            </w:tc>
            <w:tc>
              <w:tcPr>
                <w:tcW w:w="662" w:type="dxa"/>
                <w:tcBorders>
                  <w:top w:val="nil"/>
                  <w:left w:val="nil"/>
                  <w:bottom w:val="nil"/>
                  <w:right w:val="nil"/>
                </w:tcBorders>
                <w:shd w:val="clear" w:color="auto" w:fill="CAE7F3" w:themeFill="accent1" w:themeFillTint="33"/>
                <w:noWrap/>
                <w:vAlign w:val="bottom"/>
                <w:hideMark/>
              </w:tcPr>
              <w:p w14:paraId="5E6A2D8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202.3</w:t>
                </w:r>
              </w:p>
            </w:tc>
            <w:tc>
              <w:tcPr>
                <w:tcW w:w="662" w:type="dxa"/>
                <w:tcBorders>
                  <w:top w:val="nil"/>
                  <w:left w:val="nil"/>
                  <w:bottom w:val="nil"/>
                  <w:right w:val="nil"/>
                </w:tcBorders>
                <w:shd w:val="clear" w:color="auto" w:fill="CAE7F3" w:themeFill="accent1" w:themeFillTint="33"/>
                <w:noWrap/>
                <w:vAlign w:val="bottom"/>
                <w:hideMark/>
              </w:tcPr>
              <w:p w14:paraId="2A62A7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654.8</w:t>
                </w:r>
              </w:p>
            </w:tc>
            <w:tc>
              <w:tcPr>
                <w:tcW w:w="662" w:type="dxa"/>
                <w:tcBorders>
                  <w:top w:val="nil"/>
                  <w:left w:val="nil"/>
                  <w:bottom w:val="nil"/>
                  <w:right w:val="nil"/>
                </w:tcBorders>
                <w:shd w:val="clear" w:color="auto" w:fill="CAE7F3" w:themeFill="accent1" w:themeFillTint="33"/>
                <w:noWrap/>
                <w:vAlign w:val="bottom"/>
                <w:hideMark/>
              </w:tcPr>
              <w:p w14:paraId="25B66B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293.2</w:t>
                </w:r>
              </w:p>
            </w:tc>
            <w:tc>
              <w:tcPr>
                <w:tcW w:w="662" w:type="dxa"/>
                <w:tcBorders>
                  <w:top w:val="nil"/>
                  <w:left w:val="nil"/>
                  <w:bottom w:val="nil"/>
                  <w:right w:val="nil"/>
                </w:tcBorders>
                <w:shd w:val="clear" w:color="auto" w:fill="CAE7F3" w:themeFill="accent1" w:themeFillTint="33"/>
                <w:noWrap/>
                <w:vAlign w:val="bottom"/>
                <w:hideMark/>
              </w:tcPr>
              <w:p w14:paraId="6257801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399.2</w:t>
                </w:r>
              </w:p>
            </w:tc>
          </w:tr>
          <w:tr w:rsidR="00830FDC" w:rsidRPr="00F63634" w14:paraId="53CC0ED4"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11D33359"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Inner East</w:t>
                </w:r>
              </w:p>
            </w:tc>
            <w:tc>
              <w:tcPr>
                <w:tcW w:w="661" w:type="dxa"/>
                <w:tcBorders>
                  <w:top w:val="nil"/>
                  <w:left w:val="nil"/>
                  <w:bottom w:val="nil"/>
                  <w:right w:val="nil"/>
                </w:tcBorders>
                <w:shd w:val="clear" w:color="auto" w:fill="CAE7F3" w:themeFill="accent1" w:themeFillTint="33"/>
                <w:noWrap/>
                <w:vAlign w:val="bottom"/>
                <w:hideMark/>
              </w:tcPr>
              <w:p w14:paraId="6E65A1F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113.3</w:t>
                </w:r>
              </w:p>
            </w:tc>
            <w:tc>
              <w:tcPr>
                <w:tcW w:w="662" w:type="dxa"/>
                <w:tcBorders>
                  <w:top w:val="nil"/>
                  <w:left w:val="nil"/>
                  <w:bottom w:val="nil"/>
                  <w:right w:val="nil"/>
                </w:tcBorders>
                <w:shd w:val="clear" w:color="auto" w:fill="CAE7F3" w:themeFill="accent1" w:themeFillTint="33"/>
                <w:noWrap/>
                <w:vAlign w:val="bottom"/>
                <w:hideMark/>
              </w:tcPr>
              <w:p w14:paraId="4C03694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top w:val="nil"/>
                  <w:left w:val="nil"/>
                  <w:bottom w:val="nil"/>
                  <w:right w:val="nil"/>
                </w:tcBorders>
                <w:shd w:val="clear" w:color="auto" w:fill="CAE7F3" w:themeFill="accent1" w:themeFillTint="33"/>
                <w:noWrap/>
                <w:vAlign w:val="bottom"/>
                <w:hideMark/>
              </w:tcPr>
              <w:p w14:paraId="39E9CB7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109.8</w:t>
                </w:r>
              </w:p>
            </w:tc>
            <w:tc>
              <w:tcPr>
                <w:tcW w:w="662" w:type="dxa"/>
                <w:tcBorders>
                  <w:top w:val="nil"/>
                  <w:left w:val="nil"/>
                  <w:bottom w:val="nil"/>
                  <w:right w:val="nil"/>
                </w:tcBorders>
                <w:shd w:val="clear" w:color="auto" w:fill="CAE7F3" w:themeFill="accent1" w:themeFillTint="33"/>
                <w:noWrap/>
                <w:vAlign w:val="bottom"/>
                <w:hideMark/>
              </w:tcPr>
              <w:p w14:paraId="592E65F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w:t>
                </w:r>
              </w:p>
            </w:tc>
            <w:tc>
              <w:tcPr>
                <w:tcW w:w="661" w:type="dxa"/>
                <w:tcBorders>
                  <w:top w:val="nil"/>
                  <w:left w:val="nil"/>
                  <w:bottom w:val="nil"/>
                  <w:right w:val="nil"/>
                </w:tcBorders>
                <w:shd w:val="clear" w:color="auto" w:fill="CAE7F3" w:themeFill="accent1" w:themeFillTint="33"/>
                <w:noWrap/>
                <w:vAlign w:val="bottom"/>
                <w:hideMark/>
              </w:tcPr>
              <w:p w14:paraId="6409E21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642.8</w:t>
                </w:r>
              </w:p>
            </w:tc>
            <w:tc>
              <w:tcPr>
                <w:tcW w:w="662" w:type="dxa"/>
                <w:tcBorders>
                  <w:top w:val="nil"/>
                  <w:left w:val="nil"/>
                  <w:bottom w:val="nil"/>
                  <w:right w:val="nil"/>
                </w:tcBorders>
                <w:shd w:val="clear" w:color="auto" w:fill="CAE7F3" w:themeFill="accent1" w:themeFillTint="33"/>
                <w:noWrap/>
                <w:vAlign w:val="bottom"/>
                <w:hideMark/>
              </w:tcPr>
              <w:p w14:paraId="6A3332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274.5</w:t>
                </w:r>
              </w:p>
            </w:tc>
            <w:tc>
              <w:tcPr>
                <w:tcW w:w="662" w:type="dxa"/>
                <w:tcBorders>
                  <w:top w:val="nil"/>
                  <w:left w:val="nil"/>
                  <w:bottom w:val="nil"/>
                  <w:right w:val="nil"/>
                </w:tcBorders>
                <w:shd w:val="clear" w:color="auto" w:fill="CAE7F3" w:themeFill="accent1" w:themeFillTint="33"/>
                <w:noWrap/>
                <w:vAlign w:val="bottom"/>
                <w:hideMark/>
              </w:tcPr>
              <w:p w14:paraId="4922173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409.5</w:t>
                </w:r>
              </w:p>
            </w:tc>
            <w:tc>
              <w:tcPr>
                <w:tcW w:w="662" w:type="dxa"/>
                <w:tcBorders>
                  <w:top w:val="nil"/>
                  <w:left w:val="nil"/>
                  <w:bottom w:val="nil"/>
                  <w:right w:val="nil"/>
                </w:tcBorders>
                <w:shd w:val="clear" w:color="auto" w:fill="CAE7F3" w:themeFill="accent1" w:themeFillTint="33"/>
                <w:noWrap/>
                <w:vAlign w:val="bottom"/>
                <w:hideMark/>
              </w:tcPr>
              <w:p w14:paraId="3BE0E1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341.0</w:t>
                </w:r>
              </w:p>
            </w:tc>
            <w:tc>
              <w:tcPr>
                <w:tcW w:w="662" w:type="dxa"/>
                <w:tcBorders>
                  <w:top w:val="nil"/>
                  <w:left w:val="nil"/>
                  <w:bottom w:val="nil"/>
                  <w:right w:val="nil"/>
                </w:tcBorders>
                <w:shd w:val="clear" w:color="auto" w:fill="CAE7F3" w:themeFill="accent1" w:themeFillTint="33"/>
                <w:noWrap/>
                <w:vAlign w:val="bottom"/>
                <w:hideMark/>
              </w:tcPr>
              <w:p w14:paraId="3D3ECE7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158.2</w:t>
                </w:r>
              </w:p>
            </w:tc>
            <w:tc>
              <w:tcPr>
                <w:tcW w:w="661" w:type="dxa"/>
                <w:tcBorders>
                  <w:top w:val="nil"/>
                  <w:left w:val="nil"/>
                  <w:bottom w:val="nil"/>
                  <w:right w:val="nil"/>
                </w:tcBorders>
                <w:shd w:val="clear" w:color="auto" w:fill="CAE7F3" w:themeFill="accent1" w:themeFillTint="33"/>
                <w:noWrap/>
                <w:vAlign w:val="bottom"/>
                <w:hideMark/>
              </w:tcPr>
              <w:p w14:paraId="2D83878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68.7</w:t>
                </w:r>
              </w:p>
            </w:tc>
            <w:tc>
              <w:tcPr>
                <w:tcW w:w="662" w:type="dxa"/>
                <w:tcBorders>
                  <w:top w:val="nil"/>
                  <w:left w:val="nil"/>
                  <w:bottom w:val="nil"/>
                  <w:right w:val="nil"/>
                </w:tcBorders>
                <w:shd w:val="clear" w:color="auto" w:fill="CAE7F3" w:themeFill="accent1" w:themeFillTint="33"/>
                <w:noWrap/>
                <w:vAlign w:val="bottom"/>
                <w:hideMark/>
              </w:tcPr>
              <w:p w14:paraId="29F3B0F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734.3</w:t>
                </w:r>
              </w:p>
            </w:tc>
            <w:tc>
              <w:tcPr>
                <w:tcW w:w="662" w:type="dxa"/>
                <w:tcBorders>
                  <w:top w:val="nil"/>
                  <w:left w:val="nil"/>
                  <w:bottom w:val="nil"/>
                  <w:right w:val="nil"/>
                </w:tcBorders>
                <w:shd w:val="clear" w:color="auto" w:fill="CAE7F3" w:themeFill="accent1" w:themeFillTint="33"/>
                <w:noWrap/>
                <w:vAlign w:val="bottom"/>
                <w:hideMark/>
              </w:tcPr>
              <w:p w14:paraId="04D7F8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593.5</w:t>
                </w:r>
              </w:p>
            </w:tc>
            <w:tc>
              <w:tcPr>
                <w:tcW w:w="662" w:type="dxa"/>
                <w:tcBorders>
                  <w:top w:val="nil"/>
                  <w:left w:val="nil"/>
                  <w:bottom w:val="nil"/>
                  <w:right w:val="nil"/>
                </w:tcBorders>
                <w:shd w:val="clear" w:color="auto" w:fill="CAE7F3" w:themeFill="accent1" w:themeFillTint="33"/>
                <w:noWrap/>
                <w:vAlign w:val="bottom"/>
                <w:hideMark/>
              </w:tcPr>
              <w:p w14:paraId="6C613BA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998.2</w:t>
                </w:r>
              </w:p>
            </w:tc>
            <w:tc>
              <w:tcPr>
                <w:tcW w:w="662" w:type="dxa"/>
                <w:tcBorders>
                  <w:top w:val="nil"/>
                  <w:left w:val="nil"/>
                  <w:bottom w:val="nil"/>
                  <w:right w:val="nil"/>
                </w:tcBorders>
                <w:shd w:val="clear" w:color="auto" w:fill="CAE7F3" w:themeFill="accent1" w:themeFillTint="33"/>
                <w:noWrap/>
                <w:vAlign w:val="bottom"/>
                <w:hideMark/>
              </w:tcPr>
              <w:p w14:paraId="6939F39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234.7</w:t>
                </w:r>
              </w:p>
            </w:tc>
            <w:tc>
              <w:tcPr>
                <w:tcW w:w="661" w:type="dxa"/>
                <w:tcBorders>
                  <w:top w:val="nil"/>
                  <w:left w:val="nil"/>
                  <w:bottom w:val="nil"/>
                  <w:right w:val="nil"/>
                </w:tcBorders>
                <w:shd w:val="clear" w:color="auto" w:fill="CAE7F3" w:themeFill="accent1" w:themeFillTint="33"/>
                <w:noWrap/>
                <w:vAlign w:val="bottom"/>
                <w:hideMark/>
              </w:tcPr>
              <w:p w14:paraId="6F41FE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w:t>
                </w:r>
              </w:p>
            </w:tc>
            <w:tc>
              <w:tcPr>
                <w:tcW w:w="662" w:type="dxa"/>
                <w:tcBorders>
                  <w:top w:val="nil"/>
                  <w:left w:val="nil"/>
                  <w:bottom w:val="nil"/>
                  <w:right w:val="nil"/>
                </w:tcBorders>
                <w:shd w:val="clear" w:color="auto" w:fill="CAE7F3" w:themeFill="accent1" w:themeFillTint="33"/>
                <w:noWrap/>
                <w:vAlign w:val="bottom"/>
                <w:hideMark/>
              </w:tcPr>
              <w:p w14:paraId="51D06C1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82.7</w:t>
                </w:r>
              </w:p>
            </w:tc>
            <w:tc>
              <w:tcPr>
                <w:tcW w:w="662" w:type="dxa"/>
                <w:tcBorders>
                  <w:top w:val="nil"/>
                  <w:left w:val="nil"/>
                  <w:bottom w:val="nil"/>
                  <w:right w:val="nil"/>
                </w:tcBorders>
                <w:shd w:val="clear" w:color="auto" w:fill="CAE7F3" w:themeFill="accent1" w:themeFillTint="33"/>
                <w:noWrap/>
                <w:vAlign w:val="bottom"/>
                <w:hideMark/>
              </w:tcPr>
              <w:p w14:paraId="43CFF0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364.2</w:t>
                </w:r>
              </w:p>
            </w:tc>
            <w:tc>
              <w:tcPr>
                <w:tcW w:w="662" w:type="dxa"/>
                <w:tcBorders>
                  <w:top w:val="nil"/>
                  <w:left w:val="nil"/>
                  <w:bottom w:val="nil"/>
                  <w:right w:val="nil"/>
                </w:tcBorders>
                <w:shd w:val="clear" w:color="auto" w:fill="CAE7F3" w:themeFill="accent1" w:themeFillTint="33"/>
                <w:noWrap/>
                <w:vAlign w:val="bottom"/>
                <w:hideMark/>
              </w:tcPr>
              <w:p w14:paraId="1B4A03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70.7</w:t>
                </w:r>
              </w:p>
            </w:tc>
            <w:tc>
              <w:tcPr>
                <w:tcW w:w="662" w:type="dxa"/>
                <w:tcBorders>
                  <w:top w:val="nil"/>
                  <w:left w:val="nil"/>
                  <w:bottom w:val="nil"/>
                  <w:right w:val="nil"/>
                </w:tcBorders>
                <w:shd w:val="clear" w:color="auto" w:fill="CAE7F3" w:themeFill="accent1" w:themeFillTint="33"/>
                <w:noWrap/>
                <w:vAlign w:val="bottom"/>
                <w:hideMark/>
              </w:tcPr>
              <w:p w14:paraId="01812D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155.5</w:t>
                </w:r>
              </w:p>
            </w:tc>
          </w:tr>
          <w:tr w:rsidR="00830FDC" w:rsidRPr="00F63634" w14:paraId="47D241B0"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5661AF29"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Inner South</w:t>
                </w:r>
              </w:p>
            </w:tc>
            <w:tc>
              <w:tcPr>
                <w:tcW w:w="661" w:type="dxa"/>
                <w:tcBorders>
                  <w:top w:val="nil"/>
                  <w:left w:val="nil"/>
                  <w:bottom w:val="nil"/>
                  <w:right w:val="nil"/>
                </w:tcBorders>
                <w:shd w:val="clear" w:color="auto" w:fill="CAE7F3" w:themeFill="accent1" w:themeFillTint="33"/>
                <w:noWrap/>
                <w:vAlign w:val="bottom"/>
                <w:hideMark/>
              </w:tcPr>
              <w:p w14:paraId="7C899C8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117.0</w:t>
                </w:r>
              </w:p>
            </w:tc>
            <w:tc>
              <w:tcPr>
                <w:tcW w:w="662" w:type="dxa"/>
                <w:tcBorders>
                  <w:top w:val="nil"/>
                  <w:left w:val="nil"/>
                  <w:bottom w:val="nil"/>
                  <w:right w:val="nil"/>
                </w:tcBorders>
                <w:shd w:val="clear" w:color="auto" w:fill="CAE7F3" w:themeFill="accent1" w:themeFillTint="33"/>
                <w:noWrap/>
                <w:vAlign w:val="bottom"/>
                <w:hideMark/>
              </w:tcPr>
              <w:p w14:paraId="4646985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w:t>
                </w:r>
              </w:p>
            </w:tc>
            <w:tc>
              <w:tcPr>
                <w:tcW w:w="662" w:type="dxa"/>
                <w:tcBorders>
                  <w:top w:val="nil"/>
                  <w:left w:val="nil"/>
                  <w:bottom w:val="nil"/>
                  <w:right w:val="nil"/>
                </w:tcBorders>
                <w:shd w:val="clear" w:color="auto" w:fill="CAE7F3" w:themeFill="accent1" w:themeFillTint="33"/>
                <w:noWrap/>
                <w:vAlign w:val="bottom"/>
                <w:hideMark/>
              </w:tcPr>
              <w:p w14:paraId="1D4F55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183.7</w:t>
                </w:r>
              </w:p>
            </w:tc>
            <w:tc>
              <w:tcPr>
                <w:tcW w:w="662" w:type="dxa"/>
                <w:tcBorders>
                  <w:top w:val="nil"/>
                  <w:left w:val="nil"/>
                  <w:bottom w:val="nil"/>
                  <w:right w:val="nil"/>
                </w:tcBorders>
                <w:shd w:val="clear" w:color="auto" w:fill="CAE7F3" w:themeFill="accent1" w:themeFillTint="33"/>
                <w:noWrap/>
                <w:vAlign w:val="bottom"/>
                <w:hideMark/>
              </w:tcPr>
              <w:p w14:paraId="079ED1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13.3</w:t>
                </w:r>
              </w:p>
            </w:tc>
            <w:tc>
              <w:tcPr>
                <w:tcW w:w="661" w:type="dxa"/>
                <w:tcBorders>
                  <w:top w:val="nil"/>
                  <w:left w:val="nil"/>
                  <w:bottom w:val="nil"/>
                  <w:right w:val="nil"/>
                </w:tcBorders>
                <w:shd w:val="clear" w:color="auto" w:fill="CAE7F3" w:themeFill="accent1" w:themeFillTint="33"/>
                <w:noWrap/>
                <w:vAlign w:val="bottom"/>
                <w:hideMark/>
              </w:tcPr>
              <w:p w14:paraId="72CCE61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815.2</w:t>
                </w:r>
              </w:p>
            </w:tc>
            <w:tc>
              <w:tcPr>
                <w:tcW w:w="662" w:type="dxa"/>
                <w:tcBorders>
                  <w:top w:val="nil"/>
                  <w:left w:val="nil"/>
                  <w:bottom w:val="nil"/>
                  <w:right w:val="nil"/>
                </w:tcBorders>
                <w:shd w:val="clear" w:color="auto" w:fill="CAE7F3" w:themeFill="accent1" w:themeFillTint="33"/>
                <w:noWrap/>
                <w:vAlign w:val="bottom"/>
                <w:hideMark/>
              </w:tcPr>
              <w:p w14:paraId="39A432F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280.2</w:t>
                </w:r>
              </w:p>
            </w:tc>
            <w:tc>
              <w:tcPr>
                <w:tcW w:w="662" w:type="dxa"/>
                <w:tcBorders>
                  <w:top w:val="nil"/>
                  <w:left w:val="nil"/>
                  <w:bottom w:val="nil"/>
                  <w:right w:val="nil"/>
                </w:tcBorders>
                <w:shd w:val="clear" w:color="auto" w:fill="CAE7F3" w:themeFill="accent1" w:themeFillTint="33"/>
                <w:noWrap/>
                <w:vAlign w:val="bottom"/>
                <w:hideMark/>
              </w:tcPr>
              <w:p w14:paraId="6B44C89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449.5</w:t>
                </w:r>
              </w:p>
            </w:tc>
            <w:tc>
              <w:tcPr>
                <w:tcW w:w="662" w:type="dxa"/>
                <w:tcBorders>
                  <w:top w:val="nil"/>
                  <w:left w:val="nil"/>
                  <w:bottom w:val="nil"/>
                  <w:right w:val="nil"/>
                </w:tcBorders>
                <w:shd w:val="clear" w:color="auto" w:fill="CAE7F3" w:themeFill="accent1" w:themeFillTint="33"/>
                <w:noWrap/>
                <w:vAlign w:val="bottom"/>
                <w:hideMark/>
              </w:tcPr>
              <w:p w14:paraId="48CFF09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281.8</w:t>
                </w:r>
              </w:p>
            </w:tc>
            <w:tc>
              <w:tcPr>
                <w:tcW w:w="662" w:type="dxa"/>
                <w:tcBorders>
                  <w:top w:val="nil"/>
                  <w:left w:val="nil"/>
                  <w:bottom w:val="nil"/>
                  <w:right w:val="nil"/>
                </w:tcBorders>
                <w:shd w:val="clear" w:color="auto" w:fill="CAE7F3" w:themeFill="accent1" w:themeFillTint="33"/>
                <w:noWrap/>
                <w:vAlign w:val="bottom"/>
                <w:hideMark/>
              </w:tcPr>
              <w:p w14:paraId="6C4CCF0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222.2</w:t>
                </w:r>
              </w:p>
            </w:tc>
            <w:tc>
              <w:tcPr>
                <w:tcW w:w="661" w:type="dxa"/>
                <w:tcBorders>
                  <w:top w:val="nil"/>
                  <w:left w:val="nil"/>
                  <w:bottom w:val="nil"/>
                  <w:right w:val="nil"/>
                </w:tcBorders>
                <w:shd w:val="clear" w:color="auto" w:fill="CAE7F3" w:themeFill="accent1" w:themeFillTint="33"/>
                <w:noWrap/>
                <w:vAlign w:val="bottom"/>
                <w:hideMark/>
              </w:tcPr>
              <w:p w14:paraId="59AE3B8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79.0</w:t>
                </w:r>
              </w:p>
            </w:tc>
            <w:tc>
              <w:tcPr>
                <w:tcW w:w="662" w:type="dxa"/>
                <w:tcBorders>
                  <w:top w:val="nil"/>
                  <w:left w:val="nil"/>
                  <w:bottom w:val="nil"/>
                  <w:right w:val="nil"/>
                </w:tcBorders>
                <w:shd w:val="clear" w:color="auto" w:fill="CAE7F3" w:themeFill="accent1" w:themeFillTint="33"/>
                <w:noWrap/>
                <w:vAlign w:val="bottom"/>
                <w:hideMark/>
              </w:tcPr>
              <w:p w14:paraId="0C2E35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656.7</w:t>
                </w:r>
              </w:p>
            </w:tc>
            <w:tc>
              <w:tcPr>
                <w:tcW w:w="662" w:type="dxa"/>
                <w:tcBorders>
                  <w:top w:val="nil"/>
                  <w:left w:val="nil"/>
                  <w:bottom w:val="nil"/>
                  <w:right w:val="nil"/>
                </w:tcBorders>
                <w:shd w:val="clear" w:color="auto" w:fill="CAE7F3" w:themeFill="accent1" w:themeFillTint="33"/>
                <w:noWrap/>
                <w:vAlign w:val="bottom"/>
                <w:hideMark/>
              </w:tcPr>
              <w:p w14:paraId="63C1CE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575.7</w:t>
                </w:r>
              </w:p>
            </w:tc>
            <w:tc>
              <w:tcPr>
                <w:tcW w:w="662" w:type="dxa"/>
                <w:tcBorders>
                  <w:top w:val="nil"/>
                  <w:left w:val="nil"/>
                  <w:bottom w:val="nil"/>
                  <w:right w:val="nil"/>
                </w:tcBorders>
                <w:shd w:val="clear" w:color="auto" w:fill="CAE7F3" w:themeFill="accent1" w:themeFillTint="33"/>
                <w:noWrap/>
                <w:vAlign w:val="bottom"/>
                <w:hideMark/>
              </w:tcPr>
              <w:p w14:paraId="1D1475E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1064.5</w:t>
                </w:r>
              </w:p>
            </w:tc>
            <w:tc>
              <w:tcPr>
                <w:tcW w:w="662" w:type="dxa"/>
                <w:tcBorders>
                  <w:top w:val="nil"/>
                  <w:left w:val="nil"/>
                  <w:bottom w:val="nil"/>
                  <w:right w:val="nil"/>
                </w:tcBorders>
                <w:shd w:val="clear" w:color="auto" w:fill="CAE7F3" w:themeFill="accent1" w:themeFillTint="33"/>
                <w:noWrap/>
                <w:vAlign w:val="bottom"/>
                <w:hideMark/>
              </w:tcPr>
              <w:p w14:paraId="34FC0A8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257.3</w:t>
                </w:r>
              </w:p>
            </w:tc>
            <w:tc>
              <w:tcPr>
                <w:tcW w:w="661" w:type="dxa"/>
                <w:tcBorders>
                  <w:top w:val="nil"/>
                  <w:left w:val="nil"/>
                  <w:bottom w:val="nil"/>
                  <w:right w:val="nil"/>
                </w:tcBorders>
                <w:shd w:val="clear" w:color="auto" w:fill="CAE7F3" w:themeFill="accent1" w:themeFillTint="33"/>
                <w:noWrap/>
                <w:vAlign w:val="bottom"/>
                <w:hideMark/>
              </w:tcPr>
              <w:p w14:paraId="442C3D8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w:t>
                </w:r>
              </w:p>
            </w:tc>
            <w:tc>
              <w:tcPr>
                <w:tcW w:w="662" w:type="dxa"/>
                <w:tcBorders>
                  <w:top w:val="nil"/>
                  <w:left w:val="nil"/>
                  <w:bottom w:val="nil"/>
                  <w:right w:val="nil"/>
                </w:tcBorders>
                <w:shd w:val="clear" w:color="auto" w:fill="CAE7F3" w:themeFill="accent1" w:themeFillTint="33"/>
                <w:noWrap/>
                <w:vAlign w:val="bottom"/>
                <w:hideMark/>
              </w:tcPr>
              <w:p w14:paraId="70401F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100.0</w:t>
                </w:r>
              </w:p>
            </w:tc>
            <w:tc>
              <w:tcPr>
                <w:tcW w:w="662" w:type="dxa"/>
                <w:tcBorders>
                  <w:top w:val="nil"/>
                  <w:left w:val="nil"/>
                  <w:bottom w:val="nil"/>
                  <w:right w:val="nil"/>
                </w:tcBorders>
                <w:shd w:val="clear" w:color="auto" w:fill="CAE7F3" w:themeFill="accent1" w:themeFillTint="33"/>
                <w:noWrap/>
                <w:vAlign w:val="bottom"/>
                <w:hideMark/>
              </w:tcPr>
              <w:p w14:paraId="66FCE77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280.5</w:t>
                </w:r>
              </w:p>
            </w:tc>
            <w:tc>
              <w:tcPr>
                <w:tcW w:w="662" w:type="dxa"/>
                <w:tcBorders>
                  <w:top w:val="nil"/>
                  <w:left w:val="nil"/>
                  <w:bottom w:val="nil"/>
                  <w:right w:val="nil"/>
                </w:tcBorders>
                <w:shd w:val="clear" w:color="auto" w:fill="CAE7F3" w:themeFill="accent1" w:themeFillTint="33"/>
                <w:noWrap/>
                <w:vAlign w:val="bottom"/>
                <w:hideMark/>
              </w:tcPr>
              <w:p w14:paraId="0F47D5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97.5</w:t>
                </w:r>
              </w:p>
            </w:tc>
            <w:tc>
              <w:tcPr>
                <w:tcW w:w="662" w:type="dxa"/>
                <w:tcBorders>
                  <w:top w:val="nil"/>
                  <w:left w:val="nil"/>
                  <w:bottom w:val="nil"/>
                  <w:right w:val="nil"/>
                </w:tcBorders>
                <w:shd w:val="clear" w:color="auto" w:fill="CAE7F3" w:themeFill="accent1" w:themeFillTint="33"/>
                <w:noWrap/>
                <w:vAlign w:val="bottom"/>
                <w:hideMark/>
              </w:tcPr>
              <w:p w14:paraId="51DA89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209.3</w:t>
                </w:r>
              </w:p>
            </w:tc>
          </w:tr>
          <w:tr w:rsidR="00830FDC" w:rsidRPr="00F63634" w14:paraId="26B808DC"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682EDA4C"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North East</w:t>
                </w:r>
              </w:p>
            </w:tc>
            <w:tc>
              <w:tcPr>
                <w:tcW w:w="661" w:type="dxa"/>
                <w:tcBorders>
                  <w:top w:val="nil"/>
                  <w:left w:val="nil"/>
                  <w:bottom w:val="nil"/>
                  <w:right w:val="nil"/>
                </w:tcBorders>
                <w:shd w:val="clear" w:color="auto" w:fill="CAE7F3" w:themeFill="accent1" w:themeFillTint="33"/>
                <w:noWrap/>
                <w:vAlign w:val="bottom"/>
                <w:hideMark/>
              </w:tcPr>
              <w:p w14:paraId="68797BE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86.3</w:t>
                </w:r>
              </w:p>
            </w:tc>
            <w:tc>
              <w:tcPr>
                <w:tcW w:w="662" w:type="dxa"/>
                <w:tcBorders>
                  <w:top w:val="nil"/>
                  <w:left w:val="nil"/>
                  <w:bottom w:val="nil"/>
                  <w:right w:val="nil"/>
                </w:tcBorders>
                <w:shd w:val="clear" w:color="auto" w:fill="CAE7F3" w:themeFill="accent1" w:themeFillTint="33"/>
                <w:noWrap/>
                <w:vAlign w:val="bottom"/>
                <w:hideMark/>
              </w:tcPr>
              <w:p w14:paraId="17928AF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6BEA9F0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178.5</w:t>
                </w:r>
              </w:p>
            </w:tc>
            <w:tc>
              <w:tcPr>
                <w:tcW w:w="662" w:type="dxa"/>
                <w:tcBorders>
                  <w:top w:val="nil"/>
                  <w:left w:val="nil"/>
                  <w:bottom w:val="nil"/>
                  <w:right w:val="nil"/>
                </w:tcBorders>
                <w:shd w:val="clear" w:color="auto" w:fill="CAE7F3" w:themeFill="accent1" w:themeFillTint="33"/>
                <w:noWrap/>
                <w:vAlign w:val="bottom"/>
                <w:hideMark/>
              </w:tcPr>
              <w:p w14:paraId="22E342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16.0</w:t>
                </w:r>
              </w:p>
            </w:tc>
            <w:tc>
              <w:tcPr>
                <w:tcW w:w="661" w:type="dxa"/>
                <w:tcBorders>
                  <w:top w:val="nil"/>
                  <w:left w:val="nil"/>
                  <w:bottom w:val="nil"/>
                  <w:right w:val="nil"/>
                </w:tcBorders>
                <w:shd w:val="clear" w:color="auto" w:fill="CAE7F3" w:themeFill="accent1" w:themeFillTint="33"/>
                <w:noWrap/>
                <w:vAlign w:val="bottom"/>
                <w:hideMark/>
              </w:tcPr>
              <w:p w14:paraId="037B37F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1246.8</w:t>
                </w:r>
              </w:p>
            </w:tc>
            <w:tc>
              <w:tcPr>
                <w:tcW w:w="662" w:type="dxa"/>
                <w:tcBorders>
                  <w:top w:val="nil"/>
                  <w:left w:val="nil"/>
                  <w:bottom w:val="nil"/>
                  <w:right w:val="nil"/>
                </w:tcBorders>
                <w:shd w:val="clear" w:color="auto" w:fill="CAE7F3" w:themeFill="accent1" w:themeFillTint="33"/>
                <w:noWrap/>
                <w:vAlign w:val="bottom"/>
                <w:hideMark/>
              </w:tcPr>
              <w:p w14:paraId="291FB8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184.2</w:t>
                </w:r>
              </w:p>
            </w:tc>
            <w:tc>
              <w:tcPr>
                <w:tcW w:w="662" w:type="dxa"/>
                <w:tcBorders>
                  <w:top w:val="nil"/>
                  <w:left w:val="nil"/>
                  <w:bottom w:val="nil"/>
                  <w:right w:val="nil"/>
                </w:tcBorders>
                <w:shd w:val="clear" w:color="auto" w:fill="CAE7F3" w:themeFill="accent1" w:themeFillTint="33"/>
                <w:noWrap/>
                <w:vAlign w:val="bottom"/>
                <w:hideMark/>
              </w:tcPr>
              <w:p w14:paraId="40FCC7E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380.8</w:t>
                </w:r>
              </w:p>
            </w:tc>
            <w:tc>
              <w:tcPr>
                <w:tcW w:w="662" w:type="dxa"/>
                <w:tcBorders>
                  <w:top w:val="nil"/>
                  <w:left w:val="nil"/>
                  <w:bottom w:val="nil"/>
                  <w:right w:val="nil"/>
                </w:tcBorders>
                <w:shd w:val="clear" w:color="auto" w:fill="CAE7F3" w:themeFill="accent1" w:themeFillTint="33"/>
                <w:noWrap/>
                <w:vAlign w:val="bottom"/>
                <w:hideMark/>
              </w:tcPr>
              <w:p w14:paraId="3C8D907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223.2</w:t>
                </w:r>
              </w:p>
            </w:tc>
            <w:tc>
              <w:tcPr>
                <w:tcW w:w="662" w:type="dxa"/>
                <w:tcBorders>
                  <w:top w:val="nil"/>
                  <w:left w:val="nil"/>
                  <w:bottom w:val="nil"/>
                  <w:right w:val="nil"/>
                </w:tcBorders>
                <w:shd w:val="clear" w:color="auto" w:fill="CAE7F3" w:themeFill="accent1" w:themeFillTint="33"/>
                <w:noWrap/>
                <w:vAlign w:val="bottom"/>
                <w:hideMark/>
              </w:tcPr>
              <w:p w14:paraId="1DEC94E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493.5</w:t>
                </w:r>
              </w:p>
            </w:tc>
            <w:tc>
              <w:tcPr>
                <w:tcW w:w="661" w:type="dxa"/>
                <w:tcBorders>
                  <w:top w:val="nil"/>
                  <w:left w:val="nil"/>
                  <w:bottom w:val="nil"/>
                  <w:right w:val="nil"/>
                </w:tcBorders>
                <w:shd w:val="clear" w:color="auto" w:fill="CAE7F3" w:themeFill="accent1" w:themeFillTint="33"/>
                <w:noWrap/>
                <w:vAlign w:val="bottom"/>
                <w:hideMark/>
              </w:tcPr>
              <w:p w14:paraId="181A249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44.8</w:t>
                </w:r>
              </w:p>
            </w:tc>
            <w:tc>
              <w:tcPr>
                <w:tcW w:w="662" w:type="dxa"/>
                <w:tcBorders>
                  <w:top w:val="nil"/>
                  <w:left w:val="nil"/>
                  <w:bottom w:val="nil"/>
                  <w:right w:val="nil"/>
                </w:tcBorders>
                <w:shd w:val="clear" w:color="auto" w:fill="CAE7F3" w:themeFill="accent1" w:themeFillTint="33"/>
                <w:noWrap/>
                <w:vAlign w:val="bottom"/>
                <w:hideMark/>
              </w:tcPr>
              <w:p w14:paraId="3DF961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359.2</w:t>
                </w:r>
              </w:p>
            </w:tc>
            <w:tc>
              <w:tcPr>
                <w:tcW w:w="662" w:type="dxa"/>
                <w:tcBorders>
                  <w:top w:val="nil"/>
                  <w:left w:val="nil"/>
                  <w:bottom w:val="nil"/>
                  <w:right w:val="nil"/>
                </w:tcBorders>
                <w:shd w:val="clear" w:color="auto" w:fill="CAE7F3" w:themeFill="accent1" w:themeFillTint="33"/>
                <w:noWrap/>
                <w:vAlign w:val="bottom"/>
                <w:hideMark/>
              </w:tcPr>
              <w:p w14:paraId="2317DC7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351.7</w:t>
                </w:r>
              </w:p>
            </w:tc>
            <w:tc>
              <w:tcPr>
                <w:tcW w:w="662" w:type="dxa"/>
                <w:tcBorders>
                  <w:top w:val="nil"/>
                  <w:left w:val="nil"/>
                  <w:bottom w:val="nil"/>
                  <w:right w:val="nil"/>
                </w:tcBorders>
                <w:shd w:val="clear" w:color="auto" w:fill="CAE7F3" w:themeFill="accent1" w:themeFillTint="33"/>
                <w:noWrap/>
                <w:vAlign w:val="bottom"/>
                <w:hideMark/>
              </w:tcPr>
              <w:p w14:paraId="65725C6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589.3</w:t>
                </w:r>
              </w:p>
            </w:tc>
            <w:tc>
              <w:tcPr>
                <w:tcW w:w="662" w:type="dxa"/>
                <w:tcBorders>
                  <w:top w:val="nil"/>
                  <w:left w:val="nil"/>
                  <w:bottom w:val="nil"/>
                  <w:right w:val="nil"/>
                </w:tcBorders>
                <w:shd w:val="clear" w:color="auto" w:fill="CAE7F3" w:themeFill="accent1" w:themeFillTint="33"/>
                <w:noWrap/>
                <w:vAlign w:val="bottom"/>
                <w:hideMark/>
              </w:tcPr>
              <w:p w14:paraId="6F4F058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255.7</w:t>
                </w:r>
              </w:p>
            </w:tc>
            <w:tc>
              <w:tcPr>
                <w:tcW w:w="661" w:type="dxa"/>
                <w:tcBorders>
                  <w:top w:val="nil"/>
                  <w:left w:val="nil"/>
                  <w:bottom w:val="nil"/>
                  <w:right w:val="nil"/>
                </w:tcBorders>
                <w:shd w:val="clear" w:color="auto" w:fill="CAE7F3" w:themeFill="accent1" w:themeFillTint="33"/>
                <w:noWrap/>
                <w:vAlign w:val="bottom"/>
                <w:hideMark/>
              </w:tcPr>
              <w:p w14:paraId="4594C5E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28.5</w:t>
                </w:r>
              </w:p>
            </w:tc>
            <w:tc>
              <w:tcPr>
                <w:tcW w:w="662" w:type="dxa"/>
                <w:tcBorders>
                  <w:top w:val="nil"/>
                  <w:left w:val="nil"/>
                  <w:bottom w:val="nil"/>
                  <w:right w:val="nil"/>
                </w:tcBorders>
                <w:shd w:val="clear" w:color="auto" w:fill="CAE7F3" w:themeFill="accent1" w:themeFillTint="33"/>
                <w:noWrap/>
                <w:vAlign w:val="bottom"/>
                <w:hideMark/>
              </w:tcPr>
              <w:p w14:paraId="77799E2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71.5</w:t>
                </w:r>
              </w:p>
            </w:tc>
            <w:tc>
              <w:tcPr>
                <w:tcW w:w="662" w:type="dxa"/>
                <w:tcBorders>
                  <w:top w:val="nil"/>
                  <w:left w:val="nil"/>
                  <w:bottom w:val="nil"/>
                  <w:right w:val="nil"/>
                </w:tcBorders>
                <w:shd w:val="clear" w:color="auto" w:fill="CAE7F3" w:themeFill="accent1" w:themeFillTint="33"/>
                <w:noWrap/>
                <w:vAlign w:val="bottom"/>
                <w:hideMark/>
              </w:tcPr>
              <w:p w14:paraId="0FB58A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218.0</w:t>
                </w:r>
              </w:p>
            </w:tc>
            <w:tc>
              <w:tcPr>
                <w:tcW w:w="662" w:type="dxa"/>
                <w:tcBorders>
                  <w:top w:val="nil"/>
                  <w:left w:val="nil"/>
                  <w:bottom w:val="nil"/>
                  <w:right w:val="nil"/>
                </w:tcBorders>
                <w:shd w:val="clear" w:color="auto" w:fill="CAE7F3" w:themeFill="accent1" w:themeFillTint="33"/>
                <w:noWrap/>
                <w:vAlign w:val="bottom"/>
                <w:hideMark/>
              </w:tcPr>
              <w:p w14:paraId="4286712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65.0</w:t>
                </w:r>
              </w:p>
            </w:tc>
            <w:tc>
              <w:tcPr>
                <w:tcW w:w="662" w:type="dxa"/>
                <w:tcBorders>
                  <w:top w:val="nil"/>
                  <w:left w:val="nil"/>
                  <w:bottom w:val="nil"/>
                  <w:right w:val="nil"/>
                </w:tcBorders>
                <w:shd w:val="clear" w:color="auto" w:fill="CAE7F3" w:themeFill="accent1" w:themeFillTint="33"/>
                <w:noWrap/>
                <w:vAlign w:val="bottom"/>
                <w:hideMark/>
              </w:tcPr>
              <w:p w14:paraId="3AB0ABB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222.0</w:t>
                </w:r>
              </w:p>
            </w:tc>
          </w:tr>
          <w:tr w:rsidR="00830FDC" w:rsidRPr="00F63634" w14:paraId="42C204F0"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7D38AC0C"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North West</w:t>
                </w:r>
              </w:p>
            </w:tc>
            <w:tc>
              <w:tcPr>
                <w:tcW w:w="661" w:type="dxa"/>
                <w:tcBorders>
                  <w:top w:val="nil"/>
                  <w:left w:val="nil"/>
                  <w:bottom w:val="nil"/>
                  <w:right w:val="nil"/>
                </w:tcBorders>
                <w:shd w:val="clear" w:color="auto" w:fill="CAE7F3" w:themeFill="accent1" w:themeFillTint="33"/>
                <w:noWrap/>
                <w:vAlign w:val="bottom"/>
                <w:hideMark/>
              </w:tcPr>
              <w:p w14:paraId="022D372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62.8</w:t>
                </w:r>
              </w:p>
            </w:tc>
            <w:tc>
              <w:tcPr>
                <w:tcW w:w="662" w:type="dxa"/>
                <w:tcBorders>
                  <w:top w:val="nil"/>
                  <w:left w:val="nil"/>
                  <w:bottom w:val="nil"/>
                  <w:right w:val="nil"/>
                </w:tcBorders>
                <w:shd w:val="clear" w:color="auto" w:fill="CAE7F3" w:themeFill="accent1" w:themeFillTint="33"/>
                <w:noWrap/>
                <w:vAlign w:val="bottom"/>
                <w:hideMark/>
              </w:tcPr>
              <w:p w14:paraId="1BAAAC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7D97BF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170.7</w:t>
                </w:r>
              </w:p>
            </w:tc>
            <w:tc>
              <w:tcPr>
                <w:tcW w:w="662" w:type="dxa"/>
                <w:tcBorders>
                  <w:top w:val="nil"/>
                  <w:left w:val="nil"/>
                  <w:bottom w:val="nil"/>
                  <w:right w:val="nil"/>
                </w:tcBorders>
                <w:shd w:val="clear" w:color="auto" w:fill="CAE7F3" w:themeFill="accent1" w:themeFillTint="33"/>
                <w:noWrap/>
                <w:vAlign w:val="bottom"/>
                <w:hideMark/>
              </w:tcPr>
              <w:p w14:paraId="418DF84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w:t>
                </w:r>
              </w:p>
            </w:tc>
            <w:tc>
              <w:tcPr>
                <w:tcW w:w="661" w:type="dxa"/>
                <w:tcBorders>
                  <w:top w:val="nil"/>
                  <w:left w:val="nil"/>
                  <w:bottom w:val="nil"/>
                  <w:right w:val="nil"/>
                </w:tcBorders>
                <w:shd w:val="clear" w:color="auto" w:fill="CAE7F3" w:themeFill="accent1" w:themeFillTint="33"/>
                <w:noWrap/>
                <w:vAlign w:val="bottom"/>
                <w:hideMark/>
              </w:tcPr>
              <w:p w14:paraId="7E7A172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943.3</w:t>
                </w:r>
              </w:p>
            </w:tc>
            <w:tc>
              <w:tcPr>
                <w:tcW w:w="662" w:type="dxa"/>
                <w:tcBorders>
                  <w:top w:val="nil"/>
                  <w:left w:val="nil"/>
                  <w:bottom w:val="nil"/>
                  <w:right w:val="nil"/>
                </w:tcBorders>
                <w:shd w:val="clear" w:color="auto" w:fill="CAE7F3" w:themeFill="accent1" w:themeFillTint="33"/>
                <w:noWrap/>
                <w:vAlign w:val="bottom"/>
                <w:hideMark/>
              </w:tcPr>
              <w:p w14:paraId="2CD713D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164.0</w:t>
                </w:r>
              </w:p>
            </w:tc>
            <w:tc>
              <w:tcPr>
                <w:tcW w:w="662" w:type="dxa"/>
                <w:tcBorders>
                  <w:top w:val="nil"/>
                  <w:left w:val="nil"/>
                  <w:bottom w:val="nil"/>
                  <w:right w:val="nil"/>
                </w:tcBorders>
                <w:shd w:val="clear" w:color="auto" w:fill="CAE7F3" w:themeFill="accent1" w:themeFillTint="33"/>
                <w:noWrap/>
                <w:vAlign w:val="bottom"/>
                <w:hideMark/>
              </w:tcPr>
              <w:p w14:paraId="52206BC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272.3</w:t>
                </w:r>
              </w:p>
            </w:tc>
            <w:tc>
              <w:tcPr>
                <w:tcW w:w="662" w:type="dxa"/>
                <w:tcBorders>
                  <w:top w:val="nil"/>
                  <w:left w:val="nil"/>
                  <w:bottom w:val="nil"/>
                  <w:right w:val="nil"/>
                </w:tcBorders>
                <w:shd w:val="clear" w:color="auto" w:fill="CAE7F3" w:themeFill="accent1" w:themeFillTint="33"/>
                <w:noWrap/>
                <w:vAlign w:val="bottom"/>
                <w:hideMark/>
              </w:tcPr>
              <w:p w14:paraId="40D3A1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162.5</w:t>
                </w:r>
              </w:p>
            </w:tc>
            <w:tc>
              <w:tcPr>
                <w:tcW w:w="662" w:type="dxa"/>
                <w:tcBorders>
                  <w:top w:val="nil"/>
                  <w:left w:val="nil"/>
                  <w:bottom w:val="nil"/>
                  <w:right w:val="nil"/>
                </w:tcBorders>
                <w:shd w:val="clear" w:color="auto" w:fill="CAE7F3" w:themeFill="accent1" w:themeFillTint="33"/>
                <w:noWrap/>
                <w:vAlign w:val="bottom"/>
                <w:hideMark/>
              </w:tcPr>
              <w:p w14:paraId="11DD62E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505.8</w:t>
                </w:r>
              </w:p>
            </w:tc>
            <w:tc>
              <w:tcPr>
                <w:tcW w:w="661" w:type="dxa"/>
                <w:tcBorders>
                  <w:top w:val="nil"/>
                  <w:left w:val="nil"/>
                  <w:bottom w:val="nil"/>
                  <w:right w:val="nil"/>
                </w:tcBorders>
                <w:shd w:val="clear" w:color="auto" w:fill="CAE7F3" w:themeFill="accent1" w:themeFillTint="33"/>
                <w:noWrap/>
                <w:vAlign w:val="bottom"/>
                <w:hideMark/>
              </w:tcPr>
              <w:p w14:paraId="7526EA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27.2</w:t>
                </w:r>
              </w:p>
            </w:tc>
            <w:tc>
              <w:tcPr>
                <w:tcW w:w="662" w:type="dxa"/>
                <w:tcBorders>
                  <w:top w:val="nil"/>
                  <w:left w:val="nil"/>
                  <w:bottom w:val="nil"/>
                  <w:right w:val="nil"/>
                </w:tcBorders>
                <w:shd w:val="clear" w:color="auto" w:fill="CAE7F3" w:themeFill="accent1" w:themeFillTint="33"/>
                <w:noWrap/>
                <w:vAlign w:val="bottom"/>
                <w:hideMark/>
              </w:tcPr>
              <w:p w14:paraId="70F7EF1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243.3</w:t>
                </w:r>
              </w:p>
            </w:tc>
            <w:tc>
              <w:tcPr>
                <w:tcW w:w="662" w:type="dxa"/>
                <w:tcBorders>
                  <w:top w:val="nil"/>
                  <w:left w:val="nil"/>
                  <w:bottom w:val="nil"/>
                  <w:right w:val="nil"/>
                </w:tcBorders>
                <w:shd w:val="clear" w:color="auto" w:fill="CAE7F3" w:themeFill="accent1" w:themeFillTint="33"/>
                <w:noWrap/>
                <w:vAlign w:val="bottom"/>
                <w:hideMark/>
              </w:tcPr>
              <w:p w14:paraId="729BC16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276.0</w:t>
                </w:r>
              </w:p>
            </w:tc>
            <w:tc>
              <w:tcPr>
                <w:tcW w:w="662" w:type="dxa"/>
                <w:tcBorders>
                  <w:top w:val="nil"/>
                  <w:left w:val="nil"/>
                  <w:bottom w:val="nil"/>
                  <w:right w:val="nil"/>
                </w:tcBorders>
                <w:shd w:val="clear" w:color="auto" w:fill="CAE7F3" w:themeFill="accent1" w:themeFillTint="33"/>
                <w:noWrap/>
                <w:vAlign w:val="bottom"/>
                <w:hideMark/>
              </w:tcPr>
              <w:p w14:paraId="5C56B4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334.3</w:t>
                </w:r>
              </w:p>
            </w:tc>
            <w:tc>
              <w:tcPr>
                <w:tcW w:w="662" w:type="dxa"/>
                <w:tcBorders>
                  <w:top w:val="nil"/>
                  <w:left w:val="nil"/>
                  <w:bottom w:val="nil"/>
                  <w:right w:val="nil"/>
                </w:tcBorders>
                <w:shd w:val="clear" w:color="auto" w:fill="CAE7F3" w:themeFill="accent1" w:themeFillTint="33"/>
                <w:noWrap/>
                <w:vAlign w:val="bottom"/>
                <w:hideMark/>
              </w:tcPr>
              <w:p w14:paraId="0563F5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215.3</w:t>
                </w:r>
              </w:p>
            </w:tc>
            <w:tc>
              <w:tcPr>
                <w:tcW w:w="661" w:type="dxa"/>
                <w:tcBorders>
                  <w:top w:val="nil"/>
                  <w:left w:val="nil"/>
                  <w:bottom w:val="nil"/>
                  <w:right w:val="nil"/>
                </w:tcBorders>
                <w:shd w:val="clear" w:color="auto" w:fill="CAE7F3" w:themeFill="accent1" w:themeFillTint="33"/>
                <w:noWrap/>
                <w:vAlign w:val="bottom"/>
                <w:hideMark/>
              </w:tcPr>
              <w:p w14:paraId="66DFF37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35.5</w:t>
                </w:r>
              </w:p>
            </w:tc>
            <w:tc>
              <w:tcPr>
                <w:tcW w:w="662" w:type="dxa"/>
                <w:tcBorders>
                  <w:top w:val="nil"/>
                  <w:left w:val="nil"/>
                  <w:bottom w:val="nil"/>
                  <w:right w:val="nil"/>
                </w:tcBorders>
                <w:shd w:val="clear" w:color="auto" w:fill="CAE7F3" w:themeFill="accent1" w:themeFillTint="33"/>
                <w:noWrap/>
                <w:vAlign w:val="bottom"/>
                <w:hideMark/>
              </w:tcPr>
              <w:p w14:paraId="388C54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42.2</w:t>
                </w:r>
              </w:p>
            </w:tc>
            <w:tc>
              <w:tcPr>
                <w:tcW w:w="662" w:type="dxa"/>
                <w:tcBorders>
                  <w:top w:val="nil"/>
                  <w:left w:val="nil"/>
                  <w:bottom w:val="nil"/>
                  <w:right w:val="nil"/>
                </w:tcBorders>
                <w:shd w:val="clear" w:color="auto" w:fill="CAE7F3" w:themeFill="accent1" w:themeFillTint="33"/>
                <w:noWrap/>
                <w:vAlign w:val="bottom"/>
                <w:hideMark/>
              </w:tcPr>
              <w:p w14:paraId="7A977F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120.5</w:t>
                </w:r>
              </w:p>
            </w:tc>
            <w:tc>
              <w:tcPr>
                <w:tcW w:w="662" w:type="dxa"/>
                <w:tcBorders>
                  <w:top w:val="nil"/>
                  <w:left w:val="nil"/>
                  <w:bottom w:val="nil"/>
                  <w:right w:val="nil"/>
                </w:tcBorders>
                <w:shd w:val="clear" w:color="auto" w:fill="CAE7F3" w:themeFill="accent1" w:themeFillTint="33"/>
                <w:noWrap/>
                <w:vAlign w:val="bottom"/>
                <w:hideMark/>
              </w:tcPr>
              <w:p w14:paraId="20F00D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38.8</w:t>
                </w:r>
              </w:p>
            </w:tc>
            <w:tc>
              <w:tcPr>
                <w:tcW w:w="662" w:type="dxa"/>
                <w:tcBorders>
                  <w:top w:val="nil"/>
                  <w:left w:val="nil"/>
                  <w:bottom w:val="nil"/>
                  <w:right w:val="nil"/>
                </w:tcBorders>
                <w:shd w:val="clear" w:color="auto" w:fill="CAE7F3" w:themeFill="accent1" w:themeFillTint="33"/>
                <w:noWrap/>
                <w:vAlign w:val="bottom"/>
                <w:hideMark/>
              </w:tcPr>
              <w:p w14:paraId="343079E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194.5</w:t>
                </w:r>
              </w:p>
            </w:tc>
          </w:tr>
          <w:tr w:rsidR="00830FDC" w:rsidRPr="00F63634" w14:paraId="5034710D"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2844397D"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Outer East</w:t>
                </w:r>
              </w:p>
            </w:tc>
            <w:tc>
              <w:tcPr>
                <w:tcW w:w="661" w:type="dxa"/>
                <w:tcBorders>
                  <w:top w:val="nil"/>
                  <w:left w:val="nil"/>
                  <w:bottom w:val="nil"/>
                  <w:right w:val="nil"/>
                </w:tcBorders>
                <w:shd w:val="clear" w:color="auto" w:fill="CAE7F3" w:themeFill="accent1" w:themeFillTint="33"/>
                <w:noWrap/>
                <w:vAlign w:val="bottom"/>
                <w:hideMark/>
              </w:tcPr>
              <w:p w14:paraId="5C5E43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146.0</w:t>
                </w:r>
              </w:p>
            </w:tc>
            <w:tc>
              <w:tcPr>
                <w:tcW w:w="662" w:type="dxa"/>
                <w:tcBorders>
                  <w:top w:val="nil"/>
                  <w:left w:val="nil"/>
                  <w:bottom w:val="nil"/>
                  <w:right w:val="nil"/>
                </w:tcBorders>
                <w:shd w:val="clear" w:color="auto" w:fill="CAE7F3" w:themeFill="accent1" w:themeFillTint="33"/>
                <w:noWrap/>
                <w:vAlign w:val="bottom"/>
                <w:hideMark/>
              </w:tcPr>
              <w:p w14:paraId="2742373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w:t>
                </w:r>
              </w:p>
            </w:tc>
            <w:tc>
              <w:tcPr>
                <w:tcW w:w="662" w:type="dxa"/>
                <w:tcBorders>
                  <w:top w:val="nil"/>
                  <w:left w:val="nil"/>
                  <w:bottom w:val="nil"/>
                  <w:right w:val="nil"/>
                </w:tcBorders>
                <w:shd w:val="clear" w:color="auto" w:fill="CAE7F3" w:themeFill="accent1" w:themeFillTint="33"/>
                <w:noWrap/>
                <w:vAlign w:val="bottom"/>
                <w:hideMark/>
              </w:tcPr>
              <w:p w14:paraId="324CCD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231.7</w:t>
                </w:r>
              </w:p>
            </w:tc>
            <w:tc>
              <w:tcPr>
                <w:tcW w:w="662" w:type="dxa"/>
                <w:tcBorders>
                  <w:top w:val="nil"/>
                  <w:left w:val="nil"/>
                  <w:bottom w:val="nil"/>
                  <w:right w:val="nil"/>
                </w:tcBorders>
                <w:shd w:val="clear" w:color="auto" w:fill="CAE7F3" w:themeFill="accent1" w:themeFillTint="33"/>
                <w:noWrap/>
                <w:vAlign w:val="bottom"/>
                <w:hideMark/>
              </w:tcPr>
              <w:p w14:paraId="4774EB9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20.0</w:t>
                </w:r>
              </w:p>
            </w:tc>
            <w:tc>
              <w:tcPr>
                <w:tcW w:w="661" w:type="dxa"/>
                <w:tcBorders>
                  <w:top w:val="nil"/>
                  <w:left w:val="nil"/>
                  <w:bottom w:val="nil"/>
                  <w:right w:val="nil"/>
                </w:tcBorders>
                <w:shd w:val="clear" w:color="auto" w:fill="CAE7F3" w:themeFill="accent1" w:themeFillTint="33"/>
                <w:noWrap/>
                <w:vAlign w:val="bottom"/>
                <w:hideMark/>
              </w:tcPr>
              <w:p w14:paraId="6B7EC0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1327.7</w:t>
                </w:r>
              </w:p>
            </w:tc>
            <w:tc>
              <w:tcPr>
                <w:tcW w:w="662" w:type="dxa"/>
                <w:tcBorders>
                  <w:top w:val="nil"/>
                  <w:left w:val="nil"/>
                  <w:bottom w:val="nil"/>
                  <w:right w:val="nil"/>
                </w:tcBorders>
                <w:shd w:val="clear" w:color="auto" w:fill="CAE7F3" w:themeFill="accent1" w:themeFillTint="33"/>
                <w:noWrap/>
                <w:vAlign w:val="bottom"/>
                <w:hideMark/>
              </w:tcPr>
              <w:p w14:paraId="78BADE2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233.2</w:t>
                </w:r>
              </w:p>
            </w:tc>
            <w:tc>
              <w:tcPr>
                <w:tcW w:w="662" w:type="dxa"/>
                <w:tcBorders>
                  <w:top w:val="nil"/>
                  <w:left w:val="nil"/>
                  <w:bottom w:val="nil"/>
                  <w:right w:val="nil"/>
                </w:tcBorders>
                <w:shd w:val="clear" w:color="auto" w:fill="CAE7F3" w:themeFill="accent1" w:themeFillTint="33"/>
                <w:noWrap/>
                <w:vAlign w:val="bottom"/>
                <w:hideMark/>
              </w:tcPr>
              <w:p w14:paraId="33E8F9E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405.8</w:t>
                </w:r>
              </w:p>
            </w:tc>
            <w:tc>
              <w:tcPr>
                <w:tcW w:w="662" w:type="dxa"/>
                <w:tcBorders>
                  <w:top w:val="nil"/>
                  <w:left w:val="nil"/>
                  <w:bottom w:val="nil"/>
                  <w:right w:val="nil"/>
                </w:tcBorders>
                <w:shd w:val="clear" w:color="auto" w:fill="CAE7F3" w:themeFill="accent1" w:themeFillTint="33"/>
                <w:noWrap/>
                <w:vAlign w:val="bottom"/>
                <w:hideMark/>
              </w:tcPr>
              <w:p w14:paraId="0BC7B8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241.3</w:t>
                </w:r>
              </w:p>
            </w:tc>
            <w:tc>
              <w:tcPr>
                <w:tcW w:w="662" w:type="dxa"/>
                <w:tcBorders>
                  <w:top w:val="nil"/>
                  <w:left w:val="nil"/>
                  <w:bottom w:val="nil"/>
                  <w:right w:val="nil"/>
                </w:tcBorders>
                <w:shd w:val="clear" w:color="auto" w:fill="CAE7F3" w:themeFill="accent1" w:themeFillTint="33"/>
                <w:noWrap/>
                <w:vAlign w:val="bottom"/>
                <w:hideMark/>
              </w:tcPr>
              <w:p w14:paraId="080D79A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233.5</w:t>
                </w:r>
              </w:p>
            </w:tc>
            <w:tc>
              <w:tcPr>
                <w:tcW w:w="661" w:type="dxa"/>
                <w:tcBorders>
                  <w:top w:val="nil"/>
                  <w:left w:val="nil"/>
                  <w:bottom w:val="nil"/>
                  <w:right w:val="nil"/>
                </w:tcBorders>
                <w:shd w:val="clear" w:color="auto" w:fill="CAE7F3" w:themeFill="accent1" w:themeFillTint="33"/>
                <w:noWrap/>
                <w:vAlign w:val="bottom"/>
                <w:hideMark/>
              </w:tcPr>
              <w:p w14:paraId="08006ED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52.8</w:t>
                </w:r>
              </w:p>
            </w:tc>
            <w:tc>
              <w:tcPr>
                <w:tcW w:w="662" w:type="dxa"/>
                <w:tcBorders>
                  <w:top w:val="nil"/>
                  <w:left w:val="nil"/>
                  <w:bottom w:val="nil"/>
                  <w:right w:val="nil"/>
                </w:tcBorders>
                <w:shd w:val="clear" w:color="auto" w:fill="CAE7F3" w:themeFill="accent1" w:themeFillTint="33"/>
                <w:noWrap/>
                <w:vAlign w:val="bottom"/>
                <w:hideMark/>
              </w:tcPr>
              <w:p w14:paraId="13A99F1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431.3</w:t>
                </w:r>
              </w:p>
            </w:tc>
            <w:tc>
              <w:tcPr>
                <w:tcW w:w="662" w:type="dxa"/>
                <w:tcBorders>
                  <w:top w:val="nil"/>
                  <w:left w:val="nil"/>
                  <w:bottom w:val="nil"/>
                  <w:right w:val="nil"/>
                </w:tcBorders>
                <w:shd w:val="clear" w:color="auto" w:fill="CAE7F3" w:themeFill="accent1" w:themeFillTint="33"/>
                <w:noWrap/>
                <w:vAlign w:val="bottom"/>
                <w:hideMark/>
              </w:tcPr>
              <w:p w14:paraId="6D487BB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350.3</w:t>
                </w:r>
              </w:p>
            </w:tc>
            <w:tc>
              <w:tcPr>
                <w:tcW w:w="662" w:type="dxa"/>
                <w:tcBorders>
                  <w:top w:val="nil"/>
                  <w:left w:val="nil"/>
                  <w:bottom w:val="nil"/>
                  <w:right w:val="nil"/>
                </w:tcBorders>
                <w:shd w:val="clear" w:color="auto" w:fill="CAE7F3" w:themeFill="accent1" w:themeFillTint="33"/>
                <w:noWrap/>
                <w:vAlign w:val="bottom"/>
                <w:hideMark/>
              </w:tcPr>
              <w:p w14:paraId="10BFC15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737.0</w:t>
                </w:r>
              </w:p>
            </w:tc>
            <w:tc>
              <w:tcPr>
                <w:tcW w:w="662" w:type="dxa"/>
                <w:tcBorders>
                  <w:top w:val="nil"/>
                  <w:left w:val="nil"/>
                  <w:bottom w:val="nil"/>
                  <w:right w:val="nil"/>
                </w:tcBorders>
                <w:shd w:val="clear" w:color="auto" w:fill="CAE7F3" w:themeFill="accent1" w:themeFillTint="33"/>
                <w:noWrap/>
                <w:vAlign w:val="bottom"/>
                <w:hideMark/>
              </w:tcPr>
              <w:p w14:paraId="27695C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253.7</w:t>
                </w:r>
              </w:p>
            </w:tc>
            <w:tc>
              <w:tcPr>
                <w:tcW w:w="661" w:type="dxa"/>
                <w:tcBorders>
                  <w:top w:val="nil"/>
                  <w:left w:val="nil"/>
                  <w:bottom w:val="nil"/>
                  <w:right w:val="nil"/>
                </w:tcBorders>
                <w:shd w:val="clear" w:color="auto" w:fill="CAE7F3" w:themeFill="accent1" w:themeFillTint="33"/>
                <w:noWrap/>
                <w:vAlign w:val="bottom"/>
                <w:hideMark/>
              </w:tcPr>
              <w:p w14:paraId="100CC84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19.8</w:t>
                </w:r>
              </w:p>
            </w:tc>
            <w:tc>
              <w:tcPr>
                <w:tcW w:w="662" w:type="dxa"/>
                <w:tcBorders>
                  <w:top w:val="nil"/>
                  <w:left w:val="nil"/>
                  <w:bottom w:val="nil"/>
                  <w:right w:val="nil"/>
                </w:tcBorders>
                <w:shd w:val="clear" w:color="auto" w:fill="CAE7F3" w:themeFill="accent1" w:themeFillTint="33"/>
                <w:noWrap/>
                <w:vAlign w:val="bottom"/>
                <w:hideMark/>
              </w:tcPr>
              <w:p w14:paraId="556C021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86.5</w:t>
                </w:r>
              </w:p>
            </w:tc>
            <w:tc>
              <w:tcPr>
                <w:tcW w:w="662" w:type="dxa"/>
                <w:tcBorders>
                  <w:top w:val="nil"/>
                  <w:left w:val="nil"/>
                  <w:bottom w:val="nil"/>
                  <w:right w:val="nil"/>
                </w:tcBorders>
                <w:shd w:val="clear" w:color="auto" w:fill="CAE7F3" w:themeFill="accent1" w:themeFillTint="33"/>
                <w:noWrap/>
                <w:vAlign w:val="bottom"/>
                <w:hideMark/>
              </w:tcPr>
              <w:p w14:paraId="2B9A06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188.2</w:t>
                </w:r>
              </w:p>
            </w:tc>
            <w:tc>
              <w:tcPr>
                <w:tcW w:w="662" w:type="dxa"/>
                <w:tcBorders>
                  <w:top w:val="nil"/>
                  <w:left w:val="nil"/>
                  <w:bottom w:val="nil"/>
                  <w:right w:val="nil"/>
                </w:tcBorders>
                <w:shd w:val="clear" w:color="auto" w:fill="CAE7F3" w:themeFill="accent1" w:themeFillTint="33"/>
                <w:noWrap/>
                <w:vAlign w:val="bottom"/>
                <w:hideMark/>
              </w:tcPr>
              <w:p w14:paraId="4F04A2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68.0</w:t>
                </w:r>
              </w:p>
            </w:tc>
            <w:tc>
              <w:tcPr>
                <w:tcW w:w="662" w:type="dxa"/>
                <w:tcBorders>
                  <w:top w:val="nil"/>
                  <w:left w:val="nil"/>
                  <w:bottom w:val="nil"/>
                  <w:right w:val="nil"/>
                </w:tcBorders>
                <w:shd w:val="clear" w:color="auto" w:fill="CAE7F3" w:themeFill="accent1" w:themeFillTint="33"/>
                <w:noWrap/>
                <w:vAlign w:val="bottom"/>
                <w:hideMark/>
              </w:tcPr>
              <w:p w14:paraId="7FEA07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248.7</w:t>
                </w:r>
              </w:p>
            </w:tc>
          </w:tr>
          <w:tr w:rsidR="00830FDC" w:rsidRPr="00F63634" w14:paraId="5A3EA869"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06E1E268"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South East</w:t>
                </w:r>
              </w:p>
            </w:tc>
            <w:tc>
              <w:tcPr>
                <w:tcW w:w="661" w:type="dxa"/>
                <w:tcBorders>
                  <w:top w:val="nil"/>
                  <w:left w:val="nil"/>
                  <w:bottom w:val="nil"/>
                  <w:right w:val="nil"/>
                </w:tcBorders>
                <w:shd w:val="clear" w:color="auto" w:fill="CAE7F3" w:themeFill="accent1" w:themeFillTint="33"/>
                <w:noWrap/>
                <w:vAlign w:val="bottom"/>
                <w:hideMark/>
              </w:tcPr>
              <w:p w14:paraId="22B76B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171.5</w:t>
                </w:r>
              </w:p>
            </w:tc>
            <w:tc>
              <w:tcPr>
                <w:tcW w:w="662" w:type="dxa"/>
                <w:tcBorders>
                  <w:top w:val="nil"/>
                  <w:left w:val="nil"/>
                  <w:bottom w:val="nil"/>
                  <w:right w:val="nil"/>
                </w:tcBorders>
                <w:shd w:val="clear" w:color="auto" w:fill="CAE7F3" w:themeFill="accent1" w:themeFillTint="33"/>
                <w:noWrap/>
                <w:vAlign w:val="bottom"/>
                <w:hideMark/>
              </w:tcPr>
              <w:p w14:paraId="71AC7E0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w:t>
                </w:r>
              </w:p>
            </w:tc>
            <w:tc>
              <w:tcPr>
                <w:tcW w:w="662" w:type="dxa"/>
                <w:tcBorders>
                  <w:top w:val="nil"/>
                  <w:left w:val="nil"/>
                  <w:bottom w:val="nil"/>
                  <w:right w:val="nil"/>
                </w:tcBorders>
                <w:shd w:val="clear" w:color="auto" w:fill="CAE7F3" w:themeFill="accent1" w:themeFillTint="33"/>
                <w:noWrap/>
                <w:vAlign w:val="bottom"/>
                <w:hideMark/>
              </w:tcPr>
              <w:p w14:paraId="016BF35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330.2</w:t>
                </w:r>
              </w:p>
            </w:tc>
            <w:tc>
              <w:tcPr>
                <w:tcW w:w="662" w:type="dxa"/>
                <w:tcBorders>
                  <w:top w:val="nil"/>
                  <w:left w:val="nil"/>
                  <w:bottom w:val="nil"/>
                  <w:right w:val="nil"/>
                </w:tcBorders>
                <w:shd w:val="clear" w:color="auto" w:fill="CAE7F3" w:themeFill="accent1" w:themeFillTint="33"/>
                <w:noWrap/>
                <w:vAlign w:val="bottom"/>
                <w:hideMark/>
              </w:tcPr>
              <w:p w14:paraId="256322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29.3</w:t>
                </w:r>
              </w:p>
            </w:tc>
            <w:tc>
              <w:tcPr>
                <w:tcW w:w="661" w:type="dxa"/>
                <w:tcBorders>
                  <w:top w:val="nil"/>
                  <w:left w:val="nil"/>
                  <w:bottom w:val="nil"/>
                  <w:right w:val="nil"/>
                </w:tcBorders>
                <w:shd w:val="clear" w:color="auto" w:fill="CAE7F3" w:themeFill="accent1" w:themeFillTint="33"/>
                <w:noWrap/>
                <w:vAlign w:val="bottom"/>
                <w:hideMark/>
              </w:tcPr>
              <w:p w14:paraId="6740B6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1702.7</w:t>
                </w:r>
              </w:p>
            </w:tc>
            <w:tc>
              <w:tcPr>
                <w:tcW w:w="662" w:type="dxa"/>
                <w:tcBorders>
                  <w:top w:val="nil"/>
                  <w:left w:val="nil"/>
                  <w:bottom w:val="nil"/>
                  <w:right w:val="nil"/>
                </w:tcBorders>
                <w:shd w:val="clear" w:color="auto" w:fill="CAE7F3" w:themeFill="accent1" w:themeFillTint="33"/>
                <w:noWrap/>
                <w:vAlign w:val="bottom"/>
                <w:hideMark/>
              </w:tcPr>
              <w:p w14:paraId="3893B8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399.3</w:t>
                </w:r>
              </w:p>
            </w:tc>
            <w:tc>
              <w:tcPr>
                <w:tcW w:w="662" w:type="dxa"/>
                <w:tcBorders>
                  <w:top w:val="nil"/>
                  <w:left w:val="nil"/>
                  <w:bottom w:val="nil"/>
                  <w:right w:val="nil"/>
                </w:tcBorders>
                <w:shd w:val="clear" w:color="auto" w:fill="CAE7F3" w:themeFill="accent1" w:themeFillTint="33"/>
                <w:noWrap/>
                <w:vAlign w:val="bottom"/>
                <w:hideMark/>
              </w:tcPr>
              <w:p w14:paraId="162607B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658.0</w:t>
                </w:r>
              </w:p>
            </w:tc>
            <w:tc>
              <w:tcPr>
                <w:tcW w:w="662" w:type="dxa"/>
                <w:tcBorders>
                  <w:top w:val="nil"/>
                  <w:left w:val="nil"/>
                  <w:bottom w:val="nil"/>
                  <w:right w:val="nil"/>
                </w:tcBorders>
                <w:shd w:val="clear" w:color="auto" w:fill="CAE7F3" w:themeFill="accent1" w:themeFillTint="33"/>
                <w:noWrap/>
                <w:vAlign w:val="bottom"/>
                <w:hideMark/>
              </w:tcPr>
              <w:p w14:paraId="4C03A10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416.7</w:t>
                </w:r>
              </w:p>
            </w:tc>
            <w:tc>
              <w:tcPr>
                <w:tcW w:w="662" w:type="dxa"/>
                <w:tcBorders>
                  <w:top w:val="nil"/>
                  <w:left w:val="nil"/>
                  <w:bottom w:val="nil"/>
                  <w:right w:val="nil"/>
                </w:tcBorders>
                <w:shd w:val="clear" w:color="auto" w:fill="CAE7F3" w:themeFill="accent1" w:themeFillTint="33"/>
                <w:noWrap/>
                <w:vAlign w:val="bottom"/>
                <w:hideMark/>
              </w:tcPr>
              <w:p w14:paraId="424521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969.8</w:t>
                </w:r>
              </w:p>
            </w:tc>
            <w:tc>
              <w:tcPr>
                <w:tcW w:w="661" w:type="dxa"/>
                <w:tcBorders>
                  <w:top w:val="nil"/>
                  <w:left w:val="nil"/>
                  <w:bottom w:val="nil"/>
                  <w:right w:val="nil"/>
                </w:tcBorders>
                <w:shd w:val="clear" w:color="auto" w:fill="CAE7F3" w:themeFill="accent1" w:themeFillTint="33"/>
                <w:noWrap/>
                <w:vAlign w:val="bottom"/>
                <w:hideMark/>
              </w:tcPr>
              <w:p w14:paraId="7135092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50.8</w:t>
                </w:r>
              </w:p>
            </w:tc>
            <w:tc>
              <w:tcPr>
                <w:tcW w:w="662" w:type="dxa"/>
                <w:tcBorders>
                  <w:top w:val="nil"/>
                  <w:left w:val="nil"/>
                  <w:bottom w:val="nil"/>
                  <w:right w:val="nil"/>
                </w:tcBorders>
                <w:shd w:val="clear" w:color="auto" w:fill="CAE7F3" w:themeFill="accent1" w:themeFillTint="33"/>
                <w:noWrap/>
                <w:vAlign w:val="bottom"/>
                <w:hideMark/>
              </w:tcPr>
              <w:p w14:paraId="1AADD44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520.0</w:t>
                </w:r>
              </w:p>
            </w:tc>
            <w:tc>
              <w:tcPr>
                <w:tcW w:w="662" w:type="dxa"/>
                <w:tcBorders>
                  <w:top w:val="nil"/>
                  <w:left w:val="nil"/>
                  <w:bottom w:val="nil"/>
                  <w:right w:val="nil"/>
                </w:tcBorders>
                <w:shd w:val="clear" w:color="auto" w:fill="CAE7F3" w:themeFill="accent1" w:themeFillTint="33"/>
                <w:noWrap/>
                <w:vAlign w:val="bottom"/>
                <w:hideMark/>
              </w:tcPr>
              <w:p w14:paraId="19B53B8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560.2</w:t>
                </w:r>
              </w:p>
            </w:tc>
            <w:tc>
              <w:tcPr>
                <w:tcW w:w="662" w:type="dxa"/>
                <w:tcBorders>
                  <w:top w:val="nil"/>
                  <w:left w:val="nil"/>
                  <w:bottom w:val="nil"/>
                  <w:right w:val="nil"/>
                </w:tcBorders>
                <w:shd w:val="clear" w:color="auto" w:fill="CAE7F3" w:themeFill="accent1" w:themeFillTint="33"/>
                <w:noWrap/>
                <w:vAlign w:val="bottom"/>
                <w:hideMark/>
              </w:tcPr>
              <w:p w14:paraId="58B86E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847.0</w:t>
                </w:r>
              </w:p>
            </w:tc>
            <w:tc>
              <w:tcPr>
                <w:tcW w:w="662" w:type="dxa"/>
                <w:tcBorders>
                  <w:top w:val="nil"/>
                  <w:left w:val="nil"/>
                  <w:bottom w:val="nil"/>
                  <w:right w:val="nil"/>
                </w:tcBorders>
                <w:shd w:val="clear" w:color="auto" w:fill="CAE7F3" w:themeFill="accent1" w:themeFillTint="33"/>
                <w:noWrap/>
                <w:vAlign w:val="bottom"/>
                <w:hideMark/>
              </w:tcPr>
              <w:p w14:paraId="3676C56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500.5</w:t>
                </w:r>
              </w:p>
            </w:tc>
            <w:tc>
              <w:tcPr>
                <w:tcW w:w="661" w:type="dxa"/>
                <w:tcBorders>
                  <w:top w:val="nil"/>
                  <w:left w:val="nil"/>
                  <w:bottom w:val="nil"/>
                  <w:right w:val="nil"/>
                </w:tcBorders>
                <w:shd w:val="clear" w:color="auto" w:fill="CAE7F3" w:themeFill="accent1" w:themeFillTint="33"/>
                <w:noWrap/>
                <w:vAlign w:val="bottom"/>
                <w:hideMark/>
              </w:tcPr>
              <w:p w14:paraId="058015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43.0</w:t>
                </w:r>
              </w:p>
            </w:tc>
            <w:tc>
              <w:tcPr>
                <w:tcW w:w="662" w:type="dxa"/>
                <w:tcBorders>
                  <w:top w:val="nil"/>
                  <w:left w:val="nil"/>
                  <w:bottom w:val="nil"/>
                  <w:right w:val="nil"/>
                </w:tcBorders>
                <w:shd w:val="clear" w:color="auto" w:fill="CAE7F3" w:themeFill="accent1" w:themeFillTint="33"/>
                <w:noWrap/>
                <w:vAlign w:val="bottom"/>
                <w:hideMark/>
              </w:tcPr>
              <w:p w14:paraId="1DD7E0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99.0</w:t>
                </w:r>
              </w:p>
            </w:tc>
            <w:tc>
              <w:tcPr>
                <w:tcW w:w="662" w:type="dxa"/>
                <w:tcBorders>
                  <w:top w:val="nil"/>
                  <w:left w:val="nil"/>
                  <w:bottom w:val="nil"/>
                  <w:right w:val="nil"/>
                </w:tcBorders>
                <w:shd w:val="clear" w:color="auto" w:fill="CAE7F3" w:themeFill="accent1" w:themeFillTint="33"/>
                <w:noWrap/>
                <w:vAlign w:val="bottom"/>
                <w:hideMark/>
              </w:tcPr>
              <w:p w14:paraId="7DCF4F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277.0</w:t>
                </w:r>
              </w:p>
            </w:tc>
            <w:tc>
              <w:tcPr>
                <w:tcW w:w="662" w:type="dxa"/>
                <w:tcBorders>
                  <w:top w:val="nil"/>
                  <w:left w:val="nil"/>
                  <w:bottom w:val="nil"/>
                  <w:right w:val="nil"/>
                </w:tcBorders>
                <w:shd w:val="clear" w:color="auto" w:fill="CAE7F3" w:themeFill="accent1" w:themeFillTint="33"/>
                <w:noWrap/>
                <w:vAlign w:val="bottom"/>
                <w:hideMark/>
              </w:tcPr>
              <w:p w14:paraId="152BC0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78.3</w:t>
                </w:r>
              </w:p>
            </w:tc>
            <w:tc>
              <w:tcPr>
                <w:tcW w:w="662" w:type="dxa"/>
                <w:tcBorders>
                  <w:top w:val="nil"/>
                  <w:left w:val="nil"/>
                  <w:bottom w:val="nil"/>
                  <w:right w:val="nil"/>
                </w:tcBorders>
                <w:shd w:val="clear" w:color="auto" w:fill="CAE7F3" w:themeFill="accent1" w:themeFillTint="33"/>
                <w:noWrap/>
                <w:vAlign w:val="bottom"/>
                <w:hideMark/>
              </w:tcPr>
              <w:p w14:paraId="4A848D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385.3</w:t>
                </w:r>
              </w:p>
            </w:tc>
          </w:tr>
          <w:tr w:rsidR="00830FDC" w:rsidRPr="00F63634" w14:paraId="25FD9FFA"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30CF9DAF"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Melbourne</w:t>
                </w:r>
                <w:r>
                  <w:rPr>
                    <w:color w:val="595A5B" w:themeColor="text1"/>
                    <w:sz w:val="12"/>
                    <w:szCs w:val="16"/>
                    <w:lang w:eastAsia="en-AU"/>
                  </w:rPr>
                  <w:t xml:space="preserve"> — </w:t>
                </w:r>
                <w:r w:rsidRPr="009820E8">
                  <w:rPr>
                    <w:color w:val="595A5B" w:themeColor="text1"/>
                    <w:sz w:val="12"/>
                    <w:szCs w:val="16"/>
                    <w:lang w:eastAsia="en-AU"/>
                  </w:rPr>
                  <w:t>West</w:t>
                </w:r>
              </w:p>
            </w:tc>
            <w:tc>
              <w:tcPr>
                <w:tcW w:w="661" w:type="dxa"/>
                <w:tcBorders>
                  <w:top w:val="nil"/>
                  <w:left w:val="nil"/>
                  <w:bottom w:val="nil"/>
                  <w:right w:val="nil"/>
                </w:tcBorders>
                <w:shd w:val="clear" w:color="auto" w:fill="CAE7F3" w:themeFill="accent1" w:themeFillTint="33"/>
                <w:noWrap/>
                <w:vAlign w:val="bottom"/>
                <w:hideMark/>
              </w:tcPr>
              <w:p w14:paraId="27E11EB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113.0</w:t>
                </w:r>
              </w:p>
            </w:tc>
            <w:tc>
              <w:tcPr>
                <w:tcW w:w="662" w:type="dxa"/>
                <w:tcBorders>
                  <w:top w:val="nil"/>
                  <w:left w:val="nil"/>
                  <w:bottom w:val="nil"/>
                  <w:right w:val="nil"/>
                </w:tcBorders>
                <w:shd w:val="clear" w:color="auto" w:fill="CAE7F3" w:themeFill="accent1" w:themeFillTint="33"/>
                <w:noWrap/>
                <w:vAlign w:val="bottom"/>
                <w:hideMark/>
              </w:tcPr>
              <w:p w14:paraId="0264FC2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w:t>
                </w:r>
              </w:p>
            </w:tc>
            <w:tc>
              <w:tcPr>
                <w:tcW w:w="662" w:type="dxa"/>
                <w:tcBorders>
                  <w:top w:val="nil"/>
                  <w:left w:val="nil"/>
                  <w:bottom w:val="nil"/>
                  <w:right w:val="nil"/>
                </w:tcBorders>
                <w:shd w:val="clear" w:color="auto" w:fill="CAE7F3" w:themeFill="accent1" w:themeFillTint="33"/>
                <w:noWrap/>
                <w:vAlign w:val="bottom"/>
                <w:hideMark/>
              </w:tcPr>
              <w:p w14:paraId="772AF0B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230.0</w:t>
                </w:r>
              </w:p>
            </w:tc>
            <w:tc>
              <w:tcPr>
                <w:tcW w:w="662" w:type="dxa"/>
                <w:tcBorders>
                  <w:top w:val="nil"/>
                  <w:left w:val="nil"/>
                  <w:bottom w:val="nil"/>
                  <w:right w:val="nil"/>
                </w:tcBorders>
                <w:shd w:val="clear" w:color="auto" w:fill="CAE7F3" w:themeFill="accent1" w:themeFillTint="33"/>
                <w:noWrap/>
                <w:vAlign w:val="bottom"/>
                <w:hideMark/>
              </w:tcPr>
              <w:p w14:paraId="45614FF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26.8</w:t>
                </w:r>
              </w:p>
            </w:tc>
            <w:tc>
              <w:tcPr>
                <w:tcW w:w="661" w:type="dxa"/>
                <w:tcBorders>
                  <w:top w:val="nil"/>
                  <w:left w:val="nil"/>
                  <w:bottom w:val="nil"/>
                  <w:right w:val="nil"/>
                </w:tcBorders>
                <w:shd w:val="clear" w:color="auto" w:fill="CAE7F3" w:themeFill="accent1" w:themeFillTint="33"/>
                <w:noWrap/>
                <w:vAlign w:val="bottom"/>
                <w:hideMark/>
              </w:tcPr>
              <w:p w14:paraId="414552A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1422.7</w:t>
                </w:r>
              </w:p>
            </w:tc>
            <w:tc>
              <w:tcPr>
                <w:tcW w:w="662" w:type="dxa"/>
                <w:tcBorders>
                  <w:top w:val="nil"/>
                  <w:left w:val="nil"/>
                  <w:bottom w:val="nil"/>
                  <w:right w:val="nil"/>
                </w:tcBorders>
                <w:shd w:val="clear" w:color="auto" w:fill="CAE7F3" w:themeFill="accent1" w:themeFillTint="33"/>
                <w:noWrap/>
                <w:vAlign w:val="bottom"/>
                <w:hideMark/>
              </w:tcPr>
              <w:p w14:paraId="1B81AD8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270.2</w:t>
                </w:r>
              </w:p>
            </w:tc>
            <w:tc>
              <w:tcPr>
                <w:tcW w:w="662" w:type="dxa"/>
                <w:tcBorders>
                  <w:top w:val="nil"/>
                  <w:left w:val="nil"/>
                  <w:bottom w:val="nil"/>
                  <w:right w:val="nil"/>
                </w:tcBorders>
                <w:shd w:val="clear" w:color="auto" w:fill="CAE7F3" w:themeFill="accent1" w:themeFillTint="33"/>
                <w:noWrap/>
                <w:vAlign w:val="bottom"/>
                <w:hideMark/>
              </w:tcPr>
              <w:p w14:paraId="58EB2F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557.3</w:t>
                </w:r>
              </w:p>
            </w:tc>
            <w:tc>
              <w:tcPr>
                <w:tcW w:w="662" w:type="dxa"/>
                <w:tcBorders>
                  <w:top w:val="nil"/>
                  <w:left w:val="nil"/>
                  <w:bottom w:val="nil"/>
                  <w:right w:val="nil"/>
                </w:tcBorders>
                <w:shd w:val="clear" w:color="auto" w:fill="CAE7F3" w:themeFill="accent1" w:themeFillTint="33"/>
                <w:noWrap/>
                <w:vAlign w:val="bottom"/>
                <w:hideMark/>
              </w:tcPr>
              <w:p w14:paraId="519656F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346.0</w:t>
                </w:r>
              </w:p>
            </w:tc>
            <w:tc>
              <w:tcPr>
                <w:tcW w:w="662" w:type="dxa"/>
                <w:tcBorders>
                  <w:top w:val="nil"/>
                  <w:left w:val="nil"/>
                  <w:bottom w:val="nil"/>
                  <w:right w:val="nil"/>
                </w:tcBorders>
                <w:shd w:val="clear" w:color="auto" w:fill="CAE7F3" w:themeFill="accent1" w:themeFillTint="33"/>
                <w:noWrap/>
                <w:vAlign w:val="bottom"/>
                <w:hideMark/>
              </w:tcPr>
              <w:p w14:paraId="0F932D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1027.0</w:t>
                </w:r>
              </w:p>
            </w:tc>
            <w:tc>
              <w:tcPr>
                <w:tcW w:w="661" w:type="dxa"/>
                <w:tcBorders>
                  <w:top w:val="nil"/>
                  <w:left w:val="nil"/>
                  <w:bottom w:val="nil"/>
                  <w:right w:val="nil"/>
                </w:tcBorders>
                <w:shd w:val="clear" w:color="auto" w:fill="CAE7F3" w:themeFill="accent1" w:themeFillTint="33"/>
                <w:noWrap/>
                <w:vAlign w:val="bottom"/>
                <w:hideMark/>
              </w:tcPr>
              <w:p w14:paraId="1C3623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56.2</w:t>
                </w:r>
              </w:p>
            </w:tc>
            <w:tc>
              <w:tcPr>
                <w:tcW w:w="662" w:type="dxa"/>
                <w:tcBorders>
                  <w:top w:val="nil"/>
                  <w:left w:val="nil"/>
                  <w:bottom w:val="nil"/>
                  <w:right w:val="nil"/>
                </w:tcBorders>
                <w:shd w:val="clear" w:color="auto" w:fill="CAE7F3" w:themeFill="accent1" w:themeFillTint="33"/>
                <w:noWrap/>
                <w:vAlign w:val="bottom"/>
                <w:hideMark/>
              </w:tcPr>
              <w:p w14:paraId="63FAC6E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377.2</w:t>
                </w:r>
              </w:p>
            </w:tc>
            <w:tc>
              <w:tcPr>
                <w:tcW w:w="662" w:type="dxa"/>
                <w:tcBorders>
                  <w:top w:val="nil"/>
                  <w:left w:val="nil"/>
                  <w:bottom w:val="nil"/>
                  <w:right w:val="nil"/>
                </w:tcBorders>
                <w:shd w:val="clear" w:color="auto" w:fill="CAE7F3" w:themeFill="accent1" w:themeFillTint="33"/>
                <w:noWrap/>
                <w:vAlign w:val="bottom"/>
                <w:hideMark/>
              </w:tcPr>
              <w:p w14:paraId="26AE24E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450.3</w:t>
                </w:r>
              </w:p>
            </w:tc>
            <w:tc>
              <w:tcPr>
                <w:tcW w:w="662" w:type="dxa"/>
                <w:tcBorders>
                  <w:top w:val="nil"/>
                  <w:left w:val="nil"/>
                  <w:bottom w:val="nil"/>
                  <w:right w:val="nil"/>
                </w:tcBorders>
                <w:shd w:val="clear" w:color="auto" w:fill="CAE7F3" w:themeFill="accent1" w:themeFillTint="33"/>
                <w:noWrap/>
                <w:vAlign w:val="bottom"/>
                <w:hideMark/>
              </w:tcPr>
              <w:p w14:paraId="01CA6B3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771.8</w:t>
                </w:r>
              </w:p>
            </w:tc>
            <w:tc>
              <w:tcPr>
                <w:tcW w:w="662" w:type="dxa"/>
                <w:tcBorders>
                  <w:top w:val="nil"/>
                  <w:left w:val="nil"/>
                  <w:bottom w:val="nil"/>
                  <w:right w:val="nil"/>
                </w:tcBorders>
                <w:shd w:val="clear" w:color="auto" w:fill="CAE7F3" w:themeFill="accent1" w:themeFillTint="33"/>
                <w:noWrap/>
                <w:vAlign w:val="bottom"/>
                <w:hideMark/>
              </w:tcPr>
              <w:p w14:paraId="4D80DB4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421.7</w:t>
                </w:r>
              </w:p>
            </w:tc>
            <w:tc>
              <w:tcPr>
                <w:tcW w:w="661" w:type="dxa"/>
                <w:tcBorders>
                  <w:top w:val="nil"/>
                  <w:left w:val="nil"/>
                  <w:bottom w:val="nil"/>
                  <w:right w:val="nil"/>
                </w:tcBorders>
                <w:shd w:val="clear" w:color="auto" w:fill="CAE7F3" w:themeFill="accent1" w:themeFillTint="33"/>
                <w:noWrap/>
                <w:vAlign w:val="bottom"/>
                <w:hideMark/>
              </w:tcPr>
              <w:p w14:paraId="6368FD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50.8</w:t>
                </w:r>
              </w:p>
            </w:tc>
            <w:tc>
              <w:tcPr>
                <w:tcW w:w="662" w:type="dxa"/>
                <w:tcBorders>
                  <w:top w:val="nil"/>
                  <w:left w:val="nil"/>
                  <w:bottom w:val="nil"/>
                  <w:right w:val="nil"/>
                </w:tcBorders>
                <w:shd w:val="clear" w:color="auto" w:fill="CAE7F3" w:themeFill="accent1" w:themeFillTint="33"/>
                <w:noWrap/>
                <w:vAlign w:val="bottom"/>
                <w:hideMark/>
              </w:tcPr>
              <w:p w14:paraId="4DD7A56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97.5</w:t>
                </w:r>
              </w:p>
            </w:tc>
            <w:tc>
              <w:tcPr>
                <w:tcW w:w="662" w:type="dxa"/>
                <w:tcBorders>
                  <w:top w:val="nil"/>
                  <w:left w:val="nil"/>
                  <w:bottom w:val="nil"/>
                  <w:right w:val="nil"/>
                </w:tcBorders>
                <w:shd w:val="clear" w:color="auto" w:fill="CAE7F3" w:themeFill="accent1" w:themeFillTint="33"/>
                <w:noWrap/>
                <w:vAlign w:val="bottom"/>
                <w:hideMark/>
              </w:tcPr>
              <w:p w14:paraId="64F0D03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274.3</w:t>
                </w:r>
              </w:p>
            </w:tc>
            <w:tc>
              <w:tcPr>
                <w:tcW w:w="662" w:type="dxa"/>
                <w:tcBorders>
                  <w:top w:val="nil"/>
                  <w:left w:val="nil"/>
                  <w:bottom w:val="nil"/>
                  <w:right w:val="nil"/>
                </w:tcBorders>
                <w:shd w:val="clear" w:color="auto" w:fill="CAE7F3" w:themeFill="accent1" w:themeFillTint="33"/>
                <w:noWrap/>
                <w:vAlign w:val="bottom"/>
                <w:hideMark/>
              </w:tcPr>
              <w:p w14:paraId="05715EA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88.2</w:t>
                </w:r>
              </w:p>
            </w:tc>
            <w:tc>
              <w:tcPr>
                <w:tcW w:w="662" w:type="dxa"/>
                <w:tcBorders>
                  <w:top w:val="nil"/>
                  <w:left w:val="nil"/>
                  <w:bottom w:val="nil"/>
                  <w:right w:val="nil"/>
                </w:tcBorders>
                <w:shd w:val="clear" w:color="auto" w:fill="CAE7F3" w:themeFill="accent1" w:themeFillTint="33"/>
                <w:noWrap/>
                <w:vAlign w:val="bottom"/>
                <w:hideMark/>
              </w:tcPr>
              <w:p w14:paraId="6948B9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331.5</w:t>
                </w:r>
              </w:p>
            </w:tc>
          </w:tr>
          <w:tr w:rsidR="00830FDC" w:rsidRPr="00F63634" w14:paraId="52FFB9D7"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0DEF0175"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Mornington Peninsula</w:t>
                </w:r>
              </w:p>
            </w:tc>
            <w:tc>
              <w:tcPr>
                <w:tcW w:w="661" w:type="dxa"/>
                <w:tcBorders>
                  <w:top w:val="nil"/>
                  <w:left w:val="nil"/>
                  <w:bottom w:val="nil"/>
                  <w:right w:val="nil"/>
                </w:tcBorders>
                <w:shd w:val="clear" w:color="auto" w:fill="CAE7F3" w:themeFill="accent1" w:themeFillTint="33"/>
                <w:noWrap/>
                <w:vAlign w:val="bottom"/>
                <w:hideMark/>
              </w:tcPr>
              <w:p w14:paraId="25178B7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80.2</w:t>
                </w:r>
              </w:p>
            </w:tc>
            <w:tc>
              <w:tcPr>
                <w:tcW w:w="662" w:type="dxa"/>
                <w:tcBorders>
                  <w:top w:val="nil"/>
                  <w:left w:val="nil"/>
                  <w:bottom w:val="nil"/>
                  <w:right w:val="nil"/>
                </w:tcBorders>
                <w:shd w:val="clear" w:color="auto" w:fill="CAE7F3" w:themeFill="accent1" w:themeFillTint="33"/>
                <w:noWrap/>
                <w:vAlign w:val="bottom"/>
                <w:hideMark/>
              </w:tcPr>
              <w:p w14:paraId="134F3E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620F84A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114.0</w:t>
                </w:r>
              </w:p>
            </w:tc>
            <w:tc>
              <w:tcPr>
                <w:tcW w:w="662" w:type="dxa"/>
                <w:tcBorders>
                  <w:top w:val="nil"/>
                  <w:left w:val="nil"/>
                  <w:bottom w:val="nil"/>
                  <w:right w:val="nil"/>
                </w:tcBorders>
                <w:shd w:val="clear" w:color="auto" w:fill="CAE7F3" w:themeFill="accent1" w:themeFillTint="33"/>
                <w:noWrap/>
                <w:vAlign w:val="bottom"/>
                <w:hideMark/>
              </w:tcPr>
              <w:p w14:paraId="085FEC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w:t>
                </w:r>
              </w:p>
            </w:tc>
            <w:tc>
              <w:tcPr>
                <w:tcW w:w="661" w:type="dxa"/>
                <w:tcBorders>
                  <w:top w:val="nil"/>
                  <w:left w:val="nil"/>
                  <w:bottom w:val="nil"/>
                  <w:right w:val="nil"/>
                </w:tcBorders>
                <w:shd w:val="clear" w:color="auto" w:fill="CAE7F3" w:themeFill="accent1" w:themeFillTint="33"/>
                <w:noWrap/>
                <w:vAlign w:val="bottom"/>
                <w:hideMark/>
              </w:tcPr>
              <w:p w14:paraId="62EDC23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856.2</w:t>
                </w:r>
              </w:p>
            </w:tc>
            <w:tc>
              <w:tcPr>
                <w:tcW w:w="662" w:type="dxa"/>
                <w:tcBorders>
                  <w:top w:val="nil"/>
                  <w:left w:val="nil"/>
                  <w:bottom w:val="nil"/>
                  <w:right w:val="nil"/>
                </w:tcBorders>
                <w:shd w:val="clear" w:color="auto" w:fill="CAE7F3" w:themeFill="accent1" w:themeFillTint="33"/>
                <w:noWrap/>
                <w:vAlign w:val="bottom"/>
                <w:hideMark/>
              </w:tcPr>
              <w:p w14:paraId="563FDE3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97.0</w:t>
                </w:r>
              </w:p>
            </w:tc>
            <w:tc>
              <w:tcPr>
                <w:tcW w:w="662" w:type="dxa"/>
                <w:tcBorders>
                  <w:top w:val="nil"/>
                  <w:left w:val="nil"/>
                  <w:bottom w:val="nil"/>
                  <w:right w:val="nil"/>
                </w:tcBorders>
                <w:shd w:val="clear" w:color="auto" w:fill="CAE7F3" w:themeFill="accent1" w:themeFillTint="33"/>
                <w:noWrap/>
                <w:vAlign w:val="bottom"/>
                <w:hideMark/>
              </w:tcPr>
              <w:p w14:paraId="6B3CCC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208.3</w:t>
                </w:r>
              </w:p>
            </w:tc>
            <w:tc>
              <w:tcPr>
                <w:tcW w:w="662" w:type="dxa"/>
                <w:tcBorders>
                  <w:top w:val="nil"/>
                  <w:left w:val="nil"/>
                  <w:bottom w:val="nil"/>
                  <w:right w:val="nil"/>
                </w:tcBorders>
                <w:shd w:val="clear" w:color="auto" w:fill="CAE7F3" w:themeFill="accent1" w:themeFillTint="33"/>
                <w:noWrap/>
                <w:vAlign w:val="bottom"/>
                <w:hideMark/>
              </w:tcPr>
              <w:p w14:paraId="168F98D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132.8</w:t>
                </w:r>
              </w:p>
            </w:tc>
            <w:tc>
              <w:tcPr>
                <w:tcW w:w="662" w:type="dxa"/>
                <w:tcBorders>
                  <w:top w:val="nil"/>
                  <w:left w:val="nil"/>
                  <w:bottom w:val="nil"/>
                  <w:right w:val="nil"/>
                </w:tcBorders>
                <w:shd w:val="clear" w:color="auto" w:fill="CAE7F3" w:themeFill="accent1" w:themeFillTint="33"/>
                <w:noWrap/>
                <w:vAlign w:val="bottom"/>
                <w:hideMark/>
              </w:tcPr>
              <w:p w14:paraId="1DE72E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142.8</w:t>
                </w:r>
              </w:p>
            </w:tc>
            <w:tc>
              <w:tcPr>
                <w:tcW w:w="661" w:type="dxa"/>
                <w:tcBorders>
                  <w:top w:val="nil"/>
                  <w:left w:val="nil"/>
                  <w:bottom w:val="nil"/>
                  <w:right w:val="nil"/>
                </w:tcBorders>
                <w:shd w:val="clear" w:color="auto" w:fill="CAE7F3" w:themeFill="accent1" w:themeFillTint="33"/>
                <w:noWrap/>
                <w:vAlign w:val="bottom"/>
                <w:hideMark/>
              </w:tcPr>
              <w:p w14:paraId="48F649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27.5</w:t>
                </w:r>
              </w:p>
            </w:tc>
            <w:tc>
              <w:tcPr>
                <w:tcW w:w="662" w:type="dxa"/>
                <w:tcBorders>
                  <w:top w:val="nil"/>
                  <w:left w:val="nil"/>
                  <w:bottom w:val="nil"/>
                  <w:right w:val="nil"/>
                </w:tcBorders>
                <w:shd w:val="clear" w:color="auto" w:fill="CAE7F3" w:themeFill="accent1" w:themeFillTint="33"/>
                <w:noWrap/>
                <w:vAlign w:val="bottom"/>
                <w:hideMark/>
              </w:tcPr>
              <w:p w14:paraId="2B74B5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223.8</w:t>
                </w:r>
              </w:p>
            </w:tc>
            <w:tc>
              <w:tcPr>
                <w:tcW w:w="662" w:type="dxa"/>
                <w:tcBorders>
                  <w:top w:val="nil"/>
                  <w:left w:val="nil"/>
                  <w:bottom w:val="nil"/>
                  <w:right w:val="nil"/>
                </w:tcBorders>
                <w:shd w:val="clear" w:color="auto" w:fill="CAE7F3" w:themeFill="accent1" w:themeFillTint="33"/>
                <w:noWrap/>
                <w:vAlign w:val="bottom"/>
                <w:hideMark/>
              </w:tcPr>
              <w:p w14:paraId="376AB38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222.2</w:t>
                </w:r>
              </w:p>
            </w:tc>
            <w:tc>
              <w:tcPr>
                <w:tcW w:w="662" w:type="dxa"/>
                <w:tcBorders>
                  <w:top w:val="nil"/>
                  <w:left w:val="nil"/>
                  <w:bottom w:val="nil"/>
                  <w:right w:val="nil"/>
                </w:tcBorders>
                <w:shd w:val="clear" w:color="auto" w:fill="CAE7F3" w:themeFill="accent1" w:themeFillTint="33"/>
                <w:noWrap/>
                <w:vAlign w:val="bottom"/>
                <w:hideMark/>
              </w:tcPr>
              <w:p w14:paraId="1375D0F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344.3</w:t>
                </w:r>
              </w:p>
            </w:tc>
            <w:tc>
              <w:tcPr>
                <w:tcW w:w="662" w:type="dxa"/>
                <w:tcBorders>
                  <w:top w:val="nil"/>
                  <w:left w:val="nil"/>
                  <w:bottom w:val="nil"/>
                  <w:right w:val="nil"/>
                </w:tcBorders>
                <w:shd w:val="clear" w:color="auto" w:fill="CAE7F3" w:themeFill="accent1" w:themeFillTint="33"/>
                <w:noWrap/>
                <w:vAlign w:val="bottom"/>
                <w:hideMark/>
              </w:tcPr>
              <w:p w14:paraId="29DE001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136.5</w:t>
                </w:r>
              </w:p>
            </w:tc>
            <w:tc>
              <w:tcPr>
                <w:tcW w:w="661" w:type="dxa"/>
                <w:tcBorders>
                  <w:top w:val="nil"/>
                  <w:left w:val="nil"/>
                  <w:bottom w:val="nil"/>
                  <w:right w:val="nil"/>
                </w:tcBorders>
                <w:shd w:val="clear" w:color="auto" w:fill="CAE7F3" w:themeFill="accent1" w:themeFillTint="33"/>
                <w:noWrap/>
                <w:vAlign w:val="bottom"/>
                <w:hideMark/>
              </w:tcPr>
              <w:p w14:paraId="44B6A8A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10.3</w:t>
                </w:r>
              </w:p>
            </w:tc>
            <w:tc>
              <w:tcPr>
                <w:tcW w:w="662" w:type="dxa"/>
                <w:tcBorders>
                  <w:top w:val="nil"/>
                  <w:left w:val="nil"/>
                  <w:bottom w:val="nil"/>
                  <w:right w:val="nil"/>
                </w:tcBorders>
                <w:shd w:val="clear" w:color="auto" w:fill="CAE7F3" w:themeFill="accent1" w:themeFillTint="33"/>
                <w:noWrap/>
                <w:vAlign w:val="bottom"/>
                <w:hideMark/>
              </w:tcPr>
              <w:p w14:paraId="2E710C4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44.7</w:t>
                </w:r>
              </w:p>
            </w:tc>
            <w:tc>
              <w:tcPr>
                <w:tcW w:w="662" w:type="dxa"/>
                <w:tcBorders>
                  <w:top w:val="nil"/>
                  <w:left w:val="nil"/>
                  <w:bottom w:val="nil"/>
                  <w:right w:val="nil"/>
                </w:tcBorders>
                <w:shd w:val="clear" w:color="auto" w:fill="CAE7F3" w:themeFill="accent1" w:themeFillTint="33"/>
                <w:noWrap/>
                <w:vAlign w:val="bottom"/>
                <w:hideMark/>
              </w:tcPr>
              <w:p w14:paraId="41EFB73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112.0</w:t>
                </w:r>
              </w:p>
            </w:tc>
            <w:tc>
              <w:tcPr>
                <w:tcW w:w="662" w:type="dxa"/>
                <w:tcBorders>
                  <w:top w:val="nil"/>
                  <w:left w:val="nil"/>
                  <w:bottom w:val="nil"/>
                  <w:right w:val="nil"/>
                </w:tcBorders>
                <w:shd w:val="clear" w:color="auto" w:fill="CAE7F3" w:themeFill="accent1" w:themeFillTint="33"/>
                <w:noWrap/>
                <w:vAlign w:val="bottom"/>
                <w:hideMark/>
              </w:tcPr>
              <w:p w14:paraId="245462C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45.2</w:t>
                </w:r>
              </w:p>
            </w:tc>
            <w:tc>
              <w:tcPr>
                <w:tcW w:w="662" w:type="dxa"/>
                <w:tcBorders>
                  <w:top w:val="nil"/>
                  <w:left w:val="nil"/>
                  <w:bottom w:val="nil"/>
                  <w:right w:val="nil"/>
                </w:tcBorders>
                <w:shd w:val="clear" w:color="auto" w:fill="CAE7F3" w:themeFill="accent1" w:themeFillTint="33"/>
                <w:noWrap/>
                <w:vAlign w:val="bottom"/>
                <w:hideMark/>
              </w:tcPr>
              <w:p w14:paraId="545EC6D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134.8</w:t>
                </w:r>
              </w:p>
            </w:tc>
          </w:tr>
          <w:tr w:rsidR="00830FDC" w:rsidRPr="00F63634" w14:paraId="5AC3B84A"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378957BB"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North West</w:t>
                </w:r>
              </w:p>
            </w:tc>
            <w:tc>
              <w:tcPr>
                <w:tcW w:w="661" w:type="dxa"/>
                <w:tcBorders>
                  <w:top w:val="nil"/>
                  <w:left w:val="nil"/>
                  <w:bottom w:val="nil"/>
                  <w:right w:val="nil"/>
                </w:tcBorders>
                <w:shd w:val="clear" w:color="auto" w:fill="CAE7F3" w:themeFill="accent1" w:themeFillTint="33"/>
                <w:noWrap/>
                <w:vAlign w:val="bottom"/>
                <w:hideMark/>
              </w:tcPr>
              <w:p w14:paraId="2AF766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461.0</w:t>
                </w:r>
              </w:p>
            </w:tc>
            <w:tc>
              <w:tcPr>
                <w:tcW w:w="662" w:type="dxa"/>
                <w:tcBorders>
                  <w:top w:val="nil"/>
                  <w:left w:val="nil"/>
                  <w:bottom w:val="nil"/>
                  <w:right w:val="nil"/>
                </w:tcBorders>
                <w:shd w:val="clear" w:color="auto" w:fill="CAE7F3" w:themeFill="accent1" w:themeFillTint="33"/>
                <w:noWrap/>
                <w:vAlign w:val="bottom"/>
                <w:hideMark/>
              </w:tcPr>
              <w:p w14:paraId="7028926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w:t>
                </w:r>
              </w:p>
            </w:tc>
            <w:tc>
              <w:tcPr>
                <w:tcW w:w="662" w:type="dxa"/>
                <w:tcBorders>
                  <w:top w:val="nil"/>
                  <w:left w:val="nil"/>
                  <w:bottom w:val="nil"/>
                  <w:right w:val="nil"/>
                </w:tcBorders>
                <w:shd w:val="clear" w:color="auto" w:fill="CAE7F3" w:themeFill="accent1" w:themeFillTint="33"/>
                <w:noWrap/>
                <w:vAlign w:val="bottom"/>
                <w:hideMark/>
              </w:tcPr>
              <w:p w14:paraId="5F84DBB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42.3</w:t>
                </w:r>
              </w:p>
            </w:tc>
            <w:tc>
              <w:tcPr>
                <w:tcW w:w="662" w:type="dxa"/>
                <w:tcBorders>
                  <w:top w:val="nil"/>
                  <w:left w:val="nil"/>
                  <w:bottom w:val="nil"/>
                  <w:right w:val="nil"/>
                </w:tcBorders>
                <w:shd w:val="clear" w:color="auto" w:fill="CAE7F3" w:themeFill="accent1" w:themeFillTint="33"/>
                <w:noWrap/>
                <w:vAlign w:val="bottom"/>
                <w:hideMark/>
              </w:tcPr>
              <w:p w14:paraId="06EF0A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w:t>
                </w:r>
              </w:p>
            </w:tc>
            <w:tc>
              <w:tcPr>
                <w:tcW w:w="661" w:type="dxa"/>
                <w:tcBorders>
                  <w:top w:val="nil"/>
                  <w:left w:val="nil"/>
                  <w:bottom w:val="nil"/>
                  <w:right w:val="nil"/>
                </w:tcBorders>
                <w:shd w:val="clear" w:color="auto" w:fill="CAE7F3" w:themeFill="accent1" w:themeFillTint="33"/>
                <w:noWrap/>
                <w:vAlign w:val="bottom"/>
                <w:hideMark/>
              </w:tcPr>
              <w:p w14:paraId="1B82E61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190.5</w:t>
                </w:r>
              </w:p>
            </w:tc>
            <w:tc>
              <w:tcPr>
                <w:tcW w:w="662" w:type="dxa"/>
                <w:tcBorders>
                  <w:top w:val="nil"/>
                  <w:left w:val="nil"/>
                  <w:bottom w:val="nil"/>
                  <w:right w:val="nil"/>
                </w:tcBorders>
                <w:shd w:val="clear" w:color="auto" w:fill="CAE7F3" w:themeFill="accent1" w:themeFillTint="33"/>
                <w:noWrap/>
                <w:vAlign w:val="bottom"/>
                <w:hideMark/>
              </w:tcPr>
              <w:p w14:paraId="07C1B87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37.3</w:t>
                </w:r>
              </w:p>
            </w:tc>
            <w:tc>
              <w:tcPr>
                <w:tcW w:w="662" w:type="dxa"/>
                <w:tcBorders>
                  <w:top w:val="nil"/>
                  <w:left w:val="nil"/>
                  <w:bottom w:val="nil"/>
                  <w:right w:val="nil"/>
                </w:tcBorders>
                <w:shd w:val="clear" w:color="auto" w:fill="CAE7F3" w:themeFill="accent1" w:themeFillTint="33"/>
                <w:noWrap/>
                <w:vAlign w:val="bottom"/>
                <w:hideMark/>
              </w:tcPr>
              <w:p w14:paraId="2DCEFC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99.0</w:t>
                </w:r>
              </w:p>
            </w:tc>
            <w:tc>
              <w:tcPr>
                <w:tcW w:w="662" w:type="dxa"/>
                <w:tcBorders>
                  <w:top w:val="nil"/>
                  <w:left w:val="nil"/>
                  <w:bottom w:val="nil"/>
                  <w:right w:val="nil"/>
                </w:tcBorders>
                <w:shd w:val="clear" w:color="auto" w:fill="CAE7F3" w:themeFill="accent1" w:themeFillTint="33"/>
                <w:noWrap/>
                <w:vAlign w:val="bottom"/>
                <w:hideMark/>
              </w:tcPr>
              <w:p w14:paraId="78A7A5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85.7</w:t>
                </w:r>
              </w:p>
            </w:tc>
            <w:tc>
              <w:tcPr>
                <w:tcW w:w="662" w:type="dxa"/>
                <w:tcBorders>
                  <w:top w:val="nil"/>
                  <w:left w:val="nil"/>
                  <w:bottom w:val="nil"/>
                  <w:right w:val="nil"/>
                </w:tcBorders>
                <w:shd w:val="clear" w:color="auto" w:fill="CAE7F3" w:themeFill="accent1" w:themeFillTint="33"/>
                <w:noWrap/>
                <w:vAlign w:val="bottom"/>
                <w:hideMark/>
              </w:tcPr>
              <w:p w14:paraId="527E93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89.2</w:t>
                </w:r>
              </w:p>
            </w:tc>
            <w:tc>
              <w:tcPr>
                <w:tcW w:w="661" w:type="dxa"/>
                <w:tcBorders>
                  <w:top w:val="nil"/>
                  <w:left w:val="nil"/>
                  <w:bottom w:val="nil"/>
                  <w:right w:val="nil"/>
                </w:tcBorders>
                <w:shd w:val="clear" w:color="auto" w:fill="CAE7F3" w:themeFill="accent1" w:themeFillTint="33"/>
                <w:noWrap/>
                <w:vAlign w:val="bottom"/>
                <w:hideMark/>
              </w:tcPr>
              <w:p w14:paraId="5CE6FB9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w:t>
                </w:r>
              </w:p>
            </w:tc>
            <w:tc>
              <w:tcPr>
                <w:tcW w:w="662" w:type="dxa"/>
                <w:tcBorders>
                  <w:top w:val="nil"/>
                  <w:left w:val="nil"/>
                  <w:bottom w:val="nil"/>
                  <w:right w:val="nil"/>
                </w:tcBorders>
                <w:shd w:val="clear" w:color="auto" w:fill="CAE7F3" w:themeFill="accent1" w:themeFillTint="33"/>
                <w:noWrap/>
                <w:vAlign w:val="bottom"/>
                <w:hideMark/>
              </w:tcPr>
              <w:p w14:paraId="244FD12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96.2</w:t>
                </w:r>
              </w:p>
            </w:tc>
            <w:tc>
              <w:tcPr>
                <w:tcW w:w="662" w:type="dxa"/>
                <w:tcBorders>
                  <w:top w:val="nil"/>
                  <w:left w:val="nil"/>
                  <w:bottom w:val="nil"/>
                  <w:right w:val="nil"/>
                </w:tcBorders>
                <w:shd w:val="clear" w:color="auto" w:fill="CAE7F3" w:themeFill="accent1" w:themeFillTint="33"/>
                <w:noWrap/>
                <w:vAlign w:val="bottom"/>
                <w:hideMark/>
              </w:tcPr>
              <w:p w14:paraId="251705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110.2</w:t>
                </w:r>
              </w:p>
            </w:tc>
            <w:tc>
              <w:tcPr>
                <w:tcW w:w="662" w:type="dxa"/>
                <w:tcBorders>
                  <w:top w:val="nil"/>
                  <w:left w:val="nil"/>
                  <w:bottom w:val="nil"/>
                  <w:right w:val="nil"/>
                </w:tcBorders>
                <w:shd w:val="clear" w:color="auto" w:fill="CAE7F3" w:themeFill="accent1" w:themeFillTint="33"/>
                <w:noWrap/>
                <w:vAlign w:val="bottom"/>
                <w:hideMark/>
              </w:tcPr>
              <w:p w14:paraId="7F372A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74.5</w:t>
                </w:r>
              </w:p>
            </w:tc>
            <w:tc>
              <w:tcPr>
                <w:tcW w:w="662" w:type="dxa"/>
                <w:tcBorders>
                  <w:top w:val="nil"/>
                  <w:left w:val="nil"/>
                  <w:bottom w:val="nil"/>
                  <w:right w:val="nil"/>
                </w:tcBorders>
                <w:shd w:val="clear" w:color="auto" w:fill="CAE7F3" w:themeFill="accent1" w:themeFillTint="33"/>
                <w:noWrap/>
                <w:vAlign w:val="bottom"/>
                <w:hideMark/>
              </w:tcPr>
              <w:p w14:paraId="0266EB9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50.5</w:t>
                </w:r>
              </w:p>
            </w:tc>
            <w:tc>
              <w:tcPr>
                <w:tcW w:w="661" w:type="dxa"/>
                <w:tcBorders>
                  <w:top w:val="nil"/>
                  <w:left w:val="nil"/>
                  <w:bottom w:val="nil"/>
                  <w:right w:val="nil"/>
                </w:tcBorders>
                <w:shd w:val="clear" w:color="auto" w:fill="CAE7F3" w:themeFill="accent1" w:themeFillTint="33"/>
                <w:noWrap/>
                <w:vAlign w:val="bottom"/>
                <w:hideMark/>
              </w:tcPr>
              <w:p w14:paraId="4168A7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w:t>
                </w:r>
              </w:p>
            </w:tc>
            <w:tc>
              <w:tcPr>
                <w:tcW w:w="662" w:type="dxa"/>
                <w:tcBorders>
                  <w:top w:val="nil"/>
                  <w:left w:val="nil"/>
                  <w:bottom w:val="nil"/>
                  <w:right w:val="nil"/>
                </w:tcBorders>
                <w:shd w:val="clear" w:color="auto" w:fill="CAE7F3" w:themeFill="accent1" w:themeFillTint="33"/>
                <w:noWrap/>
                <w:vAlign w:val="bottom"/>
                <w:hideMark/>
              </w:tcPr>
              <w:p w14:paraId="66DD2AC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w:t>
                </w:r>
              </w:p>
            </w:tc>
            <w:tc>
              <w:tcPr>
                <w:tcW w:w="662" w:type="dxa"/>
                <w:tcBorders>
                  <w:top w:val="nil"/>
                  <w:left w:val="nil"/>
                  <w:bottom w:val="nil"/>
                  <w:right w:val="nil"/>
                </w:tcBorders>
                <w:shd w:val="clear" w:color="auto" w:fill="CAE7F3" w:themeFill="accent1" w:themeFillTint="33"/>
                <w:noWrap/>
                <w:vAlign w:val="bottom"/>
                <w:hideMark/>
              </w:tcPr>
              <w:p w14:paraId="4DBE5C8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44.8</w:t>
                </w:r>
              </w:p>
            </w:tc>
            <w:tc>
              <w:tcPr>
                <w:tcW w:w="662" w:type="dxa"/>
                <w:tcBorders>
                  <w:top w:val="nil"/>
                  <w:left w:val="nil"/>
                  <w:bottom w:val="nil"/>
                  <w:right w:val="nil"/>
                </w:tcBorders>
                <w:shd w:val="clear" w:color="auto" w:fill="CAE7F3" w:themeFill="accent1" w:themeFillTint="33"/>
                <w:noWrap/>
                <w:vAlign w:val="bottom"/>
                <w:hideMark/>
              </w:tcPr>
              <w:p w14:paraId="1AF13B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w:t>
                </w:r>
              </w:p>
            </w:tc>
            <w:tc>
              <w:tcPr>
                <w:tcW w:w="662" w:type="dxa"/>
                <w:tcBorders>
                  <w:top w:val="nil"/>
                  <w:left w:val="nil"/>
                  <w:bottom w:val="nil"/>
                  <w:right w:val="nil"/>
                </w:tcBorders>
                <w:shd w:val="clear" w:color="auto" w:fill="CAE7F3" w:themeFill="accent1" w:themeFillTint="33"/>
                <w:noWrap/>
                <w:vAlign w:val="bottom"/>
                <w:hideMark/>
              </w:tcPr>
              <w:p w14:paraId="337CEE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67.3</w:t>
                </w:r>
              </w:p>
            </w:tc>
          </w:tr>
          <w:tr w:rsidR="00830FDC" w:rsidRPr="00F63634" w14:paraId="70E48560"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2181C880"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Shepparton</w:t>
                </w:r>
              </w:p>
            </w:tc>
            <w:tc>
              <w:tcPr>
                <w:tcW w:w="661" w:type="dxa"/>
                <w:tcBorders>
                  <w:top w:val="nil"/>
                  <w:left w:val="nil"/>
                  <w:bottom w:val="nil"/>
                  <w:right w:val="nil"/>
                </w:tcBorders>
                <w:shd w:val="clear" w:color="auto" w:fill="CAE7F3" w:themeFill="accent1" w:themeFillTint="33"/>
                <w:noWrap/>
                <w:vAlign w:val="bottom"/>
                <w:hideMark/>
              </w:tcPr>
              <w:p w14:paraId="0AF5934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292.2</w:t>
                </w:r>
              </w:p>
            </w:tc>
            <w:tc>
              <w:tcPr>
                <w:tcW w:w="662" w:type="dxa"/>
                <w:tcBorders>
                  <w:top w:val="nil"/>
                  <w:left w:val="nil"/>
                  <w:bottom w:val="nil"/>
                  <w:right w:val="nil"/>
                </w:tcBorders>
                <w:shd w:val="clear" w:color="auto" w:fill="CAE7F3" w:themeFill="accent1" w:themeFillTint="33"/>
                <w:noWrap/>
                <w:vAlign w:val="bottom"/>
                <w:hideMark/>
              </w:tcPr>
              <w:p w14:paraId="0A1F7D7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w:t>
                </w:r>
              </w:p>
            </w:tc>
            <w:tc>
              <w:tcPr>
                <w:tcW w:w="662" w:type="dxa"/>
                <w:tcBorders>
                  <w:top w:val="nil"/>
                  <w:left w:val="nil"/>
                  <w:bottom w:val="nil"/>
                  <w:right w:val="nil"/>
                </w:tcBorders>
                <w:shd w:val="clear" w:color="auto" w:fill="CAE7F3" w:themeFill="accent1" w:themeFillTint="33"/>
                <w:noWrap/>
                <w:vAlign w:val="bottom"/>
                <w:hideMark/>
              </w:tcPr>
              <w:p w14:paraId="751CBE9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54.7</w:t>
                </w:r>
              </w:p>
            </w:tc>
            <w:tc>
              <w:tcPr>
                <w:tcW w:w="662" w:type="dxa"/>
                <w:tcBorders>
                  <w:top w:val="nil"/>
                  <w:left w:val="nil"/>
                  <w:bottom w:val="nil"/>
                  <w:right w:val="nil"/>
                </w:tcBorders>
                <w:shd w:val="clear" w:color="auto" w:fill="CAE7F3" w:themeFill="accent1" w:themeFillTint="33"/>
                <w:noWrap/>
                <w:vAlign w:val="bottom"/>
                <w:hideMark/>
              </w:tcPr>
              <w:p w14:paraId="6AC916A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w:t>
                </w:r>
              </w:p>
            </w:tc>
            <w:tc>
              <w:tcPr>
                <w:tcW w:w="661" w:type="dxa"/>
                <w:tcBorders>
                  <w:top w:val="nil"/>
                  <w:left w:val="nil"/>
                  <w:bottom w:val="nil"/>
                  <w:right w:val="nil"/>
                </w:tcBorders>
                <w:shd w:val="clear" w:color="auto" w:fill="CAE7F3" w:themeFill="accent1" w:themeFillTint="33"/>
                <w:noWrap/>
                <w:vAlign w:val="bottom"/>
                <w:hideMark/>
              </w:tcPr>
              <w:p w14:paraId="3F75DB8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223.8</w:t>
                </w:r>
              </w:p>
            </w:tc>
            <w:tc>
              <w:tcPr>
                <w:tcW w:w="662" w:type="dxa"/>
                <w:tcBorders>
                  <w:top w:val="nil"/>
                  <w:left w:val="nil"/>
                  <w:bottom w:val="nil"/>
                  <w:right w:val="nil"/>
                </w:tcBorders>
                <w:shd w:val="clear" w:color="auto" w:fill="CAE7F3" w:themeFill="accent1" w:themeFillTint="33"/>
                <w:noWrap/>
                <w:vAlign w:val="bottom"/>
                <w:hideMark/>
              </w:tcPr>
              <w:p w14:paraId="2774B1E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29.8</w:t>
                </w:r>
              </w:p>
            </w:tc>
            <w:tc>
              <w:tcPr>
                <w:tcW w:w="662" w:type="dxa"/>
                <w:tcBorders>
                  <w:top w:val="nil"/>
                  <w:left w:val="nil"/>
                  <w:bottom w:val="nil"/>
                  <w:right w:val="nil"/>
                </w:tcBorders>
                <w:shd w:val="clear" w:color="auto" w:fill="CAE7F3" w:themeFill="accent1" w:themeFillTint="33"/>
                <w:noWrap/>
                <w:vAlign w:val="bottom"/>
                <w:hideMark/>
              </w:tcPr>
              <w:p w14:paraId="42DA94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92.7</w:t>
                </w:r>
              </w:p>
            </w:tc>
            <w:tc>
              <w:tcPr>
                <w:tcW w:w="662" w:type="dxa"/>
                <w:tcBorders>
                  <w:top w:val="nil"/>
                  <w:left w:val="nil"/>
                  <w:bottom w:val="nil"/>
                  <w:right w:val="nil"/>
                </w:tcBorders>
                <w:shd w:val="clear" w:color="auto" w:fill="CAE7F3" w:themeFill="accent1" w:themeFillTint="33"/>
                <w:noWrap/>
                <w:vAlign w:val="bottom"/>
                <w:hideMark/>
              </w:tcPr>
              <w:p w14:paraId="5686D14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68.8</w:t>
                </w:r>
              </w:p>
            </w:tc>
            <w:tc>
              <w:tcPr>
                <w:tcW w:w="662" w:type="dxa"/>
                <w:tcBorders>
                  <w:top w:val="nil"/>
                  <w:left w:val="nil"/>
                  <w:bottom w:val="nil"/>
                  <w:right w:val="nil"/>
                </w:tcBorders>
                <w:shd w:val="clear" w:color="auto" w:fill="CAE7F3" w:themeFill="accent1" w:themeFillTint="33"/>
                <w:noWrap/>
                <w:vAlign w:val="bottom"/>
                <w:hideMark/>
              </w:tcPr>
              <w:p w14:paraId="0D1719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82.5</w:t>
                </w:r>
              </w:p>
            </w:tc>
            <w:tc>
              <w:tcPr>
                <w:tcW w:w="661" w:type="dxa"/>
                <w:tcBorders>
                  <w:top w:val="nil"/>
                  <w:left w:val="nil"/>
                  <w:bottom w:val="nil"/>
                  <w:right w:val="nil"/>
                </w:tcBorders>
                <w:shd w:val="clear" w:color="auto" w:fill="CAE7F3" w:themeFill="accent1" w:themeFillTint="33"/>
                <w:noWrap/>
                <w:vAlign w:val="bottom"/>
                <w:hideMark/>
              </w:tcPr>
              <w:p w14:paraId="4A4506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w:t>
                </w:r>
              </w:p>
            </w:tc>
            <w:tc>
              <w:tcPr>
                <w:tcW w:w="662" w:type="dxa"/>
                <w:tcBorders>
                  <w:top w:val="nil"/>
                  <w:left w:val="nil"/>
                  <w:bottom w:val="nil"/>
                  <w:right w:val="nil"/>
                </w:tcBorders>
                <w:shd w:val="clear" w:color="auto" w:fill="CAE7F3" w:themeFill="accent1" w:themeFillTint="33"/>
                <w:noWrap/>
                <w:vAlign w:val="bottom"/>
                <w:hideMark/>
              </w:tcPr>
              <w:p w14:paraId="5506900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80.5</w:t>
                </w:r>
              </w:p>
            </w:tc>
            <w:tc>
              <w:tcPr>
                <w:tcW w:w="662" w:type="dxa"/>
                <w:tcBorders>
                  <w:top w:val="nil"/>
                  <w:left w:val="nil"/>
                  <w:bottom w:val="nil"/>
                  <w:right w:val="nil"/>
                </w:tcBorders>
                <w:shd w:val="clear" w:color="auto" w:fill="CAE7F3" w:themeFill="accent1" w:themeFillTint="33"/>
                <w:noWrap/>
                <w:vAlign w:val="bottom"/>
                <w:hideMark/>
              </w:tcPr>
              <w:p w14:paraId="77D0D5F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109.8</w:t>
                </w:r>
              </w:p>
            </w:tc>
            <w:tc>
              <w:tcPr>
                <w:tcW w:w="662" w:type="dxa"/>
                <w:tcBorders>
                  <w:top w:val="nil"/>
                  <w:left w:val="nil"/>
                  <w:bottom w:val="nil"/>
                  <w:right w:val="nil"/>
                </w:tcBorders>
                <w:shd w:val="clear" w:color="auto" w:fill="CAE7F3" w:themeFill="accent1" w:themeFillTint="33"/>
                <w:noWrap/>
                <w:vAlign w:val="bottom"/>
                <w:hideMark/>
              </w:tcPr>
              <w:p w14:paraId="21ADCBD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87.3</w:t>
                </w:r>
              </w:p>
            </w:tc>
            <w:tc>
              <w:tcPr>
                <w:tcW w:w="662" w:type="dxa"/>
                <w:tcBorders>
                  <w:top w:val="nil"/>
                  <w:left w:val="nil"/>
                  <w:bottom w:val="nil"/>
                  <w:right w:val="nil"/>
                </w:tcBorders>
                <w:shd w:val="clear" w:color="auto" w:fill="CAE7F3" w:themeFill="accent1" w:themeFillTint="33"/>
                <w:noWrap/>
                <w:vAlign w:val="bottom"/>
                <w:hideMark/>
              </w:tcPr>
              <w:p w14:paraId="2370A4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45.0</w:t>
                </w:r>
              </w:p>
            </w:tc>
            <w:tc>
              <w:tcPr>
                <w:tcW w:w="661" w:type="dxa"/>
                <w:tcBorders>
                  <w:top w:val="nil"/>
                  <w:left w:val="nil"/>
                  <w:bottom w:val="nil"/>
                  <w:right w:val="nil"/>
                </w:tcBorders>
                <w:shd w:val="clear" w:color="auto" w:fill="CAE7F3" w:themeFill="accent1" w:themeFillTint="33"/>
                <w:noWrap/>
                <w:vAlign w:val="bottom"/>
                <w:hideMark/>
              </w:tcPr>
              <w:p w14:paraId="33742B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w:t>
                </w:r>
              </w:p>
            </w:tc>
            <w:tc>
              <w:tcPr>
                <w:tcW w:w="662" w:type="dxa"/>
                <w:tcBorders>
                  <w:top w:val="nil"/>
                  <w:left w:val="nil"/>
                  <w:bottom w:val="nil"/>
                  <w:right w:val="nil"/>
                </w:tcBorders>
                <w:shd w:val="clear" w:color="auto" w:fill="CAE7F3" w:themeFill="accent1" w:themeFillTint="33"/>
                <w:noWrap/>
                <w:vAlign w:val="bottom"/>
                <w:hideMark/>
              </w:tcPr>
              <w:p w14:paraId="0AB212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w:t>
                </w:r>
              </w:p>
            </w:tc>
            <w:tc>
              <w:tcPr>
                <w:tcW w:w="662" w:type="dxa"/>
                <w:tcBorders>
                  <w:top w:val="nil"/>
                  <w:left w:val="nil"/>
                  <w:bottom w:val="nil"/>
                  <w:right w:val="nil"/>
                </w:tcBorders>
                <w:shd w:val="clear" w:color="auto" w:fill="CAE7F3" w:themeFill="accent1" w:themeFillTint="33"/>
                <w:noWrap/>
                <w:vAlign w:val="bottom"/>
                <w:hideMark/>
              </w:tcPr>
              <w:p w14:paraId="6C82F4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53.8</w:t>
                </w:r>
              </w:p>
            </w:tc>
            <w:tc>
              <w:tcPr>
                <w:tcW w:w="662" w:type="dxa"/>
                <w:tcBorders>
                  <w:top w:val="nil"/>
                  <w:left w:val="nil"/>
                  <w:bottom w:val="nil"/>
                  <w:right w:val="nil"/>
                </w:tcBorders>
                <w:shd w:val="clear" w:color="auto" w:fill="CAE7F3" w:themeFill="accent1" w:themeFillTint="33"/>
                <w:noWrap/>
                <w:vAlign w:val="bottom"/>
                <w:hideMark/>
              </w:tcPr>
              <w:p w14:paraId="76E8C0C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w:t>
                </w:r>
              </w:p>
            </w:tc>
            <w:tc>
              <w:tcPr>
                <w:tcW w:w="662" w:type="dxa"/>
                <w:tcBorders>
                  <w:top w:val="nil"/>
                  <w:left w:val="nil"/>
                  <w:bottom w:val="nil"/>
                  <w:right w:val="nil"/>
                </w:tcBorders>
                <w:shd w:val="clear" w:color="auto" w:fill="CAE7F3" w:themeFill="accent1" w:themeFillTint="33"/>
                <w:noWrap/>
                <w:vAlign w:val="bottom"/>
                <w:hideMark/>
              </w:tcPr>
              <w:p w14:paraId="5A39A7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62.8</w:t>
                </w:r>
              </w:p>
            </w:tc>
          </w:tr>
          <w:tr w:rsidR="00830FDC" w:rsidRPr="00F63634" w14:paraId="38650531"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09DDA8EB"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Special Purpose Codes SA4 (Vic.)</w:t>
                </w:r>
              </w:p>
            </w:tc>
            <w:tc>
              <w:tcPr>
                <w:tcW w:w="661" w:type="dxa"/>
                <w:tcBorders>
                  <w:top w:val="nil"/>
                  <w:left w:val="nil"/>
                  <w:bottom w:val="nil"/>
                  <w:right w:val="nil"/>
                </w:tcBorders>
                <w:shd w:val="clear" w:color="auto" w:fill="CAE7F3" w:themeFill="accent1" w:themeFillTint="33"/>
                <w:noWrap/>
                <w:vAlign w:val="bottom"/>
                <w:hideMark/>
              </w:tcPr>
              <w:p w14:paraId="17A5E8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60.8</w:t>
                </w:r>
              </w:p>
            </w:tc>
            <w:tc>
              <w:tcPr>
                <w:tcW w:w="662" w:type="dxa"/>
                <w:tcBorders>
                  <w:top w:val="nil"/>
                  <w:left w:val="nil"/>
                  <w:bottom w:val="nil"/>
                  <w:right w:val="nil"/>
                </w:tcBorders>
                <w:shd w:val="clear" w:color="auto" w:fill="CAE7F3" w:themeFill="accent1" w:themeFillTint="33"/>
                <w:noWrap/>
                <w:vAlign w:val="bottom"/>
                <w:hideMark/>
              </w:tcPr>
              <w:p w14:paraId="52CFD2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nil"/>
                  <w:right w:val="nil"/>
                </w:tcBorders>
                <w:shd w:val="clear" w:color="auto" w:fill="CAE7F3" w:themeFill="accent1" w:themeFillTint="33"/>
                <w:noWrap/>
                <w:vAlign w:val="bottom"/>
                <w:hideMark/>
              </w:tcPr>
              <w:p w14:paraId="09CF859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22.5</w:t>
                </w:r>
              </w:p>
            </w:tc>
            <w:tc>
              <w:tcPr>
                <w:tcW w:w="662" w:type="dxa"/>
                <w:tcBorders>
                  <w:top w:val="nil"/>
                  <w:left w:val="nil"/>
                  <w:bottom w:val="nil"/>
                  <w:right w:val="nil"/>
                </w:tcBorders>
                <w:shd w:val="clear" w:color="auto" w:fill="CAE7F3" w:themeFill="accent1" w:themeFillTint="33"/>
                <w:noWrap/>
                <w:vAlign w:val="bottom"/>
                <w:hideMark/>
              </w:tcPr>
              <w:p w14:paraId="7943A5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w:t>
                </w:r>
              </w:p>
            </w:tc>
            <w:tc>
              <w:tcPr>
                <w:tcW w:w="661" w:type="dxa"/>
                <w:tcBorders>
                  <w:top w:val="nil"/>
                  <w:left w:val="nil"/>
                  <w:bottom w:val="nil"/>
                  <w:right w:val="nil"/>
                </w:tcBorders>
                <w:shd w:val="clear" w:color="auto" w:fill="CAE7F3" w:themeFill="accent1" w:themeFillTint="33"/>
                <w:noWrap/>
                <w:vAlign w:val="bottom"/>
                <w:hideMark/>
              </w:tcPr>
              <w:p w14:paraId="332F193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45.5</w:t>
                </w:r>
              </w:p>
            </w:tc>
            <w:tc>
              <w:tcPr>
                <w:tcW w:w="662" w:type="dxa"/>
                <w:tcBorders>
                  <w:top w:val="nil"/>
                  <w:left w:val="nil"/>
                  <w:bottom w:val="nil"/>
                  <w:right w:val="nil"/>
                </w:tcBorders>
                <w:shd w:val="clear" w:color="auto" w:fill="CAE7F3" w:themeFill="accent1" w:themeFillTint="33"/>
                <w:noWrap/>
                <w:vAlign w:val="bottom"/>
                <w:hideMark/>
              </w:tcPr>
              <w:p w14:paraId="30E68D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25.3</w:t>
                </w:r>
              </w:p>
            </w:tc>
            <w:tc>
              <w:tcPr>
                <w:tcW w:w="662" w:type="dxa"/>
                <w:tcBorders>
                  <w:top w:val="nil"/>
                  <w:left w:val="nil"/>
                  <w:bottom w:val="nil"/>
                  <w:right w:val="nil"/>
                </w:tcBorders>
                <w:shd w:val="clear" w:color="auto" w:fill="CAE7F3" w:themeFill="accent1" w:themeFillTint="33"/>
                <w:noWrap/>
                <w:vAlign w:val="bottom"/>
                <w:hideMark/>
              </w:tcPr>
              <w:p w14:paraId="17BED9B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34.0</w:t>
                </w:r>
              </w:p>
            </w:tc>
            <w:tc>
              <w:tcPr>
                <w:tcW w:w="662" w:type="dxa"/>
                <w:tcBorders>
                  <w:top w:val="nil"/>
                  <w:left w:val="nil"/>
                  <w:bottom w:val="nil"/>
                  <w:right w:val="nil"/>
                </w:tcBorders>
                <w:shd w:val="clear" w:color="auto" w:fill="CAE7F3" w:themeFill="accent1" w:themeFillTint="33"/>
                <w:noWrap/>
                <w:vAlign w:val="bottom"/>
                <w:hideMark/>
              </w:tcPr>
              <w:p w14:paraId="0FB1E8D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27.3</w:t>
                </w:r>
              </w:p>
            </w:tc>
            <w:tc>
              <w:tcPr>
                <w:tcW w:w="662" w:type="dxa"/>
                <w:tcBorders>
                  <w:top w:val="nil"/>
                  <w:left w:val="nil"/>
                  <w:bottom w:val="nil"/>
                  <w:right w:val="nil"/>
                </w:tcBorders>
                <w:shd w:val="clear" w:color="auto" w:fill="CAE7F3" w:themeFill="accent1" w:themeFillTint="33"/>
                <w:noWrap/>
                <w:vAlign w:val="bottom"/>
                <w:hideMark/>
              </w:tcPr>
              <w:p w14:paraId="373F3B6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w:t>
                </w:r>
              </w:p>
            </w:tc>
            <w:tc>
              <w:tcPr>
                <w:tcW w:w="661" w:type="dxa"/>
                <w:tcBorders>
                  <w:top w:val="nil"/>
                  <w:left w:val="nil"/>
                  <w:bottom w:val="nil"/>
                  <w:right w:val="nil"/>
                </w:tcBorders>
                <w:shd w:val="clear" w:color="auto" w:fill="CAE7F3" w:themeFill="accent1" w:themeFillTint="33"/>
                <w:noWrap/>
                <w:vAlign w:val="bottom"/>
                <w:hideMark/>
              </w:tcPr>
              <w:p w14:paraId="0FD6C5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4.7</w:t>
                </w:r>
              </w:p>
            </w:tc>
            <w:tc>
              <w:tcPr>
                <w:tcW w:w="662" w:type="dxa"/>
                <w:tcBorders>
                  <w:top w:val="nil"/>
                  <w:left w:val="nil"/>
                  <w:bottom w:val="nil"/>
                  <w:right w:val="nil"/>
                </w:tcBorders>
                <w:shd w:val="clear" w:color="auto" w:fill="CAE7F3" w:themeFill="accent1" w:themeFillTint="33"/>
                <w:noWrap/>
                <w:vAlign w:val="bottom"/>
                <w:hideMark/>
              </w:tcPr>
              <w:p w14:paraId="3D6176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31.2</w:t>
                </w:r>
              </w:p>
            </w:tc>
            <w:tc>
              <w:tcPr>
                <w:tcW w:w="662" w:type="dxa"/>
                <w:tcBorders>
                  <w:top w:val="nil"/>
                  <w:left w:val="nil"/>
                  <w:bottom w:val="nil"/>
                  <w:right w:val="nil"/>
                </w:tcBorders>
                <w:shd w:val="clear" w:color="auto" w:fill="CAE7F3" w:themeFill="accent1" w:themeFillTint="33"/>
                <w:noWrap/>
                <w:vAlign w:val="bottom"/>
                <w:hideMark/>
              </w:tcPr>
              <w:p w14:paraId="5F1ABF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32.7</w:t>
                </w:r>
              </w:p>
            </w:tc>
            <w:tc>
              <w:tcPr>
                <w:tcW w:w="662" w:type="dxa"/>
                <w:tcBorders>
                  <w:top w:val="nil"/>
                  <w:left w:val="nil"/>
                  <w:bottom w:val="nil"/>
                  <w:right w:val="nil"/>
                </w:tcBorders>
                <w:shd w:val="clear" w:color="auto" w:fill="CAE7F3" w:themeFill="accent1" w:themeFillTint="33"/>
                <w:noWrap/>
                <w:vAlign w:val="bottom"/>
                <w:hideMark/>
              </w:tcPr>
              <w:p w14:paraId="202F88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45.3</w:t>
                </w:r>
              </w:p>
            </w:tc>
            <w:tc>
              <w:tcPr>
                <w:tcW w:w="662" w:type="dxa"/>
                <w:tcBorders>
                  <w:top w:val="nil"/>
                  <w:left w:val="nil"/>
                  <w:bottom w:val="nil"/>
                  <w:right w:val="nil"/>
                </w:tcBorders>
                <w:shd w:val="clear" w:color="auto" w:fill="CAE7F3" w:themeFill="accent1" w:themeFillTint="33"/>
                <w:noWrap/>
                <w:vAlign w:val="bottom"/>
                <w:hideMark/>
              </w:tcPr>
              <w:p w14:paraId="5A975B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13.0</w:t>
                </w:r>
              </w:p>
            </w:tc>
            <w:tc>
              <w:tcPr>
                <w:tcW w:w="661" w:type="dxa"/>
                <w:tcBorders>
                  <w:top w:val="nil"/>
                  <w:left w:val="nil"/>
                  <w:bottom w:val="nil"/>
                  <w:right w:val="nil"/>
                </w:tcBorders>
                <w:shd w:val="clear" w:color="auto" w:fill="CAE7F3" w:themeFill="accent1" w:themeFillTint="33"/>
                <w:noWrap/>
                <w:vAlign w:val="bottom"/>
                <w:hideMark/>
              </w:tcPr>
              <w:p w14:paraId="7B9F01A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w:t>
                </w:r>
              </w:p>
            </w:tc>
            <w:tc>
              <w:tcPr>
                <w:tcW w:w="662" w:type="dxa"/>
                <w:tcBorders>
                  <w:top w:val="nil"/>
                  <w:left w:val="nil"/>
                  <w:bottom w:val="nil"/>
                  <w:right w:val="nil"/>
                </w:tcBorders>
                <w:shd w:val="clear" w:color="auto" w:fill="CAE7F3" w:themeFill="accent1" w:themeFillTint="33"/>
                <w:noWrap/>
                <w:vAlign w:val="bottom"/>
                <w:hideMark/>
              </w:tcPr>
              <w:p w14:paraId="1E0EC1E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w:t>
                </w:r>
              </w:p>
            </w:tc>
            <w:tc>
              <w:tcPr>
                <w:tcW w:w="662" w:type="dxa"/>
                <w:tcBorders>
                  <w:top w:val="nil"/>
                  <w:left w:val="nil"/>
                  <w:bottom w:val="nil"/>
                  <w:right w:val="nil"/>
                </w:tcBorders>
                <w:shd w:val="clear" w:color="auto" w:fill="CAE7F3" w:themeFill="accent1" w:themeFillTint="33"/>
                <w:noWrap/>
                <w:vAlign w:val="bottom"/>
                <w:hideMark/>
              </w:tcPr>
              <w:p w14:paraId="37308B5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17.2</w:t>
                </w:r>
              </w:p>
            </w:tc>
            <w:tc>
              <w:tcPr>
                <w:tcW w:w="662" w:type="dxa"/>
                <w:tcBorders>
                  <w:top w:val="nil"/>
                  <w:left w:val="nil"/>
                  <w:bottom w:val="nil"/>
                  <w:right w:val="nil"/>
                </w:tcBorders>
                <w:shd w:val="clear" w:color="auto" w:fill="CAE7F3" w:themeFill="accent1" w:themeFillTint="33"/>
                <w:noWrap/>
                <w:vAlign w:val="bottom"/>
                <w:hideMark/>
              </w:tcPr>
              <w:p w14:paraId="5C5F323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7.5</w:t>
                </w:r>
              </w:p>
            </w:tc>
            <w:tc>
              <w:tcPr>
                <w:tcW w:w="662" w:type="dxa"/>
                <w:tcBorders>
                  <w:top w:val="nil"/>
                  <w:left w:val="nil"/>
                  <w:bottom w:val="nil"/>
                  <w:right w:val="nil"/>
                </w:tcBorders>
                <w:shd w:val="clear" w:color="auto" w:fill="CAE7F3" w:themeFill="accent1" w:themeFillTint="33"/>
                <w:noWrap/>
                <w:vAlign w:val="bottom"/>
                <w:hideMark/>
              </w:tcPr>
              <w:p w14:paraId="4B167A7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14.2</w:t>
                </w:r>
              </w:p>
            </w:tc>
          </w:tr>
          <w:tr w:rsidR="00830FDC" w:rsidRPr="00F63634" w14:paraId="4471F885" w14:textId="77777777" w:rsidTr="00D0090A">
            <w:trPr>
              <w:trHeight w:val="225"/>
            </w:trPr>
            <w:tc>
              <w:tcPr>
                <w:tcW w:w="1568" w:type="dxa"/>
                <w:tcBorders>
                  <w:top w:val="nil"/>
                  <w:left w:val="nil"/>
                  <w:bottom w:val="single" w:sz="8" w:space="0" w:color="595A5B"/>
                  <w:right w:val="nil"/>
                </w:tcBorders>
                <w:shd w:val="clear" w:color="auto" w:fill="CAE7F3" w:themeFill="accent1" w:themeFillTint="33"/>
                <w:noWrap/>
                <w:vAlign w:val="bottom"/>
                <w:hideMark/>
              </w:tcPr>
              <w:p w14:paraId="1684FA1A"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Warrnambool and South West</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067B6D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348.2</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48378C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606B1B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40.2</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9DB8A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165E0B8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186.5</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30EBF8A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23.2</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67AEFFA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70.0</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3F91789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71.5</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4ACCF08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58.2</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333569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23196A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73.0</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212651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90.7</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56103B9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65.8</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47CBD9C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30.3</w:t>
                </w:r>
              </w:p>
            </w:tc>
            <w:tc>
              <w:tcPr>
                <w:tcW w:w="661" w:type="dxa"/>
                <w:tcBorders>
                  <w:top w:val="nil"/>
                  <w:left w:val="nil"/>
                  <w:bottom w:val="single" w:sz="8" w:space="0" w:color="595A5B"/>
                  <w:right w:val="nil"/>
                </w:tcBorders>
                <w:shd w:val="clear" w:color="auto" w:fill="CAE7F3" w:themeFill="accent1" w:themeFillTint="33"/>
                <w:noWrap/>
                <w:vAlign w:val="bottom"/>
                <w:hideMark/>
              </w:tcPr>
              <w:p w14:paraId="726E04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01C1BD5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0088A5D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40.7</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154E112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15.2</w:t>
                </w:r>
              </w:p>
            </w:tc>
            <w:tc>
              <w:tcPr>
                <w:tcW w:w="662" w:type="dxa"/>
                <w:tcBorders>
                  <w:top w:val="nil"/>
                  <w:left w:val="nil"/>
                  <w:bottom w:val="single" w:sz="8" w:space="0" w:color="595A5B"/>
                  <w:right w:val="nil"/>
                </w:tcBorders>
                <w:shd w:val="clear" w:color="auto" w:fill="CAE7F3" w:themeFill="accent1" w:themeFillTint="33"/>
                <w:noWrap/>
                <w:vAlign w:val="bottom"/>
                <w:hideMark/>
              </w:tcPr>
              <w:p w14:paraId="6EF4E7E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49.7</w:t>
                </w:r>
              </w:p>
            </w:tc>
          </w:tr>
          <w:tr w:rsidR="00830FDC" w:rsidRPr="009820E8" w14:paraId="3A036247" w14:textId="77777777" w:rsidTr="00D0090A">
            <w:trPr>
              <w:trHeight w:val="225"/>
            </w:trPr>
            <w:tc>
              <w:tcPr>
                <w:tcW w:w="1568" w:type="dxa"/>
                <w:tcBorders>
                  <w:top w:val="single" w:sz="8" w:space="0" w:color="595A5B"/>
                  <w:left w:val="nil"/>
                  <w:right w:val="nil"/>
                </w:tcBorders>
                <w:shd w:val="clear" w:color="auto" w:fill="CAE7F3" w:themeFill="accent1" w:themeFillTint="33"/>
                <w:noWrap/>
                <w:vAlign w:val="bottom"/>
                <w:hideMark/>
              </w:tcPr>
              <w:p w14:paraId="6357E3C0"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Western Australia</w:t>
                </w:r>
              </w:p>
            </w:tc>
            <w:tc>
              <w:tcPr>
                <w:tcW w:w="661" w:type="dxa"/>
                <w:tcBorders>
                  <w:top w:val="single" w:sz="8" w:space="0" w:color="595A5B"/>
                  <w:left w:val="nil"/>
                  <w:right w:val="nil"/>
                </w:tcBorders>
                <w:shd w:val="clear" w:color="auto" w:fill="CAE7F3" w:themeFill="accent1" w:themeFillTint="33"/>
                <w:noWrap/>
                <w:vAlign w:val="bottom"/>
                <w:hideMark/>
              </w:tcPr>
              <w:p w14:paraId="3DC929F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1560.8</w:t>
                </w:r>
              </w:p>
            </w:tc>
            <w:tc>
              <w:tcPr>
                <w:tcW w:w="662" w:type="dxa"/>
                <w:tcBorders>
                  <w:top w:val="single" w:sz="8" w:space="0" w:color="595A5B"/>
                  <w:left w:val="nil"/>
                  <w:right w:val="nil"/>
                </w:tcBorders>
                <w:shd w:val="clear" w:color="auto" w:fill="CAE7F3" w:themeFill="accent1" w:themeFillTint="33"/>
                <w:noWrap/>
                <w:vAlign w:val="bottom"/>
                <w:hideMark/>
              </w:tcPr>
              <w:p w14:paraId="695CEF08"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394.0</w:t>
                </w:r>
              </w:p>
            </w:tc>
            <w:tc>
              <w:tcPr>
                <w:tcW w:w="662" w:type="dxa"/>
                <w:tcBorders>
                  <w:top w:val="single" w:sz="8" w:space="0" w:color="595A5B"/>
                  <w:left w:val="nil"/>
                  <w:right w:val="nil"/>
                </w:tcBorders>
                <w:shd w:val="clear" w:color="auto" w:fill="CAE7F3" w:themeFill="accent1" w:themeFillTint="33"/>
                <w:noWrap/>
                <w:vAlign w:val="bottom"/>
                <w:hideMark/>
              </w:tcPr>
              <w:p w14:paraId="2D4AE61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981.3</w:t>
                </w:r>
              </w:p>
            </w:tc>
            <w:tc>
              <w:tcPr>
                <w:tcW w:w="662" w:type="dxa"/>
                <w:tcBorders>
                  <w:top w:val="single" w:sz="8" w:space="0" w:color="595A5B"/>
                  <w:left w:val="nil"/>
                  <w:right w:val="nil"/>
                </w:tcBorders>
                <w:shd w:val="clear" w:color="auto" w:fill="CAE7F3" w:themeFill="accent1" w:themeFillTint="33"/>
                <w:noWrap/>
                <w:vAlign w:val="bottom"/>
                <w:hideMark/>
              </w:tcPr>
              <w:p w14:paraId="2D6AC91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105.3</w:t>
                </w:r>
              </w:p>
            </w:tc>
            <w:tc>
              <w:tcPr>
                <w:tcW w:w="661" w:type="dxa"/>
                <w:tcBorders>
                  <w:top w:val="single" w:sz="8" w:space="0" w:color="595A5B"/>
                  <w:left w:val="nil"/>
                  <w:right w:val="nil"/>
                </w:tcBorders>
                <w:shd w:val="clear" w:color="auto" w:fill="CAE7F3" w:themeFill="accent1" w:themeFillTint="33"/>
                <w:noWrap/>
                <w:vAlign w:val="bottom"/>
                <w:hideMark/>
              </w:tcPr>
              <w:p w14:paraId="74B0658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6364.5</w:t>
                </w:r>
              </w:p>
            </w:tc>
            <w:tc>
              <w:tcPr>
                <w:tcW w:w="662" w:type="dxa"/>
                <w:tcBorders>
                  <w:top w:val="single" w:sz="8" w:space="0" w:color="595A5B"/>
                  <w:left w:val="nil"/>
                  <w:right w:val="nil"/>
                </w:tcBorders>
                <w:shd w:val="clear" w:color="auto" w:fill="CAE7F3" w:themeFill="accent1" w:themeFillTint="33"/>
                <w:noWrap/>
                <w:vAlign w:val="bottom"/>
                <w:hideMark/>
              </w:tcPr>
              <w:p w14:paraId="2E34739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833.7</w:t>
                </w:r>
              </w:p>
            </w:tc>
            <w:tc>
              <w:tcPr>
                <w:tcW w:w="662" w:type="dxa"/>
                <w:tcBorders>
                  <w:top w:val="single" w:sz="8" w:space="0" w:color="595A5B"/>
                  <w:left w:val="nil"/>
                  <w:right w:val="nil"/>
                </w:tcBorders>
                <w:shd w:val="clear" w:color="auto" w:fill="CAE7F3" w:themeFill="accent1" w:themeFillTint="33"/>
                <w:noWrap/>
                <w:vAlign w:val="bottom"/>
                <w:hideMark/>
              </w:tcPr>
              <w:p w14:paraId="2D42551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1747.5</w:t>
                </w:r>
              </w:p>
            </w:tc>
            <w:tc>
              <w:tcPr>
                <w:tcW w:w="662" w:type="dxa"/>
                <w:tcBorders>
                  <w:top w:val="single" w:sz="8" w:space="0" w:color="595A5B"/>
                  <w:left w:val="nil"/>
                  <w:right w:val="nil"/>
                </w:tcBorders>
                <w:shd w:val="clear" w:color="auto" w:fill="CAE7F3" w:themeFill="accent1" w:themeFillTint="33"/>
                <w:noWrap/>
                <w:vAlign w:val="bottom"/>
                <w:hideMark/>
              </w:tcPr>
              <w:p w14:paraId="64C673B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1221.5</w:t>
                </w:r>
              </w:p>
            </w:tc>
            <w:tc>
              <w:tcPr>
                <w:tcW w:w="662" w:type="dxa"/>
                <w:tcBorders>
                  <w:top w:val="single" w:sz="8" w:space="0" w:color="595A5B"/>
                  <w:left w:val="nil"/>
                  <w:right w:val="nil"/>
                </w:tcBorders>
                <w:shd w:val="clear" w:color="auto" w:fill="CAE7F3" w:themeFill="accent1" w:themeFillTint="33"/>
                <w:noWrap/>
                <w:vAlign w:val="bottom"/>
                <w:hideMark/>
              </w:tcPr>
              <w:p w14:paraId="2C5348E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1937.0</w:t>
                </w:r>
              </w:p>
            </w:tc>
            <w:tc>
              <w:tcPr>
                <w:tcW w:w="661" w:type="dxa"/>
                <w:tcBorders>
                  <w:top w:val="single" w:sz="8" w:space="0" w:color="595A5B"/>
                  <w:left w:val="nil"/>
                  <w:right w:val="nil"/>
                </w:tcBorders>
                <w:shd w:val="clear" w:color="auto" w:fill="CAE7F3" w:themeFill="accent1" w:themeFillTint="33"/>
                <w:noWrap/>
                <w:vAlign w:val="bottom"/>
                <w:hideMark/>
              </w:tcPr>
              <w:p w14:paraId="122133B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234.0</w:t>
                </w:r>
              </w:p>
            </w:tc>
            <w:tc>
              <w:tcPr>
                <w:tcW w:w="662" w:type="dxa"/>
                <w:tcBorders>
                  <w:top w:val="single" w:sz="8" w:space="0" w:color="595A5B"/>
                  <w:left w:val="nil"/>
                  <w:right w:val="nil"/>
                </w:tcBorders>
                <w:shd w:val="clear" w:color="auto" w:fill="CAE7F3" w:themeFill="accent1" w:themeFillTint="33"/>
                <w:noWrap/>
                <w:vAlign w:val="bottom"/>
                <w:hideMark/>
              </w:tcPr>
              <w:p w14:paraId="1ECAC7BB"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2516.8</w:t>
                </w:r>
              </w:p>
            </w:tc>
            <w:tc>
              <w:tcPr>
                <w:tcW w:w="662" w:type="dxa"/>
                <w:tcBorders>
                  <w:top w:val="single" w:sz="8" w:space="0" w:color="595A5B"/>
                  <w:left w:val="nil"/>
                  <w:right w:val="nil"/>
                </w:tcBorders>
                <w:shd w:val="clear" w:color="auto" w:fill="CAE7F3" w:themeFill="accent1" w:themeFillTint="33"/>
                <w:noWrap/>
                <w:vAlign w:val="bottom"/>
                <w:hideMark/>
              </w:tcPr>
              <w:p w14:paraId="645D244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2424.8</w:t>
                </w:r>
              </w:p>
            </w:tc>
            <w:tc>
              <w:tcPr>
                <w:tcW w:w="662" w:type="dxa"/>
                <w:tcBorders>
                  <w:top w:val="single" w:sz="8" w:space="0" w:color="595A5B"/>
                  <w:left w:val="nil"/>
                  <w:right w:val="nil"/>
                </w:tcBorders>
                <w:shd w:val="clear" w:color="auto" w:fill="CAE7F3" w:themeFill="accent1" w:themeFillTint="33"/>
                <w:noWrap/>
                <w:vAlign w:val="bottom"/>
                <w:hideMark/>
              </w:tcPr>
              <w:p w14:paraId="6444AADA"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3643.8</w:t>
                </w:r>
              </w:p>
            </w:tc>
            <w:tc>
              <w:tcPr>
                <w:tcW w:w="662" w:type="dxa"/>
                <w:tcBorders>
                  <w:top w:val="single" w:sz="8" w:space="0" w:color="595A5B"/>
                  <w:left w:val="nil"/>
                  <w:right w:val="nil"/>
                </w:tcBorders>
                <w:shd w:val="clear" w:color="auto" w:fill="CAE7F3" w:themeFill="accent1" w:themeFillTint="33"/>
                <w:noWrap/>
                <w:vAlign w:val="bottom"/>
                <w:hideMark/>
              </w:tcPr>
              <w:p w14:paraId="395B53D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1377.2</w:t>
                </w:r>
              </w:p>
            </w:tc>
            <w:tc>
              <w:tcPr>
                <w:tcW w:w="661" w:type="dxa"/>
                <w:tcBorders>
                  <w:top w:val="single" w:sz="8" w:space="0" w:color="595A5B"/>
                  <w:left w:val="nil"/>
                  <w:right w:val="nil"/>
                </w:tcBorders>
                <w:shd w:val="clear" w:color="auto" w:fill="CAE7F3" w:themeFill="accent1" w:themeFillTint="33"/>
                <w:noWrap/>
                <w:vAlign w:val="bottom"/>
                <w:hideMark/>
              </w:tcPr>
              <w:p w14:paraId="7FAC7FD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121.3</w:t>
                </w:r>
              </w:p>
            </w:tc>
            <w:tc>
              <w:tcPr>
                <w:tcW w:w="662" w:type="dxa"/>
                <w:tcBorders>
                  <w:top w:val="single" w:sz="8" w:space="0" w:color="595A5B"/>
                  <w:left w:val="nil"/>
                  <w:right w:val="nil"/>
                </w:tcBorders>
                <w:shd w:val="clear" w:color="auto" w:fill="CAE7F3" w:themeFill="accent1" w:themeFillTint="33"/>
                <w:noWrap/>
                <w:vAlign w:val="bottom"/>
                <w:hideMark/>
              </w:tcPr>
              <w:p w14:paraId="17B0B33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392.2</w:t>
                </w:r>
              </w:p>
            </w:tc>
            <w:tc>
              <w:tcPr>
                <w:tcW w:w="662" w:type="dxa"/>
                <w:tcBorders>
                  <w:top w:val="single" w:sz="8" w:space="0" w:color="595A5B"/>
                  <w:left w:val="nil"/>
                  <w:right w:val="nil"/>
                </w:tcBorders>
                <w:shd w:val="clear" w:color="auto" w:fill="CAE7F3" w:themeFill="accent1" w:themeFillTint="33"/>
                <w:noWrap/>
                <w:vAlign w:val="bottom"/>
                <w:hideMark/>
              </w:tcPr>
              <w:p w14:paraId="70D9397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1139.2</w:t>
                </w:r>
              </w:p>
            </w:tc>
            <w:tc>
              <w:tcPr>
                <w:tcW w:w="662" w:type="dxa"/>
                <w:tcBorders>
                  <w:top w:val="single" w:sz="8" w:space="0" w:color="595A5B"/>
                  <w:left w:val="nil"/>
                  <w:right w:val="nil"/>
                </w:tcBorders>
                <w:shd w:val="clear" w:color="auto" w:fill="CAE7F3" w:themeFill="accent1" w:themeFillTint="33"/>
                <w:noWrap/>
                <w:vAlign w:val="bottom"/>
                <w:hideMark/>
              </w:tcPr>
              <w:p w14:paraId="587DC82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353.7</w:t>
                </w:r>
              </w:p>
            </w:tc>
            <w:tc>
              <w:tcPr>
                <w:tcW w:w="662" w:type="dxa"/>
                <w:tcBorders>
                  <w:top w:val="single" w:sz="8" w:space="0" w:color="595A5B"/>
                  <w:left w:val="nil"/>
                  <w:right w:val="nil"/>
                </w:tcBorders>
                <w:shd w:val="clear" w:color="auto" w:fill="CAE7F3" w:themeFill="accent1" w:themeFillTint="33"/>
                <w:noWrap/>
                <w:vAlign w:val="bottom"/>
                <w:hideMark/>
              </w:tcPr>
              <w:p w14:paraId="6C74057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1360.2</w:t>
                </w:r>
              </w:p>
            </w:tc>
          </w:tr>
          <w:tr w:rsidR="00830FDC" w:rsidRPr="00F63634" w14:paraId="3FF10E0F" w14:textId="77777777" w:rsidTr="00D0090A">
            <w:trPr>
              <w:trHeight w:val="225"/>
            </w:trPr>
            <w:tc>
              <w:tcPr>
                <w:tcW w:w="1568" w:type="dxa"/>
                <w:tcBorders>
                  <w:left w:val="nil"/>
                  <w:bottom w:val="nil"/>
                  <w:right w:val="nil"/>
                </w:tcBorders>
                <w:shd w:val="clear" w:color="auto" w:fill="CAE7F3" w:themeFill="accent1" w:themeFillTint="33"/>
                <w:noWrap/>
                <w:vAlign w:val="bottom"/>
                <w:hideMark/>
              </w:tcPr>
              <w:p w14:paraId="2EDE1DED"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Bunbury</w:t>
                </w:r>
              </w:p>
            </w:tc>
            <w:tc>
              <w:tcPr>
                <w:tcW w:w="661" w:type="dxa"/>
                <w:tcBorders>
                  <w:left w:val="nil"/>
                  <w:bottom w:val="nil"/>
                  <w:right w:val="nil"/>
                </w:tcBorders>
                <w:shd w:val="clear" w:color="auto" w:fill="CAE7F3" w:themeFill="accent1" w:themeFillTint="33"/>
                <w:noWrap/>
                <w:vAlign w:val="bottom"/>
                <w:hideMark/>
              </w:tcPr>
              <w:p w14:paraId="1A2EE8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206.5</w:t>
                </w:r>
              </w:p>
            </w:tc>
            <w:tc>
              <w:tcPr>
                <w:tcW w:w="662" w:type="dxa"/>
                <w:tcBorders>
                  <w:left w:val="nil"/>
                  <w:bottom w:val="nil"/>
                  <w:right w:val="nil"/>
                </w:tcBorders>
                <w:shd w:val="clear" w:color="auto" w:fill="CAE7F3" w:themeFill="accent1" w:themeFillTint="33"/>
                <w:noWrap/>
                <w:vAlign w:val="bottom"/>
                <w:hideMark/>
              </w:tcPr>
              <w:p w14:paraId="14A073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w:t>
                </w:r>
              </w:p>
            </w:tc>
            <w:tc>
              <w:tcPr>
                <w:tcW w:w="662" w:type="dxa"/>
                <w:tcBorders>
                  <w:left w:val="nil"/>
                  <w:bottom w:val="nil"/>
                  <w:right w:val="nil"/>
                </w:tcBorders>
                <w:shd w:val="clear" w:color="auto" w:fill="CAE7F3" w:themeFill="accent1" w:themeFillTint="33"/>
                <w:noWrap/>
                <w:vAlign w:val="bottom"/>
                <w:hideMark/>
              </w:tcPr>
              <w:p w14:paraId="6A8A92C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67.2</w:t>
                </w:r>
              </w:p>
            </w:tc>
            <w:tc>
              <w:tcPr>
                <w:tcW w:w="662" w:type="dxa"/>
                <w:tcBorders>
                  <w:left w:val="nil"/>
                  <w:bottom w:val="nil"/>
                  <w:right w:val="nil"/>
                </w:tcBorders>
                <w:shd w:val="clear" w:color="auto" w:fill="CAE7F3" w:themeFill="accent1" w:themeFillTint="33"/>
                <w:noWrap/>
                <w:vAlign w:val="bottom"/>
                <w:hideMark/>
              </w:tcPr>
              <w:p w14:paraId="612E72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w:t>
                </w:r>
              </w:p>
            </w:tc>
            <w:tc>
              <w:tcPr>
                <w:tcW w:w="661" w:type="dxa"/>
                <w:tcBorders>
                  <w:left w:val="nil"/>
                  <w:bottom w:val="nil"/>
                  <w:right w:val="nil"/>
                </w:tcBorders>
                <w:shd w:val="clear" w:color="auto" w:fill="CAE7F3" w:themeFill="accent1" w:themeFillTint="33"/>
                <w:noWrap/>
                <w:vAlign w:val="bottom"/>
                <w:hideMark/>
              </w:tcPr>
              <w:p w14:paraId="4DFCC21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418.2</w:t>
                </w:r>
              </w:p>
            </w:tc>
            <w:tc>
              <w:tcPr>
                <w:tcW w:w="662" w:type="dxa"/>
                <w:tcBorders>
                  <w:left w:val="nil"/>
                  <w:bottom w:val="nil"/>
                  <w:right w:val="nil"/>
                </w:tcBorders>
                <w:shd w:val="clear" w:color="auto" w:fill="CAE7F3" w:themeFill="accent1" w:themeFillTint="33"/>
                <w:noWrap/>
                <w:vAlign w:val="bottom"/>
                <w:hideMark/>
              </w:tcPr>
              <w:p w14:paraId="74B0040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36.3</w:t>
                </w:r>
              </w:p>
            </w:tc>
            <w:tc>
              <w:tcPr>
                <w:tcW w:w="662" w:type="dxa"/>
                <w:tcBorders>
                  <w:left w:val="nil"/>
                  <w:bottom w:val="nil"/>
                  <w:right w:val="nil"/>
                </w:tcBorders>
                <w:shd w:val="clear" w:color="auto" w:fill="CAE7F3" w:themeFill="accent1" w:themeFillTint="33"/>
                <w:noWrap/>
                <w:vAlign w:val="bottom"/>
                <w:hideMark/>
              </w:tcPr>
              <w:p w14:paraId="1F97D93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118.7</w:t>
                </w:r>
              </w:p>
            </w:tc>
            <w:tc>
              <w:tcPr>
                <w:tcW w:w="662" w:type="dxa"/>
                <w:tcBorders>
                  <w:left w:val="nil"/>
                  <w:bottom w:val="nil"/>
                  <w:right w:val="nil"/>
                </w:tcBorders>
                <w:shd w:val="clear" w:color="auto" w:fill="CAE7F3" w:themeFill="accent1" w:themeFillTint="33"/>
                <w:noWrap/>
                <w:vAlign w:val="bottom"/>
                <w:hideMark/>
              </w:tcPr>
              <w:p w14:paraId="1F75B8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82.7</w:t>
                </w:r>
              </w:p>
            </w:tc>
            <w:tc>
              <w:tcPr>
                <w:tcW w:w="662" w:type="dxa"/>
                <w:tcBorders>
                  <w:left w:val="nil"/>
                  <w:bottom w:val="nil"/>
                  <w:right w:val="nil"/>
                </w:tcBorders>
                <w:shd w:val="clear" w:color="auto" w:fill="CAE7F3" w:themeFill="accent1" w:themeFillTint="33"/>
                <w:noWrap/>
                <w:vAlign w:val="bottom"/>
                <w:hideMark/>
              </w:tcPr>
              <w:p w14:paraId="022D26B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77.0</w:t>
                </w:r>
              </w:p>
            </w:tc>
            <w:tc>
              <w:tcPr>
                <w:tcW w:w="661" w:type="dxa"/>
                <w:tcBorders>
                  <w:left w:val="nil"/>
                  <w:bottom w:val="nil"/>
                  <w:right w:val="nil"/>
                </w:tcBorders>
                <w:shd w:val="clear" w:color="auto" w:fill="CAE7F3" w:themeFill="accent1" w:themeFillTint="33"/>
                <w:noWrap/>
                <w:vAlign w:val="bottom"/>
                <w:hideMark/>
              </w:tcPr>
              <w:p w14:paraId="1932F6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9.5</w:t>
                </w:r>
              </w:p>
            </w:tc>
            <w:tc>
              <w:tcPr>
                <w:tcW w:w="662" w:type="dxa"/>
                <w:tcBorders>
                  <w:left w:val="nil"/>
                  <w:bottom w:val="nil"/>
                  <w:right w:val="nil"/>
                </w:tcBorders>
                <w:shd w:val="clear" w:color="auto" w:fill="CAE7F3" w:themeFill="accent1" w:themeFillTint="33"/>
                <w:noWrap/>
                <w:vAlign w:val="bottom"/>
                <w:hideMark/>
              </w:tcPr>
              <w:p w14:paraId="5332D26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118.5</w:t>
                </w:r>
              </w:p>
            </w:tc>
            <w:tc>
              <w:tcPr>
                <w:tcW w:w="662" w:type="dxa"/>
                <w:tcBorders>
                  <w:left w:val="nil"/>
                  <w:bottom w:val="nil"/>
                  <w:right w:val="nil"/>
                </w:tcBorders>
                <w:shd w:val="clear" w:color="auto" w:fill="CAE7F3" w:themeFill="accent1" w:themeFillTint="33"/>
                <w:noWrap/>
                <w:vAlign w:val="bottom"/>
                <w:hideMark/>
              </w:tcPr>
              <w:p w14:paraId="5FBF295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146.0</w:t>
                </w:r>
              </w:p>
            </w:tc>
            <w:tc>
              <w:tcPr>
                <w:tcW w:w="662" w:type="dxa"/>
                <w:tcBorders>
                  <w:left w:val="nil"/>
                  <w:bottom w:val="nil"/>
                  <w:right w:val="nil"/>
                </w:tcBorders>
                <w:shd w:val="clear" w:color="auto" w:fill="CAE7F3" w:themeFill="accent1" w:themeFillTint="33"/>
                <w:noWrap/>
                <w:vAlign w:val="bottom"/>
                <w:hideMark/>
              </w:tcPr>
              <w:p w14:paraId="43A1B99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149.5</w:t>
                </w:r>
              </w:p>
            </w:tc>
            <w:tc>
              <w:tcPr>
                <w:tcW w:w="662" w:type="dxa"/>
                <w:tcBorders>
                  <w:left w:val="nil"/>
                  <w:bottom w:val="nil"/>
                  <w:right w:val="nil"/>
                </w:tcBorders>
                <w:shd w:val="clear" w:color="auto" w:fill="CAE7F3" w:themeFill="accent1" w:themeFillTint="33"/>
                <w:noWrap/>
                <w:vAlign w:val="bottom"/>
                <w:hideMark/>
              </w:tcPr>
              <w:p w14:paraId="2E5A68B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69.8</w:t>
                </w:r>
              </w:p>
            </w:tc>
            <w:tc>
              <w:tcPr>
                <w:tcW w:w="661" w:type="dxa"/>
                <w:tcBorders>
                  <w:left w:val="nil"/>
                  <w:bottom w:val="nil"/>
                  <w:right w:val="nil"/>
                </w:tcBorders>
                <w:shd w:val="clear" w:color="auto" w:fill="CAE7F3" w:themeFill="accent1" w:themeFillTint="33"/>
                <w:noWrap/>
                <w:vAlign w:val="bottom"/>
                <w:hideMark/>
              </w:tcPr>
              <w:p w14:paraId="5D6F32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4.2</w:t>
                </w:r>
              </w:p>
            </w:tc>
            <w:tc>
              <w:tcPr>
                <w:tcW w:w="662" w:type="dxa"/>
                <w:tcBorders>
                  <w:left w:val="nil"/>
                  <w:bottom w:val="nil"/>
                  <w:right w:val="nil"/>
                </w:tcBorders>
                <w:shd w:val="clear" w:color="auto" w:fill="CAE7F3" w:themeFill="accent1" w:themeFillTint="33"/>
                <w:noWrap/>
                <w:vAlign w:val="bottom"/>
                <w:hideMark/>
              </w:tcPr>
              <w:p w14:paraId="0DDF2D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20.0</w:t>
                </w:r>
              </w:p>
            </w:tc>
            <w:tc>
              <w:tcPr>
                <w:tcW w:w="662" w:type="dxa"/>
                <w:tcBorders>
                  <w:left w:val="nil"/>
                  <w:bottom w:val="nil"/>
                  <w:right w:val="nil"/>
                </w:tcBorders>
                <w:shd w:val="clear" w:color="auto" w:fill="CAE7F3" w:themeFill="accent1" w:themeFillTint="33"/>
                <w:noWrap/>
                <w:vAlign w:val="bottom"/>
                <w:hideMark/>
              </w:tcPr>
              <w:p w14:paraId="45E83EB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64.0</w:t>
                </w:r>
              </w:p>
            </w:tc>
            <w:tc>
              <w:tcPr>
                <w:tcW w:w="662" w:type="dxa"/>
                <w:tcBorders>
                  <w:left w:val="nil"/>
                  <w:bottom w:val="nil"/>
                  <w:right w:val="nil"/>
                </w:tcBorders>
                <w:shd w:val="clear" w:color="auto" w:fill="CAE7F3" w:themeFill="accent1" w:themeFillTint="33"/>
                <w:noWrap/>
                <w:vAlign w:val="bottom"/>
                <w:hideMark/>
              </w:tcPr>
              <w:p w14:paraId="79BA7F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19.2</w:t>
                </w:r>
              </w:p>
            </w:tc>
            <w:tc>
              <w:tcPr>
                <w:tcW w:w="662" w:type="dxa"/>
                <w:tcBorders>
                  <w:left w:val="nil"/>
                  <w:bottom w:val="nil"/>
                  <w:right w:val="nil"/>
                </w:tcBorders>
                <w:shd w:val="clear" w:color="auto" w:fill="CAE7F3" w:themeFill="accent1" w:themeFillTint="33"/>
                <w:noWrap/>
                <w:vAlign w:val="bottom"/>
                <w:hideMark/>
              </w:tcPr>
              <w:p w14:paraId="02A99CC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92.5</w:t>
                </w:r>
              </w:p>
            </w:tc>
          </w:tr>
          <w:tr w:rsidR="00830FDC" w:rsidRPr="00F63634" w14:paraId="3D170FBF"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1DB52806"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Mandurah</w:t>
                </w:r>
              </w:p>
            </w:tc>
            <w:tc>
              <w:tcPr>
                <w:tcW w:w="661" w:type="dxa"/>
                <w:tcBorders>
                  <w:top w:val="nil"/>
                  <w:left w:val="nil"/>
                  <w:bottom w:val="nil"/>
                  <w:right w:val="nil"/>
                </w:tcBorders>
                <w:shd w:val="clear" w:color="auto" w:fill="CAE7F3" w:themeFill="accent1" w:themeFillTint="33"/>
                <w:noWrap/>
                <w:vAlign w:val="bottom"/>
                <w:hideMark/>
              </w:tcPr>
              <w:p w14:paraId="49CD3F1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29.8</w:t>
                </w:r>
              </w:p>
            </w:tc>
            <w:tc>
              <w:tcPr>
                <w:tcW w:w="662" w:type="dxa"/>
                <w:tcBorders>
                  <w:top w:val="nil"/>
                  <w:left w:val="nil"/>
                  <w:bottom w:val="nil"/>
                  <w:right w:val="nil"/>
                </w:tcBorders>
                <w:shd w:val="clear" w:color="auto" w:fill="CAE7F3" w:themeFill="accent1" w:themeFillTint="33"/>
                <w:noWrap/>
                <w:vAlign w:val="bottom"/>
                <w:hideMark/>
              </w:tcPr>
              <w:p w14:paraId="61FAA8E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w:t>
                </w:r>
              </w:p>
            </w:tc>
            <w:tc>
              <w:tcPr>
                <w:tcW w:w="662" w:type="dxa"/>
                <w:tcBorders>
                  <w:top w:val="nil"/>
                  <w:left w:val="nil"/>
                  <w:bottom w:val="nil"/>
                  <w:right w:val="nil"/>
                </w:tcBorders>
                <w:shd w:val="clear" w:color="auto" w:fill="CAE7F3" w:themeFill="accent1" w:themeFillTint="33"/>
                <w:noWrap/>
                <w:vAlign w:val="bottom"/>
                <w:hideMark/>
              </w:tcPr>
              <w:p w14:paraId="682D90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28.7</w:t>
                </w:r>
              </w:p>
            </w:tc>
            <w:tc>
              <w:tcPr>
                <w:tcW w:w="662" w:type="dxa"/>
                <w:tcBorders>
                  <w:top w:val="nil"/>
                  <w:left w:val="nil"/>
                  <w:bottom w:val="nil"/>
                  <w:right w:val="nil"/>
                </w:tcBorders>
                <w:shd w:val="clear" w:color="auto" w:fill="CAE7F3" w:themeFill="accent1" w:themeFillTint="33"/>
                <w:noWrap/>
                <w:vAlign w:val="bottom"/>
                <w:hideMark/>
              </w:tcPr>
              <w:p w14:paraId="371943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w:t>
                </w:r>
              </w:p>
            </w:tc>
            <w:tc>
              <w:tcPr>
                <w:tcW w:w="661" w:type="dxa"/>
                <w:tcBorders>
                  <w:top w:val="nil"/>
                  <w:left w:val="nil"/>
                  <w:bottom w:val="nil"/>
                  <w:right w:val="nil"/>
                </w:tcBorders>
                <w:shd w:val="clear" w:color="auto" w:fill="CAE7F3" w:themeFill="accent1" w:themeFillTint="33"/>
                <w:noWrap/>
                <w:vAlign w:val="bottom"/>
                <w:hideMark/>
              </w:tcPr>
              <w:p w14:paraId="5F4200D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235.8</w:t>
                </w:r>
              </w:p>
            </w:tc>
            <w:tc>
              <w:tcPr>
                <w:tcW w:w="662" w:type="dxa"/>
                <w:tcBorders>
                  <w:top w:val="nil"/>
                  <w:left w:val="nil"/>
                  <w:bottom w:val="nil"/>
                  <w:right w:val="nil"/>
                </w:tcBorders>
                <w:shd w:val="clear" w:color="auto" w:fill="CAE7F3" w:themeFill="accent1" w:themeFillTint="33"/>
                <w:noWrap/>
                <w:vAlign w:val="bottom"/>
                <w:hideMark/>
              </w:tcPr>
              <w:p w14:paraId="022833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19.0</w:t>
                </w:r>
              </w:p>
            </w:tc>
            <w:tc>
              <w:tcPr>
                <w:tcW w:w="662" w:type="dxa"/>
                <w:tcBorders>
                  <w:top w:val="nil"/>
                  <w:left w:val="nil"/>
                  <w:bottom w:val="nil"/>
                  <w:right w:val="nil"/>
                </w:tcBorders>
                <w:shd w:val="clear" w:color="auto" w:fill="CAE7F3" w:themeFill="accent1" w:themeFillTint="33"/>
                <w:noWrap/>
                <w:vAlign w:val="bottom"/>
                <w:hideMark/>
              </w:tcPr>
              <w:p w14:paraId="5B56CE5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57.8</w:t>
                </w:r>
              </w:p>
            </w:tc>
            <w:tc>
              <w:tcPr>
                <w:tcW w:w="662" w:type="dxa"/>
                <w:tcBorders>
                  <w:top w:val="nil"/>
                  <w:left w:val="nil"/>
                  <w:bottom w:val="nil"/>
                  <w:right w:val="nil"/>
                </w:tcBorders>
                <w:shd w:val="clear" w:color="auto" w:fill="CAE7F3" w:themeFill="accent1" w:themeFillTint="33"/>
                <w:noWrap/>
                <w:vAlign w:val="bottom"/>
                <w:hideMark/>
              </w:tcPr>
              <w:p w14:paraId="2C373EF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29.5</w:t>
                </w:r>
              </w:p>
            </w:tc>
            <w:tc>
              <w:tcPr>
                <w:tcW w:w="662" w:type="dxa"/>
                <w:tcBorders>
                  <w:top w:val="nil"/>
                  <w:left w:val="nil"/>
                  <w:bottom w:val="nil"/>
                  <w:right w:val="nil"/>
                </w:tcBorders>
                <w:shd w:val="clear" w:color="auto" w:fill="CAE7F3" w:themeFill="accent1" w:themeFillTint="33"/>
                <w:noWrap/>
                <w:vAlign w:val="bottom"/>
                <w:hideMark/>
              </w:tcPr>
              <w:p w14:paraId="5E778CA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60.2</w:t>
                </w:r>
              </w:p>
            </w:tc>
            <w:tc>
              <w:tcPr>
                <w:tcW w:w="661" w:type="dxa"/>
                <w:tcBorders>
                  <w:top w:val="nil"/>
                  <w:left w:val="nil"/>
                  <w:bottom w:val="nil"/>
                  <w:right w:val="nil"/>
                </w:tcBorders>
                <w:shd w:val="clear" w:color="auto" w:fill="CAE7F3" w:themeFill="accent1" w:themeFillTint="33"/>
                <w:noWrap/>
                <w:vAlign w:val="bottom"/>
                <w:hideMark/>
              </w:tcPr>
              <w:p w14:paraId="2B5AE2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w:t>
                </w:r>
              </w:p>
            </w:tc>
            <w:tc>
              <w:tcPr>
                <w:tcW w:w="662" w:type="dxa"/>
                <w:tcBorders>
                  <w:top w:val="nil"/>
                  <w:left w:val="nil"/>
                  <w:bottom w:val="nil"/>
                  <w:right w:val="nil"/>
                </w:tcBorders>
                <w:shd w:val="clear" w:color="auto" w:fill="CAE7F3" w:themeFill="accent1" w:themeFillTint="33"/>
                <w:noWrap/>
                <w:vAlign w:val="bottom"/>
                <w:hideMark/>
              </w:tcPr>
              <w:p w14:paraId="58BD309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51.2</w:t>
                </w:r>
              </w:p>
            </w:tc>
            <w:tc>
              <w:tcPr>
                <w:tcW w:w="662" w:type="dxa"/>
                <w:tcBorders>
                  <w:top w:val="nil"/>
                  <w:left w:val="nil"/>
                  <w:bottom w:val="nil"/>
                  <w:right w:val="nil"/>
                </w:tcBorders>
                <w:shd w:val="clear" w:color="auto" w:fill="CAE7F3" w:themeFill="accent1" w:themeFillTint="33"/>
                <w:noWrap/>
                <w:vAlign w:val="bottom"/>
                <w:hideMark/>
              </w:tcPr>
              <w:p w14:paraId="6CFDEC9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56.8</w:t>
                </w:r>
              </w:p>
            </w:tc>
            <w:tc>
              <w:tcPr>
                <w:tcW w:w="662" w:type="dxa"/>
                <w:tcBorders>
                  <w:top w:val="nil"/>
                  <w:left w:val="nil"/>
                  <w:bottom w:val="nil"/>
                  <w:right w:val="nil"/>
                </w:tcBorders>
                <w:shd w:val="clear" w:color="auto" w:fill="CAE7F3" w:themeFill="accent1" w:themeFillTint="33"/>
                <w:noWrap/>
                <w:vAlign w:val="bottom"/>
                <w:hideMark/>
              </w:tcPr>
              <w:p w14:paraId="64695D1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74.7</w:t>
                </w:r>
              </w:p>
            </w:tc>
            <w:tc>
              <w:tcPr>
                <w:tcW w:w="662" w:type="dxa"/>
                <w:tcBorders>
                  <w:top w:val="nil"/>
                  <w:left w:val="nil"/>
                  <w:bottom w:val="nil"/>
                  <w:right w:val="nil"/>
                </w:tcBorders>
                <w:shd w:val="clear" w:color="auto" w:fill="CAE7F3" w:themeFill="accent1" w:themeFillTint="33"/>
                <w:noWrap/>
                <w:vAlign w:val="bottom"/>
                <w:hideMark/>
              </w:tcPr>
              <w:p w14:paraId="392593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36.7</w:t>
                </w:r>
              </w:p>
            </w:tc>
            <w:tc>
              <w:tcPr>
                <w:tcW w:w="661" w:type="dxa"/>
                <w:tcBorders>
                  <w:top w:val="nil"/>
                  <w:left w:val="nil"/>
                  <w:bottom w:val="nil"/>
                  <w:right w:val="nil"/>
                </w:tcBorders>
                <w:shd w:val="clear" w:color="auto" w:fill="CAE7F3" w:themeFill="accent1" w:themeFillTint="33"/>
                <w:noWrap/>
                <w:vAlign w:val="bottom"/>
                <w:hideMark/>
              </w:tcPr>
              <w:p w14:paraId="71AA960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4.0</w:t>
                </w:r>
              </w:p>
            </w:tc>
            <w:tc>
              <w:tcPr>
                <w:tcW w:w="662" w:type="dxa"/>
                <w:tcBorders>
                  <w:top w:val="nil"/>
                  <w:left w:val="nil"/>
                  <w:bottom w:val="nil"/>
                  <w:right w:val="nil"/>
                </w:tcBorders>
                <w:shd w:val="clear" w:color="auto" w:fill="CAE7F3" w:themeFill="accent1" w:themeFillTint="33"/>
                <w:noWrap/>
                <w:vAlign w:val="bottom"/>
                <w:hideMark/>
              </w:tcPr>
              <w:p w14:paraId="3849FA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11.0</w:t>
                </w:r>
              </w:p>
            </w:tc>
            <w:tc>
              <w:tcPr>
                <w:tcW w:w="662" w:type="dxa"/>
                <w:tcBorders>
                  <w:top w:val="nil"/>
                  <w:left w:val="nil"/>
                  <w:bottom w:val="nil"/>
                  <w:right w:val="nil"/>
                </w:tcBorders>
                <w:shd w:val="clear" w:color="auto" w:fill="CAE7F3" w:themeFill="accent1" w:themeFillTint="33"/>
                <w:noWrap/>
                <w:vAlign w:val="bottom"/>
                <w:hideMark/>
              </w:tcPr>
              <w:p w14:paraId="090DCCB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29.3</w:t>
                </w:r>
              </w:p>
            </w:tc>
            <w:tc>
              <w:tcPr>
                <w:tcW w:w="662" w:type="dxa"/>
                <w:tcBorders>
                  <w:top w:val="nil"/>
                  <w:left w:val="nil"/>
                  <w:bottom w:val="nil"/>
                  <w:right w:val="nil"/>
                </w:tcBorders>
                <w:shd w:val="clear" w:color="auto" w:fill="CAE7F3" w:themeFill="accent1" w:themeFillTint="33"/>
                <w:noWrap/>
                <w:vAlign w:val="bottom"/>
                <w:hideMark/>
              </w:tcPr>
              <w:p w14:paraId="71740E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11.2</w:t>
                </w:r>
              </w:p>
            </w:tc>
            <w:tc>
              <w:tcPr>
                <w:tcW w:w="662" w:type="dxa"/>
                <w:tcBorders>
                  <w:top w:val="nil"/>
                  <w:left w:val="nil"/>
                  <w:bottom w:val="nil"/>
                  <w:right w:val="nil"/>
                </w:tcBorders>
                <w:shd w:val="clear" w:color="auto" w:fill="CAE7F3" w:themeFill="accent1" w:themeFillTint="33"/>
                <w:noWrap/>
                <w:vAlign w:val="bottom"/>
                <w:hideMark/>
              </w:tcPr>
              <w:p w14:paraId="0C65EB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48.3</w:t>
                </w:r>
              </w:p>
            </w:tc>
          </w:tr>
          <w:tr w:rsidR="00830FDC" w:rsidRPr="00F63634" w14:paraId="2D2B8832"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38C3F9A3" w14:textId="77777777" w:rsidR="00830FDC" w:rsidRPr="009820E8" w:rsidRDefault="00830FDC" w:rsidP="00D0090A">
                <w:pPr>
                  <w:pStyle w:val="Tabletext"/>
                  <w:rPr>
                    <w:color w:val="595A5B" w:themeColor="text1"/>
                    <w:sz w:val="12"/>
                    <w:szCs w:val="16"/>
                    <w:lang w:eastAsia="en-AU"/>
                  </w:rPr>
                </w:pPr>
                <w:r>
                  <w:rPr>
                    <w:color w:val="595A5B" w:themeColor="text1"/>
                    <w:sz w:val="12"/>
                    <w:szCs w:val="16"/>
                    <w:lang w:eastAsia="en-AU"/>
                  </w:rPr>
                  <w:t>Perth —</w:t>
                </w:r>
                <w:r w:rsidRPr="009820E8">
                  <w:rPr>
                    <w:color w:val="595A5B" w:themeColor="text1"/>
                    <w:sz w:val="12"/>
                    <w:szCs w:val="16"/>
                    <w:lang w:eastAsia="en-AU"/>
                  </w:rPr>
                  <w:t xml:space="preserve"> Inner</w:t>
                </w:r>
              </w:p>
            </w:tc>
            <w:tc>
              <w:tcPr>
                <w:tcW w:w="661" w:type="dxa"/>
                <w:tcBorders>
                  <w:top w:val="nil"/>
                  <w:left w:val="nil"/>
                  <w:bottom w:val="nil"/>
                  <w:right w:val="nil"/>
                </w:tcBorders>
                <w:shd w:val="clear" w:color="auto" w:fill="CAE7F3" w:themeFill="accent1" w:themeFillTint="33"/>
                <w:noWrap/>
                <w:vAlign w:val="bottom"/>
                <w:hideMark/>
              </w:tcPr>
              <w:p w14:paraId="514CC79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117.5</w:t>
                </w:r>
              </w:p>
            </w:tc>
            <w:tc>
              <w:tcPr>
                <w:tcW w:w="662" w:type="dxa"/>
                <w:tcBorders>
                  <w:top w:val="nil"/>
                  <w:left w:val="nil"/>
                  <w:bottom w:val="nil"/>
                  <w:right w:val="nil"/>
                </w:tcBorders>
                <w:shd w:val="clear" w:color="auto" w:fill="CAE7F3" w:themeFill="accent1" w:themeFillTint="33"/>
                <w:noWrap/>
                <w:vAlign w:val="bottom"/>
                <w:hideMark/>
              </w:tcPr>
              <w:p w14:paraId="0991E2D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179.5</w:t>
                </w:r>
              </w:p>
            </w:tc>
            <w:tc>
              <w:tcPr>
                <w:tcW w:w="662" w:type="dxa"/>
                <w:tcBorders>
                  <w:top w:val="nil"/>
                  <w:left w:val="nil"/>
                  <w:bottom w:val="nil"/>
                  <w:right w:val="nil"/>
                </w:tcBorders>
                <w:shd w:val="clear" w:color="auto" w:fill="CAE7F3" w:themeFill="accent1" w:themeFillTint="33"/>
                <w:noWrap/>
                <w:vAlign w:val="bottom"/>
                <w:hideMark/>
              </w:tcPr>
              <w:p w14:paraId="3CB83D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88.8</w:t>
                </w:r>
              </w:p>
            </w:tc>
            <w:tc>
              <w:tcPr>
                <w:tcW w:w="662" w:type="dxa"/>
                <w:tcBorders>
                  <w:top w:val="nil"/>
                  <w:left w:val="nil"/>
                  <w:bottom w:val="nil"/>
                  <w:right w:val="nil"/>
                </w:tcBorders>
                <w:shd w:val="clear" w:color="auto" w:fill="CAE7F3" w:themeFill="accent1" w:themeFillTint="33"/>
                <w:noWrap/>
                <w:vAlign w:val="bottom"/>
                <w:hideMark/>
              </w:tcPr>
              <w:p w14:paraId="030A171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13.7</w:t>
                </w:r>
              </w:p>
            </w:tc>
            <w:tc>
              <w:tcPr>
                <w:tcW w:w="661" w:type="dxa"/>
                <w:tcBorders>
                  <w:top w:val="nil"/>
                  <w:left w:val="nil"/>
                  <w:bottom w:val="nil"/>
                  <w:right w:val="nil"/>
                </w:tcBorders>
                <w:shd w:val="clear" w:color="auto" w:fill="CAE7F3" w:themeFill="accent1" w:themeFillTint="33"/>
                <w:noWrap/>
                <w:vAlign w:val="bottom"/>
                <w:hideMark/>
              </w:tcPr>
              <w:p w14:paraId="352506F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483.8</w:t>
                </w:r>
              </w:p>
            </w:tc>
            <w:tc>
              <w:tcPr>
                <w:tcW w:w="662" w:type="dxa"/>
                <w:tcBorders>
                  <w:top w:val="nil"/>
                  <w:left w:val="nil"/>
                  <w:bottom w:val="nil"/>
                  <w:right w:val="nil"/>
                </w:tcBorders>
                <w:shd w:val="clear" w:color="auto" w:fill="CAE7F3" w:themeFill="accent1" w:themeFillTint="33"/>
                <w:noWrap/>
                <w:vAlign w:val="bottom"/>
                <w:hideMark/>
              </w:tcPr>
              <w:p w14:paraId="6888958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116.0</w:t>
                </w:r>
              </w:p>
            </w:tc>
            <w:tc>
              <w:tcPr>
                <w:tcW w:w="662" w:type="dxa"/>
                <w:tcBorders>
                  <w:top w:val="nil"/>
                  <w:left w:val="nil"/>
                  <w:bottom w:val="nil"/>
                  <w:right w:val="nil"/>
                </w:tcBorders>
                <w:shd w:val="clear" w:color="auto" w:fill="CAE7F3" w:themeFill="accent1" w:themeFillTint="33"/>
                <w:noWrap/>
                <w:vAlign w:val="bottom"/>
                <w:hideMark/>
              </w:tcPr>
              <w:p w14:paraId="5ADE746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214.2</w:t>
                </w:r>
              </w:p>
            </w:tc>
            <w:tc>
              <w:tcPr>
                <w:tcW w:w="662" w:type="dxa"/>
                <w:tcBorders>
                  <w:top w:val="nil"/>
                  <w:left w:val="nil"/>
                  <w:bottom w:val="nil"/>
                  <w:right w:val="nil"/>
                </w:tcBorders>
                <w:shd w:val="clear" w:color="auto" w:fill="CAE7F3" w:themeFill="accent1" w:themeFillTint="33"/>
                <w:noWrap/>
                <w:vAlign w:val="bottom"/>
                <w:hideMark/>
              </w:tcPr>
              <w:p w14:paraId="23246B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215.3</w:t>
                </w:r>
              </w:p>
            </w:tc>
            <w:tc>
              <w:tcPr>
                <w:tcW w:w="662" w:type="dxa"/>
                <w:tcBorders>
                  <w:top w:val="nil"/>
                  <w:left w:val="nil"/>
                  <w:bottom w:val="nil"/>
                  <w:right w:val="nil"/>
                </w:tcBorders>
                <w:shd w:val="clear" w:color="auto" w:fill="CAE7F3" w:themeFill="accent1" w:themeFillTint="33"/>
                <w:noWrap/>
                <w:vAlign w:val="bottom"/>
                <w:hideMark/>
              </w:tcPr>
              <w:p w14:paraId="472A12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101.5</w:t>
                </w:r>
              </w:p>
            </w:tc>
            <w:tc>
              <w:tcPr>
                <w:tcW w:w="661" w:type="dxa"/>
                <w:tcBorders>
                  <w:top w:val="nil"/>
                  <w:left w:val="nil"/>
                  <w:bottom w:val="nil"/>
                  <w:right w:val="nil"/>
                </w:tcBorders>
                <w:shd w:val="clear" w:color="auto" w:fill="CAE7F3" w:themeFill="accent1" w:themeFillTint="33"/>
                <w:noWrap/>
                <w:vAlign w:val="bottom"/>
                <w:hideMark/>
              </w:tcPr>
              <w:p w14:paraId="3415A6F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55.5</w:t>
                </w:r>
              </w:p>
            </w:tc>
            <w:tc>
              <w:tcPr>
                <w:tcW w:w="662" w:type="dxa"/>
                <w:tcBorders>
                  <w:top w:val="nil"/>
                  <w:left w:val="nil"/>
                  <w:bottom w:val="nil"/>
                  <w:right w:val="nil"/>
                </w:tcBorders>
                <w:shd w:val="clear" w:color="auto" w:fill="CAE7F3" w:themeFill="accent1" w:themeFillTint="33"/>
                <w:noWrap/>
                <w:vAlign w:val="bottom"/>
                <w:hideMark/>
              </w:tcPr>
              <w:p w14:paraId="3DB387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722.8</w:t>
                </w:r>
              </w:p>
            </w:tc>
            <w:tc>
              <w:tcPr>
                <w:tcW w:w="662" w:type="dxa"/>
                <w:tcBorders>
                  <w:top w:val="nil"/>
                  <w:left w:val="nil"/>
                  <w:bottom w:val="nil"/>
                  <w:right w:val="nil"/>
                </w:tcBorders>
                <w:shd w:val="clear" w:color="auto" w:fill="CAE7F3" w:themeFill="accent1" w:themeFillTint="33"/>
                <w:noWrap/>
                <w:vAlign w:val="bottom"/>
                <w:hideMark/>
              </w:tcPr>
              <w:p w14:paraId="2B6DD2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498.3</w:t>
                </w:r>
              </w:p>
            </w:tc>
            <w:tc>
              <w:tcPr>
                <w:tcW w:w="662" w:type="dxa"/>
                <w:tcBorders>
                  <w:top w:val="nil"/>
                  <w:left w:val="nil"/>
                  <w:bottom w:val="nil"/>
                  <w:right w:val="nil"/>
                </w:tcBorders>
                <w:shd w:val="clear" w:color="auto" w:fill="CAE7F3" w:themeFill="accent1" w:themeFillTint="33"/>
                <w:noWrap/>
                <w:vAlign w:val="bottom"/>
                <w:hideMark/>
              </w:tcPr>
              <w:p w14:paraId="2F31BBE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784.5</w:t>
                </w:r>
              </w:p>
            </w:tc>
            <w:tc>
              <w:tcPr>
                <w:tcW w:w="662" w:type="dxa"/>
                <w:tcBorders>
                  <w:top w:val="nil"/>
                  <w:left w:val="nil"/>
                  <w:bottom w:val="nil"/>
                  <w:right w:val="nil"/>
                </w:tcBorders>
                <w:shd w:val="clear" w:color="auto" w:fill="CAE7F3" w:themeFill="accent1" w:themeFillTint="33"/>
                <w:noWrap/>
                <w:vAlign w:val="bottom"/>
                <w:hideMark/>
              </w:tcPr>
              <w:p w14:paraId="2202CF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171.3</w:t>
                </w:r>
              </w:p>
            </w:tc>
            <w:tc>
              <w:tcPr>
                <w:tcW w:w="661" w:type="dxa"/>
                <w:tcBorders>
                  <w:top w:val="nil"/>
                  <w:left w:val="nil"/>
                  <w:bottom w:val="nil"/>
                  <w:right w:val="nil"/>
                </w:tcBorders>
                <w:shd w:val="clear" w:color="auto" w:fill="CAE7F3" w:themeFill="accent1" w:themeFillTint="33"/>
                <w:noWrap/>
                <w:vAlign w:val="bottom"/>
                <w:hideMark/>
              </w:tcPr>
              <w:p w14:paraId="60CE3E2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w:t>
                </w:r>
              </w:p>
            </w:tc>
            <w:tc>
              <w:tcPr>
                <w:tcW w:w="662" w:type="dxa"/>
                <w:tcBorders>
                  <w:top w:val="nil"/>
                  <w:left w:val="nil"/>
                  <w:bottom w:val="nil"/>
                  <w:right w:val="nil"/>
                </w:tcBorders>
                <w:shd w:val="clear" w:color="auto" w:fill="CAE7F3" w:themeFill="accent1" w:themeFillTint="33"/>
                <w:noWrap/>
                <w:vAlign w:val="bottom"/>
                <w:hideMark/>
              </w:tcPr>
              <w:p w14:paraId="63323C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58.8</w:t>
                </w:r>
              </w:p>
            </w:tc>
            <w:tc>
              <w:tcPr>
                <w:tcW w:w="662" w:type="dxa"/>
                <w:tcBorders>
                  <w:top w:val="nil"/>
                  <w:left w:val="nil"/>
                  <w:bottom w:val="nil"/>
                  <w:right w:val="nil"/>
                </w:tcBorders>
                <w:shd w:val="clear" w:color="auto" w:fill="CAE7F3" w:themeFill="accent1" w:themeFillTint="33"/>
                <w:noWrap/>
                <w:vAlign w:val="bottom"/>
                <w:hideMark/>
              </w:tcPr>
              <w:p w14:paraId="195AE7A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254.3</w:t>
                </w:r>
              </w:p>
            </w:tc>
            <w:tc>
              <w:tcPr>
                <w:tcW w:w="662" w:type="dxa"/>
                <w:tcBorders>
                  <w:top w:val="nil"/>
                  <w:left w:val="nil"/>
                  <w:bottom w:val="nil"/>
                  <w:right w:val="nil"/>
                </w:tcBorders>
                <w:shd w:val="clear" w:color="auto" w:fill="CAE7F3" w:themeFill="accent1" w:themeFillTint="33"/>
                <w:noWrap/>
                <w:vAlign w:val="bottom"/>
                <w:hideMark/>
              </w:tcPr>
              <w:p w14:paraId="4F7552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48.2</w:t>
                </w:r>
              </w:p>
            </w:tc>
            <w:tc>
              <w:tcPr>
                <w:tcW w:w="662" w:type="dxa"/>
                <w:tcBorders>
                  <w:top w:val="nil"/>
                  <w:left w:val="nil"/>
                  <w:bottom w:val="nil"/>
                  <w:right w:val="nil"/>
                </w:tcBorders>
                <w:shd w:val="clear" w:color="auto" w:fill="CAE7F3" w:themeFill="accent1" w:themeFillTint="33"/>
                <w:noWrap/>
                <w:vAlign w:val="bottom"/>
                <w:hideMark/>
              </w:tcPr>
              <w:p w14:paraId="62F35C5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106.2</w:t>
                </w:r>
              </w:p>
            </w:tc>
          </w:tr>
          <w:tr w:rsidR="00830FDC" w:rsidRPr="00F63634" w14:paraId="27076918"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7A14BE4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Perth</w:t>
                </w:r>
                <w:r>
                  <w:rPr>
                    <w:color w:val="595A5B" w:themeColor="text1"/>
                    <w:sz w:val="12"/>
                    <w:szCs w:val="16"/>
                    <w:lang w:eastAsia="en-AU"/>
                  </w:rPr>
                  <w:t xml:space="preserve"> — </w:t>
                </w:r>
                <w:r w:rsidRPr="009820E8">
                  <w:rPr>
                    <w:color w:val="595A5B" w:themeColor="text1"/>
                    <w:sz w:val="12"/>
                    <w:szCs w:val="16"/>
                    <w:lang w:eastAsia="en-AU"/>
                  </w:rPr>
                  <w:t>North East</w:t>
                </w:r>
              </w:p>
            </w:tc>
            <w:tc>
              <w:tcPr>
                <w:tcW w:w="661" w:type="dxa"/>
                <w:tcBorders>
                  <w:top w:val="nil"/>
                  <w:left w:val="nil"/>
                  <w:bottom w:val="nil"/>
                  <w:right w:val="nil"/>
                </w:tcBorders>
                <w:shd w:val="clear" w:color="auto" w:fill="CAE7F3" w:themeFill="accent1" w:themeFillTint="33"/>
                <w:noWrap/>
                <w:vAlign w:val="bottom"/>
                <w:hideMark/>
              </w:tcPr>
              <w:p w14:paraId="08D49B0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76.2</w:t>
                </w:r>
              </w:p>
            </w:tc>
            <w:tc>
              <w:tcPr>
                <w:tcW w:w="662" w:type="dxa"/>
                <w:tcBorders>
                  <w:top w:val="nil"/>
                  <w:left w:val="nil"/>
                  <w:bottom w:val="nil"/>
                  <w:right w:val="nil"/>
                </w:tcBorders>
                <w:shd w:val="clear" w:color="auto" w:fill="CAE7F3" w:themeFill="accent1" w:themeFillTint="33"/>
                <w:noWrap/>
                <w:vAlign w:val="bottom"/>
                <w:hideMark/>
              </w:tcPr>
              <w:p w14:paraId="5F4B873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w:t>
                </w:r>
              </w:p>
            </w:tc>
            <w:tc>
              <w:tcPr>
                <w:tcW w:w="662" w:type="dxa"/>
                <w:tcBorders>
                  <w:top w:val="nil"/>
                  <w:left w:val="nil"/>
                  <w:bottom w:val="nil"/>
                  <w:right w:val="nil"/>
                </w:tcBorders>
                <w:shd w:val="clear" w:color="auto" w:fill="CAE7F3" w:themeFill="accent1" w:themeFillTint="33"/>
                <w:noWrap/>
                <w:vAlign w:val="bottom"/>
                <w:hideMark/>
              </w:tcPr>
              <w:p w14:paraId="6F906E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120.5</w:t>
                </w:r>
              </w:p>
            </w:tc>
            <w:tc>
              <w:tcPr>
                <w:tcW w:w="662" w:type="dxa"/>
                <w:tcBorders>
                  <w:top w:val="nil"/>
                  <w:left w:val="nil"/>
                  <w:bottom w:val="nil"/>
                  <w:right w:val="nil"/>
                </w:tcBorders>
                <w:shd w:val="clear" w:color="auto" w:fill="CAE7F3" w:themeFill="accent1" w:themeFillTint="33"/>
                <w:noWrap/>
                <w:vAlign w:val="bottom"/>
                <w:hideMark/>
              </w:tcPr>
              <w:p w14:paraId="12F886E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1" w:type="dxa"/>
                <w:tcBorders>
                  <w:top w:val="nil"/>
                  <w:left w:val="nil"/>
                  <w:bottom w:val="nil"/>
                  <w:right w:val="nil"/>
                </w:tcBorders>
                <w:shd w:val="clear" w:color="auto" w:fill="CAE7F3" w:themeFill="accent1" w:themeFillTint="33"/>
                <w:noWrap/>
                <w:vAlign w:val="bottom"/>
                <w:hideMark/>
              </w:tcPr>
              <w:p w14:paraId="635CBF5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614.3</w:t>
                </w:r>
              </w:p>
            </w:tc>
            <w:tc>
              <w:tcPr>
                <w:tcW w:w="662" w:type="dxa"/>
                <w:tcBorders>
                  <w:top w:val="nil"/>
                  <w:left w:val="nil"/>
                  <w:bottom w:val="nil"/>
                  <w:right w:val="nil"/>
                </w:tcBorders>
                <w:shd w:val="clear" w:color="auto" w:fill="CAE7F3" w:themeFill="accent1" w:themeFillTint="33"/>
                <w:noWrap/>
                <w:vAlign w:val="bottom"/>
                <w:hideMark/>
              </w:tcPr>
              <w:p w14:paraId="78260C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84.2</w:t>
                </w:r>
              </w:p>
            </w:tc>
            <w:tc>
              <w:tcPr>
                <w:tcW w:w="662" w:type="dxa"/>
                <w:tcBorders>
                  <w:top w:val="nil"/>
                  <w:left w:val="nil"/>
                  <w:bottom w:val="nil"/>
                  <w:right w:val="nil"/>
                </w:tcBorders>
                <w:shd w:val="clear" w:color="auto" w:fill="CAE7F3" w:themeFill="accent1" w:themeFillTint="33"/>
                <w:noWrap/>
                <w:vAlign w:val="bottom"/>
                <w:hideMark/>
              </w:tcPr>
              <w:p w14:paraId="66A8600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180.2</w:t>
                </w:r>
              </w:p>
            </w:tc>
            <w:tc>
              <w:tcPr>
                <w:tcW w:w="662" w:type="dxa"/>
                <w:tcBorders>
                  <w:top w:val="nil"/>
                  <w:left w:val="nil"/>
                  <w:bottom w:val="nil"/>
                  <w:right w:val="nil"/>
                </w:tcBorders>
                <w:shd w:val="clear" w:color="auto" w:fill="CAE7F3" w:themeFill="accent1" w:themeFillTint="33"/>
                <w:noWrap/>
                <w:vAlign w:val="bottom"/>
                <w:hideMark/>
              </w:tcPr>
              <w:p w14:paraId="6479C8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109.5</w:t>
                </w:r>
              </w:p>
            </w:tc>
            <w:tc>
              <w:tcPr>
                <w:tcW w:w="662" w:type="dxa"/>
                <w:tcBorders>
                  <w:top w:val="nil"/>
                  <w:left w:val="nil"/>
                  <w:bottom w:val="nil"/>
                  <w:right w:val="nil"/>
                </w:tcBorders>
                <w:shd w:val="clear" w:color="auto" w:fill="CAE7F3" w:themeFill="accent1" w:themeFillTint="33"/>
                <w:noWrap/>
                <w:vAlign w:val="bottom"/>
                <w:hideMark/>
              </w:tcPr>
              <w:p w14:paraId="2EFFB26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242.8</w:t>
                </w:r>
              </w:p>
            </w:tc>
            <w:tc>
              <w:tcPr>
                <w:tcW w:w="661" w:type="dxa"/>
                <w:tcBorders>
                  <w:top w:val="nil"/>
                  <w:left w:val="nil"/>
                  <w:bottom w:val="nil"/>
                  <w:right w:val="nil"/>
                </w:tcBorders>
                <w:shd w:val="clear" w:color="auto" w:fill="CAE7F3" w:themeFill="accent1" w:themeFillTint="33"/>
                <w:noWrap/>
                <w:vAlign w:val="bottom"/>
                <w:hideMark/>
              </w:tcPr>
              <w:p w14:paraId="226B91B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w:t>
                </w:r>
              </w:p>
            </w:tc>
            <w:tc>
              <w:tcPr>
                <w:tcW w:w="662" w:type="dxa"/>
                <w:tcBorders>
                  <w:top w:val="nil"/>
                  <w:left w:val="nil"/>
                  <w:bottom w:val="nil"/>
                  <w:right w:val="nil"/>
                </w:tcBorders>
                <w:shd w:val="clear" w:color="auto" w:fill="CAE7F3" w:themeFill="accent1" w:themeFillTint="33"/>
                <w:noWrap/>
                <w:vAlign w:val="bottom"/>
                <w:hideMark/>
              </w:tcPr>
              <w:p w14:paraId="13C1650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175.5</w:t>
                </w:r>
              </w:p>
            </w:tc>
            <w:tc>
              <w:tcPr>
                <w:tcW w:w="662" w:type="dxa"/>
                <w:tcBorders>
                  <w:top w:val="nil"/>
                  <w:left w:val="nil"/>
                  <w:bottom w:val="nil"/>
                  <w:right w:val="nil"/>
                </w:tcBorders>
                <w:shd w:val="clear" w:color="auto" w:fill="CAE7F3" w:themeFill="accent1" w:themeFillTint="33"/>
                <w:noWrap/>
                <w:vAlign w:val="bottom"/>
                <w:hideMark/>
              </w:tcPr>
              <w:p w14:paraId="7D4DB8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194.0</w:t>
                </w:r>
              </w:p>
            </w:tc>
            <w:tc>
              <w:tcPr>
                <w:tcW w:w="662" w:type="dxa"/>
                <w:tcBorders>
                  <w:top w:val="nil"/>
                  <w:left w:val="nil"/>
                  <w:bottom w:val="nil"/>
                  <w:right w:val="nil"/>
                </w:tcBorders>
                <w:shd w:val="clear" w:color="auto" w:fill="CAE7F3" w:themeFill="accent1" w:themeFillTint="33"/>
                <w:noWrap/>
                <w:vAlign w:val="bottom"/>
                <w:hideMark/>
              </w:tcPr>
              <w:p w14:paraId="299AA3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336.0</w:t>
                </w:r>
              </w:p>
            </w:tc>
            <w:tc>
              <w:tcPr>
                <w:tcW w:w="662" w:type="dxa"/>
                <w:tcBorders>
                  <w:top w:val="nil"/>
                  <w:left w:val="nil"/>
                  <w:bottom w:val="nil"/>
                  <w:right w:val="nil"/>
                </w:tcBorders>
                <w:shd w:val="clear" w:color="auto" w:fill="CAE7F3" w:themeFill="accent1" w:themeFillTint="33"/>
                <w:noWrap/>
                <w:vAlign w:val="bottom"/>
                <w:hideMark/>
              </w:tcPr>
              <w:p w14:paraId="2C8E1B4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129.2</w:t>
                </w:r>
              </w:p>
            </w:tc>
            <w:tc>
              <w:tcPr>
                <w:tcW w:w="661" w:type="dxa"/>
                <w:tcBorders>
                  <w:top w:val="nil"/>
                  <w:left w:val="nil"/>
                  <w:bottom w:val="nil"/>
                  <w:right w:val="nil"/>
                </w:tcBorders>
                <w:shd w:val="clear" w:color="auto" w:fill="CAE7F3" w:themeFill="accent1" w:themeFillTint="33"/>
                <w:noWrap/>
                <w:vAlign w:val="bottom"/>
                <w:hideMark/>
              </w:tcPr>
              <w:p w14:paraId="62BA18A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13.5</w:t>
                </w:r>
              </w:p>
            </w:tc>
            <w:tc>
              <w:tcPr>
                <w:tcW w:w="662" w:type="dxa"/>
                <w:tcBorders>
                  <w:top w:val="nil"/>
                  <w:left w:val="nil"/>
                  <w:bottom w:val="nil"/>
                  <w:right w:val="nil"/>
                </w:tcBorders>
                <w:shd w:val="clear" w:color="auto" w:fill="CAE7F3" w:themeFill="accent1" w:themeFillTint="33"/>
                <w:noWrap/>
                <w:vAlign w:val="bottom"/>
                <w:hideMark/>
              </w:tcPr>
              <w:p w14:paraId="1850F45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33.7</w:t>
                </w:r>
              </w:p>
            </w:tc>
            <w:tc>
              <w:tcPr>
                <w:tcW w:w="662" w:type="dxa"/>
                <w:tcBorders>
                  <w:top w:val="nil"/>
                  <w:left w:val="nil"/>
                  <w:bottom w:val="nil"/>
                  <w:right w:val="nil"/>
                </w:tcBorders>
                <w:shd w:val="clear" w:color="auto" w:fill="CAE7F3" w:themeFill="accent1" w:themeFillTint="33"/>
                <w:noWrap/>
                <w:vAlign w:val="bottom"/>
                <w:hideMark/>
              </w:tcPr>
              <w:p w14:paraId="74BBA65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76.8</w:t>
                </w:r>
              </w:p>
            </w:tc>
            <w:tc>
              <w:tcPr>
                <w:tcW w:w="662" w:type="dxa"/>
                <w:tcBorders>
                  <w:top w:val="nil"/>
                  <w:left w:val="nil"/>
                  <w:bottom w:val="nil"/>
                  <w:right w:val="nil"/>
                </w:tcBorders>
                <w:shd w:val="clear" w:color="auto" w:fill="CAE7F3" w:themeFill="accent1" w:themeFillTint="33"/>
                <w:noWrap/>
                <w:vAlign w:val="bottom"/>
                <w:hideMark/>
              </w:tcPr>
              <w:p w14:paraId="5DE962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35.7</w:t>
                </w:r>
              </w:p>
            </w:tc>
            <w:tc>
              <w:tcPr>
                <w:tcW w:w="662" w:type="dxa"/>
                <w:tcBorders>
                  <w:top w:val="nil"/>
                  <w:left w:val="nil"/>
                  <w:bottom w:val="nil"/>
                  <w:right w:val="nil"/>
                </w:tcBorders>
                <w:shd w:val="clear" w:color="auto" w:fill="CAE7F3" w:themeFill="accent1" w:themeFillTint="33"/>
                <w:noWrap/>
                <w:vAlign w:val="bottom"/>
                <w:hideMark/>
              </w:tcPr>
              <w:p w14:paraId="5D83DEC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166.3</w:t>
                </w:r>
              </w:p>
            </w:tc>
          </w:tr>
          <w:tr w:rsidR="00830FDC" w:rsidRPr="00F63634" w14:paraId="1F0565D6"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6257728B"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Perth</w:t>
                </w:r>
                <w:r>
                  <w:rPr>
                    <w:color w:val="595A5B" w:themeColor="text1"/>
                    <w:sz w:val="12"/>
                    <w:szCs w:val="16"/>
                    <w:lang w:eastAsia="en-AU"/>
                  </w:rPr>
                  <w:t xml:space="preserve"> — </w:t>
                </w:r>
                <w:r w:rsidRPr="009820E8">
                  <w:rPr>
                    <w:color w:val="595A5B" w:themeColor="text1"/>
                    <w:sz w:val="12"/>
                    <w:szCs w:val="16"/>
                    <w:lang w:eastAsia="en-AU"/>
                  </w:rPr>
                  <w:t>North West</w:t>
                </w:r>
              </w:p>
            </w:tc>
            <w:tc>
              <w:tcPr>
                <w:tcW w:w="661" w:type="dxa"/>
                <w:tcBorders>
                  <w:top w:val="nil"/>
                  <w:left w:val="nil"/>
                  <w:bottom w:val="nil"/>
                  <w:right w:val="nil"/>
                </w:tcBorders>
                <w:shd w:val="clear" w:color="auto" w:fill="CAE7F3" w:themeFill="accent1" w:themeFillTint="33"/>
                <w:noWrap/>
                <w:vAlign w:val="bottom"/>
                <w:hideMark/>
              </w:tcPr>
              <w:p w14:paraId="4FD21A8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146.8</w:t>
                </w:r>
              </w:p>
            </w:tc>
            <w:tc>
              <w:tcPr>
                <w:tcW w:w="662" w:type="dxa"/>
                <w:tcBorders>
                  <w:top w:val="nil"/>
                  <w:left w:val="nil"/>
                  <w:bottom w:val="nil"/>
                  <w:right w:val="nil"/>
                </w:tcBorders>
                <w:shd w:val="clear" w:color="auto" w:fill="CAE7F3" w:themeFill="accent1" w:themeFillTint="33"/>
                <w:noWrap/>
                <w:vAlign w:val="bottom"/>
                <w:hideMark/>
              </w:tcPr>
              <w:p w14:paraId="4A4FC92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45.2</w:t>
                </w:r>
              </w:p>
            </w:tc>
            <w:tc>
              <w:tcPr>
                <w:tcW w:w="662" w:type="dxa"/>
                <w:tcBorders>
                  <w:top w:val="nil"/>
                  <w:left w:val="nil"/>
                  <w:bottom w:val="nil"/>
                  <w:right w:val="nil"/>
                </w:tcBorders>
                <w:shd w:val="clear" w:color="auto" w:fill="CAE7F3" w:themeFill="accent1" w:themeFillTint="33"/>
                <w:noWrap/>
                <w:vAlign w:val="bottom"/>
                <w:hideMark/>
              </w:tcPr>
              <w:p w14:paraId="71E525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185.2</w:t>
                </w:r>
              </w:p>
            </w:tc>
            <w:tc>
              <w:tcPr>
                <w:tcW w:w="662" w:type="dxa"/>
                <w:tcBorders>
                  <w:top w:val="nil"/>
                  <w:left w:val="nil"/>
                  <w:bottom w:val="nil"/>
                  <w:right w:val="nil"/>
                </w:tcBorders>
                <w:shd w:val="clear" w:color="auto" w:fill="CAE7F3" w:themeFill="accent1" w:themeFillTint="33"/>
                <w:noWrap/>
                <w:vAlign w:val="bottom"/>
                <w:hideMark/>
              </w:tcPr>
              <w:p w14:paraId="7ED1FB2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18.2</w:t>
                </w:r>
              </w:p>
            </w:tc>
            <w:tc>
              <w:tcPr>
                <w:tcW w:w="661" w:type="dxa"/>
                <w:tcBorders>
                  <w:top w:val="nil"/>
                  <w:left w:val="nil"/>
                  <w:bottom w:val="nil"/>
                  <w:right w:val="nil"/>
                </w:tcBorders>
                <w:shd w:val="clear" w:color="auto" w:fill="CAE7F3" w:themeFill="accent1" w:themeFillTint="33"/>
                <w:noWrap/>
                <w:vAlign w:val="bottom"/>
                <w:hideMark/>
              </w:tcPr>
              <w:p w14:paraId="589D2C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1786.3</w:t>
                </w:r>
              </w:p>
            </w:tc>
            <w:tc>
              <w:tcPr>
                <w:tcW w:w="662" w:type="dxa"/>
                <w:tcBorders>
                  <w:top w:val="nil"/>
                  <w:left w:val="nil"/>
                  <w:bottom w:val="nil"/>
                  <w:right w:val="nil"/>
                </w:tcBorders>
                <w:shd w:val="clear" w:color="auto" w:fill="CAE7F3" w:themeFill="accent1" w:themeFillTint="33"/>
                <w:noWrap/>
                <w:vAlign w:val="bottom"/>
                <w:hideMark/>
              </w:tcPr>
              <w:p w14:paraId="20C818D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188.5</w:t>
                </w:r>
              </w:p>
            </w:tc>
            <w:tc>
              <w:tcPr>
                <w:tcW w:w="662" w:type="dxa"/>
                <w:tcBorders>
                  <w:top w:val="nil"/>
                  <w:left w:val="nil"/>
                  <w:bottom w:val="nil"/>
                  <w:right w:val="nil"/>
                </w:tcBorders>
                <w:shd w:val="clear" w:color="auto" w:fill="CAE7F3" w:themeFill="accent1" w:themeFillTint="33"/>
                <w:noWrap/>
                <w:vAlign w:val="bottom"/>
                <w:hideMark/>
              </w:tcPr>
              <w:p w14:paraId="376E56E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358.0</w:t>
                </w:r>
              </w:p>
            </w:tc>
            <w:tc>
              <w:tcPr>
                <w:tcW w:w="662" w:type="dxa"/>
                <w:tcBorders>
                  <w:top w:val="nil"/>
                  <w:left w:val="nil"/>
                  <w:bottom w:val="nil"/>
                  <w:right w:val="nil"/>
                </w:tcBorders>
                <w:shd w:val="clear" w:color="auto" w:fill="CAE7F3" w:themeFill="accent1" w:themeFillTint="33"/>
                <w:noWrap/>
                <w:vAlign w:val="bottom"/>
                <w:hideMark/>
              </w:tcPr>
              <w:p w14:paraId="1F0807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213.3</w:t>
                </w:r>
              </w:p>
            </w:tc>
            <w:tc>
              <w:tcPr>
                <w:tcW w:w="662" w:type="dxa"/>
                <w:tcBorders>
                  <w:top w:val="nil"/>
                  <w:left w:val="nil"/>
                  <w:bottom w:val="nil"/>
                  <w:right w:val="nil"/>
                </w:tcBorders>
                <w:shd w:val="clear" w:color="auto" w:fill="CAE7F3" w:themeFill="accent1" w:themeFillTint="33"/>
                <w:noWrap/>
                <w:vAlign w:val="bottom"/>
                <w:hideMark/>
              </w:tcPr>
              <w:p w14:paraId="120DD2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388.5</w:t>
                </w:r>
              </w:p>
            </w:tc>
            <w:tc>
              <w:tcPr>
                <w:tcW w:w="661" w:type="dxa"/>
                <w:tcBorders>
                  <w:top w:val="nil"/>
                  <w:left w:val="nil"/>
                  <w:bottom w:val="nil"/>
                  <w:right w:val="nil"/>
                </w:tcBorders>
                <w:shd w:val="clear" w:color="auto" w:fill="CAE7F3" w:themeFill="accent1" w:themeFillTint="33"/>
                <w:noWrap/>
                <w:vAlign w:val="bottom"/>
                <w:hideMark/>
              </w:tcPr>
              <w:p w14:paraId="37468AB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48.5</w:t>
                </w:r>
              </w:p>
            </w:tc>
            <w:tc>
              <w:tcPr>
                <w:tcW w:w="662" w:type="dxa"/>
                <w:tcBorders>
                  <w:top w:val="nil"/>
                  <w:left w:val="nil"/>
                  <w:bottom w:val="nil"/>
                  <w:right w:val="nil"/>
                </w:tcBorders>
                <w:shd w:val="clear" w:color="auto" w:fill="CAE7F3" w:themeFill="accent1" w:themeFillTint="33"/>
                <w:noWrap/>
                <w:vAlign w:val="bottom"/>
                <w:hideMark/>
              </w:tcPr>
              <w:p w14:paraId="2845005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502.3</w:t>
                </w:r>
              </w:p>
            </w:tc>
            <w:tc>
              <w:tcPr>
                <w:tcW w:w="662" w:type="dxa"/>
                <w:tcBorders>
                  <w:top w:val="nil"/>
                  <w:left w:val="nil"/>
                  <w:bottom w:val="nil"/>
                  <w:right w:val="nil"/>
                </w:tcBorders>
                <w:shd w:val="clear" w:color="auto" w:fill="CAE7F3" w:themeFill="accent1" w:themeFillTint="33"/>
                <w:noWrap/>
                <w:vAlign w:val="bottom"/>
                <w:hideMark/>
              </w:tcPr>
              <w:p w14:paraId="7A2B3D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460.0</w:t>
                </w:r>
              </w:p>
            </w:tc>
            <w:tc>
              <w:tcPr>
                <w:tcW w:w="662" w:type="dxa"/>
                <w:tcBorders>
                  <w:top w:val="nil"/>
                  <w:left w:val="nil"/>
                  <w:bottom w:val="nil"/>
                  <w:right w:val="nil"/>
                </w:tcBorders>
                <w:shd w:val="clear" w:color="auto" w:fill="CAE7F3" w:themeFill="accent1" w:themeFillTint="33"/>
                <w:noWrap/>
                <w:vAlign w:val="bottom"/>
                <w:hideMark/>
              </w:tcPr>
              <w:p w14:paraId="67D2436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833.0</w:t>
                </w:r>
              </w:p>
            </w:tc>
            <w:tc>
              <w:tcPr>
                <w:tcW w:w="662" w:type="dxa"/>
                <w:tcBorders>
                  <w:top w:val="nil"/>
                  <w:left w:val="nil"/>
                  <w:bottom w:val="nil"/>
                  <w:right w:val="nil"/>
                </w:tcBorders>
                <w:shd w:val="clear" w:color="auto" w:fill="CAE7F3" w:themeFill="accent1" w:themeFillTint="33"/>
                <w:noWrap/>
                <w:vAlign w:val="bottom"/>
                <w:hideMark/>
              </w:tcPr>
              <w:p w14:paraId="087100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312.3</w:t>
                </w:r>
              </w:p>
            </w:tc>
            <w:tc>
              <w:tcPr>
                <w:tcW w:w="661" w:type="dxa"/>
                <w:tcBorders>
                  <w:top w:val="nil"/>
                  <w:left w:val="nil"/>
                  <w:bottom w:val="nil"/>
                  <w:right w:val="nil"/>
                </w:tcBorders>
                <w:shd w:val="clear" w:color="auto" w:fill="CAE7F3" w:themeFill="accent1" w:themeFillTint="33"/>
                <w:noWrap/>
                <w:vAlign w:val="bottom"/>
                <w:hideMark/>
              </w:tcPr>
              <w:p w14:paraId="72372F1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25.7</w:t>
                </w:r>
              </w:p>
            </w:tc>
            <w:tc>
              <w:tcPr>
                <w:tcW w:w="662" w:type="dxa"/>
                <w:tcBorders>
                  <w:top w:val="nil"/>
                  <w:left w:val="nil"/>
                  <w:bottom w:val="nil"/>
                  <w:right w:val="nil"/>
                </w:tcBorders>
                <w:shd w:val="clear" w:color="auto" w:fill="CAE7F3" w:themeFill="accent1" w:themeFillTint="33"/>
                <w:noWrap/>
                <w:vAlign w:val="bottom"/>
                <w:hideMark/>
              </w:tcPr>
              <w:p w14:paraId="4A15DDD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87.8</w:t>
                </w:r>
              </w:p>
            </w:tc>
            <w:tc>
              <w:tcPr>
                <w:tcW w:w="662" w:type="dxa"/>
                <w:tcBorders>
                  <w:top w:val="nil"/>
                  <w:left w:val="nil"/>
                  <w:bottom w:val="nil"/>
                  <w:right w:val="nil"/>
                </w:tcBorders>
                <w:shd w:val="clear" w:color="auto" w:fill="CAE7F3" w:themeFill="accent1" w:themeFillTint="33"/>
                <w:noWrap/>
                <w:vAlign w:val="bottom"/>
                <w:hideMark/>
              </w:tcPr>
              <w:p w14:paraId="43ED722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229.0</w:t>
                </w:r>
              </w:p>
            </w:tc>
            <w:tc>
              <w:tcPr>
                <w:tcW w:w="662" w:type="dxa"/>
                <w:tcBorders>
                  <w:top w:val="nil"/>
                  <w:left w:val="nil"/>
                  <w:bottom w:val="nil"/>
                  <w:right w:val="nil"/>
                </w:tcBorders>
                <w:shd w:val="clear" w:color="auto" w:fill="CAE7F3" w:themeFill="accent1" w:themeFillTint="33"/>
                <w:noWrap/>
                <w:vAlign w:val="bottom"/>
                <w:hideMark/>
              </w:tcPr>
              <w:p w14:paraId="074025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77.3</w:t>
                </w:r>
              </w:p>
            </w:tc>
            <w:tc>
              <w:tcPr>
                <w:tcW w:w="662" w:type="dxa"/>
                <w:tcBorders>
                  <w:top w:val="nil"/>
                  <w:left w:val="nil"/>
                  <w:bottom w:val="nil"/>
                  <w:right w:val="nil"/>
                </w:tcBorders>
                <w:shd w:val="clear" w:color="auto" w:fill="CAE7F3" w:themeFill="accent1" w:themeFillTint="33"/>
                <w:noWrap/>
                <w:vAlign w:val="bottom"/>
                <w:hideMark/>
              </w:tcPr>
              <w:p w14:paraId="42F3D37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283.3</w:t>
                </w:r>
              </w:p>
            </w:tc>
          </w:tr>
          <w:tr w:rsidR="00830FDC" w:rsidRPr="00F63634" w14:paraId="21DE9EC4"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2D208D26"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Perth</w:t>
                </w:r>
                <w:r>
                  <w:rPr>
                    <w:color w:val="595A5B" w:themeColor="text1"/>
                    <w:sz w:val="12"/>
                    <w:szCs w:val="16"/>
                    <w:lang w:eastAsia="en-AU"/>
                  </w:rPr>
                  <w:t xml:space="preserve"> — </w:t>
                </w:r>
                <w:r w:rsidRPr="009820E8">
                  <w:rPr>
                    <w:color w:val="595A5B" w:themeColor="text1"/>
                    <w:sz w:val="12"/>
                    <w:szCs w:val="16"/>
                    <w:lang w:eastAsia="en-AU"/>
                  </w:rPr>
                  <w:t>South East</w:t>
                </w:r>
              </w:p>
            </w:tc>
            <w:tc>
              <w:tcPr>
                <w:tcW w:w="661" w:type="dxa"/>
                <w:tcBorders>
                  <w:top w:val="nil"/>
                  <w:left w:val="nil"/>
                  <w:bottom w:val="nil"/>
                  <w:right w:val="nil"/>
                </w:tcBorders>
                <w:shd w:val="clear" w:color="auto" w:fill="CAE7F3" w:themeFill="accent1" w:themeFillTint="33"/>
                <w:noWrap/>
                <w:vAlign w:val="bottom"/>
                <w:hideMark/>
              </w:tcPr>
              <w:p w14:paraId="54D3AC7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123.5</w:t>
                </w:r>
              </w:p>
            </w:tc>
            <w:tc>
              <w:tcPr>
                <w:tcW w:w="662" w:type="dxa"/>
                <w:tcBorders>
                  <w:top w:val="nil"/>
                  <w:left w:val="nil"/>
                  <w:bottom w:val="nil"/>
                  <w:right w:val="nil"/>
                </w:tcBorders>
                <w:shd w:val="clear" w:color="auto" w:fill="CAE7F3" w:themeFill="accent1" w:themeFillTint="33"/>
                <w:noWrap/>
                <w:vAlign w:val="bottom"/>
                <w:hideMark/>
              </w:tcPr>
              <w:p w14:paraId="578B496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50.0</w:t>
                </w:r>
              </w:p>
            </w:tc>
            <w:tc>
              <w:tcPr>
                <w:tcW w:w="662" w:type="dxa"/>
                <w:tcBorders>
                  <w:top w:val="nil"/>
                  <w:left w:val="nil"/>
                  <w:bottom w:val="nil"/>
                  <w:right w:val="nil"/>
                </w:tcBorders>
                <w:shd w:val="clear" w:color="auto" w:fill="CAE7F3" w:themeFill="accent1" w:themeFillTint="33"/>
                <w:noWrap/>
                <w:vAlign w:val="bottom"/>
                <w:hideMark/>
              </w:tcPr>
              <w:p w14:paraId="158B28B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195.7</w:t>
                </w:r>
              </w:p>
            </w:tc>
            <w:tc>
              <w:tcPr>
                <w:tcW w:w="662" w:type="dxa"/>
                <w:tcBorders>
                  <w:top w:val="nil"/>
                  <w:left w:val="nil"/>
                  <w:bottom w:val="nil"/>
                  <w:right w:val="nil"/>
                </w:tcBorders>
                <w:shd w:val="clear" w:color="auto" w:fill="CAE7F3" w:themeFill="accent1" w:themeFillTint="33"/>
                <w:noWrap/>
                <w:vAlign w:val="bottom"/>
                <w:hideMark/>
              </w:tcPr>
              <w:p w14:paraId="16A6C95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20.7</w:t>
                </w:r>
              </w:p>
            </w:tc>
            <w:tc>
              <w:tcPr>
                <w:tcW w:w="661" w:type="dxa"/>
                <w:tcBorders>
                  <w:top w:val="nil"/>
                  <w:left w:val="nil"/>
                  <w:bottom w:val="nil"/>
                  <w:right w:val="nil"/>
                </w:tcBorders>
                <w:shd w:val="clear" w:color="auto" w:fill="CAE7F3" w:themeFill="accent1" w:themeFillTint="33"/>
                <w:noWrap/>
                <w:vAlign w:val="bottom"/>
                <w:hideMark/>
              </w:tcPr>
              <w:p w14:paraId="1786803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1144.3</w:t>
                </w:r>
              </w:p>
            </w:tc>
            <w:tc>
              <w:tcPr>
                <w:tcW w:w="662" w:type="dxa"/>
                <w:tcBorders>
                  <w:top w:val="nil"/>
                  <w:left w:val="nil"/>
                  <w:bottom w:val="nil"/>
                  <w:right w:val="nil"/>
                </w:tcBorders>
                <w:shd w:val="clear" w:color="auto" w:fill="CAE7F3" w:themeFill="accent1" w:themeFillTint="33"/>
                <w:noWrap/>
                <w:vAlign w:val="bottom"/>
                <w:hideMark/>
              </w:tcPr>
              <w:p w14:paraId="1DF1C2F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187.3</w:t>
                </w:r>
              </w:p>
            </w:tc>
            <w:tc>
              <w:tcPr>
                <w:tcW w:w="662" w:type="dxa"/>
                <w:tcBorders>
                  <w:top w:val="nil"/>
                  <w:left w:val="nil"/>
                  <w:bottom w:val="nil"/>
                  <w:right w:val="nil"/>
                </w:tcBorders>
                <w:shd w:val="clear" w:color="auto" w:fill="CAE7F3" w:themeFill="accent1" w:themeFillTint="33"/>
                <w:noWrap/>
                <w:vAlign w:val="bottom"/>
                <w:hideMark/>
              </w:tcPr>
              <w:p w14:paraId="5ED1DA7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331.0</w:t>
                </w:r>
              </w:p>
            </w:tc>
            <w:tc>
              <w:tcPr>
                <w:tcW w:w="662" w:type="dxa"/>
                <w:tcBorders>
                  <w:top w:val="nil"/>
                  <w:left w:val="nil"/>
                  <w:bottom w:val="nil"/>
                  <w:right w:val="nil"/>
                </w:tcBorders>
                <w:shd w:val="clear" w:color="auto" w:fill="CAE7F3" w:themeFill="accent1" w:themeFillTint="33"/>
                <w:noWrap/>
                <w:vAlign w:val="bottom"/>
                <w:hideMark/>
              </w:tcPr>
              <w:p w14:paraId="33B70BC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224.7</w:t>
                </w:r>
              </w:p>
            </w:tc>
            <w:tc>
              <w:tcPr>
                <w:tcW w:w="662" w:type="dxa"/>
                <w:tcBorders>
                  <w:top w:val="nil"/>
                  <w:left w:val="nil"/>
                  <w:bottom w:val="nil"/>
                  <w:right w:val="nil"/>
                </w:tcBorders>
                <w:shd w:val="clear" w:color="auto" w:fill="CAE7F3" w:themeFill="accent1" w:themeFillTint="33"/>
                <w:noWrap/>
                <w:vAlign w:val="bottom"/>
                <w:hideMark/>
              </w:tcPr>
              <w:p w14:paraId="104BB78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588.0</w:t>
                </w:r>
              </w:p>
            </w:tc>
            <w:tc>
              <w:tcPr>
                <w:tcW w:w="661" w:type="dxa"/>
                <w:tcBorders>
                  <w:top w:val="nil"/>
                  <w:left w:val="nil"/>
                  <w:bottom w:val="nil"/>
                  <w:right w:val="nil"/>
                </w:tcBorders>
                <w:shd w:val="clear" w:color="auto" w:fill="CAE7F3" w:themeFill="accent1" w:themeFillTint="33"/>
                <w:noWrap/>
                <w:vAlign w:val="bottom"/>
                <w:hideMark/>
              </w:tcPr>
              <w:p w14:paraId="43CB53A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38.0</w:t>
                </w:r>
              </w:p>
            </w:tc>
            <w:tc>
              <w:tcPr>
                <w:tcW w:w="662" w:type="dxa"/>
                <w:tcBorders>
                  <w:top w:val="nil"/>
                  <w:left w:val="nil"/>
                  <w:bottom w:val="nil"/>
                  <w:right w:val="nil"/>
                </w:tcBorders>
                <w:shd w:val="clear" w:color="auto" w:fill="CAE7F3" w:themeFill="accent1" w:themeFillTint="33"/>
                <w:noWrap/>
                <w:vAlign w:val="bottom"/>
                <w:hideMark/>
              </w:tcPr>
              <w:p w14:paraId="6A56448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395.2</w:t>
                </w:r>
              </w:p>
            </w:tc>
            <w:tc>
              <w:tcPr>
                <w:tcW w:w="662" w:type="dxa"/>
                <w:tcBorders>
                  <w:top w:val="nil"/>
                  <w:left w:val="nil"/>
                  <w:bottom w:val="nil"/>
                  <w:right w:val="nil"/>
                </w:tcBorders>
                <w:shd w:val="clear" w:color="auto" w:fill="CAE7F3" w:themeFill="accent1" w:themeFillTint="33"/>
                <w:noWrap/>
                <w:vAlign w:val="bottom"/>
                <w:hideMark/>
              </w:tcPr>
              <w:p w14:paraId="0A8FD4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396.3</w:t>
                </w:r>
              </w:p>
            </w:tc>
            <w:tc>
              <w:tcPr>
                <w:tcW w:w="662" w:type="dxa"/>
                <w:tcBorders>
                  <w:top w:val="nil"/>
                  <w:left w:val="nil"/>
                  <w:bottom w:val="nil"/>
                  <w:right w:val="nil"/>
                </w:tcBorders>
                <w:shd w:val="clear" w:color="auto" w:fill="CAE7F3" w:themeFill="accent1" w:themeFillTint="33"/>
                <w:noWrap/>
                <w:vAlign w:val="bottom"/>
                <w:hideMark/>
              </w:tcPr>
              <w:p w14:paraId="4AE083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649.2</w:t>
                </w:r>
              </w:p>
            </w:tc>
            <w:tc>
              <w:tcPr>
                <w:tcW w:w="662" w:type="dxa"/>
                <w:tcBorders>
                  <w:top w:val="nil"/>
                  <w:left w:val="nil"/>
                  <w:bottom w:val="nil"/>
                  <w:right w:val="nil"/>
                </w:tcBorders>
                <w:shd w:val="clear" w:color="auto" w:fill="CAE7F3" w:themeFill="accent1" w:themeFillTint="33"/>
                <w:noWrap/>
                <w:vAlign w:val="bottom"/>
                <w:hideMark/>
              </w:tcPr>
              <w:p w14:paraId="221B7B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314.7</w:t>
                </w:r>
              </w:p>
            </w:tc>
            <w:tc>
              <w:tcPr>
                <w:tcW w:w="661" w:type="dxa"/>
                <w:tcBorders>
                  <w:top w:val="nil"/>
                  <w:left w:val="nil"/>
                  <w:bottom w:val="nil"/>
                  <w:right w:val="nil"/>
                </w:tcBorders>
                <w:shd w:val="clear" w:color="auto" w:fill="CAE7F3" w:themeFill="accent1" w:themeFillTint="33"/>
                <w:noWrap/>
                <w:vAlign w:val="bottom"/>
                <w:hideMark/>
              </w:tcPr>
              <w:p w14:paraId="134C380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25.0</w:t>
                </w:r>
              </w:p>
            </w:tc>
            <w:tc>
              <w:tcPr>
                <w:tcW w:w="662" w:type="dxa"/>
                <w:tcBorders>
                  <w:top w:val="nil"/>
                  <w:left w:val="nil"/>
                  <w:bottom w:val="nil"/>
                  <w:right w:val="nil"/>
                </w:tcBorders>
                <w:shd w:val="clear" w:color="auto" w:fill="CAE7F3" w:themeFill="accent1" w:themeFillTint="33"/>
                <w:noWrap/>
                <w:vAlign w:val="bottom"/>
                <w:hideMark/>
              </w:tcPr>
              <w:p w14:paraId="6E0F298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67.2</w:t>
                </w:r>
              </w:p>
            </w:tc>
            <w:tc>
              <w:tcPr>
                <w:tcW w:w="662" w:type="dxa"/>
                <w:tcBorders>
                  <w:top w:val="nil"/>
                  <w:left w:val="nil"/>
                  <w:bottom w:val="nil"/>
                  <w:right w:val="nil"/>
                </w:tcBorders>
                <w:shd w:val="clear" w:color="auto" w:fill="CAE7F3" w:themeFill="accent1" w:themeFillTint="33"/>
                <w:noWrap/>
                <w:vAlign w:val="bottom"/>
                <w:hideMark/>
              </w:tcPr>
              <w:p w14:paraId="56B8317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173.3</w:t>
                </w:r>
              </w:p>
            </w:tc>
            <w:tc>
              <w:tcPr>
                <w:tcW w:w="662" w:type="dxa"/>
                <w:tcBorders>
                  <w:top w:val="nil"/>
                  <w:left w:val="nil"/>
                  <w:bottom w:val="nil"/>
                  <w:right w:val="nil"/>
                </w:tcBorders>
                <w:shd w:val="clear" w:color="auto" w:fill="CAE7F3" w:themeFill="accent1" w:themeFillTint="33"/>
                <w:noWrap/>
                <w:vAlign w:val="bottom"/>
                <w:hideMark/>
              </w:tcPr>
              <w:p w14:paraId="734DDEB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65.8</w:t>
                </w:r>
              </w:p>
            </w:tc>
            <w:tc>
              <w:tcPr>
                <w:tcW w:w="662" w:type="dxa"/>
                <w:tcBorders>
                  <w:top w:val="nil"/>
                  <w:left w:val="nil"/>
                  <w:bottom w:val="nil"/>
                  <w:right w:val="nil"/>
                </w:tcBorders>
                <w:shd w:val="clear" w:color="auto" w:fill="CAE7F3" w:themeFill="accent1" w:themeFillTint="33"/>
                <w:noWrap/>
                <w:vAlign w:val="bottom"/>
                <w:hideMark/>
              </w:tcPr>
              <w:p w14:paraId="0D661FC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258.0</w:t>
                </w:r>
              </w:p>
            </w:tc>
          </w:tr>
          <w:tr w:rsidR="00830FDC" w:rsidRPr="00F63634" w14:paraId="095E4AD7"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747D8DE1"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Perth</w:t>
                </w:r>
                <w:r>
                  <w:rPr>
                    <w:color w:val="595A5B" w:themeColor="text1"/>
                    <w:sz w:val="12"/>
                    <w:szCs w:val="16"/>
                    <w:lang w:eastAsia="en-AU"/>
                  </w:rPr>
                  <w:t xml:space="preserve"> — </w:t>
                </w:r>
                <w:r w:rsidRPr="009820E8">
                  <w:rPr>
                    <w:color w:val="595A5B" w:themeColor="text1"/>
                    <w:sz w:val="12"/>
                    <w:szCs w:val="16"/>
                    <w:lang w:eastAsia="en-AU"/>
                  </w:rPr>
                  <w:t>South West</w:t>
                </w:r>
              </w:p>
            </w:tc>
            <w:tc>
              <w:tcPr>
                <w:tcW w:w="661" w:type="dxa"/>
                <w:tcBorders>
                  <w:top w:val="nil"/>
                  <w:left w:val="nil"/>
                  <w:bottom w:val="nil"/>
                  <w:right w:val="nil"/>
                </w:tcBorders>
                <w:shd w:val="clear" w:color="auto" w:fill="CAE7F3" w:themeFill="accent1" w:themeFillTint="33"/>
                <w:noWrap/>
                <w:vAlign w:val="bottom"/>
                <w:hideMark/>
              </w:tcPr>
              <w:p w14:paraId="0FB8F8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123.8</w:t>
                </w:r>
              </w:p>
            </w:tc>
            <w:tc>
              <w:tcPr>
                <w:tcW w:w="662" w:type="dxa"/>
                <w:tcBorders>
                  <w:top w:val="nil"/>
                  <w:left w:val="nil"/>
                  <w:bottom w:val="nil"/>
                  <w:right w:val="nil"/>
                </w:tcBorders>
                <w:shd w:val="clear" w:color="auto" w:fill="CAE7F3" w:themeFill="accent1" w:themeFillTint="33"/>
                <w:noWrap/>
                <w:vAlign w:val="bottom"/>
                <w:hideMark/>
              </w:tcPr>
              <w:p w14:paraId="4619D2A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31.8</w:t>
                </w:r>
              </w:p>
            </w:tc>
            <w:tc>
              <w:tcPr>
                <w:tcW w:w="662" w:type="dxa"/>
                <w:tcBorders>
                  <w:top w:val="nil"/>
                  <w:left w:val="nil"/>
                  <w:bottom w:val="nil"/>
                  <w:right w:val="nil"/>
                </w:tcBorders>
                <w:shd w:val="clear" w:color="auto" w:fill="CAE7F3" w:themeFill="accent1" w:themeFillTint="33"/>
                <w:noWrap/>
                <w:vAlign w:val="bottom"/>
                <w:hideMark/>
              </w:tcPr>
              <w:p w14:paraId="67B2104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171.5</w:t>
                </w:r>
              </w:p>
            </w:tc>
            <w:tc>
              <w:tcPr>
                <w:tcW w:w="662" w:type="dxa"/>
                <w:tcBorders>
                  <w:top w:val="nil"/>
                  <w:left w:val="nil"/>
                  <w:bottom w:val="nil"/>
                  <w:right w:val="nil"/>
                </w:tcBorders>
                <w:shd w:val="clear" w:color="auto" w:fill="CAE7F3" w:themeFill="accent1" w:themeFillTint="33"/>
                <w:noWrap/>
                <w:vAlign w:val="bottom"/>
                <w:hideMark/>
              </w:tcPr>
              <w:p w14:paraId="3526561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14.3</w:t>
                </w:r>
              </w:p>
            </w:tc>
            <w:tc>
              <w:tcPr>
                <w:tcW w:w="661" w:type="dxa"/>
                <w:tcBorders>
                  <w:top w:val="nil"/>
                  <w:left w:val="nil"/>
                  <w:bottom w:val="nil"/>
                  <w:right w:val="nil"/>
                </w:tcBorders>
                <w:shd w:val="clear" w:color="auto" w:fill="CAE7F3" w:themeFill="accent1" w:themeFillTint="33"/>
                <w:noWrap/>
                <w:vAlign w:val="bottom"/>
                <w:hideMark/>
              </w:tcPr>
              <w:p w14:paraId="1AC0BCD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943.8</w:t>
                </w:r>
              </w:p>
            </w:tc>
            <w:tc>
              <w:tcPr>
                <w:tcW w:w="662" w:type="dxa"/>
                <w:tcBorders>
                  <w:top w:val="nil"/>
                  <w:left w:val="nil"/>
                  <w:bottom w:val="nil"/>
                  <w:right w:val="nil"/>
                </w:tcBorders>
                <w:shd w:val="clear" w:color="auto" w:fill="CAE7F3" w:themeFill="accent1" w:themeFillTint="33"/>
                <w:noWrap/>
                <w:vAlign w:val="bottom"/>
                <w:hideMark/>
              </w:tcPr>
              <w:p w14:paraId="6F18745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134.8</w:t>
                </w:r>
              </w:p>
            </w:tc>
            <w:tc>
              <w:tcPr>
                <w:tcW w:w="662" w:type="dxa"/>
                <w:tcBorders>
                  <w:top w:val="nil"/>
                  <w:left w:val="nil"/>
                  <w:bottom w:val="nil"/>
                  <w:right w:val="nil"/>
                </w:tcBorders>
                <w:shd w:val="clear" w:color="auto" w:fill="CAE7F3" w:themeFill="accent1" w:themeFillTint="33"/>
                <w:noWrap/>
                <w:vAlign w:val="bottom"/>
                <w:hideMark/>
              </w:tcPr>
              <w:p w14:paraId="183331D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261.0</w:t>
                </w:r>
              </w:p>
            </w:tc>
            <w:tc>
              <w:tcPr>
                <w:tcW w:w="662" w:type="dxa"/>
                <w:tcBorders>
                  <w:top w:val="nil"/>
                  <w:left w:val="nil"/>
                  <w:bottom w:val="nil"/>
                  <w:right w:val="nil"/>
                </w:tcBorders>
                <w:shd w:val="clear" w:color="auto" w:fill="CAE7F3" w:themeFill="accent1" w:themeFillTint="33"/>
                <w:noWrap/>
                <w:vAlign w:val="bottom"/>
                <w:hideMark/>
              </w:tcPr>
              <w:p w14:paraId="7F0B42C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170.2</w:t>
                </w:r>
              </w:p>
            </w:tc>
            <w:tc>
              <w:tcPr>
                <w:tcW w:w="662" w:type="dxa"/>
                <w:tcBorders>
                  <w:top w:val="nil"/>
                  <w:left w:val="nil"/>
                  <w:bottom w:val="nil"/>
                  <w:right w:val="nil"/>
                </w:tcBorders>
                <w:shd w:val="clear" w:color="auto" w:fill="CAE7F3" w:themeFill="accent1" w:themeFillTint="33"/>
                <w:noWrap/>
                <w:vAlign w:val="bottom"/>
                <w:hideMark/>
              </w:tcPr>
              <w:p w14:paraId="6E0E491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228.5</w:t>
                </w:r>
              </w:p>
            </w:tc>
            <w:tc>
              <w:tcPr>
                <w:tcW w:w="661" w:type="dxa"/>
                <w:tcBorders>
                  <w:top w:val="nil"/>
                  <w:left w:val="nil"/>
                  <w:bottom w:val="nil"/>
                  <w:right w:val="nil"/>
                </w:tcBorders>
                <w:shd w:val="clear" w:color="auto" w:fill="CAE7F3" w:themeFill="accent1" w:themeFillTint="33"/>
                <w:noWrap/>
                <w:vAlign w:val="bottom"/>
                <w:hideMark/>
              </w:tcPr>
              <w:p w14:paraId="35173EE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41.5</w:t>
                </w:r>
              </w:p>
            </w:tc>
            <w:tc>
              <w:tcPr>
                <w:tcW w:w="662" w:type="dxa"/>
                <w:tcBorders>
                  <w:top w:val="nil"/>
                  <w:left w:val="nil"/>
                  <w:bottom w:val="nil"/>
                  <w:right w:val="nil"/>
                </w:tcBorders>
                <w:shd w:val="clear" w:color="auto" w:fill="CAE7F3" w:themeFill="accent1" w:themeFillTint="33"/>
                <w:noWrap/>
                <w:vAlign w:val="bottom"/>
                <w:hideMark/>
              </w:tcPr>
              <w:p w14:paraId="57D47F9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349.8</w:t>
                </w:r>
              </w:p>
            </w:tc>
            <w:tc>
              <w:tcPr>
                <w:tcW w:w="662" w:type="dxa"/>
                <w:tcBorders>
                  <w:top w:val="nil"/>
                  <w:left w:val="nil"/>
                  <w:bottom w:val="nil"/>
                  <w:right w:val="nil"/>
                </w:tcBorders>
                <w:shd w:val="clear" w:color="auto" w:fill="CAE7F3" w:themeFill="accent1" w:themeFillTint="33"/>
                <w:noWrap/>
                <w:vAlign w:val="bottom"/>
                <w:hideMark/>
              </w:tcPr>
              <w:p w14:paraId="0E2F26F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368.7</w:t>
                </w:r>
              </w:p>
            </w:tc>
            <w:tc>
              <w:tcPr>
                <w:tcW w:w="662" w:type="dxa"/>
                <w:tcBorders>
                  <w:top w:val="nil"/>
                  <w:left w:val="nil"/>
                  <w:bottom w:val="nil"/>
                  <w:right w:val="nil"/>
                </w:tcBorders>
                <w:shd w:val="clear" w:color="auto" w:fill="CAE7F3" w:themeFill="accent1" w:themeFillTint="33"/>
                <w:noWrap/>
                <w:vAlign w:val="bottom"/>
                <w:hideMark/>
              </w:tcPr>
              <w:p w14:paraId="41F5745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588.8</w:t>
                </w:r>
              </w:p>
            </w:tc>
            <w:tc>
              <w:tcPr>
                <w:tcW w:w="662" w:type="dxa"/>
                <w:tcBorders>
                  <w:top w:val="nil"/>
                  <w:left w:val="nil"/>
                  <w:bottom w:val="nil"/>
                  <w:right w:val="nil"/>
                </w:tcBorders>
                <w:shd w:val="clear" w:color="auto" w:fill="CAE7F3" w:themeFill="accent1" w:themeFillTint="33"/>
                <w:noWrap/>
                <w:vAlign w:val="bottom"/>
                <w:hideMark/>
              </w:tcPr>
              <w:p w14:paraId="007C2AE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176.5</w:t>
                </w:r>
              </w:p>
            </w:tc>
            <w:tc>
              <w:tcPr>
                <w:tcW w:w="661" w:type="dxa"/>
                <w:tcBorders>
                  <w:top w:val="nil"/>
                  <w:left w:val="nil"/>
                  <w:bottom w:val="nil"/>
                  <w:right w:val="nil"/>
                </w:tcBorders>
                <w:shd w:val="clear" w:color="auto" w:fill="CAE7F3" w:themeFill="accent1" w:themeFillTint="33"/>
                <w:noWrap/>
                <w:vAlign w:val="bottom"/>
                <w:hideMark/>
              </w:tcPr>
              <w:p w14:paraId="3687CEB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19.0</w:t>
                </w:r>
              </w:p>
            </w:tc>
            <w:tc>
              <w:tcPr>
                <w:tcW w:w="662" w:type="dxa"/>
                <w:tcBorders>
                  <w:top w:val="nil"/>
                  <w:left w:val="nil"/>
                  <w:bottom w:val="nil"/>
                  <w:right w:val="nil"/>
                </w:tcBorders>
                <w:shd w:val="clear" w:color="auto" w:fill="CAE7F3" w:themeFill="accent1" w:themeFillTint="33"/>
                <w:noWrap/>
                <w:vAlign w:val="bottom"/>
                <w:hideMark/>
              </w:tcPr>
              <w:p w14:paraId="13113B2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67.5</w:t>
                </w:r>
              </w:p>
            </w:tc>
            <w:tc>
              <w:tcPr>
                <w:tcW w:w="662" w:type="dxa"/>
                <w:tcBorders>
                  <w:top w:val="nil"/>
                  <w:left w:val="nil"/>
                  <w:bottom w:val="nil"/>
                  <w:right w:val="nil"/>
                </w:tcBorders>
                <w:shd w:val="clear" w:color="auto" w:fill="CAE7F3" w:themeFill="accent1" w:themeFillTint="33"/>
                <w:noWrap/>
                <w:vAlign w:val="bottom"/>
                <w:hideMark/>
              </w:tcPr>
              <w:p w14:paraId="1717778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206.0</w:t>
                </w:r>
              </w:p>
            </w:tc>
            <w:tc>
              <w:tcPr>
                <w:tcW w:w="662" w:type="dxa"/>
                <w:tcBorders>
                  <w:top w:val="nil"/>
                  <w:left w:val="nil"/>
                  <w:bottom w:val="nil"/>
                  <w:right w:val="nil"/>
                </w:tcBorders>
                <w:shd w:val="clear" w:color="auto" w:fill="CAE7F3" w:themeFill="accent1" w:themeFillTint="33"/>
                <w:noWrap/>
                <w:vAlign w:val="bottom"/>
                <w:hideMark/>
              </w:tcPr>
              <w:p w14:paraId="7A52260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63.0</w:t>
                </w:r>
              </w:p>
            </w:tc>
            <w:tc>
              <w:tcPr>
                <w:tcW w:w="662" w:type="dxa"/>
                <w:tcBorders>
                  <w:top w:val="nil"/>
                  <w:left w:val="nil"/>
                  <w:bottom w:val="nil"/>
                  <w:right w:val="nil"/>
                </w:tcBorders>
                <w:shd w:val="clear" w:color="auto" w:fill="CAE7F3" w:themeFill="accent1" w:themeFillTint="33"/>
                <w:noWrap/>
                <w:vAlign w:val="bottom"/>
                <w:hideMark/>
              </w:tcPr>
              <w:p w14:paraId="3C89B12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195.2</w:t>
                </w:r>
              </w:p>
            </w:tc>
          </w:tr>
        </w:tbl>
        <w:p w14:paraId="0169BE86" w14:textId="258878C2" w:rsidR="00830FDC" w:rsidRDefault="00830FDC" w:rsidP="00830FDC">
          <w:pPr>
            <w:pStyle w:val="CaptionWide"/>
          </w:pPr>
          <w:r w:rsidRPr="000618FB">
            <w:t xml:space="preserve">Table </w:t>
          </w:r>
          <w:r>
            <w:t>B2</w:t>
          </w:r>
          <w:r>
            <w:rPr>
              <w:noProof/>
            </w:rPr>
            <w:t xml:space="preserve"> continued</w:t>
          </w:r>
          <w:r>
            <w:t>: Annual business entries by ANZSIC divisions, averaged financial years ending in June 2009 t</w:t>
          </w:r>
          <w:r w:rsidR="00072129">
            <w:t>o</w:t>
          </w:r>
          <w:r w:rsidR="00544B29">
            <w:t xml:space="preserve"> June 2014, by s</w:t>
          </w:r>
          <w:r>
            <w:t>tate and SA4 regions</w:t>
          </w:r>
        </w:p>
        <w:tbl>
          <w:tblPr>
            <w:tblW w:w="14142" w:type="dxa"/>
            <w:shd w:val="clear" w:color="auto" w:fill="CAE7F3" w:themeFill="accent1" w:themeFillTint="33"/>
            <w:tblLayout w:type="fixed"/>
            <w:tblLook w:val="04A0" w:firstRow="1" w:lastRow="0" w:firstColumn="1" w:lastColumn="0" w:noHBand="0" w:noVBand="1"/>
          </w:tblPr>
          <w:tblGrid>
            <w:gridCol w:w="1568"/>
            <w:gridCol w:w="661"/>
            <w:gridCol w:w="662"/>
            <w:gridCol w:w="662"/>
            <w:gridCol w:w="662"/>
            <w:gridCol w:w="661"/>
            <w:gridCol w:w="662"/>
            <w:gridCol w:w="662"/>
            <w:gridCol w:w="662"/>
            <w:gridCol w:w="662"/>
            <w:gridCol w:w="661"/>
            <w:gridCol w:w="662"/>
            <w:gridCol w:w="662"/>
            <w:gridCol w:w="662"/>
            <w:gridCol w:w="662"/>
            <w:gridCol w:w="661"/>
            <w:gridCol w:w="662"/>
            <w:gridCol w:w="662"/>
            <w:gridCol w:w="662"/>
            <w:gridCol w:w="662"/>
          </w:tblGrid>
          <w:tr w:rsidR="00830FDC" w:rsidRPr="00F63634" w14:paraId="739B6D1C" w14:textId="77777777" w:rsidTr="00D0090A">
            <w:trPr>
              <w:trHeight w:val="1823"/>
            </w:trPr>
            <w:tc>
              <w:tcPr>
                <w:tcW w:w="1568" w:type="dxa"/>
                <w:tcBorders>
                  <w:top w:val="nil"/>
                  <w:left w:val="nil"/>
                  <w:bottom w:val="single" w:sz="4" w:space="0" w:color="95B3D7"/>
                  <w:right w:val="nil"/>
                </w:tcBorders>
                <w:shd w:val="clear" w:color="auto" w:fill="22789A" w:themeFill="accent1"/>
                <w:noWrap/>
                <w:vAlign w:val="bottom"/>
              </w:tcPr>
              <w:p w14:paraId="50BED8CB" w14:textId="77777777" w:rsidR="00830FDC" w:rsidRPr="00F47853" w:rsidRDefault="00830FDC" w:rsidP="00D0090A">
                <w:pPr>
                  <w:pStyle w:val="Tabletext"/>
                  <w:rPr>
                    <w:sz w:val="14"/>
                    <w:szCs w:val="16"/>
                    <w:lang w:eastAsia="en-AU"/>
                  </w:rPr>
                </w:pPr>
              </w:p>
            </w:tc>
            <w:tc>
              <w:tcPr>
                <w:tcW w:w="661" w:type="dxa"/>
                <w:tcBorders>
                  <w:top w:val="nil"/>
                  <w:left w:val="nil"/>
                  <w:bottom w:val="single" w:sz="4" w:space="0" w:color="95B3D7"/>
                  <w:right w:val="nil"/>
                </w:tcBorders>
                <w:shd w:val="clear" w:color="auto" w:fill="22789A" w:themeFill="accent1"/>
                <w:noWrap/>
                <w:textDirection w:val="btLr"/>
                <w:vAlign w:val="center"/>
              </w:tcPr>
              <w:p w14:paraId="448FD3D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Agriculture, Forestry and Fishing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5CBEBA3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1BFACB64"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Manufacturing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7F59750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Electricity, Gas, Water and Waste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25EB3BC7"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Construction</w:t>
                </w:r>
              </w:p>
            </w:tc>
            <w:tc>
              <w:tcPr>
                <w:tcW w:w="662" w:type="dxa"/>
                <w:tcBorders>
                  <w:top w:val="nil"/>
                  <w:left w:val="nil"/>
                  <w:bottom w:val="single" w:sz="4" w:space="0" w:color="95B3D7"/>
                  <w:right w:val="nil"/>
                </w:tcBorders>
                <w:shd w:val="clear" w:color="auto" w:fill="22789A" w:themeFill="accent1"/>
                <w:noWrap/>
                <w:textDirection w:val="btLr"/>
                <w:vAlign w:val="center"/>
              </w:tcPr>
              <w:p w14:paraId="4C60F79E"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Wholesale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3F08365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Retail Trade</w:t>
                </w:r>
              </w:p>
            </w:tc>
            <w:tc>
              <w:tcPr>
                <w:tcW w:w="662" w:type="dxa"/>
                <w:tcBorders>
                  <w:top w:val="nil"/>
                  <w:left w:val="nil"/>
                  <w:bottom w:val="single" w:sz="4" w:space="0" w:color="95B3D7"/>
                  <w:right w:val="nil"/>
                </w:tcBorders>
                <w:shd w:val="clear" w:color="auto" w:fill="22789A" w:themeFill="accent1"/>
                <w:noWrap/>
                <w:textDirection w:val="btLr"/>
                <w:vAlign w:val="center"/>
              </w:tcPr>
              <w:p w14:paraId="3918E46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Accommodation and Food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0AFED32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Transport, Postal and Warehousing</w:t>
                </w:r>
              </w:p>
            </w:tc>
            <w:tc>
              <w:tcPr>
                <w:tcW w:w="661" w:type="dxa"/>
                <w:tcBorders>
                  <w:top w:val="nil"/>
                  <w:left w:val="nil"/>
                  <w:bottom w:val="single" w:sz="4" w:space="0" w:color="95B3D7"/>
                  <w:right w:val="nil"/>
                </w:tcBorders>
                <w:shd w:val="clear" w:color="auto" w:fill="22789A" w:themeFill="accent1"/>
                <w:noWrap/>
                <w:textDirection w:val="btLr"/>
                <w:vAlign w:val="center"/>
              </w:tcPr>
              <w:p w14:paraId="6CF75E8D"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Information Media and Telecommunications</w:t>
                </w:r>
              </w:p>
            </w:tc>
            <w:tc>
              <w:tcPr>
                <w:tcW w:w="662" w:type="dxa"/>
                <w:tcBorders>
                  <w:top w:val="nil"/>
                  <w:left w:val="nil"/>
                  <w:bottom w:val="single" w:sz="4" w:space="0" w:color="95B3D7"/>
                  <w:right w:val="nil"/>
                </w:tcBorders>
                <w:shd w:val="clear" w:color="auto" w:fill="22789A" w:themeFill="accent1"/>
                <w:noWrap/>
                <w:textDirection w:val="btLr"/>
                <w:vAlign w:val="center"/>
              </w:tcPr>
              <w:p w14:paraId="68F329D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Financial and Insurance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5398855A"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Rental, Hiring and Real Estate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1D40B7A5"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Professional, Scientific and Technical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56D208A3"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Administrative and Support Services</w:t>
                </w:r>
              </w:p>
            </w:tc>
            <w:tc>
              <w:tcPr>
                <w:tcW w:w="661" w:type="dxa"/>
                <w:tcBorders>
                  <w:top w:val="nil"/>
                  <w:left w:val="nil"/>
                  <w:bottom w:val="single" w:sz="4" w:space="0" w:color="95B3D7"/>
                  <w:right w:val="nil"/>
                </w:tcBorders>
                <w:shd w:val="clear" w:color="auto" w:fill="22789A" w:themeFill="accent1"/>
                <w:noWrap/>
                <w:textDirection w:val="btLr"/>
                <w:vAlign w:val="center"/>
              </w:tcPr>
              <w:p w14:paraId="52A22AE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Public Administration and Safety</w:t>
                </w:r>
              </w:p>
            </w:tc>
            <w:tc>
              <w:tcPr>
                <w:tcW w:w="662" w:type="dxa"/>
                <w:tcBorders>
                  <w:top w:val="nil"/>
                  <w:left w:val="nil"/>
                  <w:bottom w:val="single" w:sz="4" w:space="0" w:color="95B3D7"/>
                  <w:right w:val="nil"/>
                </w:tcBorders>
                <w:shd w:val="clear" w:color="auto" w:fill="22789A" w:themeFill="accent1"/>
                <w:noWrap/>
                <w:textDirection w:val="btLr"/>
                <w:vAlign w:val="center"/>
              </w:tcPr>
              <w:p w14:paraId="3255E4DF"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Education and Training</w:t>
                </w:r>
              </w:p>
            </w:tc>
            <w:tc>
              <w:tcPr>
                <w:tcW w:w="662" w:type="dxa"/>
                <w:tcBorders>
                  <w:top w:val="nil"/>
                  <w:left w:val="nil"/>
                  <w:bottom w:val="single" w:sz="4" w:space="0" w:color="95B3D7"/>
                  <w:right w:val="nil"/>
                </w:tcBorders>
                <w:shd w:val="clear" w:color="auto" w:fill="22789A" w:themeFill="accent1"/>
                <w:noWrap/>
                <w:textDirection w:val="btLr"/>
                <w:vAlign w:val="center"/>
              </w:tcPr>
              <w:p w14:paraId="243A14E2"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Health Care and Social Assistance</w:t>
                </w:r>
              </w:p>
            </w:tc>
            <w:tc>
              <w:tcPr>
                <w:tcW w:w="662" w:type="dxa"/>
                <w:tcBorders>
                  <w:top w:val="nil"/>
                  <w:left w:val="nil"/>
                  <w:bottom w:val="single" w:sz="4" w:space="0" w:color="95B3D7"/>
                  <w:right w:val="nil"/>
                </w:tcBorders>
                <w:shd w:val="clear" w:color="auto" w:fill="22789A" w:themeFill="accent1"/>
                <w:noWrap/>
                <w:textDirection w:val="btLr"/>
                <w:vAlign w:val="center"/>
              </w:tcPr>
              <w:p w14:paraId="633FDBB8"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Arts and Recreation Services</w:t>
                </w:r>
              </w:p>
            </w:tc>
            <w:tc>
              <w:tcPr>
                <w:tcW w:w="662" w:type="dxa"/>
                <w:tcBorders>
                  <w:top w:val="nil"/>
                  <w:left w:val="nil"/>
                  <w:bottom w:val="single" w:sz="4" w:space="0" w:color="95B3D7"/>
                  <w:right w:val="nil"/>
                </w:tcBorders>
                <w:shd w:val="clear" w:color="auto" w:fill="22789A" w:themeFill="accent1"/>
                <w:noWrap/>
                <w:textDirection w:val="btLr"/>
                <w:vAlign w:val="center"/>
              </w:tcPr>
              <w:p w14:paraId="23DD15D6" w14:textId="77777777" w:rsidR="00830FDC" w:rsidRPr="00F47853" w:rsidRDefault="00830FDC" w:rsidP="00D0090A">
                <w:pPr>
                  <w:pStyle w:val="Tableheader"/>
                  <w:spacing w:before="0" w:after="0"/>
                  <w:ind w:left="113" w:right="113"/>
                  <w:rPr>
                    <w:sz w:val="14"/>
                    <w:szCs w:val="16"/>
                    <w:lang w:eastAsia="en-AU"/>
                  </w:rPr>
                </w:pPr>
                <w:r w:rsidRPr="00F47853">
                  <w:rPr>
                    <w:sz w:val="14"/>
                    <w:szCs w:val="16"/>
                    <w:lang w:eastAsia="en-AU"/>
                  </w:rPr>
                  <w:t>Other Services</w:t>
                </w:r>
              </w:p>
            </w:tc>
          </w:tr>
          <w:tr w:rsidR="00830FDC" w:rsidRPr="00F63634" w14:paraId="11D880A0" w14:textId="77777777" w:rsidTr="00D0090A">
            <w:trPr>
              <w:trHeight w:val="225"/>
            </w:trPr>
            <w:tc>
              <w:tcPr>
                <w:tcW w:w="1568" w:type="dxa"/>
                <w:tcBorders>
                  <w:top w:val="nil"/>
                  <w:left w:val="nil"/>
                  <w:bottom w:val="single" w:sz="4" w:space="0" w:color="95B3D7"/>
                  <w:right w:val="nil"/>
                </w:tcBorders>
                <w:shd w:val="clear" w:color="auto" w:fill="22789A" w:themeFill="accent1"/>
                <w:noWrap/>
                <w:vAlign w:val="bottom"/>
              </w:tcPr>
              <w:p w14:paraId="2CB5B81E" w14:textId="77777777" w:rsidR="00830FDC" w:rsidRPr="00844EE1" w:rsidRDefault="00830FDC" w:rsidP="00D0090A">
                <w:pPr>
                  <w:pStyle w:val="Tableheader"/>
                  <w:rPr>
                    <w:sz w:val="16"/>
                    <w:szCs w:val="12"/>
                    <w:lang w:eastAsia="en-AU"/>
                  </w:rPr>
                </w:pPr>
                <w:r w:rsidRPr="007D09BB">
                  <w:rPr>
                    <w:sz w:val="12"/>
                    <w:szCs w:val="12"/>
                    <w:lang w:eastAsia="en-AU"/>
                  </w:rPr>
                  <w:t>Region (State-SA4)</w:t>
                </w:r>
              </w:p>
            </w:tc>
            <w:tc>
              <w:tcPr>
                <w:tcW w:w="661" w:type="dxa"/>
                <w:tcBorders>
                  <w:top w:val="nil"/>
                  <w:left w:val="nil"/>
                  <w:bottom w:val="single" w:sz="4" w:space="0" w:color="95B3D7"/>
                  <w:right w:val="nil"/>
                </w:tcBorders>
                <w:shd w:val="clear" w:color="auto" w:fill="22789A" w:themeFill="accent1"/>
                <w:noWrap/>
              </w:tcPr>
              <w:p w14:paraId="526534EF" w14:textId="77777777" w:rsidR="00830FDC" w:rsidRPr="00844EE1" w:rsidRDefault="00830FDC" w:rsidP="00D0090A">
                <w:pPr>
                  <w:pStyle w:val="Tableheader"/>
                  <w:jc w:val="right"/>
                  <w:rPr>
                    <w:sz w:val="16"/>
                    <w:szCs w:val="12"/>
                  </w:rPr>
                </w:pPr>
                <w:r w:rsidRPr="00844EE1">
                  <w:rPr>
                    <w:sz w:val="16"/>
                    <w:szCs w:val="12"/>
                  </w:rPr>
                  <w:t>A</w:t>
                </w:r>
              </w:p>
            </w:tc>
            <w:tc>
              <w:tcPr>
                <w:tcW w:w="662" w:type="dxa"/>
                <w:tcBorders>
                  <w:top w:val="nil"/>
                  <w:left w:val="nil"/>
                  <w:bottom w:val="single" w:sz="4" w:space="0" w:color="95B3D7"/>
                  <w:right w:val="nil"/>
                </w:tcBorders>
                <w:shd w:val="clear" w:color="auto" w:fill="22789A" w:themeFill="accent1"/>
                <w:noWrap/>
              </w:tcPr>
              <w:p w14:paraId="0FAC8D18" w14:textId="77777777" w:rsidR="00830FDC" w:rsidRPr="00844EE1" w:rsidRDefault="00830FDC" w:rsidP="00D0090A">
                <w:pPr>
                  <w:pStyle w:val="Tableheader"/>
                  <w:jc w:val="right"/>
                  <w:rPr>
                    <w:sz w:val="16"/>
                    <w:szCs w:val="12"/>
                  </w:rPr>
                </w:pPr>
                <w:r w:rsidRPr="00844EE1">
                  <w:rPr>
                    <w:sz w:val="16"/>
                    <w:szCs w:val="12"/>
                  </w:rPr>
                  <w:t>B</w:t>
                </w:r>
              </w:p>
            </w:tc>
            <w:tc>
              <w:tcPr>
                <w:tcW w:w="662" w:type="dxa"/>
                <w:tcBorders>
                  <w:top w:val="nil"/>
                  <w:left w:val="nil"/>
                  <w:bottom w:val="single" w:sz="4" w:space="0" w:color="95B3D7"/>
                  <w:right w:val="nil"/>
                </w:tcBorders>
                <w:shd w:val="clear" w:color="auto" w:fill="22789A" w:themeFill="accent1"/>
                <w:noWrap/>
              </w:tcPr>
              <w:p w14:paraId="69AD8425" w14:textId="77777777" w:rsidR="00830FDC" w:rsidRPr="00844EE1" w:rsidRDefault="00830FDC" w:rsidP="00D0090A">
                <w:pPr>
                  <w:pStyle w:val="Tableheader"/>
                  <w:jc w:val="right"/>
                  <w:rPr>
                    <w:sz w:val="16"/>
                    <w:szCs w:val="12"/>
                  </w:rPr>
                </w:pPr>
                <w:r w:rsidRPr="00844EE1">
                  <w:rPr>
                    <w:sz w:val="16"/>
                    <w:szCs w:val="12"/>
                  </w:rPr>
                  <w:t>C</w:t>
                </w:r>
              </w:p>
            </w:tc>
            <w:tc>
              <w:tcPr>
                <w:tcW w:w="662" w:type="dxa"/>
                <w:tcBorders>
                  <w:top w:val="nil"/>
                  <w:left w:val="nil"/>
                  <w:bottom w:val="single" w:sz="4" w:space="0" w:color="95B3D7"/>
                  <w:right w:val="nil"/>
                </w:tcBorders>
                <w:shd w:val="clear" w:color="auto" w:fill="22789A" w:themeFill="accent1"/>
                <w:noWrap/>
              </w:tcPr>
              <w:p w14:paraId="40B362A6" w14:textId="77777777" w:rsidR="00830FDC" w:rsidRPr="00844EE1" w:rsidRDefault="00830FDC" w:rsidP="00D0090A">
                <w:pPr>
                  <w:pStyle w:val="Tableheader"/>
                  <w:jc w:val="right"/>
                  <w:rPr>
                    <w:sz w:val="16"/>
                    <w:szCs w:val="12"/>
                  </w:rPr>
                </w:pPr>
                <w:r w:rsidRPr="00844EE1">
                  <w:rPr>
                    <w:sz w:val="16"/>
                    <w:szCs w:val="12"/>
                  </w:rPr>
                  <w:t>D</w:t>
                </w:r>
              </w:p>
            </w:tc>
            <w:tc>
              <w:tcPr>
                <w:tcW w:w="661" w:type="dxa"/>
                <w:tcBorders>
                  <w:top w:val="nil"/>
                  <w:left w:val="nil"/>
                  <w:bottom w:val="single" w:sz="4" w:space="0" w:color="95B3D7"/>
                  <w:right w:val="nil"/>
                </w:tcBorders>
                <w:shd w:val="clear" w:color="auto" w:fill="22789A" w:themeFill="accent1"/>
                <w:noWrap/>
              </w:tcPr>
              <w:p w14:paraId="3CDC40AA" w14:textId="77777777" w:rsidR="00830FDC" w:rsidRPr="00844EE1" w:rsidRDefault="00830FDC" w:rsidP="00D0090A">
                <w:pPr>
                  <w:pStyle w:val="Tableheader"/>
                  <w:jc w:val="right"/>
                  <w:rPr>
                    <w:sz w:val="16"/>
                    <w:szCs w:val="12"/>
                  </w:rPr>
                </w:pPr>
                <w:r w:rsidRPr="00844EE1">
                  <w:rPr>
                    <w:sz w:val="16"/>
                    <w:szCs w:val="12"/>
                  </w:rPr>
                  <w:t>E</w:t>
                </w:r>
              </w:p>
            </w:tc>
            <w:tc>
              <w:tcPr>
                <w:tcW w:w="662" w:type="dxa"/>
                <w:tcBorders>
                  <w:top w:val="nil"/>
                  <w:left w:val="nil"/>
                  <w:bottom w:val="single" w:sz="4" w:space="0" w:color="95B3D7"/>
                  <w:right w:val="nil"/>
                </w:tcBorders>
                <w:shd w:val="clear" w:color="auto" w:fill="22789A" w:themeFill="accent1"/>
                <w:noWrap/>
              </w:tcPr>
              <w:p w14:paraId="68A982BC" w14:textId="77777777" w:rsidR="00830FDC" w:rsidRPr="00844EE1" w:rsidRDefault="00830FDC" w:rsidP="00D0090A">
                <w:pPr>
                  <w:pStyle w:val="Tableheader"/>
                  <w:jc w:val="right"/>
                  <w:rPr>
                    <w:sz w:val="16"/>
                    <w:szCs w:val="12"/>
                  </w:rPr>
                </w:pPr>
                <w:r w:rsidRPr="00844EE1">
                  <w:rPr>
                    <w:sz w:val="16"/>
                    <w:szCs w:val="12"/>
                  </w:rPr>
                  <w:t>F</w:t>
                </w:r>
              </w:p>
            </w:tc>
            <w:tc>
              <w:tcPr>
                <w:tcW w:w="662" w:type="dxa"/>
                <w:tcBorders>
                  <w:top w:val="nil"/>
                  <w:left w:val="nil"/>
                  <w:bottom w:val="single" w:sz="4" w:space="0" w:color="95B3D7"/>
                  <w:right w:val="nil"/>
                </w:tcBorders>
                <w:shd w:val="clear" w:color="auto" w:fill="22789A" w:themeFill="accent1"/>
                <w:noWrap/>
              </w:tcPr>
              <w:p w14:paraId="4A09635A" w14:textId="77777777" w:rsidR="00830FDC" w:rsidRPr="00844EE1" w:rsidRDefault="00830FDC" w:rsidP="00D0090A">
                <w:pPr>
                  <w:pStyle w:val="Tableheader"/>
                  <w:jc w:val="right"/>
                  <w:rPr>
                    <w:sz w:val="16"/>
                    <w:szCs w:val="12"/>
                  </w:rPr>
                </w:pPr>
                <w:r w:rsidRPr="00844EE1">
                  <w:rPr>
                    <w:sz w:val="16"/>
                    <w:szCs w:val="12"/>
                  </w:rPr>
                  <w:t>G</w:t>
                </w:r>
              </w:p>
            </w:tc>
            <w:tc>
              <w:tcPr>
                <w:tcW w:w="662" w:type="dxa"/>
                <w:tcBorders>
                  <w:top w:val="nil"/>
                  <w:left w:val="nil"/>
                  <w:bottom w:val="single" w:sz="4" w:space="0" w:color="95B3D7"/>
                  <w:right w:val="nil"/>
                </w:tcBorders>
                <w:shd w:val="clear" w:color="auto" w:fill="22789A" w:themeFill="accent1"/>
                <w:noWrap/>
              </w:tcPr>
              <w:p w14:paraId="6535539A" w14:textId="77777777" w:rsidR="00830FDC" w:rsidRPr="00844EE1" w:rsidRDefault="00830FDC" w:rsidP="00D0090A">
                <w:pPr>
                  <w:pStyle w:val="Tableheader"/>
                  <w:jc w:val="right"/>
                  <w:rPr>
                    <w:sz w:val="16"/>
                    <w:szCs w:val="12"/>
                  </w:rPr>
                </w:pPr>
                <w:r w:rsidRPr="00844EE1">
                  <w:rPr>
                    <w:sz w:val="16"/>
                    <w:szCs w:val="12"/>
                  </w:rPr>
                  <w:t>H</w:t>
                </w:r>
              </w:p>
            </w:tc>
            <w:tc>
              <w:tcPr>
                <w:tcW w:w="662" w:type="dxa"/>
                <w:tcBorders>
                  <w:top w:val="nil"/>
                  <w:left w:val="nil"/>
                  <w:bottom w:val="single" w:sz="4" w:space="0" w:color="95B3D7"/>
                  <w:right w:val="nil"/>
                </w:tcBorders>
                <w:shd w:val="clear" w:color="auto" w:fill="22789A" w:themeFill="accent1"/>
                <w:noWrap/>
              </w:tcPr>
              <w:p w14:paraId="49D527F7" w14:textId="77777777" w:rsidR="00830FDC" w:rsidRPr="00844EE1" w:rsidRDefault="00830FDC" w:rsidP="00D0090A">
                <w:pPr>
                  <w:pStyle w:val="Tableheader"/>
                  <w:jc w:val="right"/>
                  <w:rPr>
                    <w:sz w:val="16"/>
                    <w:szCs w:val="12"/>
                  </w:rPr>
                </w:pPr>
                <w:r w:rsidRPr="00844EE1">
                  <w:rPr>
                    <w:sz w:val="16"/>
                    <w:szCs w:val="12"/>
                  </w:rPr>
                  <w:t>I</w:t>
                </w:r>
              </w:p>
            </w:tc>
            <w:tc>
              <w:tcPr>
                <w:tcW w:w="661" w:type="dxa"/>
                <w:tcBorders>
                  <w:top w:val="nil"/>
                  <w:left w:val="nil"/>
                  <w:bottom w:val="single" w:sz="4" w:space="0" w:color="95B3D7"/>
                  <w:right w:val="nil"/>
                </w:tcBorders>
                <w:shd w:val="clear" w:color="auto" w:fill="22789A" w:themeFill="accent1"/>
                <w:noWrap/>
              </w:tcPr>
              <w:p w14:paraId="116B1396" w14:textId="77777777" w:rsidR="00830FDC" w:rsidRPr="00844EE1" w:rsidRDefault="00830FDC" w:rsidP="00D0090A">
                <w:pPr>
                  <w:pStyle w:val="Tableheader"/>
                  <w:jc w:val="right"/>
                  <w:rPr>
                    <w:sz w:val="16"/>
                    <w:szCs w:val="12"/>
                  </w:rPr>
                </w:pPr>
                <w:r w:rsidRPr="00844EE1">
                  <w:rPr>
                    <w:sz w:val="16"/>
                    <w:szCs w:val="12"/>
                  </w:rPr>
                  <w:t>J</w:t>
                </w:r>
              </w:p>
            </w:tc>
            <w:tc>
              <w:tcPr>
                <w:tcW w:w="662" w:type="dxa"/>
                <w:tcBorders>
                  <w:top w:val="nil"/>
                  <w:left w:val="nil"/>
                  <w:bottom w:val="single" w:sz="4" w:space="0" w:color="95B3D7"/>
                  <w:right w:val="nil"/>
                </w:tcBorders>
                <w:shd w:val="clear" w:color="auto" w:fill="22789A" w:themeFill="accent1"/>
                <w:noWrap/>
              </w:tcPr>
              <w:p w14:paraId="53DB27B3" w14:textId="77777777" w:rsidR="00830FDC" w:rsidRPr="00844EE1" w:rsidRDefault="00830FDC" w:rsidP="00D0090A">
                <w:pPr>
                  <w:pStyle w:val="Tableheader"/>
                  <w:jc w:val="right"/>
                  <w:rPr>
                    <w:sz w:val="16"/>
                    <w:szCs w:val="12"/>
                  </w:rPr>
                </w:pPr>
                <w:r w:rsidRPr="00844EE1">
                  <w:rPr>
                    <w:sz w:val="16"/>
                    <w:szCs w:val="12"/>
                  </w:rPr>
                  <w:t>K</w:t>
                </w:r>
              </w:p>
            </w:tc>
            <w:tc>
              <w:tcPr>
                <w:tcW w:w="662" w:type="dxa"/>
                <w:tcBorders>
                  <w:top w:val="nil"/>
                  <w:left w:val="nil"/>
                  <w:bottom w:val="single" w:sz="4" w:space="0" w:color="95B3D7"/>
                  <w:right w:val="nil"/>
                </w:tcBorders>
                <w:shd w:val="clear" w:color="auto" w:fill="22789A" w:themeFill="accent1"/>
                <w:noWrap/>
              </w:tcPr>
              <w:p w14:paraId="198EDF70" w14:textId="77777777" w:rsidR="00830FDC" w:rsidRPr="00844EE1" w:rsidRDefault="00830FDC" w:rsidP="00D0090A">
                <w:pPr>
                  <w:pStyle w:val="Tableheader"/>
                  <w:jc w:val="right"/>
                  <w:rPr>
                    <w:sz w:val="16"/>
                    <w:szCs w:val="12"/>
                  </w:rPr>
                </w:pPr>
                <w:r w:rsidRPr="00844EE1">
                  <w:rPr>
                    <w:sz w:val="16"/>
                    <w:szCs w:val="12"/>
                  </w:rPr>
                  <w:t>L</w:t>
                </w:r>
              </w:p>
            </w:tc>
            <w:tc>
              <w:tcPr>
                <w:tcW w:w="662" w:type="dxa"/>
                <w:tcBorders>
                  <w:top w:val="nil"/>
                  <w:left w:val="nil"/>
                  <w:bottom w:val="single" w:sz="4" w:space="0" w:color="95B3D7"/>
                  <w:right w:val="nil"/>
                </w:tcBorders>
                <w:shd w:val="clear" w:color="auto" w:fill="22789A" w:themeFill="accent1"/>
                <w:noWrap/>
              </w:tcPr>
              <w:p w14:paraId="191E8443" w14:textId="77777777" w:rsidR="00830FDC" w:rsidRPr="00844EE1" w:rsidRDefault="00830FDC" w:rsidP="00D0090A">
                <w:pPr>
                  <w:pStyle w:val="Tableheader"/>
                  <w:jc w:val="right"/>
                  <w:rPr>
                    <w:sz w:val="16"/>
                    <w:szCs w:val="12"/>
                  </w:rPr>
                </w:pPr>
                <w:r w:rsidRPr="00844EE1">
                  <w:rPr>
                    <w:sz w:val="16"/>
                    <w:szCs w:val="12"/>
                  </w:rPr>
                  <w:t>M</w:t>
                </w:r>
              </w:p>
            </w:tc>
            <w:tc>
              <w:tcPr>
                <w:tcW w:w="662" w:type="dxa"/>
                <w:tcBorders>
                  <w:top w:val="nil"/>
                  <w:left w:val="nil"/>
                  <w:bottom w:val="single" w:sz="4" w:space="0" w:color="95B3D7"/>
                  <w:right w:val="nil"/>
                </w:tcBorders>
                <w:shd w:val="clear" w:color="auto" w:fill="22789A" w:themeFill="accent1"/>
                <w:noWrap/>
              </w:tcPr>
              <w:p w14:paraId="42C4B723" w14:textId="77777777" w:rsidR="00830FDC" w:rsidRPr="00844EE1" w:rsidRDefault="00830FDC" w:rsidP="00D0090A">
                <w:pPr>
                  <w:pStyle w:val="Tableheader"/>
                  <w:jc w:val="right"/>
                  <w:rPr>
                    <w:sz w:val="16"/>
                    <w:szCs w:val="12"/>
                  </w:rPr>
                </w:pPr>
                <w:r w:rsidRPr="00844EE1">
                  <w:rPr>
                    <w:sz w:val="16"/>
                    <w:szCs w:val="12"/>
                  </w:rPr>
                  <w:t>N</w:t>
                </w:r>
              </w:p>
            </w:tc>
            <w:tc>
              <w:tcPr>
                <w:tcW w:w="661" w:type="dxa"/>
                <w:tcBorders>
                  <w:top w:val="nil"/>
                  <w:left w:val="nil"/>
                  <w:bottom w:val="single" w:sz="4" w:space="0" w:color="95B3D7"/>
                  <w:right w:val="nil"/>
                </w:tcBorders>
                <w:shd w:val="clear" w:color="auto" w:fill="22789A" w:themeFill="accent1"/>
                <w:noWrap/>
              </w:tcPr>
              <w:p w14:paraId="0FB2876B" w14:textId="77777777" w:rsidR="00830FDC" w:rsidRPr="00844EE1" w:rsidRDefault="00830FDC" w:rsidP="00D0090A">
                <w:pPr>
                  <w:pStyle w:val="Tableheader"/>
                  <w:jc w:val="right"/>
                  <w:rPr>
                    <w:sz w:val="16"/>
                    <w:szCs w:val="12"/>
                  </w:rPr>
                </w:pPr>
                <w:r w:rsidRPr="00844EE1">
                  <w:rPr>
                    <w:sz w:val="16"/>
                    <w:szCs w:val="12"/>
                  </w:rPr>
                  <w:t>O</w:t>
                </w:r>
              </w:p>
            </w:tc>
            <w:tc>
              <w:tcPr>
                <w:tcW w:w="662" w:type="dxa"/>
                <w:tcBorders>
                  <w:top w:val="nil"/>
                  <w:left w:val="nil"/>
                  <w:bottom w:val="single" w:sz="4" w:space="0" w:color="95B3D7"/>
                  <w:right w:val="nil"/>
                </w:tcBorders>
                <w:shd w:val="clear" w:color="auto" w:fill="22789A" w:themeFill="accent1"/>
                <w:noWrap/>
              </w:tcPr>
              <w:p w14:paraId="4F01D535" w14:textId="77777777" w:rsidR="00830FDC" w:rsidRPr="00844EE1" w:rsidRDefault="00830FDC" w:rsidP="00D0090A">
                <w:pPr>
                  <w:pStyle w:val="Tableheader"/>
                  <w:jc w:val="right"/>
                  <w:rPr>
                    <w:sz w:val="16"/>
                    <w:szCs w:val="12"/>
                  </w:rPr>
                </w:pPr>
                <w:r w:rsidRPr="00844EE1">
                  <w:rPr>
                    <w:sz w:val="16"/>
                    <w:szCs w:val="12"/>
                  </w:rPr>
                  <w:t>P</w:t>
                </w:r>
              </w:p>
            </w:tc>
            <w:tc>
              <w:tcPr>
                <w:tcW w:w="662" w:type="dxa"/>
                <w:tcBorders>
                  <w:top w:val="nil"/>
                  <w:left w:val="nil"/>
                  <w:bottom w:val="single" w:sz="4" w:space="0" w:color="95B3D7"/>
                  <w:right w:val="nil"/>
                </w:tcBorders>
                <w:shd w:val="clear" w:color="auto" w:fill="22789A" w:themeFill="accent1"/>
                <w:noWrap/>
              </w:tcPr>
              <w:p w14:paraId="145D3B15" w14:textId="77777777" w:rsidR="00830FDC" w:rsidRPr="00844EE1" w:rsidRDefault="00830FDC" w:rsidP="00D0090A">
                <w:pPr>
                  <w:pStyle w:val="Tableheader"/>
                  <w:jc w:val="right"/>
                  <w:rPr>
                    <w:sz w:val="16"/>
                    <w:szCs w:val="12"/>
                  </w:rPr>
                </w:pPr>
                <w:r w:rsidRPr="00844EE1">
                  <w:rPr>
                    <w:sz w:val="16"/>
                    <w:szCs w:val="12"/>
                  </w:rPr>
                  <w:t>Q</w:t>
                </w:r>
              </w:p>
            </w:tc>
            <w:tc>
              <w:tcPr>
                <w:tcW w:w="662" w:type="dxa"/>
                <w:tcBorders>
                  <w:top w:val="nil"/>
                  <w:left w:val="nil"/>
                  <w:bottom w:val="single" w:sz="4" w:space="0" w:color="95B3D7"/>
                  <w:right w:val="nil"/>
                </w:tcBorders>
                <w:shd w:val="clear" w:color="auto" w:fill="22789A" w:themeFill="accent1"/>
                <w:noWrap/>
              </w:tcPr>
              <w:p w14:paraId="57B04C86" w14:textId="77777777" w:rsidR="00830FDC" w:rsidRPr="00844EE1" w:rsidRDefault="00830FDC" w:rsidP="00D0090A">
                <w:pPr>
                  <w:pStyle w:val="Tableheader"/>
                  <w:jc w:val="right"/>
                  <w:rPr>
                    <w:sz w:val="16"/>
                    <w:szCs w:val="12"/>
                  </w:rPr>
                </w:pPr>
                <w:r w:rsidRPr="00844EE1">
                  <w:rPr>
                    <w:sz w:val="16"/>
                    <w:szCs w:val="12"/>
                  </w:rPr>
                  <w:t>R</w:t>
                </w:r>
              </w:p>
            </w:tc>
            <w:tc>
              <w:tcPr>
                <w:tcW w:w="662" w:type="dxa"/>
                <w:tcBorders>
                  <w:top w:val="nil"/>
                  <w:left w:val="nil"/>
                  <w:bottom w:val="single" w:sz="4" w:space="0" w:color="95B3D7"/>
                  <w:right w:val="nil"/>
                </w:tcBorders>
                <w:shd w:val="clear" w:color="auto" w:fill="22789A" w:themeFill="accent1"/>
                <w:noWrap/>
              </w:tcPr>
              <w:p w14:paraId="21749DDA" w14:textId="77777777" w:rsidR="00830FDC" w:rsidRPr="00844EE1" w:rsidRDefault="00830FDC" w:rsidP="00D0090A">
                <w:pPr>
                  <w:pStyle w:val="Tableheader"/>
                  <w:jc w:val="right"/>
                  <w:rPr>
                    <w:sz w:val="16"/>
                    <w:szCs w:val="12"/>
                  </w:rPr>
                </w:pPr>
                <w:r w:rsidRPr="00844EE1">
                  <w:rPr>
                    <w:sz w:val="16"/>
                    <w:szCs w:val="12"/>
                  </w:rPr>
                  <w:t>S</w:t>
                </w:r>
              </w:p>
            </w:tc>
          </w:tr>
          <w:tr w:rsidR="00830FDC" w:rsidRPr="00F63634" w14:paraId="6A67B143"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39CB3817"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Special Purpose Codes SA4 (WA)</w:t>
                </w:r>
              </w:p>
            </w:tc>
            <w:tc>
              <w:tcPr>
                <w:tcW w:w="661" w:type="dxa"/>
                <w:tcBorders>
                  <w:top w:val="nil"/>
                  <w:left w:val="nil"/>
                  <w:bottom w:val="nil"/>
                  <w:right w:val="nil"/>
                </w:tcBorders>
                <w:shd w:val="clear" w:color="auto" w:fill="CAE7F3" w:themeFill="accent1" w:themeFillTint="33"/>
                <w:noWrap/>
                <w:vAlign w:val="bottom"/>
                <w:hideMark/>
              </w:tcPr>
              <w:p w14:paraId="4433AC8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26.2</w:t>
                </w:r>
              </w:p>
            </w:tc>
            <w:tc>
              <w:tcPr>
                <w:tcW w:w="662" w:type="dxa"/>
                <w:tcBorders>
                  <w:top w:val="nil"/>
                  <w:left w:val="nil"/>
                  <w:bottom w:val="nil"/>
                  <w:right w:val="nil"/>
                </w:tcBorders>
                <w:shd w:val="clear" w:color="auto" w:fill="CAE7F3" w:themeFill="accent1" w:themeFillTint="33"/>
                <w:noWrap/>
                <w:vAlign w:val="bottom"/>
                <w:hideMark/>
              </w:tcPr>
              <w:p w14:paraId="0D6DF57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w:t>
                </w:r>
              </w:p>
            </w:tc>
            <w:tc>
              <w:tcPr>
                <w:tcW w:w="662" w:type="dxa"/>
                <w:tcBorders>
                  <w:top w:val="nil"/>
                  <w:left w:val="nil"/>
                  <w:bottom w:val="nil"/>
                  <w:right w:val="nil"/>
                </w:tcBorders>
                <w:shd w:val="clear" w:color="auto" w:fill="CAE7F3" w:themeFill="accent1" w:themeFillTint="33"/>
                <w:noWrap/>
                <w:vAlign w:val="bottom"/>
                <w:hideMark/>
              </w:tcPr>
              <w:p w14:paraId="4E6F4BF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w:t>
                </w:r>
              </w:p>
            </w:tc>
            <w:tc>
              <w:tcPr>
                <w:tcW w:w="662" w:type="dxa"/>
                <w:tcBorders>
                  <w:top w:val="nil"/>
                  <w:left w:val="nil"/>
                  <w:bottom w:val="nil"/>
                  <w:right w:val="nil"/>
                </w:tcBorders>
                <w:shd w:val="clear" w:color="auto" w:fill="CAE7F3" w:themeFill="accent1" w:themeFillTint="33"/>
                <w:noWrap/>
                <w:vAlign w:val="bottom"/>
                <w:hideMark/>
              </w:tcPr>
              <w:p w14:paraId="1EC3471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w:t>
                </w:r>
              </w:p>
            </w:tc>
            <w:tc>
              <w:tcPr>
                <w:tcW w:w="661" w:type="dxa"/>
                <w:tcBorders>
                  <w:top w:val="nil"/>
                  <w:left w:val="nil"/>
                  <w:bottom w:val="nil"/>
                  <w:right w:val="nil"/>
                </w:tcBorders>
                <w:shd w:val="clear" w:color="auto" w:fill="CAE7F3" w:themeFill="accent1" w:themeFillTint="33"/>
                <w:noWrap/>
                <w:vAlign w:val="bottom"/>
                <w:hideMark/>
              </w:tcPr>
              <w:p w14:paraId="448ADB7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25.2</w:t>
                </w:r>
              </w:p>
            </w:tc>
            <w:tc>
              <w:tcPr>
                <w:tcW w:w="662" w:type="dxa"/>
                <w:tcBorders>
                  <w:top w:val="nil"/>
                  <w:left w:val="nil"/>
                  <w:bottom w:val="nil"/>
                  <w:right w:val="nil"/>
                </w:tcBorders>
                <w:shd w:val="clear" w:color="auto" w:fill="CAE7F3" w:themeFill="accent1" w:themeFillTint="33"/>
                <w:noWrap/>
                <w:vAlign w:val="bottom"/>
                <w:hideMark/>
              </w:tcPr>
              <w:p w14:paraId="1E12B1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w:t>
                </w:r>
              </w:p>
            </w:tc>
            <w:tc>
              <w:tcPr>
                <w:tcW w:w="662" w:type="dxa"/>
                <w:tcBorders>
                  <w:top w:val="nil"/>
                  <w:left w:val="nil"/>
                  <w:bottom w:val="nil"/>
                  <w:right w:val="nil"/>
                </w:tcBorders>
                <w:shd w:val="clear" w:color="auto" w:fill="CAE7F3" w:themeFill="accent1" w:themeFillTint="33"/>
                <w:noWrap/>
                <w:vAlign w:val="bottom"/>
                <w:hideMark/>
              </w:tcPr>
              <w:p w14:paraId="4E40024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11.5</w:t>
                </w:r>
              </w:p>
            </w:tc>
            <w:tc>
              <w:tcPr>
                <w:tcW w:w="662" w:type="dxa"/>
                <w:tcBorders>
                  <w:top w:val="nil"/>
                  <w:left w:val="nil"/>
                  <w:bottom w:val="nil"/>
                  <w:right w:val="nil"/>
                </w:tcBorders>
                <w:shd w:val="clear" w:color="auto" w:fill="CAE7F3" w:themeFill="accent1" w:themeFillTint="33"/>
                <w:noWrap/>
                <w:vAlign w:val="bottom"/>
                <w:hideMark/>
              </w:tcPr>
              <w:p w14:paraId="08A40DF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6.8</w:t>
                </w:r>
              </w:p>
            </w:tc>
            <w:tc>
              <w:tcPr>
                <w:tcW w:w="662" w:type="dxa"/>
                <w:tcBorders>
                  <w:top w:val="nil"/>
                  <w:left w:val="nil"/>
                  <w:bottom w:val="nil"/>
                  <w:right w:val="nil"/>
                </w:tcBorders>
                <w:shd w:val="clear" w:color="auto" w:fill="CAE7F3" w:themeFill="accent1" w:themeFillTint="33"/>
                <w:noWrap/>
                <w:vAlign w:val="bottom"/>
                <w:hideMark/>
              </w:tcPr>
              <w:p w14:paraId="18B8DB6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w:t>
                </w:r>
              </w:p>
            </w:tc>
            <w:tc>
              <w:tcPr>
                <w:tcW w:w="661" w:type="dxa"/>
                <w:tcBorders>
                  <w:top w:val="nil"/>
                  <w:left w:val="nil"/>
                  <w:bottom w:val="nil"/>
                  <w:right w:val="nil"/>
                </w:tcBorders>
                <w:shd w:val="clear" w:color="auto" w:fill="CAE7F3" w:themeFill="accent1" w:themeFillTint="33"/>
                <w:noWrap/>
                <w:vAlign w:val="bottom"/>
                <w:hideMark/>
              </w:tcPr>
              <w:p w14:paraId="06C6D9D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top w:val="nil"/>
                  <w:left w:val="nil"/>
                  <w:bottom w:val="nil"/>
                  <w:right w:val="nil"/>
                </w:tcBorders>
                <w:shd w:val="clear" w:color="auto" w:fill="CAE7F3" w:themeFill="accent1" w:themeFillTint="33"/>
                <w:noWrap/>
                <w:vAlign w:val="bottom"/>
                <w:hideMark/>
              </w:tcPr>
              <w:p w14:paraId="15A0B10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w:t>
                </w:r>
              </w:p>
            </w:tc>
            <w:tc>
              <w:tcPr>
                <w:tcW w:w="662" w:type="dxa"/>
                <w:tcBorders>
                  <w:top w:val="nil"/>
                  <w:left w:val="nil"/>
                  <w:bottom w:val="nil"/>
                  <w:right w:val="nil"/>
                </w:tcBorders>
                <w:shd w:val="clear" w:color="auto" w:fill="CAE7F3" w:themeFill="accent1" w:themeFillTint="33"/>
                <w:noWrap/>
                <w:vAlign w:val="bottom"/>
                <w:hideMark/>
              </w:tcPr>
              <w:p w14:paraId="50B426C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12.7</w:t>
                </w:r>
              </w:p>
            </w:tc>
            <w:tc>
              <w:tcPr>
                <w:tcW w:w="662" w:type="dxa"/>
                <w:tcBorders>
                  <w:top w:val="nil"/>
                  <w:left w:val="nil"/>
                  <w:bottom w:val="nil"/>
                  <w:right w:val="nil"/>
                </w:tcBorders>
                <w:shd w:val="clear" w:color="auto" w:fill="CAE7F3" w:themeFill="accent1" w:themeFillTint="33"/>
                <w:noWrap/>
                <w:vAlign w:val="bottom"/>
                <w:hideMark/>
              </w:tcPr>
              <w:p w14:paraId="2A411E0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18.8</w:t>
                </w:r>
              </w:p>
            </w:tc>
            <w:tc>
              <w:tcPr>
                <w:tcW w:w="662" w:type="dxa"/>
                <w:tcBorders>
                  <w:top w:val="nil"/>
                  <w:left w:val="nil"/>
                  <w:bottom w:val="nil"/>
                  <w:right w:val="nil"/>
                </w:tcBorders>
                <w:shd w:val="clear" w:color="auto" w:fill="CAE7F3" w:themeFill="accent1" w:themeFillTint="33"/>
                <w:noWrap/>
                <w:vAlign w:val="bottom"/>
                <w:hideMark/>
              </w:tcPr>
              <w:p w14:paraId="1F28C13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8.3</w:t>
                </w:r>
              </w:p>
            </w:tc>
            <w:tc>
              <w:tcPr>
                <w:tcW w:w="661" w:type="dxa"/>
                <w:tcBorders>
                  <w:top w:val="nil"/>
                  <w:left w:val="nil"/>
                  <w:bottom w:val="nil"/>
                  <w:right w:val="nil"/>
                </w:tcBorders>
                <w:shd w:val="clear" w:color="auto" w:fill="CAE7F3" w:themeFill="accent1" w:themeFillTint="33"/>
                <w:noWrap/>
                <w:vAlign w:val="bottom"/>
                <w:hideMark/>
              </w:tcPr>
              <w:p w14:paraId="79882A7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top w:val="nil"/>
                  <w:left w:val="nil"/>
                  <w:bottom w:val="nil"/>
                  <w:right w:val="nil"/>
                </w:tcBorders>
                <w:shd w:val="clear" w:color="auto" w:fill="CAE7F3" w:themeFill="accent1" w:themeFillTint="33"/>
                <w:noWrap/>
                <w:vAlign w:val="bottom"/>
                <w:hideMark/>
              </w:tcPr>
              <w:p w14:paraId="77D159B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w:t>
                </w:r>
              </w:p>
            </w:tc>
            <w:tc>
              <w:tcPr>
                <w:tcW w:w="662" w:type="dxa"/>
                <w:tcBorders>
                  <w:top w:val="nil"/>
                  <w:left w:val="nil"/>
                  <w:bottom w:val="nil"/>
                  <w:right w:val="nil"/>
                </w:tcBorders>
                <w:shd w:val="clear" w:color="auto" w:fill="CAE7F3" w:themeFill="accent1" w:themeFillTint="33"/>
                <w:noWrap/>
                <w:vAlign w:val="bottom"/>
                <w:hideMark/>
              </w:tcPr>
              <w:p w14:paraId="356B968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5.0</w:t>
                </w:r>
              </w:p>
            </w:tc>
            <w:tc>
              <w:tcPr>
                <w:tcW w:w="662" w:type="dxa"/>
                <w:tcBorders>
                  <w:top w:val="nil"/>
                  <w:left w:val="nil"/>
                  <w:bottom w:val="nil"/>
                  <w:right w:val="nil"/>
                </w:tcBorders>
                <w:shd w:val="clear" w:color="auto" w:fill="CAE7F3" w:themeFill="accent1" w:themeFillTint="33"/>
                <w:noWrap/>
                <w:vAlign w:val="bottom"/>
                <w:hideMark/>
              </w:tcPr>
              <w:p w14:paraId="7B7A72C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nil"/>
                  <w:right w:val="nil"/>
                </w:tcBorders>
                <w:shd w:val="clear" w:color="auto" w:fill="CAE7F3" w:themeFill="accent1" w:themeFillTint="33"/>
                <w:noWrap/>
                <w:vAlign w:val="bottom"/>
                <w:hideMark/>
              </w:tcPr>
              <w:p w14:paraId="2393712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7.8</w:t>
                </w:r>
              </w:p>
            </w:tc>
          </w:tr>
          <w:tr w:rsidR="00830FDC" w:rsidRPr="00F63634" w14:paraId="78653FBD" w14:textId="77777777" w:rsidTr="00D0090A">
            <w:trPr>
              <w:trHeight w:val="225"/>
            </w:trPr>
            <w:tc>
              <w:tcPr>
                <w:tcW w:w="1568" w:type="dxa"/>
                <w:tcBorders>
                  <w:top w:val="nil"/>
                  <w:left w:val="nil"/>
                  <w:bottom w:val="nil"/>
                  <w:right w:val="nil"/>
                </w:tcBorders>
                <w:shd w:val="clear" w:color="auto" w:fill="CAE7F3" w:themeFill="accent1" w:themeFillTint="33"/>
                <w:noWrap/>
                <w:vAlign w:val="bottom"/>
                <w:hideMark/>
              </w:tcPr>
              <w:p w14:paraId="270852F9"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Western Australia</w:t>
                </w:r>
                <w:r>
                  <w:rPr>
                    <w:color w:val="595A5B" w:themeColor="text1"/>
                    <w:sz w:val="12"/>
                    <w:szCs w:val="16"/>
                    <w:lang w:eastAsia="en-AU"/>
                  </w:rPr>
                  <w:t xml:space="preserve"> — </w:t>
                </w:r>
                <w:r w:rsidRPr="009820E8">
                  <w:rPr>
                    <w:color w:val="595A5B" w:themeColor="text1"/>
                    <w:sz w:val="12"/>
                    <w:szCs w:val="16"/>
                    <w:lang w:eastAsia="en-AU"/>
                  </w:rPr>
                  <w:t>Outback</w:t>
                </w:r>
              </w:p>
            </w:tc>
            <w:tc>
              <w:tcPr>
                <w:tcW w:w="661" w:type="dxa"/>
                <w:tcBorders>
                  <w:top w:val="nil"/>
                  <w:left w:val="nil"/>
                  <w:bottom w:val="nil"/>
                  <w:right w:val="nil"/>
                </w:tcBorders>
                <w:shd w:val="clear" w:color="auto" w:fill="CAE7F3" w:themeFill="accent1" w:themeFillTint="33"/>
                <w:noWrap/>
                <w:vAlign w:val="bottom"/>
                <w:hideMark/>
              </w:tcPr>
              <w:p w14:paraId="0563E9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258.8</w:t>
                </w:r>
              </w:p>
            </w:tc>
            <w:tc>
              <w:tcPr>
                <w:tcW w:w="662" w:type="dxa"/>
                <w:tcBorders>
                  <w:top w:val="nil"/>
                  <w:left w:val="nil"/>
                  <w:bottom w:val="nil"/>
                  <w:right w:val="nil"/>
                </w:tcBorders>
                <w:shd w:val="clear" w:color="auto" w:fill="CAE7F3" w:themeFill="accent1" w:themeFillTint="33"/>
                <w:noWrap/>
                <w:vAlign w:val="bottom"/>
                <w:hideMark/>
              </w:tcPr>
              <w:p w14:paraId="64F0ACA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35.7</w:t>
                </w:r>
              </w:p>
            </w:tc>
            <w:tc>
              <w:tcPr>
                <w:tcW w:w="662" w:type="dxa"/>
                <w:tcBorders>
                  <w:top w:val="nil"/>
                  <w:left w:val="nil"/>
                  <w:bottom w:val="nil"/>
                  <w:right w:val="nil"/>
                </w:tcBorders>
                <w:shd w:val="clear" w:color="auto" w:fill="CAE7F3" w:themeFill="accent1" w:themeFillTint="33"/>
                <w:noWrap/>
                <w:vAlign w:val="bottom"/>
                <w:hideMark/>
              </w:tcPr>
              <w:p w14:paraId="001D6C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62.8</w:t>
                </w:r>
              </w:p>
            </w:tc>
            <w:tc>
              <w:tcPr>
                <w:tcW w:w="662" w:type="dxa"/>
                <w:tcBorders>
                  <w:top w:val="nil"/>
                  <w:left w:val="nil"/>
                  <w:bottom w:val="nil"/>
                  <w:right w:val="nil"/>
                </w:tcBorders>
                <w:shd w:val="clear" w:color="auto" w:fill="CAE7F3" w:themeFill="accent1" w:themeFillTint="33"/>
                <w:noWrap/>
                <w:vAlign w:val="bottom"/>
                <w:hideMark/>
              </w:tcPr>
              <w:p w14:paraId="03E962A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10.2</w:t>
                </w:r>
              </w:p>
            </w:tc>
            <w:tc>
              <w:tcPr>
                <w:tcW w:w="661" w:type="dxa"/>
                <w:tcBorders>
                  <w:top w:val="nil"/>
                  <w:left w:val="nil"/>
                  <w:bottom w:val="nil"/>
                  <w:right w:val="nil"/>
                </w:tcBorders>
                <w:shd w:val="clear" w:color="auto" w:fill="CAE7F3" w:themeFill="accent1" w:themeFillTint="33"/>
                <w:noWrap/>
                <w:vAlign w:val="bottom"/>
                <w:hideMark/>
              </w:tcPr>
              <w:p w14:paraId="2B7B236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469.2</w:t>
                </w:r>
              </w:p>
            </w:tc>
            <w:tc>
              <w:tcPr>
                <w:tcW w:w="662" w:type="dxa"/>
                <w:tcBorders>
                  <w:top w:val="nil"/>
                  <w:left w:val="nil"/>
                  <w:bottom w:val="nil"/>
                  <w:right w:val="nil"/>
                </w:tcBorders>
                <w:shd w:val="clear" w:color="auto" w:fill="CAE7F3" w:themeFill="accent1" w:themeFillTint="33"/>
                <w:noWrap/>
                <w:vAlign w:val="bottom"/>
                <w:hideMark/>
              </w:tcPr>
              <w:p w14:paraId="2E09C9C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30.2</w:t>
                </w:r>
              </w:p>
            </w:tc>
            <w:tc>
              <w:tcPr>
                <w:tcW w:w="662" w:type="dxa"/>
                <w:tcBorders>
                  <w:top w:val="nil"/>
                  <w:left w:val="nil"/>
                  <w:bottom w:val="nil"/>
                  <w:right w:val="nil"/>
                </w:tcBorders>
                <w:shd w:val="clear" w:color="auto" w:fill="CAE7F3" w:themeFill="accent1" w:themeFillTint="33"/>
                <w:noWrap/>
                <w:vAlign w:val="bottom"/>
                <w:hideMark/>
              </w:tcPr>
              <w:p w14:paraId="488E69B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122.0</w:t>
                </w:r>
              </w:p>
            </w:tc>
            <w:tc>
              <w:tcPr>
                <w:tcW w:w="662" w:type="dxa"/>
                <w:tcBorders>
                  <w:top w:val="nil"/>
                  <w:left w:val="nil"/>
                  <w:bottom w:val="nil"/>
                  <w:right w:val="nil"/>
                </w:tcBorders>
                <w:shd w:val="clear" w:color="auto" w:fill="CAE7F3" w:themeFill="accent1" w:themeFillTint="33"/>
                <w:noWrap/>
                <w:vAlign w:val="bottom"/>
                <w:hideMark/>
              </w:tcPr>
              <w:p w14:paraId="1A796257"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100.5</w:t>
                </w:r>
              </w:p>
            </w:tc>
            <w:tc>
              <w:tcPr>
                <w:tcW w:w="662" w:type="dxa"/>
                <w:tcBorders>
                  <w:top w:val="nil"/>
                  <w:left w:val="nil"/>
                  <w:bottom w:val="nil"/>
                  <w:right w:val="nil"/>
                </w:tcBorders>
                <w:shd w:val="clear" w:color="auto" w:fill="CAE7F3" w:themeFill="accent1" w:themeFillTint="33"/>
                <w:noWrap/>
                <w:vAlign w:val="bottom"/>
                <w:hideMark/>
              </w:tcPr>
              <w:p w14:paraId="3DBE53D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158.5</w:t>
                </w:r>
              </w:p>
            </w:tc>
            <w:tc>
              <w:tcPr>
                <w:tcW w:w="661" w:type="dxa"/>
                <w:tcBorders>
                  <w:top w:val="nil"/>
                  <w:left w:val="nil"/>
                  <w:bottom w:val="nil"/>
                  <w:right w:val="nil"/>
                </w:tcBorders>
                <w:shd w:val="clear" w:color="auto" w:fill="CAE7F3" w:themeFill="accent1" w:themeFillTint="33"/>
                <w:noWrap/>
                <w:vAlign w:val="bottom"/>
                <w:hideMark/>
              </w:tcPr>
              <w:p w14:paraId="49A3F7D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2" w:type="dxa"/>
                <w:tcBorders>
                  <w:top w:val="nil"/>
                  <w:left w:val="nil"/>
                  <w:bottom w:val="nil"/>
                  <w:right w:val="nil"/>
                </w:tcBorders>
                <w:shd w:val="clear" w:color="auto" w:fill="CAE7F3" w:themeFill="accent1" w:themeFillTint="33"/>
                <w:noWrap/>
                <w:vAlign w:val="bottom"/>
                <w:hideMark/>
              </w:tcPr>
              <w:p w14:paraId="3268A41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117.8</w:t>
                </w:r>
              </w:p>
            </w:tc>
            <w:tc>
              <w:tcPr>
                <w:tcW w:w="662" w:type="dxa"/>
                <w:tcBorders>
                  <w:top w:val="nil"/>
                  <w:left w:val="nil"/>
                  <w:bottom w:val="nil"/>
                  <w:right w:val="nil"/>
                </w:tcBorders>
                <w:shd w:val="clear" w:color="auto" w:fill="CAE7F3" w:themeFill="accent1" w:themeFillTint="33"/>
                <w:noWrap/>
                <w:vAlign w:val="bottom"/>
                <w:hideMark/>
              </w:tcPr>
              <w:p w14:paraId="736ADE4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168.0</w:t>
                </w:r>
              </w:p>
            </w:tc>
            <w:tc>
              <w:tcPr>
                <w:tcW w:w="662" w:type="dxa"/>
                <w:tcBorders>
                  <w:top w:val="nil"/>
                  <w:left w:val="nil"/>
                  <w:bottom w:val="nil"/>
                  <w:right w:val="nil"/>
                </w:tcBorders>
                <w:shd w:val="clear" w:color="auto" w:fill="CAE7F3" w:themeFill="accent1" w:themeFillTint="33"/>
                <w:noWrap/>
                <w:vAlign w:val="bottom"/>
                <w:hideMark/>
              </w:tcPr>
              <w:p w14:paraId="65DEACF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123.3</w:t>
                </w:r>
              </w:p>
            </w:tc>
            <w:tc>
              <w:tcPr>
                <w:tcW w:w="662" w:type="dxa"/>
                <w:tcBorders>
                  <w:top w:val="nil"/>
                  <w:left w:val="nil"/>
                  <w:bottom w:val="nil"/>
                  <w:right w:val="nil"/>
                </w:tcBorders>
                <w:shd w:val="clear" w:color="auto" w:fill="CAE7F3" w:themeFill="accent1" w:themeFillTint="33"/>
                <w:noWrap/>
                <w:vAlign w:val="bottom"/>
                <w:hideMark/>
              </w:tcPr>
              <w:p w14:paraId="2A9EC27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114.3</w:t>
                </w:r>
              </w:p>
            </w:tc>
            <w:tc>
              <w:tcPr>
                <w:tcW w:w="661" w:type="dxa"/>
                <w:tcBorders>
                  <w:top w:val="nil"/>
                  <w:left w:val="nil"/>
                  <w:bottom w:val="nil"/>
                  <w:right w:val="nil"/>
                </w:tcBorders>
                <w:shd w:val="clear" w:color="auto" w:fill="CAE7F3" w:themeFill="accent1" w:themeFillTint="33"/>
                <w:noWrap/>
                <w:vAlign w:val="bottom"/>
                <w:hideMark/>
              </w:tcPr>
              <w:p w14:paraId="279752A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11.8</w:t>
                </w:r>
              </w:p>
            </w:tc>
            <w:tc>
              <w:tcPr>
                <w:tcW w:w="662" w:type="dxa"/>
                <w:tcBorders>
                  <w:top w:val="nil"/>
                  <w:left w:val="nil"/>
                  <w:bottom w:val="nil"/>
                  <w:right w:val="nil"/>
                </w:tcBorders>
                <w:shd w:val="clear" w:color="auto" w:fill="CAE7F3" w:themeFill="accent1" w:themeFillTint="33"/>
                <w:noWrap/>
                <w:vAlign w:val="bottom"/>
                <w:hideMark/>
              </w:tcPr>
              <w:p w14:paraId="734AC1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29.7</w:t>
                </w:r>
              </w:p>
            </w:tc>
            <w:tc>
              <w:tcPr>
                <w:tcW w:w="662" w:type="dxa"/>
                <w:tcBorders>
                  <w:top w:val="nil"/>
                  <w:left w:val="nil"/>
                  <w:bottom w:val="nil"/>
                  <w:right w:val="nil"/>
                </w:tcBorders>
                <w:shd w:val="clear" w:color="auto" w:fill="CAE7F3" w:themeFill="accent1" w:themeFillTint="33"/>
                <w:noWrap/>
                <w:vAlign w:val="bottom"/>
                <w:hideMark/>
              </w:tcPr>
              <w:p w14:paraId="15EBA75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66.0</w:t>
                </w:r>
              </w:p>
            </w:tc>
            <w:tc>
              <w:tcPr>
                <w:tcW w:w="662" w:type="dxa"/>
                <w:tcBorders>
                  <w:top w:val="nil"/>
                  <w:left w:val="nil"/>
                  <w:bottom w:val="nil"/>
                  <w:right w:val="nil"/>
                </w:tcBorders>
                <w:shd w:val="clear" w:color="auto" w:fill="CAE7F3" w:themeFill="accent1" w:themeFillTint="33"/>
                <w:noWrap/>
                <w:vAlign w:val="bottom"/>
                <w:hideMark/>
              </w:tcPr>
              <w:p w14:paraId="0C7EF97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20.8</w:t>
                </w:r>
              </w:p>
            </w:tc>
            <w:tc>
              <w:tcPr>
                <w:tcW w:w="662" w:type="dxa"/>
                <w:tcBorders>
                  <w:top w:val="nil"/>
                  <w:left w:val="nil"/>
                  <w:bottom w:val="nil"/>
                  <w:right w:val="nil"/>
                </w:tcBorders>
                <w:shd w:val="clear" w:color="auto" w:fill="CAE7F3" w:themeFill="accent1" w:themeFillTint="33"/>
                <w:noWrap/>
                <w:vAlign w:val="bottom"/>
                <w:hideMark/>
              </w:tcPr>
              <w:p w14:paraId="7E35FE2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129.5</w:t>
                </w:r>
              </w:p>
            </w:tc>
          </w:tr>
          <w:tr w:rsidR="00830FDC" w:rsidRPr="00F63634" w14:paraId="7011B898" w14:textId="77777777" w:rsidTr="00D0090A">
            <w:trPr>
              <w:trHeight w:val="225"/>
            </w:trPr>
            <w:tc>
              <w:tcPr>
                <w:tcW w:w="1568" w:type="dxa"/>
                <w:tcBorders>
                  <w:top w:val="nil"/>
                  <w:left w:val="nil"/>
                  <w:bottom w:val="single" w:sz="8" w:space="0" w:color="595A5B" w:themeColor="text1"/>
                  <w:right w:val="nil"/>
                </w:tcBorders>
                <w:shd w:val="clear" w:color="auto" w:fill="CAE7F3" w:themeFill="accent1" w:themeFillTint="33"/>
                <w:noWrap/>
                <w:vAlign w:val="bottom"/>
                <w:hideMark/>
              </w:tcPr>
              <w:p w14:paraId="5F4B40CD"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Western Australia</w:t>
                </w:r>
                <w:r>
                  <w:rPr>
                    <w:color w:val="595A5B" w:themeColor="text1"/>
                    <w:sz w:val="12"/>
                    <w:szCs w:val="16"/>
                    <w:lang w:eastAsia="en-AU"/>
                  </w:rPr>
                  <w:t xml:space="preserve"> — </w:t>
                </w:r>
                <w:r w:rsidRPr="009820E8">
                  <w:rPr>
                    <w:color w:val="595A5B" w:themeColor="text1"/>
                    <w:sz w:val="12"/>
                    <w:szCs w:val="16"/>
                    <w:lang w:eastAsia="en-AU"/>
                  </w:rPr>
                  <w:t>Wheat Belt</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6501DE2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451.7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3B4444E"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05AD186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51.7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C8E573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5.3</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5BB41E4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243.5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7FBB44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32.2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E402A7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93.2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EA9D7D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69.0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4C95CF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82.8</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4BFF78A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2C5204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F73E35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124.0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BE5462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86.0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45C09C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44.0</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0932A204"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67E28E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13.2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0F306C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35.3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65794E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48F81385"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73.0</w:t>
                </w:r>
              </w:p>
            </w:tc>
          </w:tr>
          <w:tr w:rsidR="00830FDC" w:rsidRPr="009820E8" w14:paraId="7D532A3F" w14:textId="77777777" w:rsidTr="00D0090A">
            <w:trPr>
              <w:trHeight w:val="225"/>
            </w:trPr>
            <w:tc>
              <w:tcPr>
                <w:tcW w:w="1568" w:type="dxa"/>
                <w:tcBorders>
                  <w:top w:val="single" w:sz="8" w:space="0" w:color="595A5B" w:themeColor="text1"/>
                  <w:left w:val="nil"/>
                  <w:right w:val="nil"/>
                </w:tcBorders>
                <w:shd w:val="clear" w:color="auto" w:fill="CAE7F3" w:themeFill="accent1" w:themeFillTint="33"/>
                <w:noWrap/>
                <w:vAlign w:val="bottom"/>
                <w:hideMark/>
              </w:tcPr>
              <w:p w14:paraId="72E392E8"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Other Territories</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1F87B98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4E4610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86A46B8"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26.2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027D52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732886D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74C8D75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38.0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57FB0A16"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54BEDF3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985DFB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7.2</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5FE3C1FF"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5.8</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3F964A06"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6.3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03A2A1B9"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9.7</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1122EC0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36.0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03C4CC3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5.3</w:t>
                </w:r>
              </w:p>
            </w:tc>
            <w:tc>
              <w:tcPr>
                <w:tcW w:w="661" w:type="dxa"/>
                <w:tcBorders>
                  <w:top w:val="single" w:sz="8" w:space="0" w:color="595A5B" w:themeColor="text1"/>
                  <w:left w:val="nil"/>
                  <w:right w:val="nil"/>
                </w:tcBorders>
                <w:shd w:val="clear" w:color="auto" w:fill="CAE7F3" w:themeFill="accent1" w:themeFillTint="33"/>
                <w:noWrap/>
                <w:vAlign w:val="bottom"/>
                <w:hideMark/>
              </w:tcPr>
              <w:p w14:paraId="2FDC0CE3"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27E73A4E"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3.3</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CB4940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8.5</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669EEA1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53.2</w:t>
                </w:r>
              </w:p>
            </w:tc>
            <w:tc>
              <w:tcPr>
                <w:tcW w:w="662" w:type="dxa"/>
                <w:tcBorders>
                  <w:top w:val="single" w:sz="8" w:space="0" w:color="595A5B" w:themeColor="text1"/>
                  <w:left w:val="nil"/>
                  <w:right w:val="nil"/>
                </w:tcBorders>
                <w:shd w:val="clear" w:color="auto" w:fill="CAE7F3" w:themeFill="accent1" w:themeFillTint="33"/>
                <w:noWrap/>
                <w:vAlign w:val="bottom"/>
                <w:hideMark/>
              </w:tcPr>
              <w:p w14:paraId="79884F32"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3.7</w:t>
                </w:r>
              </w:p>
            </w:tc>
          </w:tr>
          <w:tr w:rsidR="00830FDC" w:rsidRPr="00F63634" w14:paraId="7DFE7996" w14:textId="77777777" w:rsidTr="00D0090A">
            <w:trPr>
              <w:trHeight w:val="225"/>
            </w:trPr>
            <w:tc>
              <w:tcPr>
                <w:tcW w:w="1568" w:type="dxa"/>
                <w:tcBorders>
                  <w:left w:val="nil"/>
                  <w:bottom w:val="nil"/>
                  <w:right w:val="nil"/>
                </w:tcBorders>
                <w:shd w:val="clear" w:color="auto" w:fill="CAE7F3" w:themeFill="accent1" w:themeFillTint="33"/>
                <w:noWrap/>
                <w:vAlign w:val="bottom"/>
                <w:hideMark/>
              </w:tcPr>
              <w:p w14:paraId="7A88A11A"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Other Territories</w:t>
                </w:r>
              </w:p>
            </w:tc>
            <w:tc>
              <w:tcPr>
                <w:tcW w:w="661" w:type="dxa"/>
                <w:tcBorders>
                  <w:left w:val="nil"/>
                  <w:bottom w:val="nil"/>
                  <w:right w:val="nil"/>
                </w:tcBorders>
                <w:shd w:val="clear" w:color="auto" w:fill="CAE7F3" w:themeFill="accent1" w:themeFillTint="33"/>
                <w:noWrap/>
                <w:vAlign w:val="bottom"/>
                <w:hideMark/>
              </w:tcPr>
              <w:p w14:paraId="66996A2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2" w:type="dxa"/>
                <w:tcBorders>
                  <w:left w:val="nil"/>
                  <w:bottom w:val="nil"/>
                  <w:right w:val="nil"/>
                </w:tcBorders>
                <w:shd w:val="clear" w:color="auto" w:fill="CAE7F3" w:themeFill="accent1" w:themeFillTint="33"/>
                <w:noWrap/>
                <w:vAlign w:val="bottom"/>
                <w:hideMark/>
              </w:tcPr>
              <w:p w14:paraId="2689BF1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0D75CC2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7B25970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0.0</w:t>
                </w:r>
              </w:p>
            </w:tc>
            <w:tc>
              <w:tcPr>
                <w:tcW w:w="661" w:type="dxa"/>
                <w:tcBorders>
                  <w:left w:val="nil"/>
                  <w:bottom w:val="nil"/>
                  <w:right w:val="nil"/>
                </w:tcBorders>
                <w:shd w:val="clear" w:color="auto" w:fill="CAE7F3" w:themeFill="accent1" w:themeFillTint="33"/>
                <w:noWrap/>
                <w:vAlign w:val="bottom"/>
                <w:hideMark/>
              </w:tcPr>
              <w:p w14:paraId="6C1F135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left w:val="nil"/>
                  <w:bottom w:val="nil"/>
                  <w:right w:val="nil"/>
                </w:tcBorders>
                <w:shd w:val="clear" w:color="auto" w:fill="CAE7F3" w:themeFill="accent1" w:themeFillTint="33"/>
                <w:noWrap/>
                <w:vAlign w:val="bottom"/>
                <w:hideMark/>
              </w:tcPr>
              <w:p w14:paraId="7F352AB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2" w:type="dxa"/>
                <w:tcBorders>
                  <w:left w:val="nil"/>
                  <w:bottom w:val="nil"/>
                  <w:right w:val="nil"/>
                </w:tcBorders>
                <w:shd w:val="clear" w:color="auto" w:fill="CAE7F3" w:themeFill="accent1" w:themeFillTint="33"/>
                <w:noWrap/>
                <w:vAlign w:val="bottom"/>
                <w:hideMark/>
              </w:tcPr>
              <w:p w14:paraId="35B3DCE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502DAB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0316994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1" w:type="dxa"/>
                <w:tcBorders>
                  <w:left w:val="nil"/>
                  <w:bottom w:val="nil"/>
                  <w:right w:val="nil"/>
                </w:tcBorders>
                <w:shd w:val="clear" w:color="auto" w:fill="CAE7F3" w:themeFill="accent1" w:themeFillTint="33"/>
                <w:noWrap/>
                <w:vAlign w:val="bottom"/>
                <w:hideMark/>
              </w:tcPr>
              <w:p w14:paraId="15038F2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0.0</w:t>
                </w:r>
              </w:p>
            </w:tc>
            <w:tc>
              <w:tcPr>
                <w:tcW w:w="662" w:type="dxa"/>
                <w:tcBorders>
                  <w:left w:val="nil"/>
                  <w:bottom w:val="nil"/>
                  <w:right w:val="nil"/>
                </w:tcBorders>
                <w:shd w:val="clear" w:color="auto" w:fill="CAE7F3" w:themeFill="accent1" w:themeFillTint="33"/>
                <w:noWrap/>
                <w:vAlign w:val="bottom"/>
                <w:hideMark/>
              </w:tcPr>
              <w:p w14:paraId="44980B96"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left w:val="nil"/>
                  <w:bottom w:val="nil"/>
                  <w:right w:val="nil"/>
                </w:tcBorders>
                <w:shd w:val="clear" w:color="auto" w:fill="CAE7F3" w:themeFill="accent1" w:themeFillTint="33"/>
                <w:noWrap/>
                <w:vAlign w:val="bottom"/>
                <w:hideMark/>
              </w:tcPr>
              <w:p w14:paraId="1801555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0634521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w:t>
                </w:r>
              </w:p>
            </w:tc>
            <w:tc>
              <w:tcPr>
                <w:tcW w:w="662" w:type="dxa"/>
                <w:tcBorders>
                  <w:left w:val="nil"/>
                  <w:bottom w:val="nil"/>
                  <w:right w:val="nil"/>
                </w:tcBorders>
                <w:shd w:val="clear" w:color="auto" w:fill="CAE7F3" w:themeFill="accent1" w:themeFillTint="33"/>
                <w:noWrap/>
                <w:vAlign w:val="bottom"/>
                <w:hideMark/>
              </w:tcPr>
              <w:p w14:paraId="203CE6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1" w:type="dxa"/>
                <w:tcBorders>
                  <w:left w:val="nil"/>
                  <w:bottom w:val="nil"/>
                  <w:right w:val="nil"/>
                </w:tcBorders>
                <w:shd w:val="clear" w:color="auto" w:fill="CAE7F3" w:themeFill="accent1" w:themeFillTint="33"/>
                <w:noWrap/>
                <w:vAlign w:val="bottom"/>
                <w:hideMark/>
              </w:tcPr>
              <w:p w14:paraId="5B69B9B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0207410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0.0</w:t>
                </w:r>
              </w:p>
            </w:tc>
            <w:tc>
              <w:tcPr>
                <w:tcW w:w="662" w:type="dxa"/>
                <w:tcBorders>
                  <w:left w:val="nil"/>
                  <w:bottom w:val="nil"/>
                  <w:right w:val="nil"/>
                </w:tcBorders>
                <w:shd w:val="clear" w:color="auto" w:fill="CAE7F3" w:themeFill="accent1" w:themeFillTint="33"/>
                <w:noWrap/>
                <w:vAlign w:val="bottom"/>
                <w:hideMark/>
              </w:tcPr>
              <w:p w14:paraId="6B57952B"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1.5</w:t>
                </w:r>
              </w:p>
            </w:tc>
            <w:tc>
              <w:tcPr>
                <w:tcW w:w="662" w:type="dxa"/>
                <w:tcBorders>
                  <w:left w:val="nil"/>
                  <w:bottom w:val="nil"/>
                  <w:right w:val="nil"/>
                </w:tcBorders>
                <w:shd w:val="clear" w:color="auto" w:fill="CAE7F3" w:themeFill="accent1" w:themeFillTint="33"/>
                <w:noWrap/>
                <w:vAlign w:val="bottom"/>
                <w:hideMark/>
              </w:tcPr>
              <w:p w14:paraId="1A027FB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left w:val="nil"/>
                  <w:bottom w:val="nil"/>
                  <w:right w:val="nil"/>
                </w:tcBorders>
                <w:shd w:val="clear" w:color="auto" w:fill="CAE7F3" w:themeFill="accent1" w:themeFillTint="33"/>
                <w:noWrap/>
                <w:vAlign w:val="bottom"/>
                <w:hideMark/>
              </w:tcPr>
              <w:p w14:paraId="6CEA926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0.0</w:t>
                </w:r>
              </w:p>
            </w:tc>
          </w:tr>
          <w:tr w:rsidR="00830FDC" w:rsidRPr="00F63634" w14:paraId="530C3D55" w14:textId="77777777" w:rsidTr="00D0090A">
            <w:trPr>
              <w:trHeight w:val="225"/>
            </w:trPr>
            <w:tc>
              <w:tcPr>
                <w:tcW w:w="1568" w:type="dxa"/>
                <w:tcBorders>
                  <w:top w:val="nil"/>
                  <w:left w:val="nil"/>
                  <w:bottom w:val="single" w:sz="8" w:space="0" w:color="595A5B" w:themeColor="text1"/>
                  <w:right w:val="nil"/>
                </w:tcBorders>
                <w:shd w:val="clear" w:color="auto" w:fill="CAE7F3" w:themeFill="accent1" w:themeFillTint="33"/>
                <w:noWrap/>
                <w:vAlign w:val="bottom"/>
                <w:hideMark/>
              </w:tcPr>
              <w:p w14:paraId="268B747E" w14:textId="77777777" w:rsidR="00830FDC" w:rsidRPr="009820E8" w:rsidRDefault="00830FDC" w:rsidP="00D0090A">
                <w:pPr>
                  <w:pStyle w:val="Tabletext"/>
                  <w:rPr>
                    <w:color w:val="595A5B" w:themeColor="text1"/>
                    <w:sz w:val="12"/>
                    <w:szCs w:val="16"/>
                    <w:lang w:eastAsia="en-AU"/>
                  </w:rPr>
                </w:pPr>
                <w:r w:rsidRPr="009820E8">
                  <w:rPr>
                    <w:color w:val="595A5B" w:themeColor="text1"/>
                    <w:sz w:val="12"/>
                    <w:szCs w:val="16"/>
                    <w:lang w:eastAsia="en-AU"/>
                  </w:rPr>
                  <w:t>Special Purpose Codes SA4 (OT)</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4F00C92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6C310281"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F39F0F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25.7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CDD44E9"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1.0</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2FA9860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5884750"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824907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8.5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DC62AB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2.0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5661D5B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6.2</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0250DDD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735C684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3.8</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3B1A96AA"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9.2</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0612BAD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1795D392"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4.8</w:t>
                </w:r>
              </w:p>
            </w:tc>
            <w:tc>
              <w:tcPr>
                <w:tcW w:w="661" w:type="dxa"/>
                <w:tcBorders>
                  <w:top w:val="nil"/>
                  <w:left w:val="nil"/>
                  <w:bottom w:val="single" w:sz="8" w:space="0" w:color="595A5B" w:themeColor="text1"/>
                  <w:right w:val="nil"/>
                </w:tcBorders>
                <w:shd w:val="clear" w:color="auto" w:fill="CAE7F3" w:themeFill="accent1" w:themeFillTint="33"/>
                <w:noWrap/>
                <w:vAlign w:val="bottom"/>
                <w:hideMark/>
              </w:tcPr>
              <w:p w14:paraId="69E2543D"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0.5</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AC69DF3"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3.3</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0A63B6F"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7.0</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2442E818"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52.7</w:t>
                </w:r>
              </w:p>
            </w:tc>
            <w:tc>
              <w:tcPr>
                <w:tcW w:w="662" w:type="dxa"/>
                <w:tcBorders>
                  <w:top w:val="nil"/>
                  <w:left w:val="nil"/>
                  <w:bottom w:val="single" w:sz="8" w:space="0" w:color="595A5B" w:themeColor="text1"/>
                  <w:right w:val="nil"/>
                </w:tcBorders>
                <w:shd w:val="clear" w:color="auto" w:fill="CAE7F3" w:themeFill="accent1" w:themeFillTint="33"/>
                <w:noWrap/>
                <w:vAlign w:val="bottom"/>
                <w:hideMark/>
              </w:tcPr>
              <w:p w14:paraId="35CEA13C" w14:textId="77777777" w:rsidR="00830FDC" w:rsidRPr="009719A0" w:rsidRDefault="00830FDC" w:rsidP="00D0090A">
                <w:pPr>
                  <w:pStyle w:val="Tabletext"/>
                  <w:jc w:val="right"/>
                  <w:rPr>
                    <w:color w:val="595A5B" w:themeColor="text1"/>
                    <w:sz w:val="12"/>
                    <w:szCs w:val="12"/>
                    <w:lang w:eastAsia="en-AU"/>
                  </w:rPr>
                </w:pPr>
                <w:r w:rsidRPr="009719A0">
                  <w:rPr>
                    <w:color w:val="595A5B" w:themeColor="text1"/>
                    <w:sz w:val="12"/>
                    <w:szCs w:val="12"/>
                    <w:lang w:eastAsia="en-AU"/>
                  </w:rPr>
                  <w:t>3.7</w:t>
                </w:r>
              </w:p>
            </w:tc>
          </w:tr>
          <w:tr w:rsidR="00830FDC" w:rsidRPr="009820E8" w14:paraId="3A387B0B" w14:textId="77777777" w:rsidTr="00D0090A">
            <w:trPr>
              <w:trHeight w:val="225"/>
            </w:trPr>
            <w:tc>
              <w:tcPr>
                <w:tcW w:w="1568" w:type="dxa"/>
                <w:tcBorders>
                  <w:top w:val="single" w:sz="8" w:space="0" w:color="595A5B" w:themeColor="text1"/>
                  <w:left w:val="nil"/>
                  <w:bottom w:val="nil"/>
                  <w:right w:val="nil"/>
                </w:tcBorders>
                <w:shd w:val="clear" w:color="auto" w:fill="CAE7F3" w:themeFill="accent1" w:themeFillTint="33"/>
                <w:noWrap/>
                <w:vAlign w:val="bottom"/>
                <w:hideMark/>
              </w:tcPr>
              <w:p w14:paraId="1799CB1C" w14:textId="77777777" w:rsidR="00830FDC" w:rsidRPr="009820E8" w:rsidRDefault="00830FDC" w:rsidP="00D0090A">
                <w:pPr>
                  <w:pStyle w:val="Tabletext"/>
                  <w:rPr>
                    <w:b/>
                    <w:color w:val="595A5B" w:themeColor="text1"/>
                    <w:sz w:val="12"/>
                    <w:szCs w:val="16"/>
                    <w:lang w:eastAsia="en-AU"/>
                  </w:rPr>
                </w:pPr>
                <w:r w:rsidRPr="009820E8">
                  <w:rPr>
                    <w:b/>
                    <w:color w:val="595A5B" w:themeColor="text1"/>
                    <w:sz w:val="12"/>
                    <w:szCs w:val="16"/>
                    <w:lang w:eastAsia="en-AU"/>
                  </w:rPr>
                  <w:t>Grand Total</w:t>
                </w:r>
              </w:p>
            </w:tc>
            <w:tc>
              <w:tcPr>
                <w:tcW w:w="661" w:type="dxa"/>
                <w:tcBorders>
                  <w:top w:val="single" w:sz="8" w:space="0" w:color="595A5B" w:themeColor="text1"/>
                  <w:left w:val="nil"/>
                  <w:bottom w:val="nil"/>
                  <w:right w:val="nil"/>
                </w:tcBorders>
                <w:shd w:val="clear" w:color="auto" w:fill="CAE7F3" w:themeFill="accent1" w:themeFillTint="33"/>
                <w:noWrap/>
                <w:vAlign w:val="bottom"/>
                <w:hideMark/>
              </w:tcPr>
              <w:p w14:paraId="0211B3D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14994.5</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7C2DCBB8"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1266.2</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03ED590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8915.2</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437CD315"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1037.3</w:t>
                </w:r>
              </w:p>
            </w:tc>
            <w:tc>
              <w:tcPr>
                <w:tcW w:w="661" w:type="dxa"/>
                <w:tcBorders>
                  <w:top w:val="single" w:sz="8" w:space="0" w:color="595A5B" w:themeColor="text1"/>
                  <w:left w:val="nil"/>
                  <w:bottom w:val="nil"/>
                  <w:right w:val="nil"/>
                </w:tcBorders>
                <w:shd w:val="clear" w:color="auto" w:fill="CAE7F3" w:themeFill="accent1" w:themeFillTint="33"/>
                <w:noWrap/>
                <w:vAlign w:val="bottom"/>
                <w:hideMark/>
              </w:tcPr>
              <w:p w14:paraId="26BAA44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49947.8</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613DBF0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9631.3</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18D5DA4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19115.8</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5F23261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14057.7</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627818F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18359.0</w:t>
                </w:r>
              </w:p>
            </w:tc>
            <w:tc>
              <w:tcPr>
                <w:tcW w:w="661" w:type="dxa"/>
                <w:tcBorders>
                  <w:top w:val="single" w:sz="8" w:space="0" w:color="595A5B" w:themeColor="text1"/>
                  <w:left w:val="nil"/>
                  <w:bottom w:val="nil"/>
                  <w:right w:val="nil"/>
                </w:tcBorders>
                <w:shd w:val="clear" w:color="auto" w:fill="CAE7F3" w:themeFill="accent1" w:themeFillTint="33"/>
                <w:noWrap/>
                <w:vAlign w:val="bottom"/>
                <w:hideMark/>
              </w:tcPr>
              <w:p w14:paraId="34629DD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3054.5</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464D057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23132.5</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13D8467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22595.3</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6B14ADC1"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35168.2</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135AB37C"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13988.0</w:t>
                </w:r>
              </w:p>
            </w:tc>
            <w:tc>
              <w:tcPr>
                <w:tcW w:w="661" w:type="dxa"/>
                <w:tcBorders>
                  <w:top w:val="single" w:sz="8" w:space="0" w:color="595A5B" w:themeColor="text1"/>
                  <w:left w:val="nil"/>
                  <w:bottom w:val="nil"/>
                  <w:right w:val="nil"/>
                </w:tcBorders>
                <w:shd w:val="clear" w:color="auto" w:fill="CAE7F3" w:themeFill="accent1" w:themeFillTint="33"/>
                <w:noWrap/>
                <w:vAlign w:val="bottom"/>
                <w:hideMark/>
              </w:tcPr>
              <w:p w14:paraId="19A464F4"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1485.5</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52C1B45D"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3932.3</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6C3137D0"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11835.7</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37371336"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3945.2</w:t>
                </w:r>
              </w:p>
            </w:tc>
            <w:tc>
              <w:tcPr>
                <w:tcW w:w="662" w:type="dxa"/>
                <w:tcBorders>
                  <w:top w:val="single" w:sz="8" w:space="0" w:color="595A5B" w:themeColor="text1"/>
                  <w:left w:val="nil"/>
                  <w:bottom w:val="nil"/>
                  <w:right w:val="nil"/>
                </w:tcBorders>
                <w:shd w:val="clear" w:color="auto" w:fill="CAE7F3" w:themeFill="accent1" w:themeFillTint="33"/>
                <w:noWrap/>
                <w:vAlign w:val="bottom"/>
                <w:hideMark/>
              </w:tcPr>
              <w:p w14:paraId="56E8C0C7" w14:textId="77777777" w:rsidR="00830FDC" w:rsidRPr="009719A0" w:rsidRDefault="00830FDC" w:rsidP="00D0090A">
                <w:pPr>
                  <w:pStyle w:val="Tabletext"/>
                  <w:jc w:val="right"/>
                  <w:rPr>
                    <w:b/>
                    <w:color w:val="595A5B" w:themeColor="text1"/>
                    <w:sz w:val="12"/>
                    <w:szCs w:val="12"/>
                    <w:lang w:eastAsia="en-AU"/>
                  </w:rPr>
                </w:pPr>
                <w:r w:rsidRPr="009719A0">
                  <w:rPr>
                    <w:b/>
                    <w:color w:val="595A5B" w:themeColor="text1"/>
                    <w:sz w:val="12"/>
                    <w:szCs w:val="12"/>
                    <w:lang w:eastAsia="en-AU"/>
                  </w:rPr>
                  <w:t>12171.7</w:t>
                </w:r>
              </w:p>
            </w:tc>
          </w:tr>
        </w:tbl>
        <w:p w14:paraId="23D52C4A" w14:textId="14649002" w:rsidR="00830FDC" w:rsidRPr="00A30089" w:rsidRDefault="00830FDC" w:rsidP="00830FDC">
          <w:pPr>
            <w:pStyle w:val="NoteWide"/>
          </w:pPr>
          <w:r>
            <w:t>Notes: Data for ANZSIC Division X are not shown. Division X refers to businesses that were not classified in the existing system; hence their exact industry classification is unknown.</w:t>
          </w:r>
          <w:r w:rsidR="00F5479E">
            <w:t xml:space="preserve"> Agriculture (A), Mining (B), Manufacturing (C), Electricity, gas, water and waste services (D), Construction (E), Wholesale (F), Retail trade (G), Accommodation and food services (H), Transport, postal and warehousing (I), Information and telecommunications (J), Financial and insurance services (K), Rental hiring and real estate services (L), Professional, scientific and technical service (M), Administration support services (N), Public administration and safety (O), Education (P), Health care and social assistance (Q), Arts and recreation services (R), Other services (S).</w:t>
          </w:r>
        </w:p>
        <w:p w14:paraId="4410DDD0" w14:textId="0DEA6615" w:rsidR="00830FDC" w:rsidRPr="00A30089" w:rsidRDefault="00830FDC" w:rsidP="00830FDC">
          <w:pPr>
            <w:pStyle w:val="SourceWide"/>
          </w:pPr>
          <w:r>
            <w:t xml:space="preserve">Source: Australian Bureau of Statistics (2015) </w:t>
          </w:r>
          <w:r>
            <w:rPr>
              <w:i/>
            </w:rPr>
            <w:t xml:space="preserve">Counts of Australian Businesses 2008–2015, </w:t>
          </w:r>
          <w:r>
            <w:t>cat. no. 8165</w:t>
          </w:r>
          <w:r w:rsidRPr="003B74B4">
            <w:t>.0</w:t>
          </w:r>
          <w:r>
            <w:t xml:space="preserve"> (data available on request)</w:t>
          </w:r>
        </w:p>
        <w:p w14:paraId="561A409D" w14:textId="77777777" w:rsidR="00830FDC" w:rsidRDefault="00830FDC" w:rsidP="00830FDC">
          <w:pPr>
            <w:pStyle w:val="BodyText"/>
            <w:ind w:left="0"/>
            <w:sectPr w:rsidR="00830FDC" w:rsidSect="00D0090A">
              <w:endnotePr>
                <w:numFmt w:val="decimal"/>
              </w:endnotePr>
              <w:pgSz w:w="16838" w:h="11906" w:orient="landscape" w:code="9"/>
              <w:pgMar w:top="1440" w:right="1440" w:bottom="1440" w:left="1440" w:header="709" w:footer="709" w:gutter="0"/>
              <w:cols w:space="708"/>
              <w:docGrid w:linePitch="360"/>
            </w:sectPr>
          </w:pPr>
        </w:p>
        <w:p w14:paraId="482DAEE3" w14:textId="77777777" w:rsidR="00830FDC" w:rsidRPr="000E0D2D" w:rsidRDefault="00830FDC" w:rsidP="00830FDC">
          <w:pPr>
            <w:ind w:left="0"/>
            <w:rPr>
              <w:lang w:val="en" w:eastAsia="en-AU"/>
            </w:rPr>
          </w:pPr>
        </w:p>
        <w:p w14:paraId="1B9B0ADE" w14:textId="77777777" w:rsidR="00830FDC" w:rsidRDefault="00830FDC" w:rsidP="00830FDC">
          <w:pPr>
            <w:pStyle w:val="CaptionWide"/>
          </w:pPr>
          <w:r>
            <w:t>Figure</w:t>
          </w:r>
          <w:r w:rsidRPr="000618FB">
            <w:t xml:space="preserve"> </w:t>
          </w:r>
          <w:fldSimple w:instr=" STYLEREF 6 \s ">
            <w:r w:rsidR="00D55DA4">
              <w:rPr>
                <w:noProof/>
              </w:rPr>
              <w:t>B</w:t>
            </w:r>
          </w:fldSimple>
          <w:r w:rsidRPr="000618FB">
            <w:fldChar w:fldCharType="begin"/>
          </w:r>
          <w:r w:rsidRPr="000618FB">
            <w:instrText xml:space="preserve"> SEQ </w:instrText>
          </w:r>
          <w:r>
            <w:instrText>Figure</w:instrText>
          </w:r>
          <w:r w:rsidRPr="000618FB">
            <w:instrText xml:space="preserve"> \* ARABIC \s </w:instrText>
          </w:r>
          <w:r>
            <w:instrText>6</w:instrText>
          </w:r>
          <w:r w:rsidRPr="000618FB">
            <w:instrText xml:space="preserve"> </w:instrText>
          </w:r>
          <w:r w:rsidRPr="000618FB">
            <w:fldChar w:fldCharType="separate"/>
          </w:r>
          <w:r w:rsidR="00D55DA4">
            <w:rPr>
              <w:noProof/>
            </w:rPr>
            <w:t>2</w:t>
          </w:r>
          <w:r w:rsidRPr="000618FB">
            <w:fldChar w:fldCharType="end"/>
          </w:r>
          <w:r>
            <w:t>: Business entries per 10,000 inhabitants averaged over 2008</w:t>
          </w:r>
          <w:r>
            <w:rPr>
              <w:rFonts w:cs="Arial"/>
            </w:rPr>
            <w:t>–</w:t>
          </w:r>
          <w:r>
            <w:t>2013 financial years, by ANZSIC Division</w:t>
          </w:r>
        </w:p>
        <w:p w14:paraId="25FC964E" w14:textId="77777777" w:rsidR="000D227A" w:rsidRPr="000D227A" w:rsidRDefault="000D227A" w:rsidP="000D227A">
          <w:pPr>
            <w:pStyle w:val="PlaceholderWide"/>
          </w:pPr>
          <w:r>
            <w:rPr>
              <w:noProof/>
              <w:lang w:eastAsia="en-AU"/>
            </w:rPr>
            <w:drawing>
              <wp:inline distT="0" distB="0" distL="0" distR="0" wp14:anchorId="74472ED9" wp14:editId="69DD3A22">
                <wp:extent cx="5662930" cy="4422775"/>
                <wp:effectExtent l="0" t="0" r="0" b="0"/>
                <wp:docPr id="235" name="Picture 235" descr="Figure B2 is a bar chart. On the y-axis is the number of business entries per ten thousand inhabitants, averaged over financial years between 2008 and 2013, and in the x-axis are the 19 ANZSIC industry divisions. The chart shows that the Construction industry clearly had the highest reading at 7214. This was followed by Professional, Scientific and Technical Services at 4819; Rental, Hiring and Real Estate Services at 3358;  Financial and Insurance Services at 3306; and Agriculture, Forestry and Fishing at 3190." title="Figur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2.png"/>
                        <pic:cNvPicPr/>
                      </pic:nvPicPr>
                      <pic:blipFill>
                        <a:blip r:embed="rId61">
                          <a:extLst>
                            <a:ext uri="{28A0092B-C50C-407E-A947-70E740481C1C}">
                              <a14:useLocalDpi xmlns:a14="http://schemas.microsoft.com/office/drawing/2010/main" val="0"/>
                            </a:ext>
                          </a:extLst>
                        </a:blip>
                        <a:stretch>
                          <a:fillRect/>
                        </a:stretch>
                      </pic:blipFill>
                      <pic:spPr>
                        <a:xfrm>
                          <a:off x="0" y="0"/>
                          <a:ext cx="5662930" cy="4422775"/>
                        </a:xfrm>
                        <a:prstGeom prst="rect">
                          <a:avLst/>
                        </a:prstGeom>
                      </pic:spPr>
                    </pic:pic>
                  </a:graphicData>
                </a:graphic>
              </wp:inline>
            </w:drawing>
          </w:r>
        </w:p>
        <w:p w14:paraId="661EF5E4" w14:textId="1720235B" w:rsidR="00830FDC" w:rsidRDefault="00830FDC" w:rsidP="00830FDC">
          <w:pPr>
            <w:pStyle w:val="SourceWide"/>
          </w:pPr>
          <w:r>
            <w:t>Source</w:t>
          </w:r>
          <w:r w:rsidR="00072129">
            <w:t>s</w:t>
          </w:r>
          <w:r>
            <w:t xml:space="preserve">: Australian Bureau of Statistics (2011) </w:t>
          </w:r>
          <w:r w:rsidRPr="003B74B4">
            <w:rPr>
              <w:i/>
            </w:rPr>
            <w:t>Population by Age and Sex, Regions of Australia, 201</w:t>
          </w:r>
          <w:r w:rsidRPr="00177984">
            <w:rPr>
              <w:i/>
            </w:rPr>
            <w:t xml:space="preserve">1, </w:t>
          </w:r>
          <w:r w:rsidRPr="00177984">
            <w:t>cat. no. 3235.0, viewed 8</w:t>
          </w:r>
          <w:r w:rsidRPr="00DA37D8">
            <w:rPr>
              <w:vertAlign w:val="superscript"/>
            </w:rPr>
            <w:t>th</w:t>
          </w:r>
          <w:r w:rsidRPr="00DA37D8">
            <w:t xml:space="preserve"> May 2015, </w:t>
          </w:r>
          <w:hyperlink r:id="rId62" w:tooltip="http://www.abs.gov.au/AUSSTATS/abs@.nsf/DetailsPage/3235.02011" w:history="1">
            <w:r w:rsidRPr="00DA37D8">
              <w:rPr>
                <w:rStyle w:val="Hyperlink"/>
              </w:rPr>
              <w:t>http://www.abs.gov.au/AUSSTATS/abs@.nsf/DetailsPage/3235.02011</w:t>
            </w:r>
          </w:hyperlink>
          <w:r w:rsidRPr="00DA37D8">
            <w:rPr>
              <w:rStyle w:val="Hyperlink"/>
              <w:u w:val="none"/>
            </w:rPr>
            <w:t xml:space="preserve"> and </w:t>
          </w:r>
          <w:r w:rsidRPr="00DA37D8">
            <w:t>Australian Bureau</w:t>
          </w:r>
          <w:r>
            <w:t xml:space="preserve"> of Statistics (2015) </w:t>
          </w:r>
          <w:r>
            <w:rPr>
              <w:i/>
            </w:rPr>
            <w:t>Counts of Australian Businesses 2008–2015</w:t>
          </w:r>
          <w:r>
            <w:t>, cat. no. 8165</w:t>
          </w:r>
          <w:r w:rsidRPr="003B74B4">
            <w:t>.0</w:t>
          </w:r>
          <w:r>
            <w:t xml:space="preserve"> (data available on request) </w:t>
          </w:r>
        </w:p>
        <w:p w14:paraId="4CCC1793" w14:textId="77777777" w:rsidR="00830FDC" w:rsidRDefault="00830FDC" w:rsidP="00830FDC">
          <w:pPr>
            <w:pStyle w:val="CaptionWide"/>
          </w:pPr>
          <w:r>
            <w:t>Figure</w:t>
          </w:r>
          <w:r w:rsidRPr="000618FB">
            <w:t xml:space="preserve"> </w:t>
          </w:r>
          <w:fldSimple w:instr=" STYLEREF 6 \s ">
            <w:r w:rsidR="00D55DA4">
              <w:rPr>
                <w:noProof/>
              </w:rPr>
              <w:t>B</w:t>
            </w:r>
          </w:fldSimple>
          <w:r w:rsidRPr="000618FB">
            <w:fldChar w:fldCharType="begin"/>
          </w:r>
          <w:r w:rsidRPr="000618FB">
            <w:instrText xml:space="preserve"> SEQ </w:instrText>
          </w:r>
          <w:r>
            <w:instrText>Figure</w:instrText>
          </w:r>
          <w:r w:rsidRPr="000618FB">
            <w:instrText xml:space="preserve"> \* ARABIC \s </w:instrText>
          </w:r>
          <w:r>
            <w:instrText>6</w:instrText>
          </w:r>
          <w:r w:rsidRPr="000618FB">
            <w:instrText xml:space="preserve"> </w:instrText>
          </w:r>
          <w:r w:rsidRPr="000618FB">
            <w:fldChar w:fldCharType="separate"/>
          </w:r>
          <w:r w:rsidR="00D55DA4">
            <w:rPr>
              <w:noProof/>
            </w:rPr>
            <w:t>3</w:t>
          </w:r>
          <w:r w:rsidRPr="000618FB">
            <w:fldChar w:fldCharType="end"/>
          </w:r>
          <w:r>
            <w:t>: Annual business entries in SA3 regions with research institutions, by selected sector per 10,000 inhabitants averaged for 2009</w:t>
          </w:r>
          <w:r>
            <w:rPr>
              <w:rFonts w:cs="Arial"/>
            </w:rPr>
            <w:t>–</w:t>
          </w:r>
          <w:r>
            <w:t>2014</w:t>
          </w:r>
        </w:p>
        <w:p w14:paraId="0C53CDB1" w14:textId="75182854" w:rsidR="001710AD" w:rsidRPr="001710AD" w:rsidRDefault="001710AD" w:rsidP="001710AD">
          <w:pPr>
            <w:pStyle w:val="PlaceholderWide"/>
          </w:pPr>
          <w:r>
            <w:rPr>
              <w:noProof/>
              <w:lang w:eastAsia="en-AU"/>
            </w:rPr>
            <w:drawing>
              <wp:inline distT="0" distB="0" distL="0" distR="0" wp14:anchorId="4D2D09A0" wp14:editId="7E73B1A9">
                <wp:extent cx="5663565" cy="6547485"/>
                <wp:effectExtent l="0" t="0" r="0" b="5715"/>
                <wp:docPr id="20" name="Picture 20" descr="Figure B3 is a bar chart. The y-axis lists a number of research institutions by category: university, CSIRO, RSP (Research Service Provider), CRC (Cooperative Research Centre) and CoE (Centre of Excellence), with an All Australia total at the top. On the x-axis annual business entries in SA3 regions that have research institutions in the region are shown by selected industry sector per 10,000 inhabitants, with the values averaged for the years 2009 to 2014. The selected sectors are Agriculture, Forestry and Fishing; Mining; Manufacturing’ Information, Media and Telecommunication; and Professional, Scientific and Technical Services.&#10;&#10;The chart shows Professional, Scientific and Technical Services was the sector with by far the highest average annual business entries in regions with research institutions, followed by Healthcare and Social Assistance. It shows that business entries were highest highest for institutions that emphasise collaborative research such as CoEs and CRCs and this trend occurred consistently across all the selected sectors. Average annual business entries for Professional, Scientific and Technical Services were 34.8 per 10,000 inhabitants for regions with a CoE, 32.3 for a CRC, 25.4 for a RSP, 21.9 for a CSIRO office, 16.4 for a university and 13.8 for All Australia. &#10;" title="Figure B3: Annual business entries in SA3 regions with research institutions, by selected sector per 10,000 inhabitants averaged for 200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63565" cy="6547485"/>
                        </a:xfrm>
                        <a:prstGeom prst="rect">
                          <a:avLst/>
                        </a:prstGeom>
                        <a:noFill/>
                      </pic:spPr>
                    </pic:pic>
                  </a:graphicData>
                </a:graphic>
              </wp:inline>
            </w:drawing>
          </w:r>
        </w:p>
        <w:p w14:paraId="6807BFBE" w14:textId="77777777" w:rsidR="001710AD" w:rsidRDefault="001710AD" w:rsidP="00DA37D8">
          <w:pPr>
            <w:pStyle w:val="NoteWide"/>
            <w:pBdr>
              <w:bottom w:val="none" w:sz="0" w:space="0" w:color="auto"/>
            </w:pBdr>
            <w:spacing w:before="120" w:after="0" w:line="240" w:lineRule="auto"/>
          </w:pPr>
        </w:p>
        <w:p w14:paraId="7EC6D066" w14:textId="13F5EE33" w:rsidR="00830FDC" w:rsidRDefault="00830FDC" w:rsidP="00DA37D8">
          <w:pPr>
            <w:pStyle w:val="NoteWide"/>
            <w:pBdr>
              <w:bottom w:val="none" w:sz="0" w:space="0" w:color="auto"/>
            </w:pBdr>
            <w:spacing w:before="120" w:after="0" w:line="240" w:lineRule="auto"/>
          </w:pPr>
          <w:r w:rsidRPr="00C62F3A">
            <w:t>Note</w:t>
          </w:r>
          <w:r>
            <w:t xml:space="preserve">s: </w:t>
          </w:r>
          <w:r w:rsidR="00634DF0">
            <w:t xml:space="preserve">Bars are standard errors </w:t>
          </w:r>
          <w:r w:rsidR="00634DF0" w:rsidRPr="005C1C40">
            <w:rPr>
              <w:i/>
            </w:rPr>
            <w:t>[for SA3 regions]</w:t>
          </w:r>
          <w:r w:rsidR="00634DF0">
            <w:t xml:space="preserve">. One-way ANOVA with Tukey-Kramer Multiple comparison test between all of Australian regions and regions with research organisations was performed. ** Significant at one per cent level, *** Significant at 0.1 per cent level. Research organisations include University campuses, the </w:t>
          </w:r>
          <w:r w:rsidR="00634DF0" w:rsidRPr="00083A4B">
            <w:t>Commonwealth Scientific and Industrial Research Organisation</w:t>
          </w:r>
          <w:r w:rsidR="00634DF0">
            <w:t xml:space="preserve"> (CSIRO), private Research Service Providers (RSPs), </w:t>
          </w:r>
          <w:r w:rsidR="00634DF0" w:rsidRPr="000A0A2D">
            <w:t>Cooperative</w:t>
          </w:r>
          <w:r w:rsidR="00634DF0">
            <w:t xml:space="preserve"> Research Centres (CRCs) and currently active Centres of Excellence (CoEs) funded by the Australian Research Council or the National Health and Medical Research Council. CRCs and CoEs are subsets of their host institutions which are Universities and the CSIRO. </w:t>
          </w:r>
        </w:p>
        <w:p w14:paraId="2C35CD7F" w14:textId="3C7D812E" w:rsidR="00830FDC" w:rsidRPr="000E0D2D" w:rsidRDefault="00830FDC" w:rsidP="00DA37D8">
          <w:pPr>
            <w:pStyle w:val="SourceWide"/>
            <w:pBdr>
              <w:bottom w:val="single" w:sz="8" w:space="1" w:color="595A5B" w:themeColor="text1"/>
            </w:pBdr>
            <w:spacing w:after="120" w:line="240" w:lineRule="auto"/>
            <w:rPr>
              <w:u w:val="single"/>
            </w:rPr>
          </w:pPr>
          <w:r>
            <w:t>Source</w:t>
          </w:r>
          <w:r w:rsidR="00634DF0">
            <w:t>s</w:t>
          </w:r>
          <w:r>
            <w:t xml:space="preserve">: Australian Bureau of Statistics (2011) </w:t>
          </w:r>
          <w:r w:rsidRPr="003B74B4">
            <w:rPr>
              <w:i/>
            </w:rPr>
            <w:t>Population by Age and Sex, Regions of Australia, 2011</w:t>
          </w:r>
          <w:r w:rsidR="00DA37D8">
            <w:rPr>
              <w:i/>
            </w:rPr>
            <w:t xml:space="preserve">, </w:t>
          </w:r>
          <w:r>
            <w:t xml:space="preserve">cat. no. </w:t>
          </w:r>
          <w:r w:rsidRPr="003B74B4">
            <w:t>3235.0</w:t>
          </w:r>
          <w:r>
            <w:t>, viewed 8</w:t>
          </w:r>
          <w:r w:rsidRPr="003B74B4">
            <w:rPr>
              <w:vertAlign w:val="superscript"/>
            </w:rPr>
            <w:t>th</w:t>
          </w:r>
          <w:r>
            <w:t xml:space="preserve"> May 2015, </w:t>
          </w:r>
          <w:hyperlink r:id="rId64" w:tooltip="http://www.abs.gov.au/AUSSTATS/abs@.nsf/DetailsPage/3235.02011" w:history="1">
            <w:r w:rsidRPr="00945169">
              <w:rPr>
                <w:rStyle w:val="Hyperlink"/>
              </w:rPr>
              <w:t>http://www.abs.gov.au/AUSSTATS/abs@.nsf/DetailsPage/3235.02011</w:t>
            </w:r>
          </w:hyperlink>
          <w:r>
            <w:rPr>
              <w:rStyle w:val="Hyperlink"/>
            </w:rPr>
            <w:t xml:space="preserve"> </w:t>
          </w:r>
          <w:r>
            <w:t>Intellectual Property Government Open Data (2015), viewed 1</w:t>
          </w:r>
          <w:r w:rsidRPr="0016631B">
            <w:rPr>
              <w:vertAlign w:val="superscript"/>
            </w:rPr>
            <w:t>st</w:t>
          </w:r>
          <w:r>
            <w:t xml:space="preserve"> May 2015, </w:t>
          </w:r>
          <w:hyperlink r:id="rId65" w:tooltip="https://data.gov.au/dataset/intellectual-property-government-open-data" w:history="1">
            <w:r w:rsidRPr="00945169">
              <w:rPr>
                <w:rStyle w:val="Hyperlink"/>
              </w:rPr>
              <w:t>https://data.gov.au/dataset/intellectual-property-government-open-data</w:t>
            </w:r>
          </w:hyperlink>
          <w:r>
            <w:rPr>
              <w:rStyle w:val="Hyperlink"/>
            </w:rPr>
            <w:t xml:space="preserve"> </w:t>
          </w:r>
          <w:r w:rsidRPr="000E0D2D">
            <w:rPr>
              <w:rStyle w:val="Hyperlink"/>
              <w:u w:val="none"/>
            </w:rPr>
            <w:t xml:space="preserve"> and </w:t>
          </w:r>
          <w:r w:rsidRPr="000E0D2D">
            <w:t>Australian</w:t>
          </w:r>
          <w:r>
            <w:t xml:space="preserve"> Bureau of Statistics (2015) </w:t>
          </w:r>
          <w:r>
            <w:rPr>
              <w:i/>
            </w:rPr>
            <w:t>Counts of Australian Businesses 2008–2015</w:t>
          </w:r>
          <w:r w:rsidR="00634DF0">
            <w:rPr>
              <w:i/>
            </w:rPr>
            <w:t xml:space="preserve">, </w:t>
          </w:r>
          <w:r>
            <w:t>cat. no. 8165</w:t>
          </w:r>
          <w:r w:rsidRPr="003B74B4">
            <w:t>.0</w:t>
          </w:r>
          <w:r>
            <w:t xml:space="preserve"> (data available on request)</w:t>
          </w:r>
          <w:r w:rsidRPr="007A2DAD">
            <w:rPr>
              <w:noProof/>
              <w:color w:val="595A5B"/>
              <w:sz w:val="20"/>
              <w:szCs w:val="22"/>
              <w:lang w:eastAsia="en-AU"/>
            </w:rPr>
            <w:t xml:space="preserve"> </w:t>
          </w:r>
        </w:p>
        <w:p w14:paraId="27193F1B" w14:textId="77777777" w:rsidR="00830FDC" w:rsidRPr="000618FB" w:rsidRDefault="00830FDC" w:rsidP="00830FDC">
          <w:pPr>
            <w:pStyle w:val="CaptionWide"/>
          </w:pPr>
          <w:r w:rsidRPr="000618FB">
            <w:t xml:space="preserve">Table </w:t>
          </w:r>
          <w:fldSimple w:instr=" STYLEREF 6 \s ">
            <w:r w:rsidR="00D55DA4">
              <w:rPr>
                <w:noProof/>
              </w:rPr>
              <w:t>B</w:t>
            </w:r>
          </w:fldSimple>
          <w:r>
            <w:t>3: Regression coefficients (and standard error) of change in business entries by patents, trademarks and R&amp;D expenditure according to different estimation models</w:t>
          </w:r>
        </w:p>
        <w:tbl>
          <w:tblPr>
            <w:tblStyle w:val="TableGrid"/>
            <w:tblW w:w="490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B3: Regression coefficients (and standard error) of change in business entries by patents, trademarks and R&amp;D expenditure according to different estimation models"/>
            <w:tblDescription w:val="Examines regression coefficients (and standard error) of change in business entries by patents, trademarks and R&amp;D expenditure according to different estimation models across business entries, mean (overall std. deviation), coeff. between estimators, coeff. fixed effects and coeff. first diferences. "/>
          </w:tblPr>
          <w:tblGrid>
            <w:gridCol w:w="1946"/>
            <w:gridCol w:w="1718"/>
            <w:gridCol w:w="1734"/>
            <w:gridCol w:w="1726"/>
            <w:gridCol w:w="1736"/>
          </w:tblGrid>
          <w:tr w:rsidR="00830FDC" w:rsidRPr="00DD1158" w14:paraId="38F2D134" w14:textId="77777777" w:rsidTr="000D227A">
            <w:trPr>
              <w:trHeight w:val="295"/>
              <w:tblHeader/>
            </w:trPr>
            <w:tc>
              <w:tcPr>
                <w:tcW w:w="1985" w:type="dxa"/>
                <w:vMerge w:val="restart"/>
                <w:shd w:val="clear" w:color="auto" w:fill="22789A" w:themeFill="accent1"/>
                <w:vAlign w:val="bottom"/>
              </w:tcPr>
              <w:p w14:paraId="0E96AA9B" w14:textId="77777777" w:rsidR="00830FDC" w:rsidRPr="00DD1158" w:rsidRDefault="00830FDC" w:rsidP="00D0090A">
                <w:pPr>
                  <w:pStyle w:val="Tableheader"/>
                  <w:rPr>
                    <w:sz w:val="16"/>
                    <w:szCs w:val="16"/>
                  </w:rPr>
                </w:pPr>
                <w:r w:rsidRPr="00DD1158">
                  <w:rPr>
                    <w:sz w:val="16"/>
                    <w:szCs w:val="16"/>
                  </w:rPr>
                  <w:t>Ln (Business entries)</w:t>
                </w:r>
              </w:p>
            </w:tc>
            <w:tc>
              <w:tcPr>
                <w:tcW w:w="1771" w:type="dxa"/>
                <w:shd w:val="clear" w:color="auto" w:fill="22789A" w:themeFill="accent1"/>
              </w:tcPr>
              <w:p w14:paraId="451BADD6" w14:textId="4208F03C" w:rsidR="00830FDC" w:rsidRPr="00DD1158" w:rsidRDefault="00830FDC" w:rsidP="00634DF0">
                <w:pPr>
                  <w:pStyle w:val="Tableheader"/>
                  <w:jc w:val="right"/>
                  <w:rPr>
                    <w:sz w:val="16"/>
                    <w:szCs w:val="16"/>
                  </w:rPr>
                </w:pPr>
                <w:r>
                  <w:rPr>
                    <w:sz w:val="16"/>
                    <w:szCs w:val="16"/>
                  </w:rPr>
                  <w:t>Mean</w:t>
                </w:r>
              </w:p>
            </w:tc>
            <w:tc>
              <w:tcPr>
                <w:tcW w:w="1772" w:type="dxa"/>
                <w:shd w:val="clear" w:color="auto" w:fill="22789A" w:themeFill="accent1"/>
              </w:tcPr>
              <w:p w14:paraId="51E8C70E"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Between estimators</w:t>
                </w:r>
              </w:p>
            </w:tc>
            <w:tc>
              <w:tcPr>
                <w:tcW w:w="1772" w:type="dxa"/>
                <w:shd w:val="clear" w:color="auto" w:fill="22789A" w:themeFill="accent1"/>
              </w:tcPr>
              <w:p w14:paraId="6A293588"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Fixed effects</w:t>
                </w:r>
              </w:p>
            </w:tc>
            <w:tc>
              <w:tcPr>
                <w:tcW w:w="1772" w:type="dxa"/>
                <w:shd w:val="clear" w:color="auto" w:fill="22789A" w:themeFill="accent1"/>
              </w:tcPr>
              <w:p w14:paraId="49F78D41"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First differences</w:t>
                </w:r>
              </w:p>
            </w:tc>
          </w:tr>
          <w:tr w:rsidR="00830FDC" w:rsidRPr="00DD1158" w14:paraId="0FFB251F" w14:textId="77777777" w:rsidTr="000D227A">
            <w:trPr>
              <w:tblHeader/>
            </w:trPr>
            <w:tc>
              <w:tcPr>
                <w:tcW w:w="1985" w:type="dxa"/>
                <w:vMerge/>
                <w:shd w:val="clear" w:color="auto" w:fill="CAE7F3" w:themeFill="accent1" w:themeFillTint="33"/>
                <w:vAlign w:val="center"/>
              </w:tcPr>
              <w:p w14:paraId="56508285" w14:textId="77777777" w:rsidR="00830FDC" w:rsidRPr="00DD1158" w:rsidRDefault="00830FDC" w:rsidP="00D0090A">
                <w:pPr>
                  <w:pStyle w:val="Tabletext"/>
                  <w:rPr>
                    <w:sz w:val="16"/>
                    <w:szCs w:val="16"/>
                  </w:rPr>
                </w:pPr>
              </w:p>
            </w:tc>
            <w:tc>
              <w:tcPr>
                <w:tcW w:w="1771" w:type="dxa"/>
                <w:shd w:val="clear" w:color="auto" w:fill="CAE7F3" w:themeFill="accent1" w:themeFillTint="33"/>
              </w:tcPr>
              <w:p w14:paraId="69ABFEDB" w14:textId="77777777" w:rsidR="00830FDC" w:rsidRPr="00DD1158" w:rsidRDefault="00830FDC" w:rsidP="00D0090A">
                <w:pPr>
                  <w:pStyle w:val="Tabletext"/>
                  <w:jc w:val="right"/>
                  <w:rPr>
                    <w:sz w:val="16"/>
                    <w:szCs w:val="16"/>
                  </w:rPr>
                </w:pPr>
                <w:r>
                  <w:rPr>
                    <w:sz w:val="16"/>
                    <w:szCs w:val="16"/>
                  </w:rPr>
                  <w:t>4.78 (0.41)</w:t>
                </w:r>
              </w:p>
            </w:tc>
            <w:tc>
              <w:tcPr>
                <w:tcW w:w="1772" w:type="dxa"/>
                <w:shd w:val="clear" w:color="auto" w:fill="CAE7F3" w:themeFill="accent1" w:themeFillTint="33"/>
              </w:tcPr>
              <w:p w14:paraId="065D0FE6"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3B379317"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5E12BD75" w14:textId="77777777" w:rsidR="00830FDC" w:rsidRPr="00DD1158" w:rsidRDefault="00830FDC" w:rsidP="00D0090A">
                <w:pPr>
                  <w:pStyle w:val="Tabletext"/>
                  <w:jc w:val="right"/>
                  <w:rPr>
                    <w:sz w:val="16"/>
                    <w:szCs w:val="16"/>
                  </w:rPr>
                </w:pPr>
              </w:p>
            </w:tc>
          </w:tr>
          <w:tr w:rsidR="00830FDC" w:rsidRPr="004245A6" w14:paraId="1D28D920" w14:textId="77777777" w:rsidTr="000D227A">
            <w:tc>
              <w:tcPr>
                <w:tcW w:w="1985" w:type="dxa"/>
                <w:shd w:val="clear" w:color="auto" w:fill="CAE7F3" w:themeFill="accent1" w:themeFillTint="33"/>
                <w:vAlign w:val="center"/>
              </w:tcPr>
              <w:p w14:paraId="30CBD427" w14:textId="77777777" w:rsidR="00830FDC" w:rsidRPr="00DD1158" w:rsidRDefault="00830FDC" w:rsidP="00D0090A">
                <w:pPr>
                  <w:pStyle w:val="Tabletext"/>
                  <w:rPr>
                    <w:sz w:val="16"/>
                    <w:szCs w:val="16"/>
                  </w:rPr>
                </w:pPr>
                <w:r w:rsidRPr="00DD1158">
                  <w:rPr>
                    <w:sz w:val="16"/>
                    <w:szCs w:val="16"/>
                  </w:rPr>
                  <w:t>Ln (Patents)</w:t>
                </w:r>
              </w:p>
            </w:tc>
            <w:tc>
              <w:tcPr>
                <w:tcW w:w="1771" w:type="dxa"/>
                <w:shd w:val="clear" w:color="auto" w:fill="CAE7F3" w:themeFill="accent1" w:themeFillTint="33"/>
              </w:tcPr>
              <w:p w14:paraId="1696B75C" w14:textId="77777777" w:rsidR="00830FDC" w:rsidRPr="00DD1158" w:rsidRDefault="00830FDC" w:rsidP="00D0090A">
                <w:pPr>
                  <w:pStyle w:val="Tabletext"/>
                  <w:jc w:val="right"/>
                  <w:rPr>
                    <w:sz w:val="16"/>
                    <w:szCs w:val="16"/>
                  </w:rPr>
                </w:pPr>
                <w:r>
                  <w:rPr>
                    <w:sz w:val="16"/>
                    <w:szCs w:val="16"/>
                  </w:rPr>
                  <w:t>0.95 (0.88)</w:t>
                </w:r>
              </w:p>
            </w:tc>
            <w:tc>
              <w:tcPr>
                <w:tcW w:w="1772" w:type="dxa"/>
                <w:shd w:val="clear" w:color="auto" w:fill="CAE7F3" w:themeFill="accent1" w:themeFillTint="33"/>
              </w:tcPr>
              <w:p w14:paraId="2F04FA12" w14:textId="77777777" w:rsidR="00830FDC" w:rsidRPr="004245A6" w:rsidRDefault="00830FDC" w:rsidP="00D0090A">
                <w:pPr>
                  <w:pStyle w:val="Tabletext"/>
                  <w:jc w:val="right"/>
                  <w:rPr>
                    <w:sz w:val="16"/>
                    <w:szCs w:val="16"/>
                  </w:rPr>
                </w:pPr>
                <w:r>
                  <w:rPr>
                    <w:sz w:val="16"/>
                    <w:szCs w:val="16"/>
                  </w:rPr>
                  <w:t>0.123</w:t>
                </w:r>
                <w:r w:rsidRPr="009B6B21" w:rsidDel="009B6B21">
                  <w:rPr>
                    <w:sz w:val="16"/>
                    <w:szCs w:val="16"/>
                  </w:rPr>
                  <w:t xml:space="preserve"> </w:t>
                </w:r>
                <w:r w:rsidRPr="004245A6">
                  <w:rPr>
                    <w:sz w:val="16"/>
                    <w:szCs w:val="16"/>
                  </w:rPr>
                  <w:t>(0.03</w:t>
                </w:r>
                <w:r>
                  <w:rPr>
                    <w:sz w:val="16"/>
                    <w:szCs w:val="16"/>
                  </w:rPr>
                  <w:t>2</w:t>
                </w:r>
                <w:r w:rsidRPr="004245A6">
                  <w:rPr>
                    <w:sz w:val="16"/>
                    <w:szCs w:val="16"/>
                  </w:rPr>
                  <w:t>) ***</w:t>
                </w:r>
              </w:p>
            </w:tc>
            <w:tc>
              <w:tcPr>
                <w:tcW w:w="1772" w:type="dxa"/>
                <w:shd w:val="clear" w:color="auto" w:fill="CAE7F3" w:themeFill="accent1" w:themeFillTint="33"/>
              </w:tcPr>
              <w:p w14:paraId="6CFA6079" w14:textId="77777777" w:rsidR="00830FDC" w:rsidRPr="004245A6" w:rsidRDefault="00830FDC" w:rsidP="00D0090A">
                <w:pPr>
                  <w:pStyle w:val="Tabletext"/>
                  <w:jc w:val="right"/>
                  <w:rPr>
                    <w:sz w:val="16"/>
                    <w:szCs w:val="16"/>
                  </w:rPr>
                </w:pPr>
                <w:r w:rsidRPr="004245A6">
                  <w:rPr>
                    <w:sz w:val="16"/>
                    <w:szCs w:val="16"/>
                  </w:rPr>
                  <w:t>0.</w:t>
                </w:r>
                <w:r>
                  <w:rPr>
                    <w:sz w:val="16"/>
                    <w:szCs w:val="16"/>
                  </w:rPr>
                  <w:t>086</w:t>
                </w:r>
                <w:r w:rsidRPr="004245A6">
                  <w:rPr>
                    <w:sz w:val="16"/>
                    <w:szCs w:val="16"/>
                  </w:rPr>
                  <w:t xml:space="preserve"> (0.01</w:t>
                </w:r>
                <w:r>
                  <w:rPr>
                    <w:sz w:val="16"/>
                    <w:szCs w:val="16"/>
                  </w:rPr>
                  <w:t>2</w:t>
                </w:r>
                <w:r w:rsidRPr="004245A6">
                  <w:rPr>
                    <w:sz w:val="16"/>
                    <w:szCs w:val="16"/>
                  </w:rPr>
                  <w:t>)</w:t>
                </w:r>
                <w:r>
                  <w:rPr>
                    <w:sz w:val="16"/>
                    <w:szCs w:val="16"/>
                  </w:rPr>
                  <w:t xml:space="preserve"> </w:t>
                </w:r>
                <w:r w:rsidRPr="004245A6">
                  <w:rPr>
                    <w:sz w:val="16"/>
                    <w:szCs w:val="16"/>
                  </w:rPr>
                  <w:t>***</w:t>
                </w:r>
              </w:p>
            </w:tc>
            <w:tc>
              <w:tcPr>
                <w:tcW w:w="1772" w:type="dxa"/>
                <w:shd w:val="clear" w:color="auto" w:fill="CAE7F3" w:themeFill="accent1" w:themeFillTint="33"/>
              </w:tcPr>
              <w:p w14:paraId="5C53FD4A" w14:textId="77777777" w:rsidR="00830FDC" w:rsidRPr="004245A6" w:rsidRDefault="00830FDC" w:rsidP="00D0090A">
                <w:pPr>
                  <w:pStyle w:val="Tabletext"/>
                  <w:jc w:val="right"/>
                  <w:rPr>
                    <w:sz w:val="16"/>
                    <w:szCs w:val="16"/>
                  </w:rPr>
                </w:pPr>
                <w:r w:rsidRPr="004245A6">
                  <w:rPr>
                    <w:sz w:val="16"/>
                    <w:szCs w:val="16"/>
                  </w:rPr>
                  <w:t>0.0</w:t>
                </w:r>
                <w:r>
                  <w:rPr>
                    <w:sz w:val="16"/>
                    <w:szCs w:val="16"/>
                  </w:rPr>
                  <w:t>26</w:t>
                </w:r>
                <w:r w:rsidRPr="004245A6">
                  <w:rPr>
                    <w:sz w:val="16"/>
                    <w:szCs w:val="16"/>
                  </w:rPr>
                  <w:t xml:space="preserve"> (0.0</w:t>
                </w:r>
                <w:r>
                  <w:rPr>
                    <w:sz w:val="16"/>
                    <w:szCs w:val="16"/>
                  </w:rPr>
                  <w:t>10</w:t>
                </w:r>
                <w:r w:rsidRPr="004245A6">
                  <w:rPr>
                    <w:sz w:val="16"/>
                    <w:szCs w:val="16"/>
                  </w:rPr>
                  <w:t>)</w:t>
                </w:r>
                <w:r>
                  <w:rPr>
                    <w:sz w:val="16"/>
                    <w:szCs w:val="16"/>
                  </w:rPr>
                  <w:t>***</w:t>
                </w:r>
              </w:p>
            </w:tc>
          </w:tr>
          <w:tr w:rsidR="00830FDC" w:rsidRPr="004245A6" w14:paraId="662D9A13" w14:textId="77777777" w:rsidTr="000D227A">
            <w:tc>
              <w:tcPr>
                <w:tcW w:w="1985" w:type="dxa"/>
                <w:shd w:val="clear" w:color="auto" w:fill="CAE7F3" w:themeFill="accent1" w:themeFillTint="33"/>
                <w:vAlign w:val="center"/>
              </w:tcPr>
              <w:p w14:paraId="431E60EA" w14:textId="77777777" w:rsidR="00830FDC" w:rsidRPr="00DD1158" w:rsidRDefault="00830FDC" w:rsidP="00D0090A">
                <w:pPr>
                  <w:pStyle w:val="Tabletext"/>
                  <w:rPr>
                    <w:sz w:val="16"/>
                    <w:szCs w:val="16"/>
                  </w:rPr>
                </w:pPr>
                <w:r w:rsidRPr="00DD1158">
                  <w:rPr>
                    <w:sz w:val="16"/>
                    <w:szCs w:val="16"/>
                  </w:rPr>
                  <w:t>Ln (Trademarks)</w:t>
                </w:r>
              </w:p>
            </w:tc>
            <w:tc>
              <w:tcPr>
                <w:tcW w:w="1771" w:type="dxa"/>
                <w:shd w:val="clear" w:color="auto" w:fill="CAE7F3" w:themeFill="accent1" w:themeFillTint="33"/>
              </w:tcPr>
              <w:p w14:paraId="7F78C500" w14:textId="77777777" w:rsidR="00830FDC" w:rsidRPr="00DD1158" w:rsidRDefault="00830FDC" w:rsidP="00D0090A">
                <w:pPr>
                  <w:pStyle w:val="Tabletext"/>
                  <w:jc w:val="right"/>
                  <w:rPr>
                    <w:sz w:val="16"/>
                    <w:szCs w:val="16"/>
                  </w:rPr>
                </w:pPr>
                <w:r>
                  <w:rPr>
                    <w:sz w:val="16"/>
                    <w:szCs w:val="16"/>
                  </w:rPr>
                  <w:t>2.27 (0.98)</w:t>
                </w:r>
              </w:p>
            </w:tc>
            <w:tc>
              <w:tcPr>
                <w:tcW w:w="1772" w:type="dxa"/>
                <w:shd w:val="clear" w:color="auto" w:fill="CAE7F3" w:themeFill="accent1" w:themeFillTint="33"/>
              </w:tcPr>
              <w:p w14:paraId="572A8297" w14:textId="77777777" w:rsidR="00830FDC" w:rsidRPr="004245A6" w:rsidRDefault="00830FDC" w:rsidP="00D0090A">
                <w:pPr>
                  <w:pStyle w:val="Tabletext"/>
                  <w:jc w:val="right"/>
                  <w:rPr>
                    <w:sz w:val="16"/>
                    <w:szCs w:val="16"/>
                  </w:rPr>
                </w:pPr>
                <w:r w:rsidRPr="004245A6">
                  <w:rPr>
                    <w:sz w:val="16"/>
                    <w:szCs w:val="16"/>
                  </w:rPr>
                  <w:t>0.</w:t>
                </w:r>
                <w:r>
                  <w:rPr>
                    <w:sz w:val="16"/>
                    <w:szCs w:val="16"/>
                  </w:rPr>
                  <w:t>207</w:t>
                </w:r>
                <w:r w:rsidRPr="004245A6">
                  <w:rPr>
                    <w:sz w:val="16"/>
                    <w:szCs w:val="16"/>
                  </w:rPr>
                  <w:t xml:space="preserve"> (0.02</w:t>
                </w:r>
                <w:r>
                  <w:rPr>
                    <w:sz w:val="16"/>
                    <w:szCs w:val="16"/>
                  </w:rPr>
                  <w:t>7</w:t>
                </w:r>
                <w:r w:rsidRPr="004245A6">
                  <w:rPr>
                    <w:sz w:val="16"/>
                    <w:szCs w:val="16"/>
                  </w:rPr>
                  <w:t>) ***</w:t>
                </w:r>
              </w:p>
            </w:tc>
            <w:tc>
              <w:tcPr>
                <w:tcW w:w="1772" w:type="dxa"/>
                <w:shd w:val="clear" w:color="auto" w:fill="CAE7F3" w:themeFill="accent1" w:themeFillTint="33"/>
              </w:tcPr>
              <w:p w14:paraId="14E0C2C9" w14:textId="77777777" w:rsidR="00830FDC" w:rsidRPr="004245A6" w:rsidRDefault="00830FDC" w:rsidP="00D0090A">
                <w:pPr>
                  <w:pStyle w:val="Tabletext"/>
                  <w:jc w:val="right"/>
                  <w:rPr>
                    <w:sz w:val="16"/>
                    <w:szCs w:val="16"/>
                  </w:rPr>
                </w:pPr>
                <w:r>
                  <w:rPr>
                    <w:sz w:val="16"/>
                    <w:szCs w:val="16"/>
                  </w:rPr>
                  <w:t>0.021</w:t>
                </w:r>
                <w:r w:rsidRPr="004245A6">
                  <w:rPr>
                    <w:sz w:val="16"/>
                    <w:szCs w:val="16"/>
                  </w:rPr>
                  <w:t xml:space="preserve"> (0.0</w:t>
                </w:r>
                <w:r>
                  <w:rPr>
                    <w:sz w:val="16"/>
                    <w:szCs w:val="16"/>
                  </w:rPr>
                  <w:t>17</w:t>
                </w:r>
                <w:r w:rsidRPr="004245A6">
                  <w:rPr>
                    <w:sz w:val="16"/>
                    <w:szCs w:val="16"/>
                  </w:rPr>
                  <w:t>)</w:t>
                </w:r>
              </w:p>
            </w:tc>
            <w:tc>
              <w:tcPr>
                <w:tcW w:w="1772" w:type="dxa"/>
                <w:shd w:val="clear" w:color="auto" w:fill="CAE7F3" w:themeFill="accent1" w:themeFillTint="33"/>
              </w:tcPr>
              <w:p w14:paraId="0D9D4A07" w14:textId="77777777" w:rsidR="00830FDC" w:rsidRPr="004245A6" w:rsidRDefault="00830FDC" w:rsidP="00D0090A">
                <w:pPr>
                  <w:pStyle w:val="Tabletext"/>
                  <w:jc w:val="right"/>
                  <w:rPr>
                    <w:sz w:val="16"/>
                    <w:szCs w:val="16"/>
                  </w:rPr>
                </w:pPr>
                <w:r>
                  <w:rPr>
                    <w:sz w:val="16"/>
                    <w:szCs w:val="16"/>
                  </w:rPr>
                  <w:t>0.028</w:t>
                </w:r>
                <w:r w:rsidRPr="004245A6">
                  <w:rPr>
                    <w:sz w:val="16"/>
                    <w:szCs w:val="16"/>
                  </w:rPr>
                  <w:t xml:space="preserve"> (0.01</w:t>
                </w:r>
                <w:r>
                  <w:rPr>
                    <w:sz w:val="16"/>
                    <w:szCs w:val="16"/>
                  </w:rPr>
                  <w:t>3</w:t>
                </w:r>
                <w:r w:rsidRPr="004245A6">
                  <w:rPr>
                    <w:sz w:val="16"/>
                    <w:szCs w:val="16"/>
                  </w:rPr>
                  <w:t>)</w:t>
                </w:r>
                <w:r>
                  <w:rPr>
                    <w:sz w:val="16"/>
                    <w:szCs w:val="16"/>
                  </w:rPr>
                  <w:t>*</w:t>
                </w:r>
              </w:p>
            </w:tc>
          </w:tr>
          <w:tr w:rsidR="00830FDC" w:rsidRPr="004245A6" w14:paraId="6F39AA90" w14:textId="77777777" w:rsidTr="000D227A">
            <w:tc>
              <w:tcPr>
                <w:tcW w:w="1985" w:type="dxa"/>
                <w:shd w:val="clear" w:color="auto" w:fill="CAE7F3" w:themeFill="accent1" w:themeFillTint="33"/>
              </w:tcPr>
              <w:p w14:paraId="7E7CB931" w14:textId="77777777" w:rsidR="00830FDC" w:rsidRPr="00DD1158" w:rsidRDefault="00830FDC" w:rsidP="00D0090A">
                <w:pPr>
                  <w:pStyle w:val="Tabletext"/>
                  <w:rPr>
                    <w:sz w:val="16"/>
                    <w:szCs w:val="16"/>
                  </w:rPr>
                </w:pPr>
                <w:r>
                  <w:rPr>
                    <w:sz w:val="16"/>
                    <w:szCs w:val="16"/>
                  </w:rPr>
                  <w:t>Ln (R&amp;D Expenditure)</w:t>
                </w:r>
              </w:p>
            </w:tc>
            <w:tc>
              <w:tcPr>
                <w:tcW w:w="1771" w:type="dxa"/>
                <w:shd w:val="clear" w:color="auto" w:fill="CAE7F3" w:themeFill="accent1" w:themeFillTint="33"/>
              </w:tcPr>
              <w:p w14:paraId="11D99B64" w14:textId="77777777" w:rsidR="00830FDC" w:rsidRPr="00DD1158" w:rsidRDefault="00830FDC" w:rsidP="00D0090A">
                <w:pPr>
                  <w:pStyle w:val="Tabletext"/>
                  <w:jc w:val="right"/>
                  <w:rPr>
                    <w:sz w:val="16"/>
                    <w:szCs w:val="16"/>
                  </w:rPr>
                </w:pPr>
                <w:r>
                  <w:rPr>
                    <w:sz w:val="16"/>
                    <w:szCs w:val="16"/>
                  </w:rPr>
                  <w:t>14.07</w:t>
                </w:r>
                <w:r w:rsidRPr="00DE3252" w:rsidDel="00DE3252">
                  <w:rPr>
                    <w:sz w:val="16"/>
                    <w:szCs w:val="16"/>
                  </w:rPr>
                  <w:t xml:space="preserve"> </w:t>
                </w:r>
                <w:r>
                  <w:rPr>
                    <w:sz w:val="16"/>
                    <w:szCs w:val="16"/>
                  </w:rPr>
                  <w:t>(1.67)</w:t>
                </w:r>
              </w:p>
            </w:tc>
            <w:tc>
              <w:tcPr>
                <w:tcW w:w="1772" w:type="dxa"/>
                <w:shd w:val="clear" w:color="auto" w:fill="CAE7F3" w:themeFill="accent1" w:themeFillTint="33"/>
              </w:tcPr>
              <w:p w14:paraId="642B1847" w14:textId="77777777" w:rsidR="00830FDC" w:rsidRPr="004245A6" w:rsidRDefault="00830FDC" w:rsidP="00D0090A">
                <w:pPr>
                  <w:pStyle w:val="Tabletext"/>
                  <w:jc w:val="right"/>
                  <w:rPr>
                    <w:sz w:val="16"/>
                    <w:szCs w:val="16"/>
                  </w:rPr>
                </w:pPr>
                <w:r>
                  <w:rPr>
                    <w:sz w:val="16"/>
                    <w:szCs w:val="16"/>
                  </w:rPr>
                  <w:t>-0.001 (0.013)</w:t>
                </w:r>
              </w:p>
            </w:tc>
            <w:tc>
              <w:tcPr>
                <w:tcW w:w="1772" w:type="dxa"/>
                <w:shd w:val="clear" w:color="auto" w:fill="CAE7F3" w:themeFill="accent1" w:themeFillTint="33"/>
              </w:tcPr>
              <w:p w14:paraId="644F4A89" w14:textId="77777777" w:rsidR="00830FDC" w:rsidRPr="004245A6" w:rsidRDefault="00830FDC" w:rsidP="00D0090A">
                <w:pPr>
                  <w:pStyle w:val="Tabletext"/>
                  <w:jc w:val="right"/>
                  <w:rPr>
                    <w:sz w:val="16"/>
                    <w:szCs w:val="16"/>
                  </w:rPr>
                </w:pPr>
                <w:r>
                  <w:rPr>
                    <w:sz w:val="16"/>
                    <w:szCs w:val="16"/>
                  </w:rPr>
                  <w:t>-0.019 (0.009) *</w:t>
                </w:r>
              </w:p>
            </w:tc>
            <w:tc>
              <w:tcPr>
                <w:tcW w:w="1772" w:type="dxa"/>
                <w:shd w:val="clear" w:color="auto" w:fill="CAE7F3" w:themeFill="accent1" w:themeFillTint="33"/>
              </w:tcPr>
              <w:p w14:paraId="50EB5571" w14:textId="77777777" w:rsidR="00830FDC" w:rsidRPr="004245A6" w:rsidRDefault="00830FDC" w:rsidP="00D0090A">
                <w:pPr>
                  <w:pStyle w:val="Tabletext"/>
                  <w:jc w:val="right"/>
                  <w:rPr>
                    <w:sz w:val="16"/>
                    <w:szCs w:val="16"/>
                  </w:rPr>
                </w:pPr>
                <w:r>
                  <w:rPr>
                    <w:sz w:val="16"/>
                    <w:szCs w:val="16"/>
                  </w:rPr>
                  <w:t>-0.022 (0.008)***</w:t>
                </w:r>
              </w:p>
            </w:tc>
          </w:tr>
          <w:tr w:rsidR="00830FDC" w:rsidRPr="004245A6" w14:paraId="304D7846" w14:textId="77777777" w:rsidTr="000D227A">
            <w:tc>
              <w:tcPr>
                <w:tcW w:w="1985" w:type="dxa"/>
                <w:shd w:val="clear" w:color="auto" w:fill="CAE7F3" w:themeFill="accent1" w:themeFillTint="33"/>
              </w:tcPr>
              <w:p w14:paraId="12514057" w14:textId="77777777" w:rsidR="00830FDC" w:rsidRPr="00DD1158" w:rsidRDefault="00830FDC" w:rsidP="00D0090A">
                <w:pPr>
                  <w:pStyle w:val="Tabletext"/>
                  <w:rPr>
                    <w:sz w:val="16"/>
                    <w:szCs w:val="16"/>
                  </w:rPr>
                </w:pPr>
                <w:r w:rsidRPr="00DD1158">
                  <w:rPr>
                    <w:sz w:val="16"/>
                    <w:szCs w:val="16"/>
                  </w:rPr>
                  <w:t>Constant</w:t>
                </w:r>
              </w:p>
            </w:tc>
            <w:tc>
              <w:tcPr>
                <w:tcW w:w="1771" w:type="dxa"/>
                <w:shd w:val="clear" w:color="auto" w:fill="CAE7F3" w:themeFill="accent1" w:themeFillTint="33"/>
              </w:tcPr>
              <w:p w14:paraId="521DFDFB"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63A55EBF" w14:textId="77777777" w:rsidR="00830FDC" w:rsidRPr="004245A6" w:rsidRDefault="00830FDC" w:rsidP="00D0090A">
                <w:pPr>
                  <w:pStyle w:val="Tabletext"/>
                  <w:jc w:val="right"/>
                  <w:rPr>
                    <w:sz w:val="16"/>
                    <w:szCs w:val="16"/>
                  </w:rPr>
                </w:pPr>
                <w:r>
                  <w:rPr>
                    <w:sz w:val="16"/>
                    <w:szCs w:val="16"/>
                  </w:rPr>
                  <w:t>4.204 (0.152</w:t>
                </w:r>
                <w:r w:rsidRPr="004245A6">
                  <w:rPr>
                    <w:sz w:val="16"/>
                    <w:szCs w:val="16"/>
                  </w:rPr>
                  <w:t>)</w:t>
                </w:r>
              </w:p>
            </w:tc>
            <w:tc>
              <w:tcPr>
                <w:tcW w:w="1772" w:type="dxa"/>
                <w:shd w:val="clear" w:color="auto" w:fill="CAE7F3" w:themeFill="accent1" w:themeFillTint="33"/>
              </w:tcPr>
              <w:p w14:paraId="5A30BA0C" w14:textId="77777777" w:rsidR="00830FDC" w:rsidRPr="004245A6" w:rsidRDefault="00830FDC" w:rsidP="00D0090A">
                <w:pPr>
                  <w:pStyle w:val="Tabletext"/>
                  <w:jc w:val="right"/>
                  <w:rPr>
                    <w:sz w:val="16"/>
                    <w:szCs w:val="16"/>
                  </w:rPr>
                </w:pPr>
                <w:r w:rsidRPr="004245A6">
                  <w:rPr>
                    <w:sz w:val="16"/>
                    <w:szCs w:val="16"/>
                  </w:rPr>
                  <w:t>4</w:t>
                </w:r>
                <w:r>
                  <w:rPr>
                    <w:sz w:val="16"/>
                    <w:szCs w:val="16"/>
                  </w:rPr>
                  <w:t>.925</w:t>
                </w:r>
                <w:r w:rsidRPr="004245A6">
                  <w:rPr>
                    <w:sz w:val="16"/>
                    <w:szCs w:val="16"/>
                  </w:rPr>
                  <w:t xml:space="preserve"> (0.</w:t>
                </w:r>
                <w:r>
                  <w:rPr>
                    <w:sz w:val="16"/>
                    <w:szCs w:val="16"/>
                  </w:rPr>
                  <w:t>132</w:t>
                </w:r>
                <w:r w:rsidRPr="004245A6">
                  <w:rPr>
                    <w:sz w:val="16"/>
                    <w:szCs w:val="16"/>
                  </w:rPr>
                  <w:t>)</w:t>
                </w:r>
              </w:p>
            </w:tc>
            <w:tc>
              <w:tcPr>
                <w:tcW w:w="1772" w:type="dxa"/>
                <w:shd w:val="clear" w:color="auto" w:fill="CAE7F3" w:themeFill="accent1" w:themeFillTint="33"/>
              </w:tcPr>
              <w:p w14:paraId="1A5E5772" w14:textId="77777777" w:rsidR="00830FDC" w:rsidRPr="004245A6" w:rsidRDefault="00830FDC" w:rsidP="00D0090A">
                <w:pPr>
                  <w:pStyle w:val="Tabletext"/>
                  <w:jc w:val="right"/>
                  <w:rPr>
                    <w:sz w:val="16"/>
                    <w:szCs w:val="16"/>
                  </w:rPr>
                </w:pPr>
              </w:p>
            </w:tc>
          </w:tr>
          <w:tr w:rsidR="00830FDC" w:rsidRPr="004245A6" w14:paraId="200B3387" w14:textId="77777777" w:rsidTr="000D227A">
            <w:tc>
              <w:tcPr>
                <w:tcW w:w="1985" w:type="dxa"/>
                <w:shd w:val="clear" w:color="auto" w:fill="CAE7F3" w:themeFill="accent1" w:themeFillTint="33"/>
              </w:tcPr>
              <w:p w14:paraId="270BD053" w14:textId="77777777" w:rsidR="00830FDC" w:rsidRPr="00DD1158" w:rsidRDefault="00830FDC" w:rsidP="00D0090A">
                <w:pPr>
                  <w:pStyle w:val="Tabletext"/>
                  <w:rPr>
                    <w:sz w:val="16"/>
                    <w:szCs w:val="16"/>
                  </w:rPr>
                </w:pPr>
                <w:r w:rsidRPr="00DD1158">
                  <w:rPr>
                    <w:sz w:val="16"/>
                    <w:szCs w:val="16"/>
                  </w:rPr>
                  <w:t>R</w:t>
                </w:r>
                <w:r w:rsidRPr="00DD1158">
                  <w:rPr>
                    <w:sz w:val="16"/>
                    <w:szCs w:val="16"/>
                    <w:vertAlign w:val="superscript"/>
                  </w:rPr>
                  <w:t>2</w:t>
                </w:r>
              </w:p>
            </w:tc>
            <w:tc>
              <w:tcPr>
                <w:tcW w:w="1771" w:type="dxa"/>
                <w:shd w:val="clear" w:color="auto" w:fill="CAE7F3" w:themeFill="accent1" w:themeFillTint="33"/>
              </w:tcPr>
              <w:p w14:paraId="0B43D127"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43BB8635" w14:textId="77777777" w:rsidR="00830FDC" w:rsidRPr="004245A6" w:rsidRDefault="00830FDC" w:rsidP="00D0090A">
                <w:pPr>
                  <w:pStyle w:val="Tabletext"/>
                  <w:jc w:val="right"/>
                  <w:rPr>
                    <w:sz w:val="16"/>
                    <w:szCs w:val="16"/>
                  </w:rPr>
                </w:pPr>
                <w:r w:rsidRPr="004245A6">
                  <w:rPr>
                    <w:sz w:val="16"/>
                    <w:szCs w:val="16"/>
                  </w:rPr>
                  <w:t>0.5</w:t>
                </w:r>
                <w:r>
                  <w:rPr>
                    <w:sz w:val="16"/>
                    <w:szCs w:val="16"/>
                  </w:rPr>
                  <w:t>00</w:t>
                </w:r>
                <w:r w:rsidRPr="004245A6">
                  <w:rPr>
                    <w:sz w:val="16"/>
                    <w:szCs w:val="16"/>
                  </w:rPr>
                  <w:t xml:space="preserve"> (overall)</w:t>
                </w:r>
              </w:p>
            </w:tc>
            <w:tc>
              <w:tcPr>
                <w:tcW w:w="1772" w:type="dxa"/>
                <w:shd w:val="clear" w:color="auto" w:fill="CAE7F3" w:themeFill="accent1" w:themeFillTint="33"/>
              </w:tcPr>
              <w:p w14:paraId="0C186C35" w14:textId="77777777" w:rsidR="00830FDC" w:rsidRPr="004245A6" w:rsidRDefault="00830FDC" w:rsidP="00D0090A">
                <w:pPr>
                  <w:pStyle w:val="Tabletext"/>
                  <w:jc w:val="right"/>
                  <w:rPr>
                    <w:sz w:val="16"/>
                    <w:szCs w:val="16"/>
                  </w:rPr>
                </w:pPr>
                <w:r w:rsidRPr="004245A6">
                  <w:rPr>
                    <w:sz w:val="16"/>
                    <w:szCs w:val="16"/>
                  </w:rPr>
                  <w:t>0.</w:t>
                </w:r>
                <w:r>
                  <w:rPr>
                    <w:sz w:val="16"/>
                    <w:szCs w:val="16"/>
                  </w:rPr>
                  <w:t>370</w:t>
                </w:r>
                <w:r w:rsidRPr="004245A6">
                  <w:rPr>
                    <w:sz w:val="16"/>
                    <w:szCs w:val="16"/>
                  </w:rPr>
                  <w:t xml:space="preserve"> (overall)</w:t>
                </w:r>
              </w:p>
            </w:tc>
            <w:tc>
              <w:tcPr>
                <w:tcW w:w="1772" w:type="dxa"/>
                <w:shd w:val="clear" w:color="auto" w:fill="CAE7F3" w:themeFill="accent1" w:themeFillTint="33"/>
              </w:tcPr>
              <w:p w14:paraId="1FFBF5A3" w14:textId="77777777" w:rsidR="00830FDC" w:rsidRPr="004245A6" w:rsidRDefault="00830FDC" w:rsidP="00D0090A">
                <w:pPr>
                  <w:pStyle w:val="Tabletext"/>
                  <w:jc w:val="right"/>
                  <w:rPr>
                    <w:sz w:val="16"/>
                    <w:szCs w:val="16"/>
                  </w:rPr>
                </w:pPr>
                <w:r w:rsidRPr="009B6B21">
                  <w:rPr>
                    <w:sz w:val="16"/>
                    <w:szCs w:val="16"/>
                  </w:rPr>
                  <w:t>0.01</w:t>
                </w:r>
                <w:r>
                  <w:rPr>
                    <w:sz w:val="16"/>
                    <w:szCs w:val="16"/>
                  </w:rPr>
                  <w:t>5</w:t>
                </w:r>
              </w:p>
            </w:tc>
          </w:tr>
          <w:tr w:rsidR="00830FDC" w:rsidRPr="004245A6" w14:paraId="5288C74A" w14:textId="77777777" w:rsidTr="000D227A">
            <w:tc>
              <w:tcPr>
                <w:tcW w:w="1985" w:type="dxa"/>
                <w:shd w:val="clear" w:color="auto" w:fill="CAE7F3" w:themeFill="accent1" w:themeFillTint="33"/>
              </w:tcPr>
              <w:p w14:paraId="68C47631" w14:textId="77777777" w:rsidR="00830FDC" w:rsidRPr="0059206D" w:rsidRDefault="003866D9" w:rsidP="00D0090A">
                <w:pPr>
                  <w:pStyle w:val="Tabletext"/>
                  <w:rPr>
                    <w:sz w:val="16"/>
                    <w:szCs w:val="16"/>
                  </w:rPr>
                </w:pPr>
                <m:oMath>
                  <m:acc>
                    <m:accPr>
                      <m:ctrlPr>
                        <w:rPr>
                          <w:rFonts w:ascii="Cambria Math" w:eastAsiaTheme="minorHAnsi" w:hAnsi="Cambria Math" w:cstheme="minorBidi"/>
                          <w:i/>
                          <w:color w:val="auto"/>
                          <w:sz w:val="20"/>
                          <w:szCs w:val="22"/>
                          <w:lang w:eastAsia="en-US"/>
                        </w:rPr>
                      </m:ctrlPr>
                    </m:accPr>
                    <m:e>
                      <m:r>
                        <w:rPr>
                          <w:rFonts w:ascii="Cambria Math" w:hAnsi="Cambria Math"/>
                        </w:rPr>
                        <m:t>α</m:t>
                      </m:r>
                    </m:e>
                  </m:acc>
                </m:oMath>
                <w:r w:rsidR="00830FDC">
                  <w:rPr>
                    <w:color w:val="auto"/>
                    <w:sz w:val="20"/>
                    <w:szCs w:val="22"/>
                    <w:lang w:eastAsia="en-US"/>
                  </w:rPr>
                  <w:t xml:space="preserve"> </w:t>
                </w:r>
                <w:r w:rsidR="00830FDC">
                  <w:rPr>
                    <w:sz w:val="16"/>
                    <w:szCs w:val="16"/>
                  </w:rPr>
                  <w:t>(Std. dev.)</w:t>
                </w:r>
              </w:p>
            </w:tc>
            <w:tc>
              <w:tcPr>
                <w:tcW w:w="1771" w:type="dxa"/>
                <w:shd w:val="clear" w:color="auto" w:fill="CAE7F3" w:themeFill="accent1" w:themeFillTint="33"/>
              </w:tcPr>
              <w:p w14:paraId="53F71FD3"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4A8CBC51" w14:textId="77777777" w:rsidR="00830FDC" w:rsidRPr="004245A6" w:rsidRDefault="00830FDC" w:rsidP="00D0090A">
                <w:pPr>
                  <w:pStyle w:val="Tabletext"/>
                  <w:jc w:val="right"/>
                  <w:rPr>
                    <w:sz w:val="16"/>
                    <w:szCs w:val="16"/>
                  </w:rPr>
                </w:pPr>
              </w:p>
            </w:tc>
            <w:tc>
              <w:tcPr>
                <w:tcW w:w="1772" w:type="dxa"/>
                <w:shd w:val="clear" w:color="auto" w:fill="CAE7F3" w:themeFill="accent1" w:themeFillTint="33"/>
              </w:tcPr>
              <w:p w14:paraId="14214107" w14:textId="77777777" w:rsidR="00830FDC" w:rsidRPr="004245A6" w:rsidRDefault="00830FDC" w:rsidP="00D0090A">
                <w:pPr>
                  <w:pStyle w:val="Tabletext"/>
                  <w:jc w:val="right"/>
                  <w:rPr>
                    <w:sz w:val="16"/>
                    <w:szCs w:val="16"/>
                  </w:rPr>
                </w:pPr>
                <w:r w:rsidRPr="004245A6">
                  <w:rPr>
                    <w:sz w:val="16"/>
                    <w:szCs w:val="16"/>
                  </w:rPr>
                  <w:t>-</w:t>
                </w:r>
                <w:r>
                  <w:rPr>
                    <w:sz w:val="16"/>
                    <w:szCs w:val="16"/>
                  </w:rPr>
                  <w:t>4.03</w:t>
                </w:r>
                <w:r w:rsidRPr="004245A6">
                  <w:rPr>
                    <w:sz w:val="16"/>
                    <w:szCs w:val="16"/>
                  </w:rPr>
                  <w:t>e</w:t>
                </w:r>
                <w:r w:rsidRPr="004245A6">
                  <w:rPr>
                    <w:sz w:val="16"/>
                    <w:szCs w:val="16"/>
                    <w:vertAlign w:val="superscript"/>
                  </w:rPr>
                  <w:t>-1</w:t>
                </w:r>
                <w:r>
                  <w:rPr>
                    <w:sz w:val="16"/>
                    <w:szCs w:val="16"/>
                    <w:vertAlign w:val="superscript"/>
                  </w:rPr>
                  <w:t>1</w:t>
                </w:r>
                <w:r w:rsidRPr="004245A6">
                  <w:rPr>
                    <w:sz w:val="16"/>
                    <w:szCs w:val="16"/>
                    <w:vertAlign w:val="subscript"/>
                  </w:rPr>
                  <w:softHyphen/>
                </w:r>
                <w:r w:rsidRPr="004245A6">
                  <w:rPr>
                    <w:sz w:val="16"/>
                    <w:szCs w:val="16"/>
                  </w:rPr>
                  <w:t xml:space="preserve"> (0.3</w:t>
                </w:r>
                <w:r>
                  <w:rPr>
                    <w:sz w:val="16"/>
                    <w:szCs w:val="16"/>
                  </w:rPr>
                  <w:t>3</w:t>
                </w:r>
                <w:r w:rsidRPr="004245A6">
                  <w:rPr>
                    <w:sz w:val="16"/>
                    <w:szCs w:val="16"/>
                  </w:rPr>
                  <w:t>)</w:t>
                </w:r>
              </w:p>
            </w:tc>
            <w:tc>
              <w:tcPr>
                <w:tcW w:w="1772" w:type="dxa"/>
                <w:shd w:val="clear" w:color="auto" w:fill="CAE7F3" w:themeFill="accent1" w:themeFillTint="33"/>
              </w:tcPr>
              <w:p w14:paraId="5AC85599" w14:textId="77777777" w:rsidR="00830FDC" w:rsidRPr="004245A6" w:rsidRDefault="00830FDC" w:rsidP="00D0090A">
                <w:pPr>
                  <w:pStyle w:val="Tabletext"/>
                  <w:jc w:val="right"/>
                  <w:rPr>
                    <w:sz w:val="16"/>
                    <w:szCs w:val="16"/>
                  </w:rPr>
                </w:pPr>
              </w:p>
            </w:tc>
          </w:tr>
        </w:tbl>
        <w:p w14:paraId="6452539F" w14:textId="32B9E3CF" w:rsidR="00830FDC" w:rsidRPr="00A30089" w:rsidRDefault="00830FDC" w:rsidP="00830FDC">
          <w:pPr>
            <w:pStyle w:val="NoteWide"/>
          </w:pPr>
          <w:r w:rsidRPr="00A30089">
            <w:t>Note</w:t>
          </w:r>
          <w:r>
            <w:t xml:space="preserve">s: Panel data analysed for years 2008–2014 to obtain a balanced design. Data for expenditure on R&amp;D was only available for financial years ending in June 2009 –June  2013. * Significant at </w:t>
          </w:r>
          <w:r w:rsidR="00634DF0">
            <w:t>five</w:t>
          </w:r>
          <w:r>
            <w:t xml:space="preserve"> per cent ** Significant at </w:t>
          </w:r>
          <w:r w:rsidR="00634DF0">
            <w:t xml:space="preserve">one </w:t>
          </w:r>
          <w:r>
            <w:t>per cent, *** Significant at 0.1 per cent.</w:t>
          </w:r>
        </w:p>
        <w:p w14:paraId="455EF0A0" w14:textId="0EB0856B" w:rsidR="00830FDC" w:rsidRPr="00A30089" w:rsidRDefault="00830FDC" w:rsidP="00830FDC">
          <w:pPr>
            <w:pStyle w:val="SourceWide"/>
          </w:pPr>
          <w:r>
            <w:t>Source: Intellectual Property Government Open Data (2015), viewed 1</w:t>
          </w:r>
          <w:r w:rsidRPr="00E92212">
            <w:rPr>
              <w:vertAlign w:val="superscript"/>
            </w:rPr>
            <w:t>st</w:t>
          </w:r>
          <w:r>
            <w:t xml:space="preserve"> May, 2015, </w:t>
          </w:r>
          <w:hyperlink r:id="rId66" w:tooltip="https://data.gov.au/dataset/intellectual-property-government-open-data" w:history="1">
            <w:r w:rsidRPr="00945169">
              <w:rPr>
                <w:rStyle w:val="Hyperlink"/>
              </w:rPr>
              <w:t>https://data.gov.au/dataset/intellectual-property-government-open-data</w:t>
            </w:r>
          </w:hyperlink>
          <w:r>
            <w:rPr>
              <w:rStyle w:val="Hyperlink"/>
            </w:rPr>
            <w:t xml:space="preserve">; </w:t>
          </w:r>
          <w:r>
            <w:t xml:space="preserve"> R&amp;D Tax Incentive Programme, viewed 22</w:t>
          </w:r>
          <w:r w:rsidRPr="00E92212">
            <w:rPr>
              <w:vertAlign w:val="superscript"/>
            </w:rPr>
            <w:t>nd</w:t>
          </w:r>
          <w:r>
            <w:t xml:space="preserve"> June, 2015; Australian Bureau of Statistics (2015) </w:t>
          </w:r>
          <w:r>
            <w:rPr>
              <w:i/>
            </w:rPr>
            <w:t xml:space="preserve">Counts of Australian Businesses 2008–2015, </w:t>
          </w:r>
          <w:r>
            <w:t>cat. no. 8165</w:t>
          </w:r>
          <w:r w:rsidRPr="003B74B4">
            <w:t>.0</w:t>
          </w:r>
          <w:r>
            <w:t xml:space="preserve"> (data available on request).</w:t>
          </w:r>
        </w:p>
        <w:p w14:paraId="6641F93F" w14:textId="77777777" w:rsidR="00830FDC" w:rsidRPr="000618FB" w:rsidRDefault="00830FDC" w:rsidP="00830FDC">
          <w:pPr>
            <w:pStyle w:val="CaptionWide"/>
          </w:pPr>
          <w:r w:rsidRPr="000618FB">
            <w:t xml:space="preserve">Table </w:t>
          </w:r>
          <w:fldSimple w:instr=" STYLEREF 6 \s ">
            <w:r w:rsidR="00D55DA4">
              <w:rPr>
                <w:noProof/>
              </w:rPr>
              <w:t>B</w:t>
            </w:r>
          </w:fldSimple>
          <w:r>
            <w:t>4: Regression coefficients (and standard error) of change in business exits by patents, trademarks and R&amp;D expenditure according to different estimation models</w:t>
          </w:r>
        </w:p>
        <w:tbl>
          <w:tblPr>
            <w:tblStyle w:val="TableGrid"/>
            <w:tblW w:w="490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B4: Regression coefficients (and standard error) of change in business exits by patents, trademarks and R&amp;D expenditure according to different estimation models"/>
            <w:tblDescription w:val="Examines regression coefficients (and standard error) of change in business entries by patents, trademarks and R&amp;D expenditure according to different estimation models across business entries, mean (overall std. deviation), coeff. between estimators, coeff. fixed effects and coeff. first diferences. "/>
          </w:tblPr>
          <w:tblGrid>
            <w:gridCol w:w="1946"/>
            <w:gridCol w:w="1721"/>
            <w:gridCol w:w="1731"/>
            <w:gridCol w:w="1729"/>
            <w:gridCol w:w="1733"/>
          </w:tblGrid>
          <w:tr w:rsidR="00830FDC" w:rsidRPr="00DD1158" w14:paraId="6E39C547" w14:textId="77777777" w:rsidTr="000D227A">
            <w:trPr>
              <w:trHeight w:val="295"/>
              <w:tblHeader/>
            </w:trPr>
            <w:tc>
              <w:tcPr>
                <w:tcW w:w="1985" w:type="dxa"/>
                <w:vMerge w:val="restart"/>
                <w:shd w:val="clear" w:color="auto" w:fill="22789A" w:themeFill="accent1"/>
                <w:vAlign w:val="bottom"/>
              </w:tcPr>
              <w:p w14:paraId="0C03DEE6" w14:textId="77777777" w:rsidR="00830FDC" w:rsidRPr="00DD1158" w:rsidRDefault="00830FDC" w:rsidP="00D0090A">
                <w:pPr>
                  <w:pStyle w:val="Tableheader"/>
                  <w:rPr>
                    <w:sz w:val="16"/>
                    <w:szCs w:val="16"/>
                  </w:rPr>
                </w:pPr>
                <w:r w:rsidRPr="00DD1158">
                  <w:rPr>
                    <w:sz w:val="16"/>
                    <w:szCs w:val="16"/>
                  </w:rPr>
                  <w:t>Ln (Business e</w:t>
                </w:r>
                <w:r>
                  <w:rPr>
                    <w:sz w:val="16"/>
                    <w:szCs w:val="16"/>
                  </w:rPr>
                  <w:t>xits</w:t>
                </w:r>
                <w:r w:rsidRPr="00DD1158">
                  <w:rPr>
                    <w:sz w:val="16"/>
                    <w:szCs w:val="16"/>
                  </w:rPr>
                  <w:t>)</w:t>
                </w:r>
              </w:p>
            </w:tc>
            <w:tc>
              <w:tcPr>
                <w:tcW w:w="1771" w:type="dxa"/>
                <w:shd w:val="clear" w:color="auto" w:fill="22789A" w:themeFill="accent1"/>
              </w:tcPr>
              <w:p w14:paraId="0B8ADE72" w14:textId="77777777" w:rsidR="00830FDC" w:rsidRPr="00DD1158" w:rsidRDefault="00830FDC" w:rsidP="00D0090A">
                <w:pPr>
                  <w:pStyle w:val="Tableheader"/>
                  <w:jc w:val="right"/>
                  <w:rPr>
                    <w:sz w:val="16"/>
                    <w:szCs w:val="16"/>
                  </w:rPr>
                </w:pPr>
                <w:r>
                  <w:rPr>
                    <w:sz w:val="16"/>
                    <w:szCs w:val="16"/>
                  </w:rPr>
                  <w:t>Mean</w:t>
                </w:r>
                <w:r>
                  <w:rPr>
                    <w:sz w:val="16"/>
                    <w:szCs w:val="16"/>
                  </w:rPr>
                  <w:br/>
                  <w:t>(Overall Std. dev.)</w:t>
                </w:r>
              </w:p>
            </w:tc>
            <w:tc>
              <w:tcPr>
                <w:tcW w:w="1772" w:type="dxa"/>
                <w:shd w:val="clear" w:color="auto" w:fill="22789A" w:themeFill="accent1"/>
              </w:tcPr>
              <w:p w14:paraId="69847A6D"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Between estimators</w:t>
                </w:r>
              </w:p>
            </w:tc>
            <w:tc>
              <w:tcPr>
                <w:tcW w:w="1772" w:type="dxa"/>
                <w:shd w:val="clear" w:color="auto" w:fill="22789A" w:themeFill="accent1"/>
              </w:tcPr>
              <w:p w14:paraId="1A599E96"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Fixed effects</w:t>
                </w:r>
              </w:p>
            </w:tc>
            <w:tc>
              <w:tcPr>
                <w:tcW w:w="1772" w:type="dxa"/>
                <w:shd w:val="clear" w:color="auto" w:fill="22789A" w:themeFill="accent1"/>
              </w:tcPr>
              <w:p w14:paraId="7B25A50C"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First differences</w:t>
                </w:r>
              </w:p>
            </w:tc>
          </w:tr>
          <w:tr w:rsidR="00830FDC" w:rsidRPr="00DD1158" w14:paraId="32123866" w14:textId="77777777" w:rsidTr="000D227A">
            <w:trPr>
              <w:tblHeader/>
            </w:trPr>
            <w:tc>
              <w:tcPr>
                <w:tcW w:w="1985" w:type="dxa"/>
                <w:vMerge/>
                <w:shd w:val="clear" w:color="auto" w:fill="CAE7F3" w:themeFill="accent1" w:themeFillTint="33"/>
                <w:vAlign w:val="center"/>
              </w:tcPr>
              <w:p w14:paraId="395221D0" w14:textId="77777777" w:rsidR="00830FDC" w:rsidRPr="00DD1158" w:rsidRDefault="00830FDC" w:rsidP="00D0090A">
                <w:pPr>
                  <w:pStyle w:val="Tabletext"/>
                  <w:rPr>
                    <w:sz w:val="16"/>
                    <w:szCs w:val="16"/>
                  </w:rPr>
                </w:pPr>
              </w:p>
            </w:tc>
            <w:tc>
              <w:tcPr>
                <w:tcW w:w="1771" w:type="dxa"/>
                <w:shd w:val="clear" w:color="auto" w:fill="CAE7F3" w:themeFill="accent1" w:themeFillTint="33"/>
              </w:tcPr>
              <w:p w14:paraId="1EE80D7E" w14:textId="77777777" w:rsidR="00830FDC" w:rsidRPr="00DD1158" w:rsidRDefault="00830FDC" w:rsidP="00D0090A">
                <w:pPr>
                  <w:pStyle w:val="Tabletext"/>
                  <w:jc w:val="right"/>
                  <w:rPr>
                    <w:sz w:val="16"/>
                    <w:szCs w:val="16"/>
                  </w:rPr>
                </w:pPr>
                <w:r>
                  <w:rPr>
                    <w:sz w:val="16"/>
                    <w:szCs w:val="16"/>
                  </w:rPr>
                  <w:t>4.77 (0.37)</w:t>
                </w:r>
              </w:p>
            </w:tc>
            <w:tc>
              <w:tcPr>
                <w:tcW w:w="1772" w:type="dxa"/>
                <w:shd w:val="clear" w:color="auto" w:fill="CAE7F3" w:themeFill="accent1" w:themeFillTint="33"/>
              </w:tcPr>
              <w:p w14:paraId="475A67F3"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7252B28F"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69991D9E" w14:textId="77777777" w:rsidR="00830FDC" w:rsidRPr="00DD1158" w:rsidRDefault="00830FDC" w:rsidP="00D0090A">
                <w:pPr>
                  <w:pStyle w:val="Tabletext"/>
                  <w:jc w:val="right"/>
                  <w:rPr>
                    <w:sz w:val="16"/>
                    <w:szCs w:val="16"/>
                  </w:rPr>
                </w:pPr>
              </w:p>
            </w:tc>
          </w:tr>
          <w:tr w:rsidR="00830FDC" w:rsidRPr="004245A6" w14:paraId="61FAC917" w14:textId="77777777" w:rsidTr="00D0090A">
            <w:tc>
              <w:tcPr>
                <w:tcW w:w="1985" w:type="dxa"/>
                <w:shd w:val="clear" w:color="auto" w:fill="CAE7F3" w:themeFill="accent1" w:themeFillTint="33"/>
                <w:vAlign w:val="center"/>
              </w:tcPr>
              <w:p w14:paraId="000A8084" w14:textId="77777777" w:rsidR="00830FDC" w:rsidRPr="00DD1158" w:rsidRDefault="00830FDC" w:rsidP="00D0090A">
                <w:pPr>
                  <w:pStyle w:val="Tabletext"/>
                  <w:rPr>
                    <w:sz w:val="16"/>
                    <w:szCs w:val="16"/>
                  </w:rPr>
                </w:pPr>
                <w:r w:rsidRPr="00DD1158">
                  <w:rPr>
                    <w:sz w:val="16"/>
                    <w:szCs w:val="16"/>
                  </w:rPr>
                  <w:t>Ln (Patents)</w:t>
                </w:r>
              </w:p>
            </w:tc>
            <w:tc>
              <w:tcPr>
                <w:tcW w:w="1771" w:type="dxa"/>
                <w:shd w:val="clear" w:color="auto" w:fill="CAE7F3" w:themeFill="accent1" w:themeFillTint="33"/>
              </w:tcPr>
              <w:p w14:paraId="2DF10B2A" w14:textId="77777777" w:rsidR="00830FDC" w:rsidRPr="00DD1158" w:rsidRDefault="00830FDC" w:rsidP="00D0090A">
                <w:pPr>
                  <w:pStyle w:val="Tabletext"/>
                  <w:jc w:val="right"/>
                  <w:rPr>
                    <w:sz w:val="16"/>
                    <w:szCs w:val="16"/>
                  </w:rPr>
                </w:pPr>
                <w:r>
                  <w:rPr>
                    <w:sz w:val="16"/>
                    <w:szCs w:val="16"/>
                  </w:rPr>
                  <w:t>0.95 (0.88)</w:t>
                </w:r>
              </w:p>
            </w:tc>
            <w:tc>
              <w:tcPr>
                <w:tcW w:w="1772" w:type="dxa"/>
                <w:shd w:val="clear" w:color="auto" w:fill="CAE7F3" w:themeFill="accent1" w:themeFillTint="33"/>
              </w:tcPr>
              <w:p w14:paraId="1346217B" w14:textId="77777777" w:rsidR="00830FDC" w:rsidRPr="004245A6" w:rsidRDefault="00830FDC" w:rsidP="00D0090A">
                <w:pPr>
                  <w:pStyle w:val="Tabletext"/>
                  <w:jc w:val="right"/>
                  <w:rPr>
                    <w:sz w:val="16"/>
                    <w:szCs w:val="16"/>
                  </w:rPr>
                </w:pPr>
                <w:r w:rsidRPr="004245A6">
                  <w:rPr>
                    <w:sz w:val="16"/>
                    <w:szCs w:val="16"/>
                  </w:rPr>
                  <w:t>0.</w:t>
                </w:r>
                <w:r w:rsidRPr="00DE3252">
                  <w:rPr>
                    <w:sz w:val="16"/>
                    <w:szCs w:val="16"/>
                  </w:rPr>
                  <w:t>12</w:t>
                </w:r>
                <w:r>
                  <w:rPr>
                    <w:sz w:val="16"/>
                    <w:szCs w:val="16"/>
                  </w:rPr>
                  <w:t xml:space="preserve">9 </w:t>
                </w:r>
                <w:r w:rsidRPr="004245A6">
                  <w:rPr>
                    <w:sz w:val="16"/>
                    <w:szCs w:val="16"/>
                  </w:rPr>
                  <w:t>(0.0</w:t>
                </w:r>
                <w:r>
                  <w:rPr>
                    <w:sz w:val="16"/>
                    <w:szCs w:val="16"/>
                  </w:rPr>
                  <w:t>32</w:t>
                </w:r>
                <w:r w:rsidRPr="004245A6">
                  <w:rPr>
                    <w:sz w:val="16"/>
                    <w:szCs w:val="16"/>
                  </w:rPr>
                  <w:t>)</w:t>
                </w:r>
                <w:r>
                  <w:rPr>
                    <w:sz w:val="16"/>
                    <w:szCs w:val="16"/>
                  </w:rPr>
                  <w:t xml:space="preserve"> ***</w:t>
                </w:r>
              </w:p>
            </w:tc>
            <w:tc>
              <w:tcPr>
                <w:tcW w:w="1772" w:type="dxa"/>
                <w:shd w:val="clear" w:color="auto" w:fill="CAE7F3" w:themeFill="accent1" w:themeFillTint="33"/>
              </w:tcPr>
              <w:p w14:paraId="047F16EC" w14:textId="77777777" w:rsidR="00830FDC" w:rsidRPr="004245A6" w:rsidRDefault="00830FDC" w:rsidP="00D0090A">
                <w:pPr>
                  <w:pStyle w:val="Tabletext"/>
                  <w:jc w:val="right"/>
                  <w:rPr>
                    <w:sz w:val="16"/>
                    <w:szCs w:val="16"/>
                  </w:rPr>
                </w:pPr>
                <w:r>
                  <w:rPr>
                    <w:sz w:val="16"/>
                    <w:szCs w:val="16"/>
                  </w:rPr>
                  <w:t>0.039</w:t>
                </w:r>
                <w:r w:rsidRPr="004245A6">
                  <w:rPr>
                    <w:sz w:val="16"/>
                    <w:szCs w:val="16"/>
                  </w:rPr>
                  <w:t xml:space="preserve"> (0.0</w:t>
                </w:r>
                <w:r>
                  <w:rPr>
                    <w:sz w:val="16"/>
                    <w:szCs w:val="16"/>
                  </w:rPr>
                  <w:t>07</w:t>
                </w:r>
                <w:r w:rsidRPr="004245A6">
                  <w:rPr>
                    <w:sz w:val="16"/>
                    <w:szCs w:val="16"/>
                  </w:rPr>
                  <w:t>)</w:t>
                </w:r>
                <w:r>
                  <w:rPr>
                    <w:sz w:val="16"/>
                    <w:szCs w:val="16"/>
                  </w:rPr>
                  <w:t xml:space="preserve"> **</w:t>
                </w:r>
                <w:r w:rsidRPr="004245A6">
                  <w:rPr>
                    <w:sz w:val="16"/>
                    <w:szCs w:val="16"/>
                  </w:rPr>
                  <w:t>*</w:t>
                </w:r>
              </w:p>
            </w:tc>
            <w:tc>
              <w:tcPr>
                <w:tcW w:w="1772" w:type="dxa"/>
                <w:shd w:val="clear" w:color="auto" w:fill="CAE7F3" w:themeFill="accent1" w:themeFillTint="33"/>
              </w:tcPr>
              <w:p w14:paraId="1A9F07CB" w14:textId="77777777" w:rsidR="00830FDC" w:rsidRPr="004245A6" w:rsidRDefault="00830FDC" w:rsidP="00D0090A">
                <w:pPr>
                  <w:pStyle w:val="Tabletext"/>
                  <w:jc w:val="right"/>
                  <w:rPr>
                    <w:sz w:val="16"/>
                    <w:szCs w:val="16"/>
                  </w:rPr>
                </w:pPr>
                <w:r w:rsidRPr="004245A6">
                  <w:rPr>
                    <w:sz w:val="16"/>
                    <w:szCs w:val="16"/>
                  </w:rPr>
                  <w:t>0.0</w:t>
                </w:r>
                <w:r>
                  <w:rPr>
                    <w:sz w:val="16"/>
                    <w:szCs w:val="16"/>
                  </w:rPr>
                  <w:t>07</w:t>
                </w:r>
                <w:r w:rsidRPr="004245A6">
                  <w:rPr>
                    <w:sz w:val="16"/>
                    <w:szCs w:val="16"/>
                  </w:rPr>
                  <w:t xml:space="preserve"> (0.0</w:t>
                </w:r>
                <w:r>
                  <w:rPr>
                    <w:sz w:val="16"/>
                    <w:szCs w:val="16"/>
                  </w:rPr>
                  <w:t>08</w:t>
                </w:r>
                <w:r w:rsidRPr="004245A6">
                  <w:rPr>
                    <w:sz w:val="16"/>
                    <w:szCs w:val="16"/>
                  </w:rPr>
                  <w:t>)</w:t>
                </w:r>
              </w:p>
            </w:tc>
          </w:tr>
          <w:tr w:rsidR="00830FDC" w:rsidRPr="004245A6" w14:paraId="5BEA87A6" w14:textId="77777777" w:rsidTr="00D0090A">
            <w:tc>
              <w:tcPr>
                <w:tcW w:w="1985" w:type="dxa"/>
                <w:shd w:val="clear" w:color="auto" w:fill="CAE7F3" w:themeFill="accent1" w:themeFillTint="33"/>
                <w:vAlign w:val="center"/>
              </w:tcPr>
              <w:p w14:paraId="6D016918" w14:textId="77777777" w:rsidR="00830FDC" w:rsidRPr="00DD1158" w:rsidRDefault="00830FDC" w:rsidP="00D0090A">
                <w:pPr>
                  <w:pStyle w:val="Tabletext"/>
                  <w:rPr>
                    <w:sz w:val="16"/>
                    <w:szCs w:val="16"/>
                  </w:rPr>
                </w:pPr>
                <w:r w:rsidRPr="00DD1158">
                  <w:rPr>
                    <w:sz w:val="16"/>
                    <w:szCs w:val="16"/>
                  </w:rPr>
                  <w:t>Ln (Trademarks)</w:t>
                </w:r>
              </w:p>
            </w:tc>
            <w:tc>
              <w:tcPr>
                <w:tcW w:w="1771" w:type="dxa"/>
                <w:shd w:val="clear" w:color="auto" w:fill="CAE7F3" w:themeFill="accent1" w:themeFillTint="33"/>
              </w:tcPr>
              <w:p w14:paraId="6A29B394" w14:textId="77777777" w:rsidR="00830FDC" w:rsidRPr="00DD1158" w:rsidRDefault="00830FDC" w:rsidP="00D0090A">
                <w:pPr>
                  <w:pStyle w:val="Tabletext"/>
                  <w:jc w:val="right"/>
                  <w:rPr>
                    <w:sz w:val="16"/>
                    <w:szCs w:val="16"/>
                  </w:rPr>
                </w:pPr>
                <w:r>
                  <w:rPr>
                    <w:sz w:val="16"/>
                    <w:szCs w:val="16"/>
                  </w:rPr>
                  <w:t>2.27 (0.98)</w:t>
                </w:r>
              </w:p>
            </w:tc>
            <w:tc>
              <w:tcPr>
                <w:tcW w:w="1772" w:type="dxa"/>
                <w:shd w:val="clear" w:color="auto" w:fill="CAE7F3" w:themeFill="accent1" w:themeFillTint="33"/>
              </w:tcPr>
              <w:p w14:paraId="5CDB2A54" w14:textId="77777777" w:rsidR="00830FDC" w:rsidRPr="004245A6" w:rsidRDefault="00830FDC" w:rsidP="00D0090A">
                <w:pPr>
                  <w:pStyle w:val="Tabletext"/>
                  <w:jc w:val="right"/>
                  <w:rPr>
                    <w:sz w:val="16"/>
                    <w:szCs w:val="16"/>
                  </w:rPr>
                </w:pPr>
                <w:r w:rsidRPr="004245A6">
                  <w:rPr>
                    <w:sz w:val="16"/>
                    <w:szCs w:val="16"/>
                  </w:rPr>
                  <w:t>0.</w:t>
                </w:r>
                <w:r>
                  <w:rPr>
                    <w:sz w:val="16"/>
                    <w:szCs w:val="16"/>
                  </w:rPr>
                  <w:t>165</w:t>
                </w:r>
                <w:r w:rsidRPr="004245A6">
                  <w:rPr>
                    <w:sz w:val="16"/>
                    <w:szCs w:val="16"/>
                  </w:rPr>
                  <w:t xml:space="preserve"> (0.</w:t>
                </w:r>
                <w:r>
                  <w:rPr>
                    <w:sz w:val="16"/>
                    <w:szCs w:val="16"/>
                  </w:rPr>
                  <w:t>027</w:t>
                </w:r>
                <w:r w:rsidRPr="004245A6">
                  <w:rPr>
                    <w:sz w:val="16"/>
                    <w:szCs w:val="16"/>
                  </w:rPr>
                  <w:t>) ***</w:t>
                </w:r>
              </w:p>
            </w:tc>
            <w:tc>
              <w:tcPr>
                <w:tcW w:w="1772" w:type="dxa"/>
                <w:shd w:val="clear" w:color="auto" w:fill="CAE7F3" w:themeFill="accent1" w:themeFillTint="33"/>
              </w:tcPr>
              <w:p w14:paraId="5EF3B221" w14:textId="77777777" w:rsidR="00830FDC" w:rsidRPr="004245A6" w:rsidRDefault="00830FDC" w:rsidP="00D0090A">
                <w:pPr>
                  <w:pStyle w:val="Tabletext"/>
                  <w:jc w:val="right"/>
                  <w:rPr>
                    <w:sz w:val="16"/>
                    <w:szCs w:val="16"/>
                  </w:rPr>
                </w:pPr>
                <w:r>
                  <w:rPr>
                    <w:sz w:val="16"/>
                    <w:szCs w:val="16"/>
                  </w:rPr>
                  <w:t xml:space="preserve">0.003 </w:t>
                </w:r>
                <w:r w:rsidRPr="004245A6">
                  <w:rPr>
                    <w:sz w:val="16"/>
                    <w:szCs w:val="16"/>
                  </w:rPr>
                  <w:t>(0.0</w:t>
                </w:r>
                <w:r>
                  <w:rPr>
                    <w:sz w:val="16"/>
                    <w:szCs w:val="16"/>
                  </w:rPr>
                  <w:t>10</w:t>
                </w:r>
                <w:r w:rsidRPr="004245A6">
                  <w:rPr>
                    <w:sz w:val="16"/>
                    <w:szCs w:val="16"/>
                  </w:rPr>
                  <w:t>)</w:t>
                </w:r>
              </w:p>
            </w:tc>
            <w:tc>
              <w:tcPr>
                <w:tcW w:w="1772" w:type="dxa"/>
                <w:shd w:val="clear" w:color="auto" w:fill="CAE7F3" w:themeFill="accent1" w:themeFillTint="33"/>
              </w:tcPr>
              <w:p w14:paraId="46057F1E" w14:textId="77777777" w:rsidR="00830FDC" w:rsidRPr="004245A6" w:rsidRDefault="00830FDC" w:rsidP="00D0090A">
                <w:pPr>
                  <w:pStyle w:val="Tabletext"/>
                  <w:jc w:val="right"/>
                  <w:rPr>
                    <w:sz w:val="16"/>
                    <w:szCs w:val="16"/>
                  </w:rPr>
                </w:pPr>
                <w:r w:rsidRPr="004245A6">
                  <w:rPr>
                    <w:sz w:val="16"/>
                    <w:szCs w:val="16"/>
                  </w:rPr>
                  <w:t>0.0</w:t>
                </w:r>
                <w:r>
                  <w:rPr>
                    <w:sz w:val="16"/>
                    <w:szCs w:val="16"/>
                  </w:rPr>
                  <w:t>01</w:t>
                </w:r>
                <w:r w:rsidRPr="004245A6">
                  <w:rPr>
                    <w:sz w:val="16"/>
                    <w:szCs w:val="16"/>
                  </w:rPr>
                  <w:t xml:space="preserve"> (0.01</w:t>
                </w:r>
                <w:r>
                  <w:rPr>
                    <w:sz w:val="16"/>
                    <w:szCs w:val="16"/>
                  </w:rPr>
                  <w:t>0</w:t>
                </w:r>
                <w:r w:rsidRPr="004245A6">
                  <w:rPr>
                    <w:sz w:val="16"/>
                    <w:szCs w:val="16"/>
                  </w:rPr>
                  <w:t>)</w:t>
                </w:r>
              </w:p>
            </w:tc>
          </w:tr>
          <w:tr w:rsidR="00830FDC" w:rsidRPr="004245A6" w14:paraId="01570644" w14:textId="77777777" w:rsidTr="00D0090A">
            <w:tc>
              <w:tcPr>
                <w:tcW w:w="1985" w:type="dxa"/>
                <w:shd w:val="clear" w:color="auto" w:fill="CAE7F3" w:themeFill="accent1" w:themeFillTint="33"/>
              </w:tcPr>
              <w:p w14:paraId="4F62DEC5" w14:textId="77777777" w:rsidR="00830FDC" w:rsidRPr="00DD1158" w:rsidRDefault="00830FDC" w:rsidP="00D0090A">
                <w:pPr>
                  <w:pStyle w:val="Tabletext"/>
                  <w:rPr>
                    <w:sz w:val="16"/>
                    <w:szCs w:val="16"/>
                  </w:rPr>
                </w:pPr>
                <w:r>
                  <w:rPr>
                    <w:sz w:val="16"/>
                    <w:szCs w:val="16"/>
                  </w:rPr>
                  <w:t>Ln (R&amp;D Expenditure)</w:t>
                </w:r>
              </w:p>
            </w:tc>
            <w:tc>
              <w:tcPr>
                <w:tcW w:w="1771" w:type="dxa"/>
                <w:shd w:val="clear" w:color="auto" w:fill="CAE7F3" w:themeFill="accent1" w:themeFillTint="33"/>
              </w:tcPr>
              <w:p w14:paraId="1F0901E3" w14:textId="77777777" w:rsidR="00830FDC" w:rsidRPr="00DD1158" w:rsidRDefault="00830FDC" w:rsidP="00D0090A">
                <w:pPr>
                  <w:pStyle w:val="Tabletext"/>
                  <w:jc w:val="right"/>
                  <w:rPr>
                    <w:sz w:val="16"/>
                    <w:szCs w:val="16"/>
                  </w:rPr>
                </w:pPr>
                <w:r>
                  <w:rPr>
                    <w:sz w:val="16"/>
                    <w:szCs w:val="16"/>
                  </w:rPr>
                  <w:t>14.07</w:t>
                </w:r>
                <w:r w:rsidRPr="00DE3252" w:rsidDel="00DE3252">
                  <w:rPr>
                    <w:sz w:val="16"/>
                    <w:szCs w:val="16"/>
                  </w:rPr>
                  <w:t xml:space="preserve"> </w:t>
                </w:r>
                <w:r>
                  <w:rPr>
                    <w:sz w:val="16"/>
                    <w:szCs w:val="16"/>
                  </w:rPr>
                  <w:t>(1.67)</w:t>
                </w:r>
              </w:p>
            </w:tc>
            <w:tc>
              <w:tcPr>
                <w:tcW w:w="1772" w:type="dxa"/>
                <w:shd w:val="clear" w:color="auto" w:fill="CAE7F3" w:themeFill="accent1" w:themeFillTint="33"/>
              </w:tcPr>
              <w:p w14:paraId="379A1E88" w14:textId="77777777" w:rsidR="00830FDC" w:rsidRPr="004245A6" w:rsidRDefault="00830FDC" w:rsidP="00D0090A">
                <w:pPr>
                  <w:pStyle w:val="Tabletext"/>
                  <w:jc w:val="right"/>
                  <w:rPr>
                    <w:sz w:val="16"/>
                    <w:szCs w:val="16"/>
                  </w:rPr>
                </w:pPr>
                <w:r>
                  <w:rPr>
                    <w:sz w:val="16"/>
                    <w:szCs w:val="16"/>
                  </w:rPr>
                  <w:t xml:space="preserve">-0.008 (0.013) </w:t>
                </w:r>
              </w:p>
            </w:tc>
            <w:tc>
              <w:tcPr>
                <w:tcW w:w="1772" w:type="dxa"/>
                <w:shd w:val="clear" w:color="auto" w:fill="CAE7F3" w:themeFill="accent1" w:themeFillTint="33"/>
              </w:tcPr>
              <w:p w14:paraId="2E9222AC" w14:textId="77777777" w:rsidR="00830FDC" w:rsidRPr="004245A6" w:rsidRDefault="00830FDC" w:rsidP="00D0090A">
                <w:pPr>
                  <w:pStyle w:val="Tabletext"/>
                  <w:jc w:val="right"/>
                  <w:rPr>
                    <w:sz w:val="16"/>
                    <w:szCs w:val="16"/>
                  </w:rPr>
                </w:pPr>
                <w:r>
                  <w:rPr>
                    <w:sz w:val="16"/>
                    <w:szCs w:val="16"/>
                  </w:rPr>
                  <w:t>0.000 (0.005)</w:t>
                </w:r>
              </w:p>
            </w:tc>
            <w:tc>
              <w:tcPr>
                <w:tcW w:w="1772" w:type="dxa"/>
                <w:shd w:val="clear" w:color="auto" w:fill="CAE7F3" w:themeFill="accent1" w:themeFillTint="33"/>
              </w:tcPr>
              <w:p w14:paraId="3748DD1A" w14:textId="77777777" w:rsidR="00830FDC" w:rsidRPr="004245A6" w:rsidRDefault="00830FDC" w:rsidP="00D0090A">
                <w:pPr>
                  <w:pStyle w:val="Tabletext"/>
                  <w:jc w:val="right"/>
                  <w:rPr>
                    <w:sz w:val="16"/>
                    <w:szCs w:val="16"/>
                  </w:rPr>
                </w:pPr>
                <w:r>
                  <w:rPr>
                    <w:sz w:val="16"/>
                    <w:szCs w:val="16"/>
                  </w:rPr>
                  <w:t>0.000 (0.006)</w:t>
                </w:r>
              </w:p>
            </w:tc>
          </w:tr>
          <w:tr w:rsidR="00830FDC" w:rsidRPr="004245A6" w14:paraId="7E9D6DD4" w14:textId="77777777" w:rsidTr="00D0090A">
            <w:tc>
              <w:tcPr>
                <w:tcW w:w="1985" w:type="dxa"/>
                <w:shd w:val="clear" w:color="auto" w:fill="CAE7F3" w:themeFill="accent1" w:themeFillTint="33"/>
              </w:tcPr>
              <w:p w14:paraId="02980DB0" w14:textId="77777777" w:rsidR="00830FDC" w:rsidRPr="00DD1158" w:rsidRDefault="00830FDC" w:rsidP="00D0090A">
                <w:pPr>
                  <w:pStyle w:val="Tabletext"/>
                  <w:rPr>
                    <w:sz w:val="16"/>
                    <w:szCs w:val="16"/>
                  </w:rPr>
                </w:pPr>
                <w:r w:rsidRPr="00DD1158">
                  <w:rPr>
                    <w:sz w:val="16"/>
                    <w:szCs w:val="16"/>
                  </w:rPr>
                  <w:t>Constant</w:t>
                </w:r>
              </w:p>
            </w:tc>
            <w:tc>
              <w:tcPr>
                <w:tcW w:w="1771" w:type="dxa"/>
                <w:shd w:val="clear" w:color="auto" w:fill="CAE7F3" w:themeFill="accent1" w:themeFillTint="33"/>
              </w:tcPr>
              <w:p w14:paraId="1E51C825"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4278030D" w14:textId="77777777" w:rsidR="00830FDC" w:rsidRPr="004245A6" w:rsidRDefault="00830FDC" w:rsidP="00D0090A">
                <w:pPr>
                  <w:pStyle w:val="Tabletext"/>
                  <w:jc w:val="right"/>
                  <w:rPr>
                    <w:sz w:val="16"/>
                    <w:szCs w:val="16"/>
                  </w:rPr>
                </w:pPr>
                <w:r>
                  <w:rPr>
                    <w:sz w:val="16"/>
                    <w:szCs w:val="16"/>
                  </w:rPr>
                  <w:t>4.424</w:t>
                </w:r>
                <w:r w:rsidRPr="004245A6">
                  <w:rPr>
                    <w:sz w:val="16"/>
                    <w:szCs w:val="16"/>
                  </w:rPr>
                  <w:t xml:space="preserve"> (0.</w:t>
                </w:r>
                <w:r>
                  <w:rPr>
                    <w:sz w:val="16"/>
                    <w:szCs w:val="16"/>
                  </w:rPr>
                  <w:t>151</w:t>
                </w:r>
                <w:r w:rsidRPr="004245A6">
                  <w:rPr>
                    <w:sz w:val="16"/>
                    <w:szCs w:val="16"/>
                  </w:rPr>
                  <w:t>)</w:t>
                </w:r>
                <w:r>
                  <w:rPr>
                    <w:sz w:val="16"/>
                    <w:szCs w:val="16"/>
                  </w:rPr>
                  <w:t>***</w:t>
                </w:r>
              </w:p>
            </w:tc>
            <w:tc>
              <w:tcPr>
                <w:tcW w:w="1772" w:type="dxa"/>
                <w:shd w:val="clear" w:color="auto" w:fill="CAE7F3" w:themeFill="accent1" w:themeFillTint="33"/>
              </w:tcPr>
              <w:p w14:paraId="1119DF7B" w14:textId="77777777" w:rsidR="00830FDC" w:rsidRPr="004245A6" w:rsidRDefault="00830FDC" w:rsidP="00D0090A">
                <w:pPr>
                  <w:pStyle w:val="Tabletext"/>
                  <w:jc w:val="right"/>
                  <w:rPr>
                    <w:sz w:val="16"/>
                    <w:szCs w:val="16"/>
                  </w:rPr>
                </w:pPr>
                <w:r>
                  <w:rPr>
                    <w:sz w:val="16"/>
                    <w:szCs w:val="16"/>
                  </w:rPr>
                  <w:t>4.767</w:t>
                </w:r>
                <w:r w:rsidRPr="004245A6">
                  <w:rPr>
                    <w:sz w:val="16"/>
                    <w:szCs w:val="16"/>
                  </w:rPr>
                  <w:t xml:space="preserve"> (0.</w:t>
                </w:r>
                <w:r>
                  <w:rPr>
                    <w:sz w:val="16"/>
                    <w:szCs w:val="16"/>
                  </w:rPr>
                  <w:t>079</w:t>
                </w:r>
                <w:r w:rsidRPr="004245A6">
                  <w:rPr>
                    <w:sz w:val="16"/>
                    <w:szCs w:val="16"/>
                  </w:rPr>
                  <w:t>)</w:t>
                </w:r>
                <w:r>
                  <w:rPr>
                    <w:sz w:val="16"/>
                    <w:szCs w:val="16"/>
                  </w:rPr>
                  <w:t>***</w:t>
                </w:r>
              </w:p>
            </w:tc>
            <w:tc>
              <w:tcPr>
                <w:tcW w:w="1772" w:type="dxa"/>
                <w:shd w:val="clear" w:color="auto" w:fill="CAE7F3" w:themeFill="accent1" w:themeFillTint="33"/>
              </w:tcPr>
              <w:p w14:paraId="289F3412" w14:textId="77777777" w:rsidR="00830FDC" w:rsidRPr="004245A6" w:rsidRDefault="00830FDC" w:rsidP="00D0090A">
                <w:pPr>
                  <w:pStyle w:val="Tabletext"/>
                  <w:jc w:val="right"/>
                  <w:rPr>
                    <w:sz w:val="16"/>
                    <w:szCs w:val="16"/>
                  </w:rPr>
                </w:pPr>
              </w:p>
            </w:tc>
          </w:tr>
          <w:tr w:rsidR="00830FDC" w:rsidRPr="004245A6" w14:paraId="4D719CAB" w14:textId="77777777" w:rsidTr="00D0090A">
            <w:tc>
              <w:tcPr>
                <w:tcW w:w="1985" w:type="dxa"/>
                <w:shd w:val="clear" w:color="auto" w:fill="CAE7F3" w:themeFill="accent1" w:themeFillTint="33"/>
              </w:tcPr>
              <w:p w14:paraId="788B4F4E" w14:textId="77777777" w:rsidR="00830FDC" w:rsidRPr="00DD1158" w:rsidRDefault="00830FDC" w:rsidP="00D0090A">
                <w:pPr>
                  <w:pStyle w:val="Tabletext"/>
                  <w:rPr>
                    <w:sz w:val="16"/>
                    <w:szCs w:val="16"/>
                  </w:rPr>
                </w:pPr>
                <w:r w:rsidRPr="00DD1158">
                  <w:rPr>
                    <w:sz w:val="16"/>
                    <w:szCs w:val="16"/>
                  </w:rPr>
                  <w:t>R</w:t>
                </w:r>
                <w:r w:rsidRPr="00DD1158">
                  <w:rPr>
                    <w:sz w:val="16"/>
                    <w:szCs w:val="16"/>
                    <w:vertAlign w:val="superscript"/>
                  </w:rPr>
                  <w:t>2</w:t>
                </w:r>
              </w:p>
            </w:tc>
            <w:tc>
              <w:tcPr>
                <w:tcW w:w="1771" w:type="dxa"/>
                <w:shd w:val="clear" w:color="auto" w:fill="CAE7F3" w:themeFill="accent1" w:themeFillTint="33"/>
              </w:tcPr>
              <w:p w14:paraId="136E55C1"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0ADC8EAE" w14:textId="77777777" w:rsidR="00830FDC" w:rsidRPr="004245A6" w:rsidRDefault="00830FDC" w:rsidP="00D0090A">
                <w:pPr>
                  <w:pStyle w:val="Tabletext"/>
                  <w:jc w:val="right"/>
                  <w:rPr>
                    <w:sz w:val="16"/>
                    <w:szCs w:val="16"/>
                  </w:rPr>
                </w:pPr>
                <w:r w:rsidRPr="004245A6">
                  <w:rPr>
                    <w:sz w:val="16"/>
                    <w:szCs w:val="16"/>
                  </w:rPr>
                  <w:t>0.</w:t>
                </w:r>
                <w:r>
                  <w:rPr>
                    <w:sz w:val="16"/>
                    <w:szCs w:val="16"/>
                  </w:rPr>
                  <w:t>459</w:t>
                </w:r>
                <w:r w:rsidRPr="004245A6">
                  <w:rPr>
                    <w:sz w:val="16"/>
                    <w:szCs w:val="16"/>
                  </w:rPr>
                  <w:t xml:space="preserve"> (overall)</w:t>
                </w:r>
              </w:p>
            </w:tc>
            <w:tc>
              <w:tcPr>
                <w:tcW w:w="1772" w:type="dxa"/>
                <w:shd w:val="clear" w:color="auto" w:fill="CAE7F3" w:themeFill="accent1" w:themeFillTint="33"/>
              </w:tcPr>
              <w:p w14:paraId="4A5A5A37" w14:textId="77777777" w:rsidR="00830FDC" w:rsidRPr="004245A6" w:rsidRDefault="00830FDC" w:rsidP="00D0090A">
                <w:pPr>
                  <w:pStyle w:val="Tabletext"/>
                  <w:jc w:val="right"/>
                  <w:rPr>
                    <w:sz w:val="16"/>
                    <w:szCs w:val="16"/>
                  </w:rPr>
                </w:pPr>
                <w:r>
                  <w:rPr>
                    <w:sz w:val="16"/>
                    <w:szCs w:val="16"/>
                  </w:rPr>
                  <w:t>0.389</w:t>
                </w:r>
                <w:r w:rsidRPr="004245A6">
                  <w:rPr>
                    <w:sz w:val="16"/>
                    <w:szCs w:val="16"/>
                  </w:rPr>
                  <w:t xml:space="preserve"> (overall)</w:t>
                </w:r>
              </w:p>
            </w:tc>
            <w:tc>
              <w:tcPr>
                <w:tcW w:w="1772" w:type="dxa"/>
                <w:shd w:val="clear" w:color="auto" w:fill="CAE7F3" w:themeFill="accent1" w:themeFillTint="33"/>
              </w:tcPr>
              <w:p w14:paraId="0743C1E2" w14:textId="77777777" w:rsidR="00830FDC" w:rsidRPr="004245A6" w:rsidRDefault="00830FDC" w:rsidP="00D0090A">
                <w:pPr>
                  <w:pStyle w:val="Tabletext"/>
                  <w:jc w:val="right"/>
                  <w:rPr>
                    <w:sz w:val="16"/>
                    <w:szCs w:val="16"/>
                  </w:rPr>
                </w:pPr>
                <w:r>
                  <w:rPr>
                    <w:sz w:val="16"/>
                    <w:szCs w:val="16"/>
                  </w:rPr>
                  <w:t>0.001</w:t>
                </w:r>
              </w:p>
            </w:tc>
          </w:tr>
          <w:tr w:rsidR="00830FDC" w:rsidRPr="004245A6" w14:paraId="5449EFC8" w14:textId="77777777" w:rsidTr="00D0090A">
            <w:tc>
              <w:tcPr>
                <w:tcW w:w="1985" w:type="dxa"/>
                <w:shd w:val="clear" w:color="auto" w:fill="CAE7F3" w:themeFill="accent1" w:themeFillTint="33"/>
              </w:tcPr>
              <w:p w14:paraId="1A943459" w14:textId="77777777" w:rsidR="00830FDC" w:rsidRPr="0059206D" w:rsidRDefault="003866D9" w:rsidP="00D0090A">
                <w:pPr>
                  <w:pStyle w:val="Tabletext"/>
                  <w:rPr>
                    <w:sz w:val="16"/>
                    <w:szCs w:val="16"/>
                  </w:rPr>
                </w:pPr>
                <m:oMath>
                  <m:acc>
                    <m:accPr>
                      <m:ctrlPr>
                        <w:rPr>
                          <w:rFonts w:ascii="Cambria Math" w:eastAsiaTheme="minorHAnsi" w:hAnsi="Cambria Math" w:cstheme="minorBidi"/>
                          <w:i/>
                          <w:color w:val="auto"/>
                          <w:sz w:val="20"/>
                          <w:szCs w:val="22"/>
                          <w:lang w:eastAsia="en-US"/>
                        </w:rPr>
                      </m:ctrlPr>
                    </m:accPr>
                    <m:e>
                      <m:r>
                        <w:rPr>
                          <w:rFonts w:ascii="Cambria Math" w:hAnsi="Cambria Math"/>
                        </w:rPr>
                        <m:t>α</m:t>
                      </m:r>
                    </m:e>
                  </m:acc>
                </m:oMath>
                <w:r w:rsidR="00830FDC">
                  <w:rPr>
                    <w:color w:val="auto"/>
                    <w:sz w:val="20"/>
                    <w:szCs w:val="22"/>
                    <w:lang w:eastAsia="en-US"/>
                  </w:rPr>
                  <w:t xml:space="preserve"> </w:t>
                </w:r>
                <w:r w:rsidR="00830FDC">
                  <w:rPr>
                    <w:sz w:val="16"/>
                    <w:szCs w:val="16"/>
                  </w:rPr>
                  <w:t>(Std. dev.)</w:t>
                </w:r>
              </w:p>
            </w:tc>
            <w:tc>
              <w:tcPr>
                <w:tcW w:w="1771" w:type="dxa"/>
                <w:shd w:val="clear" w:color="auto" w:fill="CAE7F3" w:themeFill="accent1" w:themeFillTint="33"/>
              </w:tcPr>
              <w:p w14:paraId="42A90735"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69866407" w14:textId="77777777" w:rsidR="00830FDC" w:rsidRPr="004245A6" w:rsidRDefault="00830FDC" w:rsidP="00D0090A">
                <w:pPr>
                  <w:pStyle w:val="Tabletext"/>
                  <w:jc w:val="right"/>
                  <w:rPr>
                    <w:sz w:val="16"/>
                    <w:szCs w:val="16"/>
                  </w:rPr>
                </w:pPr>
              </w:p>
            </w:tc>
            <w:tc>
              <w:tcPr>
                <w:tcW w:w="1772" w:type="dxa"/>
                <w:shd w:val="clear" w:color="auto" w:fill="CAE7F3" w:themeFill="accent1" w:themeFillTint="33"/>
              </w:tcPr>
              <w:p w14:paraId="63B85056" w14:textId="77777777" w:rsidR="00830FDC" w:rsidRPr="004245A6" w:rsidRDefault="00830FDC" w:rsidP="00D0090A">
                <w:pPr>
                  <w:pStyle w:val="Tabletext"/>
                  <w:jc w:val="right"/>
                  <w:rPr>
                    <w:sz w:val="16"/>
                    <w:szCs w:val="16"/>
                  </w:rPr>
                </w:pPr>
                <w:r>
                  <w:rPr>
                    <w:sz w:val="16"/>
                    <w:szCs w:val="16"/>
                  </w:rPr>
                  <w:t>-4.14</w:t>
                </w:r>
                <w:r w:rsidRPr="004245A6">
                  <w:rPr>
                    <w:sz w:val="16"/>
                    <w:szCs w:val="16"/>
                  </w:rPr>
                  <w:t>e</w:t>
                </w:r>
                <w:r w:rsidRPr="004245A6">
                  <w:rPr>
                    <w:sz w:val="16"/>
                    <w:szCs w:val="16"/>
                    <w:vertAlign w:val="superscript"/>
                  </w:rPr>
                  <w:t>-1</w:t>
                </w:r>
                <w:r>
                  <w:rPr>
                    <w:sz w:val="16"/>
                    <w:szCs w:val="16"/>
                    <w:vertAlign w:val="superscript"/>
                  </w:rPr>
                  <w:t>0</w:t>
                </w:r>
                <w:r w:rsidRPr="004245A6">
                  <w:rPr>
                    <w:sz w:val="16"/>
                    <w:szCs w:val="16"/>
                    <w:vertAlign w:val="subscript"/>
                  </w:rPr>
                  <w:softHyphen/>
                </w:r>
                <w:r w:rsidRPr="004245A6">
                  <w:rPr>
                    <w:sz w:val="16"/>
                    <w:szCs w:val="16"/>
                  </w:rPr>
                  <w:t xml:space="preserve"> (0.</w:t>
                </w:r>
                <w:r>
                  <w:rPr>
                    <w:sz w:val="16"/>
                    <w:szCs w:val="16"/>
                  </w:rPr>
                  <w:t>313</w:t>
                </w:r>
                <w:r w:rsidRPr="004245A6">
                  <w:rPr>
                    <w:sz w:val="16"/>
                    <w:szCs w:val="16"/>
                  </w:rPr>
                  <w:t>)</w:t>
                </w:r>
              </w:p>
            </w:tc>
            <w:tc>
              <w:tcPr>
                <w:tcW w:w="1772" w:type="dxa"/>
                <w:shd w:val="clear" w:color="auto" w:fill="CAE7F3" w:themeFill="accent1" w:themeFillTint="33"/>
              </w:tcPr>
              <w:p w14:paraId="30EECD62" w14:textId="77777777" w:rsidR="00830FDC" w:rsidRPr="004245A6" w:rsidRDefault="00830FDC" w:rsidP="00D0090A">
                <w:pPr>
                  <w:pStyle w:val="Tabletext"/>
                  <w:jc w:val="right"/>
                  <w:rPr>
                    <w:sz w:val="16"/>
                    <w:szCs w:val="16"/>
                  </w:rPr>
                </w:pPr>
              </w:p>
            </w:tc>
          </w:tr>
        </w:tbl>
        <w:p w14:paraId="3380BAED" w14:textId="0D201402" w:rsidR="00830FDC" w:rsidRPr="00A30089" w:rsidRDefault="00830FDC" w:rsidP="00830FDC">
          <w:pPr>
            <w:pStyle w:val="NoteWide"/>
          </w:pPr>
          <w:r w:rsidRPr="00A30089">
            <w:t>Note</w:t>
          </w:r>
          <w:r>
            <w:t xml:space="preserve">s: Panel data analysed for years 2008–2014 to obtain a balanced design. Data for expenditure on R&amp;D was only available for financial years ending in June 2009–June  2013. * Significant at </w:t>
          </w:r>
          <w:r w:rsidR="003C02CF">
            <w:t xml:space="preserve">five </w:t>
          </w:r>
          <w:r>
            <w:t xml:space="preserve">per cent ** Significant at </w:t>
          </w:r>
          <w:r w:rsidR="003C02CF">
            <w:t xml:space="preserve">one </w:t>
          </w:r>
          <w:r>
            <w:t>per cent, *** Significant at 0.1 per cent.</w:t>
          </w:r>
        </w:p>
        <w:p w14:paraId="6C8FE5D2" w14:textId="40D0D536" w:rsidR="00830FDC" w:rsidRPr="00A30089" w:rsidRDefault="00830FDC" w:rsidP="00830FDC">
          <w:pPr>
            <w:pStyle w:val="SourceWide"/>
          </w:pPr>
          <w:r>
            <w:t>Source: Intellectual Property Government Open Data (2015), viewed 1</w:t>
          </w:r>
          <w:r w:rsidRPr="00E92212">
            <w:rPr>
              <w:vertAlign w:val="superscript"/>
            </w:rPr>
            <w:t>st</w:t>
          </w:r>
          <w:r>
            <w:t xml:space="preserve"> May, 2015, </w:t>
          </w:r>
          <w:hyperlink r:id="rId67" w:tooltip="https://data.gov.au/dataset/intellectual-property-government-open-data" w:history="1">
            <w:r w:rsidRPr="00945169">
              <w:rPr>
                <w:rStyle w:val="Hyperlink"/>
              </w:rPr>
              <w:t>https://data.gov.au/dataset/intellectual-property-government-open-data</w:t>
            </w:r>
          </w:hyperlink>
          <w:r>
            <w:rPr>
              <w:rStyle w:val="Hyperlink"/>
            </w:rPr>
            <w:t xml:space="preserve">; </w:t>
          </w:r>
          <w:r>
            <w:t xml:space="preserve"> R&amp;D Tax Incentive Programme, viewed 22</w:t>
          </w:r>
          <w:r w:rsidRPr="00E92212">
            <w:rPr>
              <w:vertAlign w:val="superscript"/>
            </w:rPr>
            <w:t>nd</w:t>
          </w:r>
          <w:r>
            <w:t xml:space="preserve"> June, 2015; Australian Bureau of Statistics (2015) </w:t>
          </w:r>
          <w:r>
            <w:rPr>
              <w:i/>
            </w:rPr>
            <w:t xml:space="preserve">Counts of Australian Businesses 2008–2015, </w:t>
          </w:r>
          <w:r>
            <w:t>cat. no. 8165</w:t>
          </w:r>
          <w:r w:rsidRPr="003B74B4">
            <w:t>.0</w:t>
          </w:r>
          <w:r>
            <w:t xml:space="preserve"> (data available on request).</w:t>
          </w:r>
        </w:p>
        <w:p w14:paraId="67708D51" w14:textId="77777777" w:rsidR="00830FDC" w:rsidRPr="009820E8" w:rsidRDefault="00830FDC" w:rsidP="00830FDC">
          <w:pPr>
            <w:rPr>
              <w:lang w:val="en" w:eastAsia="en-AU"/>
            </w:rPr>
          </w:pPr>
        </w:p>
        <w:p w14:paraId="63EA4925" w14:textId="77777777" w:rsidR="00830FDC" w:rsidRDefault="00830FDC" w:rsidP="00830FDC">
          <w:pPr>
            <w:pStyle w:val="CaptionWide"/>
          </w:pPr>
          <w:r w:rsidRPr="000618FB">
            <w:t xml:space="preserve">Table </w:t>
          </w:r>
          <w:fldSimple w:instr=" STYLEREF 6 \s ">
            <w:r w:rsidR="00D55DA4">
              <w:rPr>
                <w:noProof/>
              </w:rPr>
              <w:t>B</w:t>
            </w:r>
          </w:fldSimple>
          <w:r>
            <w:t>5: Regression coefficients (and standard error) of change in business churn by patents, trademarks and R&amp;D expenditure according to different estimation models</w:t>
          </w:r>
        </w:p>
        <w:tbl>
          <w:tblPr>
            <w:tblStyle w:val="TableGrid"/>
            <w:tblW w:w="490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B5: Regression coefficients (and standard error) of change in business churn by patents, trademarks and R&amp;D expenditure according to different estimation models"/>
            <w:tblDescription w:val="Examines regression coefficients (and standard error) of change in business entries by patents, trademarks and R&amp;D expenditure according to different estimation models across business entries, mean (overall std. deviation), coeff. between estimators, coeff. fixed effects and coeff. first diferences. "/>
          </w:tblPr>
          <w:tblGrid>
            <w:gridCol w:w="1943"/>
            <w:gridCol w:w="1728"/>
            <w:gridCol w:w="1730"/>
            <w:gridCol w:w="1727"/>
            <w:gridCol w:w="1732"/>
          </w:tblGrid>
          <w:tr w:rsidR="00830FDC" w:rsidRPr="00DD1158" w14:paraId="438D9BAE" w14:textId="77777777" w:rsidTr="000D227A">
            <w:trPr>
              <w:trHeight w:val="295"/>
              <w:tblHeader/>
            </w:trPr>
            <w:tc>
              <w:tcPr>
                <w:tcW w:w="1985" w:type="dxa"/>
                <w:vMerge w:val="restart"/>
                <w:shd w:val="clear" w:color="auto" w:fill="22789A" w:themeFill="accent1"/>
                <w:vAlign w:val="bottom"/>
              </w:tcPr>
              <w:p w14:paraId="2E04FFC9" w14:textId="77777777" w:rsidR="00830FDC" w:rsidRPr="00DD1158" w:rsidRDefault="00830FDC" w:rsidP="00D0090A">
                <w:pPr>
                  <w:pStyle w:val="Tableheader"/>
                  <w:rPr>
                    <w:sz w:val="16"/>
                    <w:szCs w:val="16"/>
                  </w:rPr>
                </w:pPr>
                <w:r w:rsidRPr="00DD1158">
                  <w:rPr>
                    <w:sz w:val="16"/>
                    <w:szCs w:val="16"/>
                  </w:rPr>
                  <w:t xml:space="preserve">Ln (Business </w:t>
                </w:r>
                <w:r>
                  <w:rPr>
                    <w:sz w:val="16"/>
                    <w:szCs w:val="16"/>
                  </w:rPr>
                  <w:t>churn</w:t>
                </w:r>
                <w:r w:rsidRPr="00DD1158">
                  <w:rPr>
                    <w:sz w:val="16"/>
                    <w:szCs w:val="16"/>
                  </w:rPr>
                  <w:t>)</w:t>
                </w:r>
              </w:p>
            </w:tc>
            <w:tc>
              <w:tcPr>
                <w:tcW w:w="1771" w:type="dxa"/>
                <w:shd w:val="clear" w:color="auto" w:fill="22789A" w:themeFill="accent1"/>
              </w:tcPr>
              <w:p w14:paraId="10D598B7" w14:textId="77777777" w:rsidR="00830FDC" w:rsidRPr="00DD1158" w:rsidRDefault="00830FDC" w:rsidP="00D0090A">
                <w:pPr>
                  <w:pStyle w:val="Tableheader"/>
                  <w:jc w:val="right"/>
                  <w:rPr>
                    <w:sz w:val="16"/>
                    <w:szCs w:val="16"/>
                  </w:rPr>
                </w:pPr>
                <w:r>
                  <w:rPr>
                    <w:sz w:val="16"/>
                    <w:szCs w:val="16"/>
                  </w:rPr>
                  <w:t>Mean</w:t>
                </w:r>
                <w:r>
                  <w:rPr>
                    <w:sz w:val="16"/>
                    <w:szCs w:val="16"/>
                  </w:rPr>
                  <w:br/>
                  <w:t>(Overall Std. dev.)</w:t>
                </w:r>
              </w:p>
            </w:tc>
            <w:tc>
              <w:tcPr>
                <w:tcW w:w="1772" w:type="dxa"/>
                <w:shd w:val="clear" w:color="auto" w:fill="22789A" w:themeFill="accent1"/>
              </w:tcPr>
              <w:p w14:paraId="6D505E06"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Between estimators</w:t>
                </w:r>
              </w:p>
            </w:tc>
            <w:tc>
              <w:tcPr>
                <w:tcW w:w="1772" w:type="dxa"/>
                <w:shd w:val="clear" w:color="auto" w:fill="22789A" w:themeFill="accent1"/>
              </w:tcPr>
              <w:p w14:paraId="3F33F933"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Fixed effects</w:t>
                </w:r>
              </w:p>
            </w:tc>
            <w:tc>
              <w:tcPr>
                <w:tcW w:w="1772" w:type="dxa"/>
                <w:shd w:val="clear" w:color="auto" w:fill="22789A" w:themeFill="accent1"/>
              </w:tcPr>
              <w:p w14:paraId="47EBFE75" w14:textId="77777777" w:rsidR="00830FDC" w:rsidRPr="00DD1158" w:rsidRDefault="00830FDC" w:rsidP="00D0090A">
                <w:pPr>
                  <w:pStyle w:val="Tableheader"/>
                  <w:jc w:val="right"/>
                  <w:rPr>
                    <w:sz w:val="16"/>
                    <w:szCs w:val="16"/>
                  </w:rPr>
                </w:pPr>
                <w:r>
                  <w:rPr>
                    <w:sz w:val="16"/>
                    <w:szCs w:val="16"/>
                  </w:rPr>
                  <w:t xml:space="preserve">Coeff. </w:t>
                </w:r>
                <w:r w:rsidRPr="00DD1158">
                  <w:rPr>
                    <w:sz w:val="16"/>
                    <w:szCs w:val="16"/>
                  </w:rPr>
                  <w:t>First differences</w:t>
                </w:r>
              </w:p>
            </w:tc>
          </w:tr>
          <w:tr w:rsidR="00830FDC" w:rsidRPr="00DD1158" w14:paraId="20BB88A1" w14:textId="77777777" w:rsidTr="000D227A">
            <w:trPr>
              <w:tblHeader/>
            </w:trPr>
            <w:tc>
              <w:tcPr>
                <w:tcW w:w="1985" w:type="dxa"/>
                <w:vMerge/>
                <w:shd w:val="clear" w:color="auto" w:fill="CAE7F3" w:themeFill="accent1" w:themeFillTint="33"/>
                <w:vAlign w:val="center"/>
              </w:tcPr>
              <w:p w14:paraId="2A9A3F80" w14:textId="77777777" w:rsidR="00830FDC" w:rsidRPr="00DD1158" w:rsidRDefault="00830FDC" w:rsidP="00D0090A">
                <w:pPr>
                  <w:pStyle w:val="Tabletext"/>
                  <w:rPr>
                    <w:sz w:val="16"/>
                    <w:szCs w:val="16"/>
                  </w:rPr>
                </w:pPr>
              </w:p>
            </w:tc>
            <w:tc>
              <w:tcPr>
                <w:tcW w:w="1771" w:type="dxa"/>
                <w:shd w:val="clear" w:color="auto" w:fill="CAE7F3" w:themeFill="accent1" w:themeFillTint="33"/>
              </w:tcPr>
              <w:p w14:paraId="7A82CA71" w14:textId="77777777" w:rsidR="00830FDC" w:rsidRPr="00DD1158" w:rsidRDefault="00830FDC" w:rsidP="00D0090A">
                <w:pPr>
                  <w:pStyle w:val="Tabletext"/>
                  <w:jc w:val="right"/>
                  <w:rPr>
                    <w:sz w:val="16"/>
                    <w:szCs w:val="16"/>
                  </w:rPr>
                </w:pPr>
                <w:r>
                  <w:rPr>
                    <w:sz w:val="16"/>
                    <w:szCs w:val="16"/>
                  </w:rPr>
                  <w:t>5.47(0.38)</w:t>
                </w:r>
              </w:p>
            </w:tc>
            <w:tc>
              <w:tcPr>
                <w:tcW w:w="1772" w:type="dxa"/>
                <w:shd w:val="clear" w:color="auto" w:fill="CAE7F3" w:themeFill="accent1" w:themeFillTint="33"/>
              </w:tcPr>
              <w:p w14:paraId="069D530E"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5C87F941"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67722327" w14:textId="77777777" w:rsidR="00830FDC" w:rsidRPr="00DD1158" w:rsidRDefault="00830FDC" w:rsidP="00D0090A">
                <w:pPr>
                  <w:pStyle w:val="Tabletext"/>
                  <w:jc w:val="right"/>
                  <w:rPr>
                    <w:sz w:val="16"/>
                    <w:szCs w:val="16"/>
                  </w:rPr>
                </w:pPr>
              </w:p>
            </w:tc>
          </w:tr>
          <w:tr w:rsidR="00830FDC" w:rsidRPr="004245A6" w14:paraId="2DB38A92" w14:textId="77777777" w:rsidTr="00D0090A">
            <w:tc>
              <w:tcPr>
                <w:tcW w:w="1985" w:type="dxa"/>
                <w:shd w:val="clear" w:color="auto" w:fill="CAE7F3" w:themeFill="accent1" w:themeFillTint="33"/>
                <w:vAlign w:val="center"/>
              </w:tcPr>
              <w:p w14:paraId="55754CD2" w14:textId="77777777" w:rsidR="00830FDC" w:rsidRPr="00DD1158" w:rsidRDefault="00830FDC" w:rsidP="00D0090A">
                <w:pPr>
                  <w:pStyle w:val="Tabletext"/>
                  <w:rPr>
                    <w:sz w:val="16"/>
                    <w:szCs w:val="16"/>
                  </w:rPr>
                </w:pPr>
                <w:r w:rsidRPr="00DD1158">
                  <w:rPr>
                    <w:sz w:val="16"/>
                    <w:szCs w:val="16"/>
                  </w:rPr>
                  <w:t>Ln (Patents)</w:t>
                </w:r>
              </w:p>
            </w:tc>
            <w:tc>
              <w:tcPr>
                <w:tcW w:w="1771" w:type="dxa"/>
                <w:shd w:val="clear" w:color="auto" w:fill="CAE7F3" w:themeFill="accent1" w:themeFillTint="33"/>
              </w:tcPr>
              <w:p w14:paraId="1011074F" w14:textId="77777777" w:rsidR="00830FDC" w:rsidRPr="00DD1158" w:rsidRDefault="00830FDC" w:rsidP="00D0090A">
                <w:pPr>
                  <w:pStyle w:val="Tabletext"/>
                  <w:jc w:val="right"/>
                  <w:rPr>
                    <w:sz w:val="16"/>
                    <w:szCs w:val="16"/>
                  </w:rPr>
                </w:pPr>
                <w:r>
                  <w:rPr>
                    <w:sz w:val="16"/>
                    <w:szCs w:val="16"/>
                  </w:rPr>
                  <w:t>0.95 (0.88)</w:t>
                </w:r>
              </w:p>
            </w:tc>
            <w:tc>
              <w:tcPr>
                <w:tcW w:w="1772" w:type="dxa"/>
                <w:shd w:val="clear" w:color="auto" w:fill="CAE7F3" w:themeFill="accent1" w:themeFillTint="33"/>
              </w:tcPr>
              <w:p w14:paraId="78520E34" w14:textId="77777777" w:rsidR="00830FDC" w:rsidRPr="004245A6" w:rsidRDefault="00830FDC" w:rsidP="00D0090A">
                <w:pPr>
                  <w:pStyle w:val="Tabletext"/>
                  <w:jc w:val="right"/>
                  <w:rPr>
                    <w:sz w:val="16"/>
                    <w:szCs w:val="16"/>
                  </w:rPr>
                </w:pPr>
                <w:r>
                  <w:rPr>
                    <w:sz w:val="16"/>
                    <w:szCs w:val="16"/>
                  </w:rPr>
                  <w:t>0.13 (0</w:t>
                </w:r>
                <w:r w:rsidRPr="008C425C">
                  <w:rPr>
                    <w:sz w:val="16"/>
                    <w:szCs w:val="16"/>
                  </w:rPr>
                  <w:t>.03</w:t>
                </w:r>
                <w:r>
                  <w:rPr>
                    <w:sz w:val="16"/>
                    <w:szCs w:val="16"/>
                  </w:rPr>
                  <w:t>1)***</w:t>
                </w:r>
              </w:p>
            </w:tc>
            <w:tc>
              <w:tcPr>
                <w:tcW w:w="1772" w:type="dxa"/>
                <w:shd w:val="clear" w:color="auto" w:fill="CAE7F3" w:themeFill="accent1" w:themeFillTint="33"/>
              </w:tcPr>
              <w:p w14:paraId="7EF7DD0B" w14:textId="77777777" w:rsidR="00830FDC" w:rsidRPr="004245A6" w:rsidRDefault="00830FDC" w:rsidP="00D0090A">
                <w:pPr>
                  <w:pStyle w:val="Tabletext"/>
                  <w:jc w:val="right"/>
                  <w:rPr>
                    <w:sz w:val="16"/>
                    <w:szCs w:val="16"/>
                  </w:rPr>
                </w:pPr>
                <w:r>
                  <w:rPr>
                    <w:sz w:val="16"/>
                    <w:szCs w:val="16"/>
                  </w:rPr>
                  <w:t>0.061</w:t>
                </w:r>
                <w:r w:rsidRPr="004245A6">
                  <w:rPr>
                    <w:sz w:val="16"/>
                    <w:szCs w:val="16"/>
                  </w:rPr>
                  <w:t xml:space="preserve"> (0.0</w:t>
                </w:r>
                <w:r>
                  <w:rPr>
                    <w:sz w:val="16"/>
                    <w:szCs w:val="16"/>
                  </w:rPr>
                  <w:t>07</w:t>
                </w:r>
                <w:r w:rsidRPr="004245A6">
                  <w:rPr>
                    <w:sz w:val="16"/>
                    <w:szCs w:val="16"/>
                  </w:rPr>
                  <w:t>)</w:t>
                </w:r>
                <w:r>
                  <w:rPr>
                    <w:sz w:val="16"/>
                    <w:szCs w:val="16"/>
                  </w:rPr>
                  <w:t xml:space="preserve"> **</w:t>
                </w:r>
                <w:r w:rsidRPr="004245A6">
                  <w:rPr>
                    <w:sz w:val="16"/>
                    <w:szCs w:val="16"/>
                  </w:rPr>
                  <w:t>*</w:t>
                </w:r>
              </w:p>
            </w:tc>
            <w:tc>
              <w:tcPr>
                <w:tcW w:w="1772" w:type="dxa"/>
                <w:shd w:val="clear" w:color="auto" w:fill="CAE7F3" w:themeFill="accent1" w:themeFillTint="33"/>
              </w:tcPr>
              <w:p w14:paraId="05E7EE74" w14:textId="77777777" w:rsidR="00830FDC" w:rsidRPr="004245A6" w:rsidRDefault="00830FDC" w:rsidP="00D0090A">
                <w:pPr>
                  <w:pStyle w:val="Tabletext"/>
                  <w:jc w:val="right"/>
                  <w:rPr>
                    <w:sz w:val="16"/>
                    <w:szCs w:val="16"/>
                  </w:rPr>
                </w:pPr>
                <w:r w:rsidRPr="004245A6">
                  <w:rPr>
                    <w:sz w:val="16"/>
                    <w:szCs w:val="16"/>
                  </w:rPr>
                  <w:t>0.0</w:t>
                </w:r>
                <w:r>
                  <w:rPr>
                    <w:sz w:val="16"/>
                    <w:szCs w:val="16"/>
                  </w:rPr>
                  <w:t>16</w:t>
                </w:r>
                <w:r w:rsidRPr="004245A6">
                  <w:rPr>
                    <w:sz w:val="16"/>
                    <w:szCs w:val="16"/>
                  </w:rPr>
                  <w:t xml:space="preserve"> (0.0</w:t>
                </w:r>
                <w:r>
                  <w:rPr>
                    <w:sz w:val="16"/>
                    <w:szCs w:val="16"/>
                  </w:rPr>
                  <w:t>04</w:t>
                </w:r>
                <w:r w:rsidRPr="004245A6">
                  <w:rPr>
                    <w:sz w:val="16"/>
                    <w:szCs w:val="16"/>
                  </w:rPr>
                  <w:t>)</w:t>
                </w:r>
                <w:r>
                  <w:rPr>
                    <w:sz w:val="16"/>
                    <w:szCs w:val="16"/>
                  </w:rPr>
                  <w:t>***</w:t>
                </w:r>
              </w:p>
            </w:tc>
          </w:tr>
          <w:tr w:rsidR="00830FDC" w:rsidRPr="004245A6" w14:paraId="164C5C4C" w14:textId="77777777" w:rsidTr="00D0090A">
            <w:tc>
              <w:tcPr>
                <w:tcW w:w="1985" w:type="dxa"/>
                <w:shd w:val="clear" w:color="auto" w:fill="CAE7F3" w:themeFill="accent1" w:themeFillTint="33"/>
                <w:vAlign w:val="center"/>
              </w:tcPr>
              <w:p w14:paraId="5BD7BFE1" w14:textId="77777777" w:rsidR="00830FDC" w:rsidRPr="00DD1158" w:rsidRDefault="00830FDC" w:rsidP="00D0090A">
                <w:pPr>
                  <w:pStyle w:val="Tabletext"/>
                  <w:rPr>
                    <w:sz w:val="16"/>
                    <w:szCs w:val="16"/>
                  </w:rPr>
                </w:pPr>
                <w:r w:rsidRPr="00DD1158">
                  <w:rPr>
                    <w:sz w:val="16"/>
                    <w:szCs w:val="16"/>
                  </w:rPr>
                  <w:t>Ln (Trademarks)</w:t>
                </w:r>
              </w:p>
            </w:tc>
            <w:tc>
              <w:tcPr>
                <w:tcW w:w="1771" w:type="dxa"/>
                <w:shd w:val="clear" w:color="auto" w:fill="CAE7F3" w:themeFill="accent1" w:themeFillTint="33"/>
              </w:tcPr>
              <w:p w14:paraId="7EE90775" w14:textId="77777777" w:rsidR="00830FDC" w:rsidRPr="00DD1158" w:rsidRDefault="00830FDC" w:rsidP="00D0090A">
                <w:pPr>
                  <w:pStyle w:val="Tabletext"/>
                  <w:jc w:val="right"/>
                  <w:rPr>
                    <w:sz w:val="16"/>
                    <w:szCs w:val="16"/>
                  </w:rPr>
                </w:pPr>
                <w:r>
                  <w:rPr>
                    <w:sz w:val="16"/>
                    <w:szCs w:val="16"/>
                  </w:rPr>
                  <w:t>2.27 (0.98)</w:t>
                </w:r>
              </w:p>
            </w:tc>
            <w:tc>
              <w:tcPr>
                <w:tcW w:w="1772" w:type="dxa"/>
                <w:shd w:val="clear" w:color="auto" w:fill="CAE7F3" w:themeFill="accent1" w:themeFillTint="33"/>
              </w:tcPr>
              <w:p w14:paraId="4CD002D9" w14:textId="77777777" w:rsidR="00830FDC" w:rsidRPr="004245A6" w:rsidRDefault="00830FDC" w:rsidP="00D0090A">
                <w:pPr>
                  <w:pStyle w:val="Tabletext"/>
                  <w:jc w:val="right"/>
                  <w:rPr>
                    <w:sz w:val="16"/>
                    <w:szCs w:val="16"/>
                  </w:rPr>
                </w:pPr>
                <w:r>
                  <w:rPr>
                    <w:sz w:val="16"/>
                    <w:szCs w:val="16"/>
                  </w:rPr>
                  <w:t>0</w:t>
                </w:r>
                <w:r w:rsidRPr="008C425C">
                  <w:rPr>
                    <w:sz w:val="16"/>
                    <w:szCs w:val="16"/>
                  </w:rPr>
                  <w:t>.18</w:t>
                </w:r>
                <w:r>
                  <w:rPr>
                    <w:sz w:val="16"/>
                    <w:szCs w:val="16"/>
                  </w:rPr>
                  <w:t xml:space="preserve"> (0.026)***</w:t>
                </w:r>
              </w:p>
            </w:tc>
            <w:tc>
              <w:tcPr>
                <w:tcW w:w="1772" w:type="dxa"/>
                <w:shd w:val="clear" w:color="auto" w:fill="CAE7F3" w:themeFill="accent1" w:themeFillTint="33"/>
              </w:tcPr>
              <w:p w14:paraId="630A15AC" w14:textId="77777777" w:rsidR="00830FDC" w:rsidRPr="004245A6" w:rsidRDefault="00830FDC" w:rsidP="00D0090A">
                <w:pPr>
                  <w:pStyle w:val="Tabletext"/>
                  <w:jc w:val="right"/>
                  <w:rPr>
                    <w:sz w:val="16"/>
                    <w:szCs w:val="16"/>
                  </w:rPr>
                </w:pPr>
                <w:r>
                  <w:rPr>
                    <w:sz w:val="16"/>
                    <w:szCs w:val="16"/>
                  </w:rPr>
                  <w:t xml:space="preserve">0.011 </w:t>
                </w:r>
                <w:r w:rsidRPr="004245A6">
                  <w:rPr>
                    <w:sz w:val="16"/>
                    <w:szCs w:val="16"/>
                  </w:rPr>
                  <w:t>(0.0</w:t>
                </w:r>
                <w:r>
                  <w:rPr>
                    <w:sz w:val="16"/>
                    <w:szCs w:val="16"/>
                  </w:rPr>
                  <w:t>10</w:t>
                </w:r>
                <w:r w:rsidRPr="004245A6">
                  <w:rPr>
                    <w:sz w:val="16"/>
                    <w:szCs w:val="16"/>
                  </w:rPr>
                  <w:t>)</w:t>
                </w:r>
              </w:p>
            </w:tc>
            <w:tc>
              <w:tcPr>
                <w:tcW w:w="1772" w:type="dxa"/>
                <w:shd w:val="clear" w:color="auto" w:fill="CAE7F3" w:themeFill="accent1" w:themeFillTint="33"/>
              </w:tcPr>
              <w:p w14:paraId="14EE5555" w14:textId="77777777" w:rsidR="00830FDC" w:rsidRPr="004245A6" w:rsidRDefault="00830FDC" w:rsidP="00D0090A">
                <w:pPr>
                  <w:pStyle w:val="Tabletext"/>
                  <w:jc w:val="right"/>
                  <w:rPr>
                    <w:sz w:val="16"/>
                    <w:szCs w:val="16"/>
                  </w:rPr>
                </w:pPr>
                <w:r w:rsidRPr="004245A6">
                  <w:rPr>
                    <w:sz w:val="16"/>
                    <w:szCs w:val="16"/>
                  </w:rPr>
                  <w:t>0.0</w:t>
                </w:r>
                <w:r>
                  <w:rPr>
                    <w:sz w:val="16"/>
                    <w:szCs w:val="16"/>
                  </w:rPr>
                  <w:t>14 (0.005</w:t>
                </w:r>
                <w:r w:rsidRPr="004245A6">
                  <w:rPr>
                    <w:sz w:val="16"/>
                    <w:szCs w:val="16"/>
                  </w:rPr>
                  <w:t>)</w:t>
                </w:r>
                <w:r>
                  <w:rPr>
                    <w:sz w:val="16"/>
                    <w:szCs w:val="16"/>
                  </w:rPr>
                  <w:t>*</w:t>
                </w:r>
              </w:p>
            </w:tc>
          </w:tr>
          <w:tr w:rsidR="00830FDC" w:rsidRPr="004245A6" w14:paraId="557D80AF" w14:textId="77777777" w:rsidTr="00D0090A">
            <w:tc>
              <w:tcPr>
                <w:tcW w:w="1985" w:type="dxa"/>
                <w:shd w:val="clear" w:color="auto" w:fill="CAE7F3" w:themeFill="accent1" w:themeFillTint="33"/>
              </w:tcPr>
              <w:p w14:paraId="0A7D8EDA" w14:textId="77777777" w:rsidR="00830FDC" w:rsidRPr="00DD1158" w:rsidRDefault="00830FDC" w:rsidP="00D0090A">
                <w:pPr>
                  <w:pStyle w:val="Tabletext"/>
                  <w:rPr>
                    <w:sz w:val="16"/>
                    <w:szCs w:val="16"/>
                  </w:rPr>
                </w:pPr>
                <w:r>
                  <w:rPr>
                    <w:sz w:val="16"/>
                    <w:szCs w:val="16"/>
                  </w:rPr>
                  <w:t>Ln (R&amp;D Expenditure)</w:t>
                </w:r>
              </w:p>
            </w:tc>
            <w:tc>
              <w:tcPr>
                <w:tcW w:w="1771" w:type="dxa"/>
                <w:shd w:val="clear" w:color="auto" w:fill="CAE7F3" w:themeFill="accent1" w:themeFillTint="33"/>
              </w:tcPr>
              <w:p w14:paraId="0DDE005D" w14:textId="77777777" w:rsidR="00830FDC" w:rsidRPr="00DD1158" w:rsidRDefault="00830FDC" w:rsidP="00D0090A">
                <w:pPr>
                  <w:pStyle w:val="Tabletext"/>
                  <w:jc w:val="right"/>
                  <w:rPr>
                    <w:sz w:val="16"/>
                    <w:szCs w:val="16"/>
                  </w:rPr>
                </w:pPr>
                <w:r>
                  <w:rPr>
                    <w:sz w:val="16"/>
                    <w:szCs w:val="16"/>
                  </w:rPr>
                  <w:t>14.07</w:t>
                </w:r>
                <w:r w:rsidRPr="00DE3252" w:rsidDel="00DE3252">
                  <w:rPr>
                    <w:sz w:val="16"/>
                    <w:szCs w:val="16"/>
                  </w:rPr>
                  <w:t xml:space="preserve"> </w:t>
                </w:r>
                <w:r>
                  <w:rPr>
                    <w:sz w:val="16"/>
                    <w:szCs w:val="16"/>
                  </w:rPr>
                  <w:t>(1.67)</w:t>
                </w:r>
              </w:p>
            </w:tc>
            <w:tc>
              <w:tcPr>
                <w:tcW w:w="1772" w:type="dxa"/>
                <w:shd w:val="clear" w:color="auto" w:fill="CAE7F3" w:themeFill="accent1" w:themeFillTint="33"/>
              </w:tcPr>
              <w:p w14:paraId="18C0A7FC" w14:textId="77777777" w:rsidR="00830FDC" w:rsidRPr="004245A6" w:rsidRDefault="00830FDC" w:rsidP="00D0090A">
                <w:pPr>
                  <w:pStyle w:val="Tabletext"/>
                  <w:jc w:val="right"/>
                  <w:rPr>
                    <w:sz w:val="16"/>
                    <w:szCs w:val="16"/>
                  </w:rPr>
                </w:pPr>
                <w:r w:rsidRPr="008C425C">
                  <w:rPr>
                    <w:sz w:val="16"/>
                    <w:szCs w:val="16"/>
                  </w:rPr>
                  <w:t>-</w:t>
                </w:r>
                <w:r>
                  <w:rPr>
                    <w:sz w:val="16"/>
                    <w:szCs w:val="16"/>
                  </w:rPr>
                  <w:t>0.01 (0.012)</w:t>
                </w:r>
              </w:p>
            </w:tc>
            <w:tc>
              <w:tcPr>
                <w:tcW w:w="1772" w:type="dxa"/>
                <w:shd w:val="clear" w:color="auto" w:fill="CAE7F3" w:themeFill="accent1" w:themeFillTint="33"/>
              </w:tcPr>
              <w:p w14:paraId="31F92ADE" w14:textId="77777777" w:rsidR="00830FDC" w:rsidRPr="004245A6" w:rsidRDefault="00830FDC" w:rsidP="00D0090A">
                <w:pPr>
                  <w:pStyle w:val="Tabletext"/>
                  <w:jc w:val="right"/>
                  <w:rPr>
                    <w:sz w:val="16"/>
                    <w:szCs w:val="16"/>
                  </w:rPr>
                </w:pPr>
                <w:r>
                  <w:rPr>
                    <w:sz w:val="16"/>
                    <w:szCs w:val="16"/>
                  </w:rPr>
                  <w:t>-0.010 (0.005)</w:t>
                </w:r>
              </w:p>
            </w:tc>
            <w:tc>
              <w:tcPr>
                <w:tcW w:w="1772" w:type="dxa"/>
                <w:shd w:val="clear" w:color="auto" w:fill="CAE7F3" w:themeFill="accent1" w:themeFillTint="33"/>
              </w:tcPr>
              <w:p w14:paraId="3EEE4297" w14:textId="77777777" w:rsidR="00830FDC" w:rsidRPr="004245A6" w:rsidRDefault="00830FDC" w:rsidP="00D0090A">
                <w:pPr>
                  <w:pStyle w:val="Tabletext"/>
                  <w:jc w:val="right"/>
                  <w:rPr>
                    <w:sz w:val="16"/>
                    <w:szCs w:val="16"/>
                  </w:rPr>
                </w:pPr>
                <w:r>
                  <w:rPr>
                    <w:sz w:val="16"/>
                    <w:szCs w:val="16"/>
                  </w:rPr>
                  <w:t>-0.010 (0.003)***</w:t>
                </w:r>
              </w:p>
            </w:tc>
          </w:tr>
          <w:tr w:rsidR="00830FDC" w:rsidRPr="004245A6" w14:paraId="59562657" w14:textId="77777777" w:rsidTr="00D0090A">
            <w:tc>
              <w:tcPr>
                <w:tcW w:w="1985" w:type="dxa"/>
                <w:shd w:val="clear" w:color="auto" w:fill="CAE7F3" w:themeFill="accent1" w:themeFillTint="33"/>
              </w:tcPr>
              <w:p w14:paraId="4ABE8DA5" w14:textId="77777777" w:rsidR="00830FDC" w:rsidRPr="00DD1158" w:rsidRDefault="00830FDC" w:rsidP="00D0090A">
                <w:pPr>
                  <w:pStyle w:val="Tabletext"/>
                  <w:rPr>
                    <w:sz w:val="16"/>
                    <w:szCs w:val="16"/>
                  </w:rPr>
                </w:pPr>
                <w:r w:rsidRPr="00DD1158">
                  <w:rPr>
                    <w:sz w:val="16"/>
                    <w:szCs w:val="16"/>
                  </w:rPr>
                  <w:t>Constant</w:t>
                </w:r>
              </w:p>
            </w:tc>
            <w:tc>
              <w:tcPr>
                <w:tcW w:w="1771" w:type="dxa"/>
                <w:shd w:val="clear" w:color="auto" w:fill="CAE7F3" w:themeFill="accent1" w:themeFillTint="33"/>
              </w:tcPr>
              <w:p w14:paraId="0B4CC524"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1B33B386" w14:textId="77777777" w:rsidR="00830FDC" w:rsidRPr="004245A6" w:rsidRDefault="00830FDC" w:rsidP="00D0090A">
                <w:pPr>
                  <w:pStyle w:val="Tabletext"/>
                  <w:jc w:val="right"/>
                  <w:rPr>
                    <w:sz w:val="16"/>
                    <w:szCs w:val="16"/>
                  </w:rPr>
                </w:pPr>
                <w:r w:rsidRPr="008C425C">
                  <w:rPr>
                    <w:sz w:val="16"/>
                    <w:szCs w:val="16"/>
                  </w:rPr>
                  <w:t xml:space="preserve">5.01 </w:t>
                </w:r>
                <w:r w:rsidRPr="004245A6">
                  <w:rPr>
                    <w:sz w:val="16"/>
                    <w:szCs w:val="16"/>
                  </w:rPr>
                  <w:t>(0.</w:t>
                </w:r>
                <w:r>
                  <w:rPr>
                    <w:sz w:val="16"/>
                    <w:szCs w:val="16"/>
                  </w:rPr>
                  <w:t>149</w:t>
                </w:r>
                <w:r w:rsidRPr="004245A6">
                  <w:rPr>
                    <w:sz w:val="16"/>
                    <w:szCs w:val="16"/>
                  </w:rPr>
                  <w:t>)</w:t>
                </w:r>
                <w:r>
                  <w:rPr>
                    <w:sz w:val="16"/>
                    <w:szCs w:val="16"/>
                  </w:rPr>
                  <w:t>***</w:t>
                </w:r>
              </w:p>
            </w:tc>
            <w:tc>
              <w:tcPr>
                <w:tcW w:w="1772" w:type="dxa"/>
                <w:shd w:val="clear" w:color="auto" w:fill="CAE7F3" w:themeFill="accent1" w:themeFillTint="33"/>
              </w:tcPr>
              <w:p w14:paraId="297ACD0F" w14:textId="77777777" w:rsidR="00830FDC" w:rsidRPr="004245A6" w:rsidRDefault="00830FDC" w:rsidP="00D0090A">
                <w:pPr>
                  <w:pStyle w:val="Tabletext"/>
                  <w:jc w:val="right"/>
                  <w:rPr>
                    <w:sz w:val="16"/>
                    <w:szCs w:val="16"/>
                  </w:rPr>
                </w:pPr>
                <w:r>
                  <w:rPr>
                    <w:sz w:val="16"/>
                    <w:szCs w:val="16"/>
                  </w:rPr>
                  <w:t>5.546</w:t>
                </w:r>
                <w:r w:rsidRPr="004245A6">
                  <w:rPr>
                    <w:sz w:val="16"/>
                    <w:szCs w:val="16"/>
                  </w:rPr>
                  <w:t xml:space="preserve"> (0.</w:t>
                </w:r>
                <w:r>
                  <w:rPr>
                    <w:sz w:val="16"/>
                    <w:szCs w:val="16"/>
                  </w:rPr>
                  <w:t>077</w:t>
                </w:r>
                <w:r w:rsidRPr="004245A6">
                  <w:rPr>
                    <w:sz w:val="16"/>
                    <w:szCs w:val="16"/>
                  </w:rPr>
                  <w:t>)</w:t>
                </w:r>
                <w:r>
                  <w:rPr>
                    <w:sz w:val="16"/>
                    <w:szCs w:val="16"/>
                  </w:rPr>
                  <w:t>***</w:t>
                </w:r>
              </w:p>
            </w:tc>
            <w:tc>
              <w:tcPr>
                <w:tcW w:w="1772" w:type="dxa"/>
                <w:shd w:val="clear" w:color="auto" w:fill="CAE7F3" w:themeFill="accent1" w:themeFillTint="33"/>
              </w:tcPr>
              <w:p w14:paraId="671986D2" w14:textId="77777777" w:rsidR="00830FDC" w:rsidRPr="004245A6" w:rsidRDefault="00830FDC" w:rsidP="00D0090A">
                <w:pPr>
                  <w:pStyle w:val="Tabletext"/>
                  <w:jc w:val="right"/>
                  <w:rPr>
                    <w:sz w:val="16"/>
                    <w:szCs w:val="16"/>
                  </w:rPr>
                </w:pPr>
              </w:p>
            </w:tc>
          </w:tr>
          <w:tr w:rsidR="00830FDC" w:rsidRPr="004245A6" w14:paraId="55D28A1C" w14:textId="77777777" w:rsidTr="00D0090A">
            <w:tc>
              <w:tcPr>
                <w:tcW w:w="1985" w:type="dxa"/>
                <w:shd w:val="clear" w:color="auto" w:fill="CAE7F3" w:themeFill="accent1" w:themeFillTint="33"/>
              </w:tcPr>
              <w:p w14:paraId="5909C1B4" w14:textId="77777777" w:rsidR="00830FDC" w:rsidRPr="00DD1158" w:rsidRDefault="00830FDC" w:rsidP="00D0090A">
                <w:pPr>
                  <w:pStyle w:val="Tabletext"/>
                  <w:rPr>
                    <w:sz w:val="16"/>
                    <w:szCs w:val="16"/>
                  </w:rPr>
                </w:pPr>
                <w:r w:rsidRPr="00DD1158">
                  <w:rPr>
                    <w:sz w:val="16"/>
                    <w:szCs w:val="16"/>
                  </w:rPr>
                  <w:t>R</w:t>
                </w:r>
                <w:r w:rsidRPr="00DD1158">
                  <w:rPr>
                    <w:sz w:val="16"/>
                    <w:szCs w:val="16"/>
                    <w:vertAlign w:val="superscript"/>
                  </w:rPr>
                  <w:t>2</w:t>
                </w:r>
              </w:p>
            </w:tc>
            <w:tc>
              <w:tcPr>
                <w:tcW w:w="1771" w:type="dxa"/>
                <w:shd w:val="clear" w:color="auto" w:fill="CAE7F3" w:themeFill="accent1" w:themeFillTint="33"/>
              </w:tcPr>
              <w:p w14:paraId="6658F805"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7E2FCBA7" w14:textId="77777777" w:rsidR="00830FDC" w:rsidRPr="004245A6" w:rsidRDefault="00830FDC" w:rsidP="00D0090A">
                <w:pPr>
                  <w:pStyle w:val="Tabletext"/>
                  <w:jc w:val="right"/>
                  <w:rPr>
                    <w:sz w:val="16"/>
                    <w:szCs w:val="16"/>
                  </w:rPr>
                </w:pPr>
                <w:r w:rsidRPr="004245A6">
                  <w:rPr>
                    <w:sz w:val="16"/>
                    <w:szCs w:val="16"/>
                  </w:rPr>
                  <w:t>0.</w:t>
                </w:r>
                <w:r>
                  <w:rPr>
                    <w:sz w:val="16"/>
                    <w:szCs w:val="16"/>
                  </w:rPr>
                  <w:t>512</w:t>
                </w:r>
                <w:r w:rsidRPr="004245A6">
                  <w:rPr>
                    <w:sz w:val="16"/>
                    <w:szCs w:val="16"/>
                  </w:rPr>
                  <w:t xml:space="preserve"> (overall)</w:t>
                </w:r>
              </w:p>
            </w:tc>
            <w:tc>
              <w:tcPr>
                <w:tcW w:w="1772" w:type="dxa"/>
                <w:shd w:val="clear" w:color="auto" w:fill="CAE7F3" w:themeFill="accent1" w:themeFillTint="33"/>
              </w:tcPr>
              <w:p w14:paraId="0AA4BED5" w14:textId="77777777" w:rsidR="00830FDC" w:rsidRPr="004245A6" w:rsidRDefault="00830FDC" w:rsidP="00D0090A">
                <w:pPr>
                  <w:pStyle w:val="Tabletext"/>
                  <w:jc w:val="right"/>
                  <w:rPr>
                    <w:sz w:val="16"/>
                    <w:szCs w:val="16"/>
                  </w:rPr>
                </w:pPr>
                <w:r>
                  <w:rPr>
                    <w:sz w:val="16"/>
                    <w:szCs w:val="16"/>
                  </w:rPr>
                  <w:t>0.405</w:t>
                </w:r>
                <w:r w:rsidRPr="004245A6">
                  <w:rPr>
                    <w:sz w:val="16"/>
                    <w:szCs w:val="16"/>
                  </w:rPr>
                  <w:t xml:space="preserve"> (overall)</w:t>
                </w:r>
              </w:p>
            </w:tc>
            <w:tc>
              <w:tcPr>
                <w:tcW w:w="1772" w:type="dxa"/>
                <w:shd w:val="clear" w:color="auto" w:fill="CAE7F3" w:themeFill="accent1" w:themeFillTint="33"/>
              </w:tcPr>
              <w:p w14:paraId="6D3999EA" w14:textId="77777777" w:rsidR="00830FDC" w:rsidRPr="004245A6" w:rsidRDefault="00830FDC" w:rsidP="00D0090A">
                <w:pPr>
                  <w:pStyle w:val="Tabletext"/>
                  <w:jc w:val="right"/>
                  <w:rPr>
                    <w:sz w:val="16"/>
                    <w:szCs w:val="16"/>
                  </w:rPr>
                </w:pPr>
                <w:r>
                  <w:rPr>
                    <w:sz w:val="16"/>
                    <w:szCs w:val="16"/>
                  </w:rPr>
                  <w:t>0.023</w:t>
                </w:r>
              </w:p>
            </w:tc>
          </w:tr>
          <w:tr w:rsidR="00830FDC" w:rsidRPr="004245A6" w14:paraId="4B19A999" w14:textId="77777777" w:rsidTr="00D0090A">
            <w:tc>
              <w:tcPr>
                <w:tcW w:w="1985" w:type="dxa"/>
                <w:shd w:val="clear" w:color="auto" w:fill="CAE7F3" w:themeFill="accent1" w:themeFillTint="33"/>
              </w:tcPr>
              <w:p w14:paraId="090947CA" w14:textId="77777777" w:rsidR="00830FDC" w:rsidRPr="0059206D" w:rsidRDefault="003866D9" w:rsidP="00D0090A">
                <w:pPr>
                  <w:pStyle w:val="Tabletext"/>
                  <w:rPr>
                    <w:sz w:val="16"/>
                    <w:szCs w:val="16"/>
                  </w:rPr>
                </w:pPr>
                <m:oMath>
                  <m:acc>
                    <m:accPr>
                      <m:ctrlPr>
                        <w:rPr>
                          <w:rFonts w:ascii="Cambria Math" w:eastAsiaTheme="minorHAnsi" w:hAnsi="Cambria Math" w:cstheme="minorBidi"/>
                          <w:i/>
                          <w:color w:val="auto"/>
                          <w:sz w:val="20"/>
                          <w:szCs w:val="22"/>
                          <w:lang w:eastAsia="en-US"/>
                        </w:rPr>
                      </m:ctrlPr>
                    </m:accPr>
                    <m:e>
                      <m:r>
                        <w:rPr>
                          <w:rFonts w:ascii="Cambria Math" w:hAnsi="Cambria Math"/>
                        </w:rPr>
                        <m:t>α</m:t>
                      </m:r>
                    </m:e>
                  </m:acc>
                </m:oMath>
                <w:r w:rsidR="00830FDC">
                  <w:rPr>
                    <w:color w:val="auto"/>
                    <w:sz w:val="20"/>
                    <w:szCs w:val="22"/>
                    <w:lang w:eastAsia="en-US"/>
                  </w:rPr>
                  <w:t xml:space="preserve"> </w:t>
                </w:r>
                <w:r w:rsidR="00830FDC">
                  <w:rPr>
                    <w:sz w:val="16"/>
                    <w:szCs w:val="16"/>
                  </w:rPr>
                  <w:t>(Std. dev.)</w:t>
                </w:r>
              </w:p>
            </w:tc>
            <w:tc>
              <w:tcPr>
                <w:tcW w:w="1771" w:type="dxa"/>
                <w:shd w:val="clear" w:color="auto" w:fill="CAE7F3" w:themeFill="accent1" w:themeFillTint="33"/>
              </w:tcPr>
              <w:p w14:paraId="4413CE46" w14:textId="77777777" w:rsidR="00830FDC" w:rsidRPr="00DD1158" w:rsidRDefault="00830FDC" w:rsidP="00D0090A">
                <w:pPr>
                  <w:pStyle w:val="Tabletext"/>
                  <w:jc w:val="right"/>
                  <w:rPr>
                    <w:sz w:val="16"/>
                    <w:szCs w:val="16"/>
                  </w:rPr>
                </w:pPr>
              </w:p>
            </w:tc>
            <w:tc>
              <w:tcPr>
                <w:tcW w:w="1772" w:type="dxa"/>
                <w:shd w:val="clear" w:color="auto" w:fill="CAE7F3" w:themeFill="accent1" w:themeFillTint="33"/>
              </w:tcPr>
              <w:p w14:paraId="46DD2E9E" w14:textId="77777777" w:rsidR="00830FDC" w:rsidRPr="004245A6" w:rsidRDefault="00830FDC" w:rsidP="00D0090A">
                <w:pPr>
                  <w:pStyle w:val="Tabletext"/>
                  <w:jc w:val="right"/>
                  <w:rPr>
                    <w:sz w:val="16"/>
                    <w:szCs w:val="16"/>
                  </w:rPr>
                </w:pPr>
              </w:p>
            </w:tc>
            <w:tc>
              <w:tcPr>
                <w:tcW w:w="1772" w:type="dxa"/>
                <w:shd w:val="clear" w:color="auto" w:fill="CAE7F3" w:themeFill="accent1" w:themeFillTint="33"/>
              </w:tcPr>
              <w:p w14:paraId="2E523F69" w14:textId="77777777" w:rsidR="00830FDC" w:rsidRPr="004245A6" w:rsidRDefault="00830FDC" w:rsidP="00D0090A">
                <w:pPr>
                  <w:pStyle w:val="Tabletext"/>
                  <w:jc w:val="right"/>
                  <w:rPr>
                    <w:sz w:val="16"/>
                    <w:szCs w:val="16"/>
                  </w:rPr>
                </w:pPr>
                <w:r>
                  <w:rPr>
                    <w:sz w:val="16"/>
                    <w:szCs w:val="16"/>
                  </w:rPr>
                  <w:t>-8.48</w:t>
                </w:r>
                <w:r w:rsidRPr="004245A6">
                  <w:rPr>
                    <w:sz w:val="16"/>
                    <w:szCs w:val="16"/>
                  </w:rPr>
                  <w:t>e</w:t>
                </w:r>
                <w:r w:rsidRPr="004245A6">
                  <w:rPr>
                    <w:sz w:val="16"/>
                    <w:szCs w:val="16"/>
                    <w:vertAlign w:val="superscript"/>
                  </w:rPr>
                  <w:t>-1</w:t>
                </w:r>
                <w:r>
                  <w:rPr>
                    <w:sz w:val="16"/>
                    <w:szCs w:val="16"/>
                    <w:vertAlign w:val="superscript"/>
                  </w:rPr>
                  <w:t>1</w:t>
                </w:r>
                <w:r w:rsidRPr="004245A6">
                  <w:rPr>
                    <w:sz w:val="16"/>
                    <w:szCs w:val="16"/>
                    <w:vertAlign w:val="subscript"/>
                  </w:rPr>
                  <w:softHyphen/>
                </w:r>
                <w:r w:rsidRPr="004245A6">
                  <w:rPr>
                    <w:sz w:val="16"/>
                    <w:szCs w:val="16"/>
                  </w:rPr>
                  <w:t xml:space="preserve"> (0.</w:t>
                </w:r>
                <w:r>
                  <w:rPr>
                    <w:sz w:val="16"/>
                    <w:szCs w:val="16"/>
                  </w:rPr>
                  <w:t>317</w:t>
                </w:r>
                <w:r w:rsidRPr="004245A6">
                  <w:rPr>
                    <w:sz w:val="16"/>
                    <w:szCs w:val="16"/>
                  </w:rPr>
                  <w:t>)</w:t>
                </w:r>
              </w:p>
            </w:tc>
            <w:tc>
              <w:tcPr>
                <w:tcW w:w="1772" w:type="dxa"/>
                <w:shd w:val="clear" w:color="auto" w:fill="CAE7F3" w:themeFill="accent1" w:themeFillTint="33"/>
              </w:tcPr>
              <w:p w14:paraId="24577B15" w14:textId="77777777" w:rsidR="00830FDC" w:rsidRPr="004245A6" w:rsidRDefault="00830FDC" w:rsidP="00D0090A">
                <w:pPr>
                  <w:pStyle w:val="Tabletext"/>
                  <w:jc w:val="right"/>
                  <w:rPr>
                    <w:sz w:val="16"/>
                    <w:szCs w:val="16"/>
                  </w:rPr>
                </w:pPr>
              </w:p>
            </w:tc>
          </w:tr>
        </w:tbl>
        <w:p w14:paraId="46743E33" w14:textId="4F2C1D12" w:rsidR="00830FDC" w:rsidRPr="00A30089" w:rsidRDefault="00830FDC" w:rsidP="00830FDC">
          <w:pPr>
            <w:pStyle w:val="NoteWide"/>
          </w:pPr>
          <w:r w:rsidRPr="00A30089">
            <w:t>Note</w:t>
          </w:r>
          <w:r>
            <w:t xml:space="preserve">s: Panel data analysed for years 2008–2014 to obtain a balanced design. Data for expenditure on R&amp;D was only available for financial years ending in June 2009 –June 2013. * Significant at </w:t>
          </w:r>
          <w:r w:rsidR="003C02CF">
            <w:t xml:space="preserve">five </w:t>
          </w:r>
          <w:r>
            <w:t xml:space="preserve">per cent ** Significant at </w:t>
          </w:r>
          <w:r w:rsidR="003C02CF">
            <w:t xml:space="preserve">one </w:t>
          </w:r>
          <w:r>
            <w:t>per cent, *** Significant at 0.1 per cent.</w:t>
          </w:r>
        </w:p>
        <w:p w14:paraId="3174712E" w14:textId="68D1F56D" w:rsidR="00830FDC" w:rsidRDefault="00830FDC" w:rsidP="00491275">
          <w:pPr>
            <w:pStyle w:val="SourceWide"/>
          </w:pPr>
          <w:r>
            <w:t>Source: Intellectual Property Government Open Data (2015), viewed 1</w:t>
          </w:r>
          <w:r w:rsidRPr="00E92212">
            <w:rPr>
              <w:vertAlign w:val="superscript"/>
            </w:rPr>
            <w:t>st</w:t>
          </w:r>
          <w:r>
            <w:t xml:space="preserve"> May, 2015, </w:t>
          </w:r>
          <w:hyperlink r:id="rId68" w:tooltip="https://data.gov.au/dataset/intellectual-property-government-open-data" w:history="1">
            <w:r w:rsidRPr="00945169">
              <w:rPr>
                <w:rStyle w:val="Hyperlink"/>
              </w:rPr>
              <w:t>https://data.gov.au/dataset/intellectual-property-government-open-data</w:t>
            </w:r>
          </w:hyperlink>
          <w:r>
            <w:rPr>
              <w:rStyle w:val="Hyperlink"/>
            </w:rPr>
            <w:t xml:space="preserve">; </w:t>
          </w:r>
          <w:r>
            <w:t xml:space="preserve"> R&amp;D Tax Incentive Programme, viewed  22</w:t>
          </w:r>
          <w:r w:rsidRPr="00E92212">
            <w:rPr>
              <w:vertAlign w:val="superscript"/>
            </w:rPr>
            <w:t>nd</w:t>
          </w:r>
          <w:r>
            <w:t xml:space="preserve"> June, 2015; Australian Bureau of Statistics (2015) </w:t>
          </w:r>
          <w:r>
            <w:rPr>
              <w:i/>
            </w:rPr>
            <w:t xml:space="preserve">Counts of Australian Businesses 2008–2015, </w:t>
          </w:r>
          <w:r>
            <w:t>data cube: Excel spreadsheet, cat. no. 8165</w:t>
          </w:r>
          <w:r w:rsidRPr="003B74B4">
            <w:t>.0</w:t>
          </w:r>
          <w:r>
            <w:t xml:space="preserve"> (data available on request).</w:t>
          </w:r>
          <w:r w:rsidR="00491275">
            <w:t xml:space="preserve"> </w:t>
          </w:r>
        </w:p>
        <w:p w14:paraId="5B26C52E" w14:textId="77777777" w:rsidR="00830FDC" w:rsidRPr="00724BC5" w:rsidRDefault="00830FDC" w:rsidP="00830FDC">
          <w:pPr>
            <w:sectPr w:rsidR="00830FDC" w:rsidRPr="00724BC5" w:rsidSect="00D0090A">
              <w:endnotePr>
                <w:numFmt w:val="decimal"/>
              </w:endnotePr>
              <w:pgSz w:w="11906" w:h="16838" w:code="9"/>
              <w:pgMar w:top="1440" w:right="1440" w:bottom="1440" w:left="1440" w:header="709" w:footer="709" w:gutter="0"/>
              <w:cols w:space="708"/>
              <w:docGrid w:linePitch="360"/>
            </w:sectPr>
          </w:pPr>
        </w:p>
        <w:p w14:paraId="79675CE2" w14:textId="12F562C8" w:rsidR="00830FDC" w:rsidRDefault="00830FDC" w:rsidP="00830FDC">
          <w:pPr>
            <w:pStyle w:val="CaptionWide"/>
            <w:spacing w:before="0" w:after="120"/>
          </w:pPr>
          <w:r>
            <w:t xml:space="preserve">Map B4: Geography of IP generation, R&amp;D expenditure and </w:t>
          </w:r>
          <w:r w:rsidR="00177984">
            <w:t>b</w:t>
          </w:r>
          <w:r>
            <w:t xml:space="preserve">usiness </w:t>
          </w:r>
          <w:r w:rsidR="00177984">
            <w:t>e</w:t>
          </w:r>
          <w:r>
            <w:t xml:space="preserve">ntries in </w:t>
          </w:r>
          <w:r w:rsidR="00177984">
            <w:t>g</w:t>
          </w:r>
          <w:r>
            <w:t>reater Brisbane region per 10,000 inhabitants</w:t>
          </w:r>
        </w:p>
        <w:p w14:paraId="0D634EE1" w14:textId="2FA9701E" w:rsidR="000D227A" w:rsidRPr="000D227A" w:rsidRDefault="00D438CC" w:rsidP="000D227A">
          <w:pPr>
            <w:pStyle w:val="PlaceholderWide"/>
          </w:pPr>
          <w:r>
            <w:rPr>
              <w:noProof/>
              <w:lang w:eastAsia="en-AU"/>
            </w:rPr>
            <w:drawing>
              <wp:inline distT="0" distB="0" distL="0" distR="0" wp14:anchorId="123EF3E9" wp14:editId="71906273">
                <wp:extent cx="5144218" cy="7230484"/>
                <wp:effectExtent l="0" t="0" r="0" b="8890"/>
                <wp:docPr id="17" name="Picture 17" descr="Map B4 is a set of four maps of Greater Brisbane and surrounding areas, divided into SA3 regions, as defined by the ABS, separately showing, patents and trademarks applicants for the period between 2008 and 2015, business entries per ten thousand inhabitants for the period 2009-2014, and mean R&amp;D expenditure for 2009 to 2014 per ten thousand inhabitants. &#10;&#10;The values for each measure are classified into 5 ranges (quintiles), and each range is assigned a different colour. Each SA3 region shown on the map is then shaded according to the colour which corresponds to the relevant range, reflecting the intensity of activity in that region for the variable in question. The map provides, for the Greater Brisbane region, a more disaggregated representation of the results shown previously in Maps 2.1, B1, B2 and B3.&#10;&#10;The map shows the strongest concentration of patent applicants, trademark applicants, R&amp;D and business entries were in the Sunshine Coast, Brisbane Inner and the Gold Coast.&#10;" title="Map B4: Geography of IP generation, R&amp;D expenditure and business entries in greater Brisbane region per 10,000 inhabi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isbane all final 2.PNG"/>
                        <pic:cNvPicPr/>
                      </pic:nvPicPr>
                      <pic:blipFill>
                        <a:blip r:embed="rId69">
                          <a:extLst>
                            <a:ext uri="{28A0092B-C50C-407E-A947-70E740481C1C}">
                              <a14:useLocalDpi xmlns:a14="http://schemas.microsoft.com/office/drawing/2010/main" val="0"/>
                            </a:ext>
                          </a:extLst>
                        </a:blip>
                        <a:stretch>
                          <a:fillRect/>
                        </a:stretch>
                      </pic:blipFill>
                      <pic:spPr>
                        <a:xfrm>
                          <a:off x="0" y="0"/>
                          <a:ext cx="5144218" cy="7230484"/>
                        </a:xfrm>
                        <a:prstGeom prst="rect">
                          <a:avLst/>
                        </a:prstGeom>
                      </pic:spPr>
                    </pic:pic>
                  </a:graphicData>
                </a:graphic>
              </wp:inline>
            </w:drawing>
          </w:r>
        </w:p>
        <w:p w14:paraId="35D5BC1F" w14:textId="77777777" w:rsidR="00830FDC" w:rsidRDefault="00830FDC" w:rsidP="00830FDC">
          <w:pPr>
            <w:pStyle w:val="SourceWide"/>
            <w:spacing w:after="60"/>
          </w:pPr>
          <w:bookmarkStart w:id="3" w:name="_Ref420281376"/>
          <w:r>
            <w:t xml:space="preserve">Notes: Quintiles and source as described in Maps 2.1 and B1–B3 </w:t>
          </w:r>
        </w:p>
        <w:p w14:paraId="639EB572" w14:textId="0CB3B86D" w:rsidR="00830FDC" w:rsidRPr="009719A0" w:rsidRDefault="00830FDC" w:rsidP="00830FDC">
          <w:pPr>
            <w:pStyle w:val="SourceWide"/>
            <w:spacing w:after="60"/>
          </w:pPr>
          <w:r>
            <w:t>Source: Department of Industry</w:t>
          </w:r>
          <w:r w:rsidR="003C02CF">
            <w:t>, Innovation</w:t>
          </w:r>
          <w:r>
            <w:t xml:space="preserve"> and Science (</w:t>
          </w:r>
          <w:r w:rsidR="003C02CF">
            <w:t>2016</w:t>
          </w:r>
          <w:r>
            <w:t>) National Innovation Map</w:t>
          </w:r>
        </w:p>
        <w:bookmarkEnd w:id="3"/>
        <w:p w14:paraId="5AA3BB7E" w14:textId="65B6E232" w:rsidR="00830FDC" w:rsidRDefault="00830FDC" w:rsidP="00830FDC">
          <w:pPr>
            <w:pStyle w:val="CaptionWide"/>
          </w:pPr>
          <w:r>
            <w:t xml:space="preserve">Map B5: Geography of IP generation, R&amp;D expenditure and business entries in </w:t>
          </w:r>
          <w:r w:rsidR="00DA37D8">
            <w:t>g</w:t>
          </w:r>
          <w:r>
            <w:t>reater Sydney region per  10,000 inhabitants</w:t>
          </w:r>
        </w:p>
        <w:p w14:paraId="565CABE3" w14:textId="28BFA7A3" w:rsidR="000D227A" w:rsidRPr="000D227A" w:rsidRDefault="00D438CC" w:rsidP="000D227A">
          <w:pPr>
            <w:pStyle w:val="PlaceholderWide"/>
          </w:pPr>
          <w:r>
            <w:rPr>
              <w:noProof/>
              <w:lang w:eastAsia="en-AU"/>
            </w:rPr>
            <w:drawing>
              <wp:inline distT="0" distB="0" distL="0" distR="0" wp14:anchorId="5B8ED92D" wp14:editId="27F8AB8F">
                <wp:extent cx="5172797" cy="7335274"/>
                <wp:effectExtent l="0" t="0" r="8890" b="0"/>
                <wp:docPr id="18" name="Picture 18" descr="Map B5 is a set of four maps of Greater Sydney and surrounding areas, divided into SA3 regions, as defined by the ABS, separately showing, patents and trademarks applicants for the period between 2008 and 2015, business entries per ten thousand inhabitants for the period 2009-2014, and mean R&amp;D expenditure for 2009 to 2014 per ten thousand inhabitants. &#10;&#10;The values for each measure are classified into 5 ranges (quintiles), and each range is assigned a different colour. Each SA3 region shown on the map is then shaded according to the colour which corresponds to the relevant range, reflecting the intensity of activity in that region for the variable in question. The map provides, for the Greater Sydney and surrounding regions, a more disaggregated representation of the results shown previously in Maps 2.1, B1, B2 and B3.&#10;&#10;The map shows the strongest concentration of mean R&amp;D was in certain regions of Sydney, with Wollongong and the Hunter Valley also recording levels of expenditure in the top quintile. It shows business entries on a population adjusted basis were highest in Greater Sydney. Patent and trademark applicants were strongest in Greater Sydney.&#10;" title="Map B5: Geography of IP generation, R&amp;D expenditure and business entries in greater Sydney region per  10,000 inhabi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ydney all final 3.PNG"/>
                        <pic:cNvPicPr/>
                      </pic:nvPicPr>
                      <pic:blipFill>
                        <a:blip r:embed="rId70">
                          <a:extLst>
                            <a:ext uri="{28A0092B-C50C-407E-A947-70E740481C1C}">
                              <a14:useLocalDpi xmlns:a14="http://schemas.microsoft.com/office/drawing/2010/main" val="0"/>
                            </a:ext>
                          </a:extLst>
                        </a:blip>
                        <a:stretch>
                          <a:fillRect/>
                        </a:stretch>
                      </pic:blipFill>
                      <pic:spPr>
                        <a:xfrm>
                          <a:off x="0" y="0"/>
                          <a:ext cx="5172797" cy="7335274"/>
                        </a:xfrm>
                        <a:prstGeom prst="rect">
                          <a:avLst/>
                        </a:prstGeom>
                      </pic:spPr>
                    </pic:pic>
                  </a:graphicData>
                </a:graphic>
              </wp:inline>
            </w:drawing>
          </w:r>
        </w:p>
        <w:p w14:paraId="3C3AF882" w14:textId="77777777" w:rsidR="00830FDC" w:rsidRDefault="00830FDC" w:rsidP="00830FDC">
          <w:pPr>
            <w:pStyle w:val="SourceWide"/>
            <w:spacing w:after="60"/>
            <w:jc w:val="left"/>
          </w:pPr>
          <w:r>
            <w:t xml:space="preserve">Notes: Quintiles and source as described in Maps 2.1 and C2–C4 </w:t>
          </w:r>
        </w:p>
        <w:p w14:paraId="3D5C7349" w14:textId="4AB82C03" w:rsidR="00830FDC" w:rsidRDefault="003C02CF" w:rsidP="00830FDC">
          <w:pPr>
            <w:pStyle w:val="SourceWide"/>
            <w:spacing w:after="60"/>
            <w:jc w:val="left"/>
          </w:pPr>
          <w:r>
            <w:t xml:space="preserve">Source: </w:t>
          </w:r>
          <w:r w:rsidR="00830FDC">
            <w:t>Department of Industry</w:t>
          </w:r>
          <w:r>
            <w:t>, Innovation</w:t>
          </w:r>
          <w:r w:rsidR="00830FDC">
            <w:t xml:space="preserve"> and Science (201</w:t>
          </w:r>
          <w:r>
            <w:t>6</w:t>
          </w:r>
          <w:r w:rsidR="00830FDC">
            <w:t>) National Innovation Map</w:t>
          </w:r>
        </w:p>
        <w:p w14:paraId="1EBF8C1E" w14:textId="77777777" w:rsidR="00830FDC" w:rsidRDefault="00830FDC" w:rsidP="00830FDC">
          <w:pPr>
            <w:pStyle w:val="BodyText"/>
            <w:ind w:left="0"/>
            <w:rPr>
              <w:lang w:val="en"/>
            </w:rPr>
          </w:pPr>
        </w:p>
        <w:p w14:paraId="356F1126" w14:textId="77777777" w:rsidR="00830FDC" w:rsidRPr="0090284B" w:rsidRDefault="00830FDC" w:rsidP="00830FDC">
          <w:pPr>
            <w:pStyle w:val="BodyText"/>
            <w:rPr>
              <w:lang w:val="en"/>
            </w:rPr>
            <w:sectPr w:rsidR="00830FDC" w:rsidRPr="0090284B" w:rsidSect="00354EA2">
              <w:headerReference w:type="even" r:id="rId71"/>
              <w:headerReference w:type="default" r:id="rId72"/>
              <w:footerReference w:type="even" r:id="rId73"/>
              <w:footerReference w:type="default" r:id="rId74"/>
              <w:headerReference w:type="first" r:id="rId75"/>
              <w:footerReference w:type="first" r:id="rId76"/>
              <w:endnotePr>
                <w:numFmt w:val="decimal"/>
              </w:endnotePr>
              <w:pgSz w:w="11906" w:h="16838" w:code="9"/>
              <w:pgMar w:top="1440" w:right="1440" w:bottom="1440" w:left="1440" w:header="709" w:footer="709" w:gutter="0"/>
              <w:cols w:space="708"/>
              <w:docGrid w:linePitch="360"/>
            </w:sectPr>
          </w:pPr>
        </w:p>
        <w:p w14:paraId="00F1A5C4" w14:textId="77777777" w:rsidR="00830FDC" w:rsidRDefault="00830FDC" w:rsidP="00830FDC">
          <w:pPr>
            <w:pStyle w:val="BodyText"/>
            <w:ind w:left="0"/>
          </w:pPr>
        </w:p>
        <w:p w14:paraId="51710434" w14:textId="77777777" w:rsidR="00830FDC" w:rsidRPr="006E139A" w:rsidRDefault="00830FDC" w:rsidP="00830FDC">
          <w:pPr>
            <w:pStyle w:val="UnnumberedHeading"/>
          </w:pPr>
          <w:r w:rsidRPr="00905CA6">
            <w:t>Reference</w:t>
          </w:r>
          <w:r>
            <w:t>s</w:t>
          </w:r>
          <w:r w:rsidRPr="007676D5">
            <w:rPr>
              <w:sz w:val="16"/>
              <w:szCs w:val="16"/>
            </w:rPr>
            <w:t xml:space="preserve"> </w:t>
          </w:r>
        </w:p>
        <w:p w14:paraId="629B9AC9" w14:textId="167D52D2" w:rsidR="003134B5" w:rsidRDefault="00DA37D8" w:rsidP="00830FDC">
          <w:pPr>
            <w:pStyle w:val="BodyText"/>
          </w:pPr>
          <w:r>
            <w:t>Ács</w:t>
          </w:r>
          <w:r w:rsidR="003134B5">
            <w:t xml:space="preserve"> Z (2005) </w:t>
          </w:r>
          <w:r w:rsidR="003134B5" w:rsidRPr="008F01D6">
            <w:t>Innovation and the growth of c</w:t>
          </w:r>
          <w:r w:rsidR="003134B5" w:rsidRPr="004E1542">
            <w:t xml:space="preserve">ities, </w:t>
          </w:r>
          <w:r w:rsidR="003134B5" w:rsidRPr="004E1542">
            <w:rPr>
              <w:i/>
            </w:rPr>
            <w:t>Contributions to Economic Analysis</w:t>
          </w:r>
          <w:r w:rsidR="003134B5" w:rsidRPr="004E1542">
            <w:t xml:space="preserve"> 266</w:t>
          </w:r>
          <w:r w:rsidR="003134B5">
            <w:t>: 635–58</w:t>
          </w:r>
        </w:p>
        <w:p w14:paraId="593CCB34" w14:textId="60DF130F" w:rsidR="003134B5" w:rsidRDefault="00DA37D8" w:rsidP="00830FDC">
          <w:pPr>
            <w:pStyle w:val="BodyText"/>
          </w:pPr>
          <w:r>
            <w:t>Ács</w:t>
          </w:r>
          <w:r w:rsidRPr="004E1542" w:rsidDel="00DA37D8">
            <w:t xml:space="preserve"> </w:t>
          </w:r>
          <w:r w:rsidR="003134B5">
            <w:t xml:space="preserve">Z &amp; </w:t>
          </w:r>
          <w:r w:rsidR="003134B5" w:rsidRPr="004E1542">
            <w:t>Armington</w:t>
          </w:r>
          <w:r w:rsidR="003134B5">
            <w:t xml:space="preserve"> C (2004) </w:t>
          </w:r>
          <w:r w:rsidR="003134B5" w:rsidRPr="004E1542">
            <w:t xml:space="preserve">Employment </w:t>
          </w:r>
          <w:r w:rsidR="003134B5">
            <w:t>g</w:t>
          </w:r>
          <w:r w:rsidR="003134B5" w:rsidRPr="008F01D6">
            <w:t>rowth and</w:t>
          </w:r>
          <w:r w:rsidR="003134B5">
            <w:t xml:space="preserve"> e</w:t>
          </w:r>
          <w:r w:rsidR="003134B5" w:rsidRPr="004E1542">
            <w:t xml:space="preserve">ntrepreneurial </w:t>
          </w:r>
          <w:r w:rsidR="003134B5">
            <w:t>a</w:t>
          </w:r>
          <w:r w:rsidR="003134B5" w:rsidRPr="004E1542">
            <w:t xml:space="preserve">ctivity in </w:t>
          </w:r>
          <w:r w:rsidR="003134B5">
            <w:t>c</w:t>
          </w:r>
          <w:r w:rsidR="003134B5" w:rsidRPr="004E1542">
            <w:t xml:space="preserve">ities, </w:t>
          </w:r>
          <w:r w:rsidR="003134B5" w:rsidRPr="004E1542">
            <w:rPr>
              <w:i/>
            </w:rPr>
            <w:t>Regional Studies</w:t>
          </w:r>
          <w:r w:rsidR="003134B5" w:rsidRPr="004E1542">
            <w:t xml:space="preserve"> 38: 911–27</w:t>
          </w:r>
        </w:p>
        <w:p w14:paraId="77BB1AFA" w14:textId="0C4C769D" w:rsidR="00830FDC" w:rsidRPr="006546D5" w:rsidRDefault="00830FDC" w:rsidP="00830FDC">
          <w:pPr>
            <w:pStyle w:val="BodyText"/>
          </w:pPr>
          <w:r>
            <w:t>Ács ZJ, Autio, E and Szerb, L</w:t>
          </w:r>
          <w:r w:rsidRPr="006546D5">
            <w:rPr>
              <w:i/>
            </w:rPr>
            <w:t xml:space="preserve"> </w:t>
          </w:r>
          <w:r w:rsidRPr="006546D5">
            <w:t xml:space="preserve"> (2014) National Systems of Entrepreneurship: Measurement issues and policy implications, </w:t>
          </w:r>
          <w:r w:rsidRPr="00FC39C8">
            <w:rPr>
              <w:i/>
            </w:rPr>
            <w:t>Research Policy</w:t>
          </w:r>
          <w:r w:rsidRPr="006546D5">
            <w:t xml:space="preserve">, 43, </w:t>
          </w:r>
          <w:r>
            <w:t xml:space="preserve">pp. </w:t>
          </w:r>
          <w:r w:rsidRPr="006546D5">
            <w:t>476</w:t>
          </w:r>
          <w:r w:rsidRPr="006546D5">
            <w:rPr>
              <w:rFonts w:cstheme="minorHAnsi"/>
            </w:rPr>
            <w:t>–</w:t>
          </w:r>
          <w:r w:rsidRPr="006546D5">
            <w:t>494</w:t>
          </w:r>
        </w:p>
        <w:p w14:paraId="6006D730" w14:textId="77777777" w:rsidR="00830FDC" w:rsidRPr="006546D5" w:rsidRDefault="00830FDC" w:rsidP="00830FDC">
          <w:pPr>
            <w:pStyle w:val="BodyText"/>
          </w:pPr>
          <w:r>
            <w:t xml:space="preserve">Aharonson BS, Baum, JAC and Feldman MP </w:t>
          </w:r>
          <w:r w:rsidRPr="006546D5">
            <w:t xml:space="preserve">(2014) Industrial Clustering and Innovative Output, in Rowe F </w:t>
          </w:r>
          <w:r>
            <w:t>and</w:t>
          </w:r>
          <w:r w:rsidRPr="006546D5">
            <w:t xml:space="preserve"> Te’Eni D (</w:t>
          </w:r>
          <w:r>
            <w:t>e</w:t>
          </w:r>
          <w:r w:rsidRPr="006546D5">
            <w:t xml:space="preserve">ds), </w:t>
          </w:r>
          <w:r w:rsidRPr="006546D5">
            <w:rPr>
              <w:i/>
            </w:rPr>
            <w:t>Innovation and IT in an International Context</w:t>
          </w:r>
          <w:r>
            <w:t>, Palgrave Macmill</w:t>
          </w:r>
          <w:r w:rsidRPr="006546D5">
            <w:t>an, pp.</w:t>
          </w:r>
          <w:r>
            <w:t xml:space="preserve"> </w:t>
          </w:r>
          <w:r w:rsidRPr="006546D5">
            <w:t>65</w:t>
          </w:r>
          <w:r w:rsidRPr="006546D5">
            <w:rPr>
              <w:rFonts w:cstheme="minorHAnsi"/>
            </w:rPr>
            <w:t>–</w:t>
          </w:r>
          <w:r>
            <w:t>85</w:t>
          </w:r>
        </w:p>
        <w:p w14:paraId="017A3BB6" w14:textId="77777777" w:rsidR="00830FDC" w:rsidRPr="006546D5" w:rsidRDefault="00830FDC" w:rsidP="00830FDC">
          <w:pPr>
            <w:pStyle w:val="BodyText"/>
          </w:pPr>
          <w:r w:rsidRPr="006546D5">
            <w:t xml:space="preserve">Anselin L (1995) Local Indicators of Spatial Association-LISA </w:t>
          </w:r>
          <w:r w:rsidRPr="006546D5">
            <w:rPr>
              <w:i/>
            </w:rPr>
            <w:t>Geographical Analysis</w:t>
          </w:r>
          <w:r w:rsidRPr="006546D5">
            <w:t xml:space="preserve"> 27, pp.</w:t>
          </w:r>
          <w:r>
            <w:t xml:space="preserve"> </w:t>
          </w:r>
          <w:r w:rsidRPr="006546D5">
            <w:t>93</w:t>
          </w:r>
          <w:r w:rsidRPr="006546D5">
            <w:rPr>
              <w:rFonts w:cstheme="minorHAnsi"/>
            </w:rPr>
            <w:t>–</w:t>
          </w:r>
          <w:r>
            <w:t>115</w:t>
          </w:r>
        </w:p>
        <w:p w14:paraId="49515E7A" w14:textId="0502EF6C" w:rsidR="00830FDC" w:rsidRPr="006546D5" w:rsidRDefault="003134B5" w:rsidP="00830FDC">
          <w:pPr>
            <w:pStyle w:val="BodyText"/>
          </w:pPr>
          <w:r w:rsidRPr="004E1542">
            <w:t>Audretsch</w:t>
          </w:r>
          <w:r>
            <w:t xml:space="preserve"> DB (2003) </w:t>
          </w:r>
          <w:r w:rsidRPr="004E1542">
            <w:t xml:space="preserve">Innovation And Spatial Externalities, </w:t>
          </w:r>
          <w:r w:rsidRPr="004E1542">
            <w:rPr>
              <w:i/>
            </w:rPr>
            <w:t>International Regional Science Review</w:t>
          </w:r>
          <w:r w:rsidRPr="004E1542">
            <w:t xml:space="preserve"> 26: 167–74</w:t>
          </w:r>
        </w:p>
        <w:p w14:paraId="51A2525A" w14:textId="49258121" w:rsidR="00830FDC" w:rsidRPr="006546D5" w:rsidRDefault="00830FDC" w:rsidP="00830FDC">
          <w:pPr>
            <w:pStyle w:val="BodyText"/>
          </w:pPr>
          <w:r w:rsidRPr="006546D5">
            <w:t xml:space="preserve">Australian Bureau of Statistics (2014a) </w:t>
          </w:r>
          <w:r w:rsidRPr="006546D5">
            <w:rPr>
              <w:i/>
            </w:rPr>
            <w:t>Innovation in Australian Business,</w:t>
          </w:r>
          <w:r w:rsidR="00EE6D06">
            <w:rPr>
              <w:i/>
            </w:rPr>
            <w:br/>
          </w:r>
          <w:r w:rsidRPr="006546D5">
            <w:rPr>
              <w:i/>
            </w:rPr>
            <w:t>2012</w:t>
          </w:r>
          <w:r w:rsidRPr="006546D5">
            <w:rPr>
              <w:rFonts w:cstheme="minorHAnsi"/>
              <w:i/>
            </w:rPr>
            <w:t>–</w:t>
          </w:r>
          <w:r w:rsidRPr="006546D5">
            <w:rPr>
              <w:i/>
            </w:rPr>
            <w:t>13</w:t>
          </w:r>
          <w:r>
            <w:t>, cat. no. 8158.0</w:t>
          </w:r>
          <w:r w:rsidRPr="006546D5">
            <w:t> </w:t>
          </w:r>
        </w:p>
        <w:p w14:paraId="5B3E1871" w14:textId="77777777" w:rsidR="00830FDC" w:rsidRPr="006546D5" w:rsidRDefault="00830FDC" w:rsidP="00830FDC">
          <w:pPr>
            <w:pStyle w:val="BodyText"/>
          </w:pPr>
          <w:r w:rsidRPr="006546D5">
            <w:t xml:space="preserve">Australian Bureau of Statistics (2014b) </w:t>
          </w:r>
          <w:r w:rsidRPr="006546D5">
            <w:rPr>
              <w:i/>
            </w:rPr>
            <w:t>Regional Population Growth, Australia</w:t>
          </w:r>
          <w:r>
            <w:t>, cat. no. 3218.0</w:t>
          </w:r>
        </w:p>
        <w:p w14:paraId="3D99E755" w14:textId="77777777" w:rsidR="003134B5" w:rsidRDefault="003134B5" w:rsidP="003134B5">
          <w:pPr>
            <w:pStyle w:val="BodyText"/>
          </w:pPr>
          <w:r w:rsidRPr="006546D5">
            <w:t xml:space="preserve">Australian Bureau of Statistics (2013) </w:t>
          </w:r>
          <w:r w:rsidRPr="006546D5">
            <w:rPr>
              <w:i/>
            </w:rPr>
            <w:t>Research and Experimental Development, Businesses, Australia, BERD 2011</w:t>
          </w:r>
          <w:r w:rsidRPr="006546D5">
            <w:rPr>
              <w:rFonts w:cstheme="minorHAnsi"/>
              <w:i/>
            </w:rPr>
            <w:t>–</w:t>
          </w:r>
          <w:r w:rsidRPr="006546D5">
            <w:rPr>
              <w:i/>
            </w:rPr>
            <w:t>12</w:t>
          </w:r>
          <w:r w:rsidRPr="006546D5">
            <w:t xml:space="preserve">, </w:t>
          </w:r>
          <w:r>
            <w:t>data cube</w:t>
          </w:r>
          <w:r w:rsidRPr="006546D5">
            <w:t>: Excel spreadsheet, cat. no. 8104.0</w:t>
          </w:r>
        </w:p>
        <w:p w14:paraId="783C8768" w14:textId="18C0223E" w:rsidR="00830FDC" w:rsidRPr="006546D5" w:rsidRDefault="00830FDC" w:rsidP="00830FDC">
          <w:pPr>
            <w:pStyle w:val="BodyText"/>
          </w:pPr>
          <w:r w:rsidRPr="006546D5">
            <w:t xml:space="preserve">Australian Bureau of Statistics (2011a) Australian Standard Geographical Classification (ASGC) Digital Boundaries, cat. no. 1259.0.30.001, viewed 1 May 2015, </w:t>
          </w:r>
          <w:hyperlink r:id="rId77" w:tooltip="http://www.abs.gov.au/ausstats/abs@.nsf/mf/1259.0.30.001" w:history="1">
            <w:r w:rsidRPr="006546D5">
              <w:rPr>
                <w:rStyle w:val="Hyperlink"/>
                <w:szCs w:val="16"/>
              </w:rPr>
              <w:t>http://www.abs.gov.au/ausstats/abs@.nsf/mf/1259.0.30.001</w:t>
            </w:r>
          </w:hyperlink>
        </w:p>
        <w:p w14:paraId="45239140" w14:textId="77777777" w:rsidR="00830FDC" w:rsidRPr="006546D5" w:rsidRDefault="00830FDC" w:rsidP="00EE6D06">
          <w:pPr>
            <w:pStyle w:val="BodyText"/>
          </w:pPr>
          <w:r w:rsidRPr="006546D5">
            <w:t>Australian Bureau of Statistics (2011b) Australian Statistical Geography Standard (ASGS): Volume 1</w:t>
          </w:r>
          <w:r w:rsidR="00EE6D06">
            <w:t>—</w:t>
          </w:r>
          <w:r w:rsidRPr="006546D5">
            <w:t>Main Structure and Greater Capital City</w:t>
          </w:r>
          <w:r w:rsidR="00EE6D06">
            <w:br/>
          </w:r>
          <w:r w:rsidRPr="006546D5">
            <w:t xml:space="preserve">Statistical Area, cat. no. 1270.0.55.006, viewed 1 May 2015, </w:t>
          </w:r>
          <w:hyperlink r:id="rId78" w:history="1">
            <w:r w:rsidR="009C02E3" w:rsidRPr="00F9624C">
              <w:rPr>
                <w:rStyle w:val="Hyperlink"/>
                <w:szCs w:val="16"/>
              </w:rPr>
              <w:t>http://www.abs.gov.au/AUSSTATS/abs@.nsf/DetailsPage/</w:t>
            </w:r>
            <w:r w:rsidR="009C02E3" w:rsidRPr="00F9624C">
              <w:rPr>
                <w:rStyle w:val="Hyperlink"/>
                <w:szCs w:val="16"/>
              </w:rPr>
              <w:br/>
              <w:t>1270.0.55.001July%202011</w:t>
            </w:r>
          </w:hyperlink>
        </w:p>
        <w:p w14:paraId="00881075" w14:textId="77777777" w:rsidR="00830FDC" w:rsidRPr="006546D5" w:rsidRDefault="00830FDC" w:rsidP="00830FDC">
          <w:pPr>
            <w:pStyle w:val="BodyText"/>
            <w:spacing w:after="0"/>
          </w:pPr>
          <w:r w:rsidRPr="006546D5">
            <w:t xml:space="preserve">Australian Workforce and Productivity Agency (AWPA 2014a), Industry snapshot: Healthcare and social assistance, </w:t>
          </w:r>
          <w:r>
            <w:t>viewed</w:t>
          </w:r>
          <w:r w:rsidRPr="006546D5">
            <w:t xml:space="preserve"> 17 June 2015 </w:t>
          </w:r>
        </w:p>
        <w:p w14:paraId="7EEC0190" w14:textId="77777777" w:rsidR="00830FDC" w:rsidRPr="006546D5" w:rsidRDefault="003866D9" w:rsidP="00830FDC">
          <w:pPr>
            <w:pStyle w:val="BodyText"/>
          </w:pPr>
          <w:hyperlink r:id="rId79" w:history="1">
            <w:r w:rsidR="009C02E3" w:rsidRPr="00F9624C">
              <w:rPr>
                <w:rStyle w:val="Hyperlink"/>
                <w:szCs w:val="16"/>
              </w:rPr>
              <w:t>http://www.awpa.gov.au/our-work/Workforce%20development/national-workforce-development-strategy/2013-workforce-development-strategy/Documents/2013%20Industry%20Snapshots/</w:t>
            </w:r>
            <w:r w:rsidR="009C02E3" w:rsidRPr="00F9624C">
              <w:rPr>
                <w:rStyle w:val="Hyperlink"/>
                <w:szCs w:val="16"/>
              </w:rPr>
              <w:br/>
              <w:t>Q-Health-care-and-social-assistance.pdf</w:t>
            </w:r>
          </w:hyperlink>
        </w:p>
        <w:p w14:paraId="3F04DFD5" w14:textId="77777777" w:rsidR="00830FDC" w:rsidRPr="006546D5" w:rsidRDefault="00830FDC" w:rsidP="00830FDC">
          <w:pPr>
            <w:pStyle w:val="BodyText"/>
            <w:spacing w:after="0"/>
          </w:pPr>
          <w:r w:rsidRPr="006546D5">
            <w:t xml:space="preserve">Australian Workforce and Productivity Agency (AWPA 2014b), Industry snapshot: Mining, </w:t>
          </w:r>
          <w:r>
            <w:t>viewed</w:t>
          </w:r>
          <w:r w:rsidRPr="006546D5">
            <w:t xml:space="preserve"> 17 June 2015 </w:t>
          </w:r>
        </w:p>
        <w:p w14:paraId="390BD0C3" w14:textId="74F16E22" w:rsidR="00830FDC" w:rsidRPr="006546D5" w:rsidRDefault="003866D9" w:rsidP="00830FDC">
          <w:pPr>
            <w:pStyle w:val="BodyText"/>
            <w:rPr>
              <w:rStyle w:val="Hyperlink"/>
            </w:rPr>
          </w:pPr>
          <w:hyperlink r:id="rId80" w:tooltip="http://www.abs.gov.au/ausstats/abs@.nsf/mf/1259.0.30.001" w:history="1">
            <w:r w:rsidR="00830FDC" w:rsidRPr="006546D5">
              <w:rPr>
                <w:rStyle w:val="Hyperlink"/>
                <w:szCs w:val="16"/>
              </w:rPr>
              <w:t>http://www.awpa.gov.au/our-work/Workforce%20development/national-workforce-development-strategy/2013-workforce-development-strategy/Documents/2013%20Industry%20Snapshots/B-Mining.pdf</w:t>
            </w:r>
          </w:hyperlink>
        </w:p>
        <w:p w14:paraId="15548F46" w14:textId="77777777" w:rsidR="00830FDC" w:rsidRPr="006546D5" w:rsidRDefault="00830FDC" w:rsidP="00830FDC">
          <w:pPr>
            <w:pStyle w:val="BodyText"/>
          </w:pPr>
          <w:r w:rsidRPr="006546D5">
            <w:t>Autant-</w:t>
          </w:r>
          <w:r>
            <w:t xml:space="preserve">Bernard C, Fadairo, M and Massard, N </w:t>
          </w:r>
          <w:r w:rsidRPr="006546D5">
            <w:t xml:space="preserve">(2013) Knowledge diffusion and innovation policies within the European regions: Challenges based on recent empirical evidence, </w:t>
          </w:r>
          <w:r w:rsidRPr="006546D5">
            <w:rPr>
              <w:i/>
            </w:rPr>
            <w:t>Research Policy</w:t>
          </w:r>
          <w:r w:rsidRPr="006546D5">
            <w:t xml:space="preserve">, 42(1), </w:t>
          </w:r>
          <w:r>
            <w:t xml:space="preserve">pp. </w:t>
          </w:r>
          <w:r w:rsidRPr="006546D5">
            <w:t>196</w:t>
          </w:r>
          <w:r w:rsidRPr="006546D5">
            <w:rPr>
              <w:rFonts w:cstheme="minorHAnsi"/>
            </w:rPr>
            <w:t>–</w:t>
          </w:r>
          <w:r>
            <w:t>210</w:t>
          </w:r>
        </w:p>
        <w:p w14:paraId="5FE73C2E" w14:textId="77777777" w:rsidR="00830FDC" w:rsidRPr="006546D5" w:rsidRDefault="00830FDC" w:rsidP="00830FDC">
          <w:pPr>
            <w:pStyle w:val="BodyText"/>
          </w:pPr>
          <w:r>
            <w:t xml:space="preserve">Baptista R and </w:t>
          </w:r>
          <w:r w:rsidRPr="006546D5">
            <w:t xml:space="preserve">Swann GP (1999) A comparison of clustering dynamics in the US and UK computer industries. </w:t>
          </w:r>
          <w:r w:rsidRPr="006546D5">
            <w:rPr>
              <w:i/>
            </w:rPr>
            <w:t>Journal of Evolutionary Economics</w:t>
          </w:r>
          <w:r w:rsidRPr="006546D5">
            <w:t>, 9(3),</w:t>
          </w:r>
          <w:r w:rsidR="006C366E">
            <w:br/>
          </w:r>
          <w:r>
            <w:t xml:space="preserve">pp. </w:t>
          </w:r>
          <w:r w:rsidRPr="006546D5">
            <w:t>373</w:t>
          </w:r>
          <w:r w:rsidRPr="006546D5">
            <w:rPr>
              <w:rFonts w:cstheme="minorHAnsi"/>
            </w:rPr>
            <w:t>–</w:t>
          </w:r>
          <w:r w:rsidRPr="006546D5">
            <w:t>399.</w:t>
          </w:r>
        </w:p>
        <w:p w14:paraId="3E9FC6D4" w14:textId="46688B27" w:rsidR="003134B5" w:rsidRDefault="003134B5" w:rsidP="00132897">
          <w:pPr>
            <w:pStyle w:val="BodyText"/>
            <w:jc w:val="left"/>
          </w:pPr>
          <w:r w:rsidRPr="00B57069">
            <w:t xml:space="preserve">Braunerhjelm </w:t>
          </w:r>
          <w:r>
            <w:t xml:space="preserve">P </w:t>
          </w:r>
          <w:r w:rsidRPr="00B57069">
            <w:rPr>
              <w:i/>
            </w:rPr>
            <w:t>et al</w:t>
          </w:r>
          <w:r w:rsidRPr="00B57069">
            <w:t>.</w:t>
          </w:r>
          <w:r>
            <w:t xml:space="preserve"> (2010) </w:t>
          </w:r>
          <w:r w:rsidRPr="00B57069">
            <w:t xml:space="preserve">The </w:t>
          </w:r>
          <w:r>
            <w:t>m</w:t>
          </w:r>
          <w:r w:rsidRPr="00B57069">
            <w:t xml:space="preserve">issing </w:t>
          </w:r>
          <w:r>
            <w:t>l</w:t>
          </w:r>
          <w:r w:rsidRPr="00B57069">
            <w:t xml:space="preserve">ink: Knowledge </w:t>
          </w:r>
          <w:r>
            <w:t>d</w:t>
          </w:r>
          <w:r w:rsidRPr="00B57069">
            <w:t xml:space="preserve">iffusion and </w:t>
          </w:r>
          <w:r>
            <w:t>e</w:t>
          </w:r>
          <w:r w:rsidRPr="00B57069">
            <w:t xml:space="preserve">ntrepreneurship in </w:t>
          </w:r>
          <w:r>
            <w:t>e</w:t>
          </w:r>
          <w:r w:rsidRPr="00B57069">
            <w:t xml:space="preserve">ndogenous </w:t>
          </w:r>
          <w:r>
            <w:t>g</w:t>
          </w:r>
          <w:r w:rsidRPr="00B57069">
            <w:t xml:space="preserve">rowth, </w:t>
          </w:r>
          <w:r w:rsidRPr="00B57069">
            <w:rPr>
              <w:i/>
            </w:rPr>
            <w:t>Small Business Economics</w:t>
          </w:r>
          <w:r w:rsidRPr="00B57069">
            <w:t xml:space="preserve"> 34</w:t>
          </w:r>
          <w:r>
            <w:t>: 105–25</w:t>
          </w:r>
        </w:p>
        <w:p w14:paraId="14C56A86" w14:textId="129B97DF" w:rsidR="003853D5" w:rsidRDefault="003853D5" w:rsidP="00132897">
          <w:pPr>
            <w:pStyle w:val="BodyText"/>
            <w:jc w:val="left"/>
          </w:pPr>
          <w:r>
            <w:t xml:space="preserve">Casares M &amp; Khan HU (2016) </w:t>
          </w:r>
          <w:r w:rsidRPr="00DA37D8">
            <w:rPr>
              <w:i/>
            </w:rPr>
            <w:t>Business dynamism and economic growth: US regional evidence</w:t>
          </w:r>
          <w:r>
            <w:t>, Carleton Economic Papers 16-03.</w:t>
          </w:r>
        </w:p>
        <w:p w14:paraId="44FCA753" w14:textId="381354DA" w:rsidR="00830FDC" w:rsidRPr="00276091" w:rsidRDefault="00830FDC" w:rsidP="00132897">
          <w:pPr>
            <w:pStyle w:val="BodyText"/>
            <w:jc w:val="left"/>
          </w:pPr>
          <w:r>
            <w:t xml:space="preserve">Coy P and </w:t>
          </w:r>
          <w:r w:rsidRPr="006546D5">
            <w:t xml:space="preserve">Lu W (2015) </w:t>
          </w:r>
          <w:r w:rsidR="00132897">
            <w:t xml:space="preserve">The Bloomberg Innovation Index, </w:t>
          </w:r>
          <w:hyperlink r:id="rId81" w:tooltip="http://www.abs.gov.au/ausstats/abs@.nsf/mf/1259.0.30.001" w:history="1">
            <w:r w:rsidR="00132897" w:rsidRPr="00F9624C">
              <w:rPr>
                <w:rStyle w:val="Hyperlink"/>
                <w:szCs w:val="16"/>
              </w:rPr>
              <w:t>http://www.bloomberg.com/graphics/2015-innovative-countries/</w:t>
            </w:r>
          </w:hyperlink>
          <w:r>
            <w:rPr>
              <w:u w:val="single"/>
            </w:rPr>
            <w:t>,</w:t>
          </w:r>
          <w:r w:rsidR="00EE6D06">
            <w:br/>
          </w:r>
          <w:r>
            <w:t>viewed</w:t>
          </w:r>
          <w:r w:rsidRPr="00276091">
            <w:t xml:space="preserve"> 15 May 2015</w:t>
          </w:r>
        </w:p>
        <w:p w14:paraId="11AF6DF1" w14:textId="77777777" w:rsidR="003853D5" w:rsidRPr="00EE6D06" w:rsidRDefault="003853D5" w:rsidP="003853D5">
          <w:pPr>
            <w:pStyle w:val="BodyText"/>
            <w:rPr>
              <w:i/>
            </w:rPr>
          </w:pPr>
          <w:r w:rsidRPr="006546D5">
            <w:t xml:space="preserve">Department of Industry (2013) </w:t>
          </w:r>
          <w:r w:rsidRPr="006546D5">
            <w:rPr>
              <w:i/>
            </w:rPr>
            <w:t>Australian Innovation System Report</w:t>
          </w:r>
          <w:r>
            <w:rPr>
              <w:i/>
            </w:rPr>
            <w:t>—</w:t>
          </w:r>
          <w:r w:rsidRPr="006546D5">
            <w:rPr>
              <w:i/>
            </w:rPr>
            <w:t>2013</w:t>
          </w:r>
          <w:r w:rsidRPr="006546D5">
            <w:t xml:space="preserve">, </w:t>
          </w:r>
          <w:r>
            <w:t>Canberra</w:t>
          </w:r>
        </w:p>
        <w:p w14:paraId="121979B1" w14:textId="77777777" w:rsidR="003853D5" w:rsidRPr="006546D5" w:rsidRDefault="003853D5" w:rsidP="003853D5">
          <w:pPr>
            <w:pStyle w:val="BodyText"/>
          </w:pPr>
          <w:r w:rsidRPr="006546D5">
            <w:t xml:space="preserve">Department of Industry and Science (2014) </w:t>
          </w:r>
          <w:r w:rsidRPr="006546D5">
            <w:rPr>
              <w:i/>
            </w:rPr>
            <w:t>Australian Innovation System Report 2014</w:t>
          </w:r>
          <w:r w:rsidRPr="006546D5">
            <w:t xml:space="preserve">, </w:t>
          </w:r>
          <w:r>
            <w:t>Canberra</w:t>
          </w:r>
        </w:p>
        <w:p w14:paraId="765E252F" w14:textId="77777777" w:rsidR="003853D5" w:rsidRPr="006546D5" w:rsidRDefault="003853D5" w:rsidP="003853D5">
          <w:pPr>
            <w:pStyle w:val="BodyText"/>
          </w:pPr>
          <w:r w:rsidRPr="006546D5">
            <w:t>Department of Infrastructure and</w:t>
          </w:r>
          <w:r>
            <w:t xml:space="preserve"> Regional Development</w:t>
          </w:r>
          <w:r w:rsidRPr="006546D5">
            <w:t xml:space="preserve"> (2013) </w:t>
          </w:r>
          <w:r w:rsidRPr="006546D5">
            <w:rPr>
              <w:i/>
            </w:rPr>
            <w:t>State of Australian Cities 2013</w:t>
          </w:r>
          <w:r>
            <w:t>, Canberra</w:t>
          </w:r>
        </w:p>
        <w:p w14:paraId="2BABE33C" w14:textId="77777777" w:rsidR="00830FDC" w:rsidRPr="006546D5" w:rsidRDefault="00830FDC" w:rsidP="00830FDC">
          <w:pPr>
            <w:pStyle w:val="BodyText"/>
          </w:pPr>
          <w:r w:rsidRPr="006546D5">
            <w:t xml:space="preserve">Enright MJ </w:t>
          </w:r>
          <w:r>
            <w:t>and</w:t>
          </w:r>
          <w:r w:rsidRPr="006546D5">
            <w:t xml:space="preserve"> Roberts BH (2001) Regional Clustering in Australia, </w:t>
          </w:r>
          <w:r w:rsidRPr="006546D5">
            <w:rPr>
              <w:i/>
            </w:rPr>
            <w:t>Australian Journal of Management</w:t>
          </w:r>
          <w:r>
            <w:t>, 26, Special Issue</w:t>
          </w:r>
        </w:p>
        <w:p w14:paraId="7C394498" w14:textId="77777777" w:rsidR="00830FDC" w:rsidRPr="006546D5" w:rsidRDefault="00830FDC" w:rsidP="00830FDC">
          <w:pPr>
            <w:pStyle w:val="BodyText"/>
          </w:pPr>
          <w:r w:rsidRPr="006546D5">
            <w:t xml:space="preserve">Es-Sadki N </w:t>
          </w:r>
          <w:r>
            <w:t>and</w:t>
          </w:r>
          <w:r w:rsidRPr="006546D5">
            <w:t xml:space="preserve"> Arundel A (2015) The impact of the regional environment on the knowledge transfer outcomes of public research organisations: preliminary results for Europe, Maastricht Economic and Social Research Institute on Innovation and Technology (</w:t>
          </w:r>
          <w:r>
            <w:t xml:space="preserve">UNU Merit), working paper </w:t>
          </w:r>
          <w:r w:rsidRPr="00597A0A">
            <w:t>#</w:t>
          </w:r>
          <w:r>
            <w:t>2015</w:t>
          </w:r>
          <w:r>
            <w:rPr>
              <w:rFonts w:cstheme="minorHAnsi"/>
            </w:rPr>
            <w:t>–</w:t>
          </w:r>
          <w:r w:rsidRPr="006546D5">
            <w:t>017</w:t>
          </w:r>
        </w:p>
        <w:p w14:paraId="3C096638" w14:textId="77777777" w:rsidR="00830FDC" w:rsidRPr="006546D5" w:rsidRDefault="00830FDC" w:rsidP="006C366E">
          <w:pPr>
            <w:pStyle w:val="BodyText"/>
          </w:pPr>
          <w:r w:rsidRPr="006546D5">
            <w:t>Fagerberg J (2013) Innovation</w:t>
          </w:r>
          <w:r w:rsidR="006C366E">
            <w:t>—</w:t>
          </w:r>
          <w:r w:rsidRPr="006546D5">
            <w:t>a New Guide, University of Oslo, TIK Working Papers on Innovation Studies No. 20131119</w:t>
          </w:r>
        </w:p>
        <w:p w14:paraId="1E34B1D3" w14:textId="77777777" w:rsidR="003134B5" w:rsidRDefault="003134B5" w:rsidP="00830FDC">
          <w:pPr>
            <w:pStyle w:val="BodyText"/>
          </w:pPr>
          <w:r w:rsidRPr="004E1542">
            <w:t>Fallah</w:t>
          </w:r>
          <w:r>
            <w:t xml:space="preserve"> B</w:t>
          </w:r>
          <w:r w:rsidRPr="004E1542">
            <w:t>, Partridge</w:t>
          </w:r>
          <w:r>
            <w:t xml:space="preserve"> MD &amp;</w:t>
          </w:r>
          <w:r w:rsidRPr="004E1542">
            <w:t xml:space="preserve"> Rickman</w:t>
          </w:r>
          <w:r>
            <w:t xml:space="preserve"> DS (2014) </w:t>
          </w:r>
          <w:r w:rsidRPr="004E1542">
            <w:t xml:space="preserve">Geography and </w:t>
          </w:r>
          <w:r>
            <w:t>high-tech e</w:t>
          </w:r>
          <w:r w:rsidRPr="004E1542">
            <w:t xml:space="preserve">mployment </w:t>
          </w:r>
          <w:r>
            <w:t>g</w:t>
          </w:r>
          <w:r w:rsidRPr="004E1542">
            <w:t xml:space="preserve">rowth in US </w:t>
          </w:r>
          <w:r>
            <w:t>c</w:t>
          </w:r>
          <w:r w:rsidRPr="004E1542">
            <w:t xml:space="preserve">ounties, </w:t>
          </w:r>
          <w:r w:rsidRPr="004E1542">
            <w:rPr>
              <w:i/>
            </w:rPr>
            <w:t>Journal of Economic Geography</w:t>
          </w:r>
          <w:r w:rsidRPr="004E1542">
            <w:t xml:space="preserve"> 14</w:t>
          </w:r>
          <w:r>
            <w:t xml:space="preserve">: </w:t>
          </w:r>
          <w:r w:rsidRPr="004E1542">
            <w:t>683-720</w:t>
          </w:r>
        </w:p>
        <w:p w14:paraId="763DB148" w14:textId="304A1F24" w:rsidR="003134B5" w:rsidRPr="006546D5" w:rsidRDefault="003134B5" w:rsidP="003134B5">
          <w:pPr>
            <w:pStyle w:val="BodyText"/>
          </w:pPr>
          <w:r w:rsidRPr="00574711">
            <w:t xml:space="preserve">Feldman </w:t>
          </w:r>
          <w:r>
            <w:t xml:space="preserve">MP &amp; </w:t>
          </w:r>
          <w:r w:rsidRPr="00574711">
            <w:t>Audretsch</w:t>
          </w:r>
          <w:r>
            <w:t xml:space="preserve"> DB (1999) </w:t>
          </w:r>
          <w:r w:rsidRPr="00574711">
            <w:t xml:space="preserve">Innovation in </w:t>
          </w:r>
          <w:r>
            <w:t>c</w:t>
          </w:r>
          <w:r w:rsidRPr="00574711">
            <w:t>ities: Science-</w:t>
          </w:r>
          <w:r>
            <w:t>b</w:t>
          </w:r>
          <w:r w:rsidRPr="00574711">
            <w:t xml:space="preserve">ased </w:t>
          </w:r>
          <w:r>
            <w:t>d</w:t>
          </w:r>
          <w:r w:rsidRPr="00574711">
            <w:t xml:space="preserve">iversity, </w:t>
          </w:r>
          <w:r>
            <w:t>s</w:t>
          </w:r>
          <w:r w:rsidRPr="00574711">
            <w:t xml:space="preserve">pecialization and </w:t>
          </w:r>
          <w:r>
            <w:t>l</w:t>
          </w:r>
          <w:r w:rsidRPr="00574711">
            <w:t xml:space="preserve">ocalized </w:t>
          </w:r>
          <w:r>
            <w:t>c</w:t>
          </w:r>
          <w:r w:rsidRPr="00574711">
            <w:t xml:space="preserve">ompetition, </w:t>
          </w:r>
          <w:r w:rsidRPr="00574711">
            <w:rPr>
              <w:i/>
            </w:rPr>
            <w:t>European Economic Review</w:t>
          </w:r>
          <w:r w:rsidRPr="00574711">
            <w:t xml:space="preserve"> 43: 409–29</w:t>
          </w:r>
        </w:p>
        <w:p w14:paraId="4FA33481" w14:textId="74097893" w:rsidR="00830FDC" w:rsidRPr="006546D5" w:rsidRDefault="003134B5" w:rsidP="00830FDC">
          <w:pPr>
            <w:pStyle w:val="BodyText"/>
          </w:pPr>
          <w:r>
            <w:t>F</w:t>
          </w:r>
          <w:r w:rsidR="00830FDC" w:rsidRPr="006546D5">
            <w:t xml:space="preserve">lorida R </w:t>
          </w:r>
          <w:r>
            <w:t xml:space="preserve">&amp; </w:t>
          </w:r>
          <w:r w:rsidR="00830FDC" w:rsidRPr="006546D5">
            <w:t xml:space="preserve">Mellander C (2014) </w:t>
          </w:r>
          <w:r w:rsidR="00830FDC" w:rsidRPr="0053524D">
            <w:rPr>
              <w:i/>
            </w:rPr>
            <w:t>Rise of the startup city: The changing geography of the venture capital financed innovation</w:t>
          </w:r>
          <w:r w:rsidR="00830FDC" w:rsidRPr="006546D5">
            <w:t>, Center of Excellence for Science and Innovation Studies, CENSIS Working Paper No. 377</w:t>
          </w:r>
        </w:p>
        <w:p w14:paraId="4322219D" w14:textId="1D69AB3A" w:rsidR="00830FDC" w:rsidRPr="006546D5" w:rsidRDefault="00830FDC" w:rsidP="00830FDC">
          <w:pPr>
            <w:pStyle w:val="BodyText"/>
          </w:pPr>
          <w:r w:rsidRPr="006546D5">
            <w:t xml:space="preserve">Greenhalgh C </w:t>
          </w:r>
          <w:r w:rsidR="003134B5">
            <w:t xml:space="preserve">&amp; </w:t>
          </w:r>
          <w:r w:rsidRPr="006546D5">
            <w:t>Rogers M (2010) Innovation, intellectual property, and economic gro</w:t>
          </w:r>
          <w:r>
            <w:t>wth, Princeton University Press</w:t>
          </w:r>
          <w:r w:rsidRPr="006546D5">
            <w:t xml:space="preserve"> </w:t>
          </w:r>
        </w:p>
        <w:p w14:paraId="0F705B54" w14:textId="525C5C58" w:rsidR="00830FDC" w:rsidRPr="006546D5" w:rsidRDefault="00830FDC" w:rsidP="00830FDC">
          <w:pPr>
            <w:pStyle w:val="BodyText"/>
          </w:pPr>
          <w:r w:rsidRPr="006546D5">
            <w:t xml:space="preserve">Greenhalgh C </w:t>
          </w:r>
          <w:r w:rsidR="003134B5">
            <w:t>&amp;</w:t>
          </w:r>
          <w:r w:rsidR="003134B5" w:rsidRPr="006546D5">
            <w:t xml:space="preserve"> </w:t>
          </w:r>
          <w:r w:rsidRPr="006546D5">
            <w:t>Rogers M (2006) The value of innovation: The interac</w:t>
          </w:r>
          <w:r>
            <w:t>tion of competition, R&amp;D and IP,</w:t>
          </w:r>
          <w:r w:rsidRPr="006546D5">
            <w:t xml:space="preserve"> </w:t>
          </w:r>
          <w:r w:rsidRPr="006546D5">
            <w:rPr>
              <w:i/>
            </w:rPr>
            <w:t>Research Policy</w:t>
          </w:r>
          <w:r w:rsidRPr="006546D5">
            <w:t xml:space="preserve">, 35(4), </w:t>
          </w:r>
          <w:r>
            <w:t xml:space="preserve">pp. </w:t>
          </w:r>
          <w:r w:rsidRPr="006546D5">
            <w:t>562</w:t>
          </w:r>
          <w:r w:rsidRPr="006546D5">
            <w:rPr>
              <w:rFonts w:cstheme="minorHAnsi"/>
            </w:rPr>
            <w:t>–</w:t>
          </w:r>
          <w:r>
            <w:t>580</w:t>
          </w:r>
        </w:p>
        <w:p w14:paraId="646C7071" w14:textId="77777777" w:rsidR="00830FDC" w:rsidRPr="006546D5" w:rsidRDefault="00830FDC" w:rsidP="00830FDC">
          <w:pPr>
            <w:pStyle w:val="BodyText"/>
          </w:pPr>
          <w:r w:rsidRPr="006546D5">
            <w:t xml:space="preserve">Grill R (2014) </w:t>
          </w:r>
          <w:r w:rsidRPr="006546D5">
            <w:rPr>
              <w:i/>
            </w:rPr>
            <w:t>Interpreting the emergence and development of high technology industry clusters in selected second tier global regions</w:t>
          </w:r>
          <w:r w:rsidRPr="006546D5">
            <w:t xml:space="preserve">, PhD thesis, The University of Adelaide, </w:t>
          </w:r>
          <w:r w:rsidRPr="00597A0A">
            <w:t>July</w:t>
          </w:r>
        </w:p>
        <w:p w14:paraId="2F229178" w14:textId="77777777" w:rsidR="00830FDC" w:rsidRPr="006546D5" w:rsidRDefault="00830FDC" w:rsidP="00830FDC">
          <w:pPr>
            <w:pStyle w:val="BodyText"/>
          </w:pPr>
          <w:r w:rsidRPr="006546D5">
            <w:t xml:space="preserve">Hendrickson L, Balaguer A, Bucifal S </w:t>
          </w:r>
          <w:r>
            <w:t>and</w:t>
          </w:r>
          <w:r w:rsidRPr="006546D5">
            <w:t xml:space="preserve"> Hansell D (2015) </w:t>
          </w:r>
          <w:r w:rsidRPr="006546D5">
            <w:rPr>
              <w:i/>
            </w:rPr>
            <w:t>The employment dynamics of Australian entrepreneurship</w:t>
          </w:r>
          <w:r w:rsidRPr="006546D5">
            <w:t>, Department of Industry and Science, Re</w:t>
          </w:r>
          <w:r>
            <w:t>search Paper, forthcoming</w:t>
          </w:r>
        </w:p>
        <w:p w14:paraId="5C336A14" w14:textId="77777777" w:rsidR="00830FDC" w:rsidRPr="006546D5" w:rsidRDefault="00830FDC" w:rsidP="00830FDC">
          <w:pPr>
            <w:pStyle w:val="BodyText"/>
          </w:pPr>
          <w:r w:rsidRPr="006546D5">
            <w:t xml:space="preserve">Institute for Strategy and Competitiveness, Harvard Business School, </w:t>
          </w:r>
          <w:r>
            <w:t>viewed</w:t>
          </w:r>
          <w:r w:rsidR="00EE6D06">
            <w:br/>
          </w:r>
          <w:r w:rsidRPr="006546D5">
            <w:t xml:space="preserve">1 June 2015 </w:t>
          </w:r>
          <w:hyperlink r:id="rId82" w:history="1">
            <w:r w:rsidR="005A6F30" w:rsidRPr="00F9624C">
              <w:rPr>
                <w:rStyle w:val="Hyperlink"/>
              </w:rPr>
              <w:t>http://www.isc.hbs.edu/competitiveness-economic-development/</w:t>
            </w:r>
            <w:r w:rsidR="005A6F30" w:rsidRPr="00F9624C">
              <w:rPr>
                <w:rStyle w:val="Hyperlink"/>
              </w:rPr>
              <w:br/>
              <w:t>frameworks-and-key-concepts/Pages/clusters.aspx</w:t>
            </w:r>
          </w:hyperlink>
          <w:r w:rsidRPr="00276091">
            <w:rPr>
              <w:color w:val="22789A" w:themeColor="accent1"/>
            </w:rPr>
            <w:t xml:space="preserve">  </w:t>
          </w:r>
        </w:p>
        <w:p w14:paraId="3B797807" w14:textId="77777777" w:rsidR="00830FDC" w:rsidRPr="006546D5" w:rsidRDefault="00830FDC" w:rsidP="00830FDC">
          <w:pPr>
            <w:pStyle w:val="BodyText"/>
          </w:pPr>
          <w:r>
            <w:t xml:space="preserve">Jensen PH, Webster, E and Buddelmeyer H </w:t>
          </w:r>
          <w:r w:rsidRPr="006546D5">
            <w:t xml:space="preserve">(2008) Innovation, technological conditions and new firm survival. </w:t>
          </w:r>
          <w:r w:rsidRPr="006546D5">
            <w:rPr>
              <w:i/>
            </w:rPr>
            <w:t>The Economic Record</w:t>
          </w:r>
          <w:r w:rsidRPr="006546D5">
            <w:t xml:space="preserve">, 84(267), </w:t>
          </w:r>
          <w:r>
            <w:t xml:space="preserve">pp. </w:t>
          </w:r>
          <w:r w:rsidRPr="006546D5">
            <w:t>434</w:t>
          </w:r>
          <w:r w:rsidRPr="006546D5">
            <w:rPr>
              <w:rFonts w:cstheme="minorHAnsi"/>
            </w:rPr>
            <w:t>–</w:t>
          </w:r>
          <w:r>
            <w:t>448</w:t>
          </w:r>
        </w:p>
        <w:p w14:paraId="3DFE7A90" w14:textId="77777777" w:rsidR="00830FDC" w:rsidRPr="006546D5" w:rsidRDefault="00830FDC" w:rsidP="00830FDC">
          <w:pPr>
            <w:pStyle w:val="BodyText"/>
          </w:pPr>
          <w:r w:rsidRPr="006546D5">
            <w:t xml:space="preserve">Ketels CHM (2011) Clusters and competitiveness: Porter's contribution, In Huggins R </w:t>
          </w:r>
          <w:r>
            <w:t>and</w:t>
          </w:r>
          <w:r w:rsidRPr="006546D5">
            <w:t xml:space="preserve"> Izushi H (</w:t>
          </w:r>
          <w:r>
            <w:t>e</w:t>
          </w:r>
          <w:r w:rsidRPr="006546D5">
            <w:t>ds</w:t>
          </w:r>
          <w:r w:rsidRPr="006546D5">
            <w:rPr>
              <w:lang w:val="en-US"/>
            </w:rPr>
            <w:t xml:space="preserve">), </w:t>
          </w:r>
          <w:hyperlink r:id="rId83" w:tgtFrame="_blank" w:history="1">
            <w:r w:rsidRPr="006546D5">
              <w:rPr>
                <w:rStyle w:val="Hyperlink"/>
                <w:i/>
                <w:szCs w:val="16"/>
              </w:rPr>
              <w:t>Competition, Competitive Advantage, and Clusters: The Ideas of Michael Porte</w:t>
            </w:r>
            <w:r w:rsidRPr="006546D5">
              <w:rPr>
                <w:rStyle w:val="Hyperlink"/>
                <w:szCs w:val="16"/>
              </w:rPr>
              <w:t>r</w:t>
            </w:r>
          </w:hyperlink>
          <w:r w:rsidRPr="006546D5">
            <w:rPr>
              <w:lang w:val="en-US"/>
            </w:rPr>
            <w:t>, Oxfo</w:t>
          </w:r>
          <w:r>
            <w:rPr>
              <w:lang w:val="en-US"/>
            </w:rPr>
            <w:t>rd University Press, pp. 173–192</w:t>
          </w:r>
        </w:p>
        <w:p w14:paraId="66B0ADDE" w14:textId="77777777" w:rsidR="00830FDC" w:rsidRPr="006546D5" w:rsidRDefault="00830FDC" w:rsidP="00830FDC">
          <w:pPr>
            <w:pStyle w:val="BodyText"/>
          </w:pPr>
          <w:r>
            <w:t xml:space="preserve">Kleinknecht A, Van Montfort, K and Brouwer, E </w:t>
          </w:r>
          <w:r w:rsidRPr="006546D5">
            <w:t>(2002) The non-trivial choic</w:t>
          </w:r>
          <w:r>
            <w:t xml:space="preserve">e between innovation indicators, </w:t>
          </w:r>
          <w:r w:rsidRPr="006546D5">
            <w:t xml:space="preserve"> </w:t>
          </w:r>
          <w:r w:rsidRPr="006546D5">
            <w:rPr>
              <w:i/>
            </w:rPr>
            <w:t>Economics of Innovation and new technology</w:t>
          </w:r>
          <w:r w:rsidRPr="006546D5">
            <w:t xml:space="preserve">, </w:t>
          </w:r>
          <w:r w:rsidRPr="0090284B">
            <w:t>11</w:t>
          </w:r>
          <w:r w:rsidRPr="006546D5">
            <w:t>(2) 109</w:t>
          </w:r>
          <w:r w:rsidRPr="006546D5">
            <w:rPr>
              <w:rFonts w:cstheme="minorHAnsi"/>
            </w:rPr>
            <w:t>–</w:t>
          </w:r>
          <w:r>
            <w:t>121</w:t>
          </w:r>
        </w:p>
        <w:p w14:paraId="230B0966" w14:textId="3C4F86BE" w:rsidR="00830FDC" w:rsidRPr="006546D5" w:rsidRDefault="00830FDC" w:rsidP="00830FDC">
          <w:pPr>
            <w:pStyle w:val="BodyText"/>
          </w:pPr>
          <w:r w:rsidRPr="006546D5">
            <w:t>Krugman P (1990) Increasing returns and economic geography, National Bureau of Eco</w:t>
          </w:r>
          <w:r>
            <w:t>nomic Research, paper no. w3275</w:t>
          </w:r>
          <w:r w:rsidRPr="006546D5">
            <w:t xml:space="preserve"> </w:t>
          </w:r>
        </w:p>
        <w:p w14:paraId="7974492C" w14:textId="77777777" w:rsidR="00830FDC" w:rsidRPr="006546D5" w:rsidRDefault="00830FDC" w:rsidP="00830FDC">
          <w:pPr>
            <w:pStyle w:val="BodyText"/>
          </w:pPr>
          <w:r w:rsidRPr="006546D5">
            <w:t xml:space="preserve">Lentz R </w:t>
          </w:r>
          <w:r>
            <w:t>and</w:t>
          </w:r>
          <w:r w:rsidRPr="006546D5">
            <w:t xml:space="preserve"> Mortensen DT (2008) An empirical model of growth through product innovation. </w:t>
          </w:r>
          <w:r w:rsidRPr="006546D5">
            <w:rPr>
              <w:i/>
              <w:iCs/>
            </w:rPr>
            <w:t>Econometrica</w:t>
          </w:r>
          <w:r w:rsidRPr="006546D5">
            <w:t xml:space="preserve"> </w:t>
          </w:r>
          <w:r w:rsidRPr="000E7C48">
            <w:rPr>
              <w:iCs/>
            </w:rPr>
            <w:t>76</w:t>
          </w:r>
          <w:r w:rsidRPr="006546D5">
            <w:t xml:space="preserve">(6) </w:t>
          </w:r>
          <w:r>
            <w:t xml:space="preserve">pp. </w:t>
          </w:r>
          <w:r w:rsidRPr="006546D5">
            <w:t>1317</w:t>
          </w:r>
          <w:r w:rsidRPr="006546D5">
            <w:rPr>
              <w:rFonts w:cstheme="minorHAnsi"/>
            </w:rPr>
            <w:t>–</w:t>
          </w:r>
          <w:r>
            <w:t>1373</w:t>
          </w:r>
        </w:p>
        <w:p w14:paraId="7D2802E2" w14:textId="77777777" w:rsidR="00830FDC" w:rsidRPr="006546D5" w:rsidRDefault="00830FDC" w:rsidP="00830FDC">
          <w:pPr>
            <w:pStyle w:val="BodyText"/>
          </w:pPr>
          <w:r w:rsidRPr="006546D5">
            <w:t xml:space="preserve">Marsh I </w:t>
          </w:r>
          <w:r>
            <w:t>and</w:t>
          </w:r>
          <w:r w:rsidRPr="006546D5">
            <w:t xml:space="preserve"> Shaw B (2000) </w:t>
          </w:r>
          <w:r w:rsidRPr="006546D5">
            <w:rPr>
              <w:i/>
            </w:rPr>
            <w:t xml:space="preserve">Australia's wine industry: collaboration and learning as causes of competitive success, </w:t>
          </w:r>
          <w:r w:rsidRPr="006546D5">
            <w:t>Austral</w:t>
          </w:r>
          <w:r>
            <w:t>ian Business Foundation, Sydney</w:t>
          </w:r>
        </w:p>
        <w:p w14:paraId="03039982" w14:textId="77777777" w:rsidR="00830FDC" w:rsidRPr="006546D5" w:rsidRDefault="00830FDC" w:rsidP="00830FDC">
          <w:pPr>
            <w:pStyle w:val="BodyText"/>
          </w:pPr>
          <w:r w:rsidRPr="006546D5">
            <w:t xml:space="preserve">McGlade A (2014) Why South Korea Will Be The Next Global Hub For Tech Startups. </w:t>
          </w:r>
          <w:r w:rsidRPr="006546D5">
            <w:rPr>
              <w:i/>
            </w:rPr>
            <w:t>Forbes</w:t>
          </w:r>
          <w:r w:rsidRPr="006546D5">
            <w:t xml:space="preserve">, </w:t>
          </w:r>
          <w:hyperlink r:id="rId84" w:history="1">
            <w:r w:rsidR="00B12669" w:rsidRPr="00F9624C">
              <w:rPr>
                <w:rStyle w:val="Hyperlink"/>
                <w:szCs w:val="16"/>
              </w:rPr>
              <w:t>http://www.forbes.com/sites/alanmcglade/2014/02/06/</w:t>
            </w:r>
            <w:r w:rsidR="00B12669" w:rsidRPr="00F9624C">
              <w:rPr>
                <w:rStyle w:val="Hyperlink"/>
                <w:szCs w:val="16"/>
              </w:rPr>
              <w:br/>
              <w:t>why-south-korea-will-be-the-next-global-hub-for-tech-startups/</w:t>
            </w:r>
          </w:hyperlink>
          <w:r>
            <w:rPr>
              <w:u w:val="single"/>
            </w:rPr>
            <w:t>,</w:t>
          </w:r>
          <w:r w:rsidR="00EE6D06">
            <w:rPr>
              <w:u w:val="single"/>
            </w:rPr>
            <w:br/>
          </w:r>
          <w:r>
            <w:t>viewed</w:t>
          </w:r>
          <w:r w:rsidRPr="00276091">
            <w:t xml:space="preserve"> 5 May 2015</w:t>
          </w:r>
        </w:p>
        <w:p w14:paraId="3C24B804" w14:textId="51F0FAA5" w:rsidR="00830FDC" w:rsidRPr="006546D5" w:rsidRDefault="00830FDC" w:rsidP="00830FDC">
          <w:pPr>
            <w:pStyle w:val="BodyText"/>
          </w:pPr>
          <w:r w:rsidRPr="006546D5">
            <w:t xml:space="preserve">Mendonça S, Pereira TS </w:t>
          </w:r>
          <w:r>
            <w:t>and</w:t>
          </w:r>
          <w:r w:rsidRPr="006546D5">
            <w:t xml:space="preserve"> Godinho MM (2004) Trademarks as an indicator of innovation and industrial change. </w:t>
          </w:r>
          <w:r w:rsidRPr="006546D5">
            <w:rPr>
              <w:i/>
            </w:rPr>
            <w:t>Research Policy</w:t>
          </w:r>
          <w:r w:rsidRPr="006546D5">
            <w:t xml:space="preserve"> </w:t>
          </w:r>
          <w:r w:rsidRPr="0033215E">
            <w:t>33</w:t>
          </w:r>
          <w:r w:rsidRPr="006546D5">
            <w:t>(9)</w:t>
          </w:r>
          <w:r>
            <w:t xml:space="preserve"> pp. 1385</w:t>
          </w:r>
          <w:r>
            <w:rPr>
              <w:rFonts w:cstheme="minorHAnsi"/>
            </w:rPr>
            <w:t>–</w:t>
          </w:r>
          <w:r>
            <w:t>1404</w:t>
          </w:r>
        </w:p>
        <w:p w14:paraId="67B4363D" w14:textId="09BE8442" w:rsidR="00830FDC" w:rsidRPr="006546D5" w:rsidRDefault="00830FDC" w:rsidP="00830FDC">
          <w:pPr>
            <w:pStyle w:val="BodyText"/>
          </w:pPr>
          <w:r w:rsidRPr="006546D5">
            <w:t xml:space="preserve">Nguyen T </w:t>
          </w:r>
          <w:r>
            <w:t>and</w:t>
          </w:r>
          <w:r w:rsidRPr="006546D5">
            <w:t xml:space="preserve"> Hansell D (2014)</w:t>
          </w:r>
          <w:r w:rsidRPr="006546D5">
            <w:rPr>
              <w:i/>
            </w:rPr>
            <w:t xml:space="preserve"> Firm dynamics and productivity growth in Australian manufacturing and business services</w:t>
          </w:r>
          <w:r w:rsidRPr="006546D5">
            <w:t>, Australian Bureau of</w:t>
          </w:r>
          <w:r w:rsidR="00EE6D06">
            <w:br/>
          </w:r>
          <w:r w:rsidRPr="006546D5">
            <w:t xml:space="preserve">Statistics research paper, October, </w:t>
          </w:r>
          <w:hyperlink r:id="rId85" w:tooltip="http://apo.org.au/node/41800" w:history="1">
            <w:r w:rsidRPr="006546D5">
              <w:rPr>
                <w:rStyle w:val="Hyperlink"/>
                <w:szCs w:val="16"/>
              </w:rPr>
              <w:t>http://apo.org.au/node/41800</w:t>
            </w:r>
          </w:hyperlink>
          <w:r w:rsidRPr="006C366E">
            <w:t>,</w:t>
          </w:r>
          <w:r w:rsidR="00190250" w:rsidRPr="006C366E">
            <w:t xml:space="preserve"> </w:t>
          </w:r>
          <w:r>
            <w:t>viewed</w:t>
          </w:r>
          <w:r w:rsidR="00190250">
            <w:br/>
          </w:r>
          <w:r>
            <w:t>16 June 2015</w:t>
          </w:r>
        </w:p>
        <w:p w14:paraId="0791A944" w14:textId="77777777" w:rsidR="00830FDC" w:rsidRPr="006546D5" w:rsidRDefault="00830FDC" w:rsidP="00830FDC">
          <w:pPr>
            <w:pStyle w:val="BodyText"/>
          </w:pPr>
          <w:r w:rsidRPr="006546D5">
            <w:t xml:space="preserve">OECD (2007) </w:t>
          </w:r>
          <w:r w:rsidRPr="006546D5">
            <w:rPr>
              <w:i/>
            </w:rPr>
            <w:t>The contribution of economic geography to GDP per capita</w:t>
          </w:r>
          <w:r w:rsidRPr="006546D5">
            <w:t xml:space="preserve">, </w:t>
          </w:r>
          <w:r w:rsidRPr="00015209">
            <w:t>Organisation for Economic Co-operation and Development</w:t>
          </w:r>
          <w:r w:rsidRPr="006546D5">
            <w:t>, Paris ECO/CPE/WP1(2007)12</w:t>
          </w:r>
        </w:p>
        <w:p w14:paraId="7A1746C7" w14:textId="77777777" w:rsidR="00830FDC" w:rsidRDefault="00830FDC" w:rsidP="00830FDC">
          <w:pPr>
            <w:pStyle w:val="BodyText"/>
          </w:pPr>
          <w:r w:rsidRPr="006546D5">
            <w:t xml:space="preserve">OECD (2013) </w:t>
          </w:r>
          <w:r w:rsidRPr="006546D5">
            <w:rPr>
              <w:i/>
            </w:rPr>
            <w:t>OECD Regions at a Glance 2013</w:t>
          </w:r>
          <w:r w:rsidRPr="006546D5">
            <w:t xml:space="preserve">, </w:t>
          </w:r>
          <w:r w:rsidRPr="00015209">
            <w:t>Organisation for Economic</w:t>
          </w:r>
          <w:r w:rsidR="00EE6D06">
            <w:br/>
          </w:r>
          <w:r w:rsidRPr="00015209">
            <w:t>Co-operation and Development</w:t>
          </w:r>
          <w:r w:rsidRPr="006546D5">
            <w:t xml:space="preserve">, </w:t>
          </w:r>
          <w:r w:rsidR="009E6212">
            <w:t>Paris</w:t>
          </w:r>
        </w:p>
        <w:p w14:paraId="2082E596" w14:textId="67F40BA7" w:rsidR="00F57092" w:rsidRPr="006546D5" w:rsidRDefault="00F57092" w:rsidP="00830FDC">
          <w:pPr>
            <w:pStyle w:val="BodyText"/>
          </w:pPr>
          <w:r>
            <w:t xml:space="preserve">OECD (2016) </w:t>
          </w:r>
          <w:r w:rsidRPr="00DA37D8">
            <w:t>OECD Innovation Strategy 201</w:t>
          </w:r>
          <w:r>
            <w:t>6</w:t>
          </w:r>
          <w:r w:rsidRPr="00DA37D8">
            <w:t xml:space="preserve">, </w:t>
          </w:r>
          <w:hyperlink r:id="rId86" w:tooltip="http://www.oecd.org/sti/OECD-Innovation-Strategy-2015-CMIN2015-7.pdf" w:history="1">
            <w:r w:rsidRPr="00DA37D8">
              <w:t>http://www.oecd.org/sti/OECD-Innovation-Strategy-2015-CMIN2015-7.pdf</w:t>
            </w:r>
          </w:hyperlink>
          <w:r w:rsidRPr="00DA37D8">
            <w:t>, accessed 29 June 2015.</w:t>
          </w:r>
        </w:p>
        <w:p w14:paraId="19A8BBA4" w14:textId="77777777" w:rsidR="00830FDC" w:rsidRPr="006546D5" w:rsidRDefault="00830FDC" w:rsidP="00830FDC">
          <w:pPr>
            <w:pStyle w:val="BodyText"/>
          </w:pPr>
          <w:r w:rsidRPr="006546D5">
            <w:t xml:space="preserve">Porter ME (1998) Clusters and the New Economics of Competition, </w:t>
          </w:r>
          <w:r w:rsidRPr="006546D5">
            <w:rPr>
              <w:i/>
            </w:rPr>
            <w:t>Harvard Business Review</w:t>
          </w:r>
          <w:r>
            <w:t>, November</w:t>
          </w:r>
          <w:r w:rsidR="00BB73A2">
            <w:t>–</w:t>
          </w:r>
          <w:r>
            <w:t>December</w:t>
          </w:r>
        </w:p>
        <w:p w14:paraId="793352C0" w14:textId="77777777" w:rsidR="00830FDC" w:rsidRPr="006546D5" w:rsidRDefault="00830FDC" w:rsidP="00BB73A2">
          <w:pPr>
            <w:pStyle w:val="BodyText"/>
          </w:pPr>
          <w:r w:rsidRPr="006546D5">
            <w:t xml:space="preserve">Porter ME (1998) Clusters and the New Economics of Competition, </w:t>
          </w:r>
          <w:r w:rsidRPr="006546D5">
            <w:rPr>
              <w:i/>
            </w:rPr>
            <w:t>Harvard Business Review</w:t>
          </w:r>
          <w:r>
            <w:t>, November</w:t>
          </w:r>
          <w:r w:rsidR="00BB73A2">
            <w:t>–</w:t>
          </w:r>
          <w:r>
            <w:t>December</w:t>
          </w:r>
        </w:p>
        <w:p w14:paraId="40FA773A" w14:textId="77777777" w:rsidR="00830FDC" w:rsidRPr="006546D5" w:rsidRDefault="00830FDC" w:rsidP="00830FDC">
          <w:pPr>
            <w:pStyle w:val="BodyText"/>
            <w:rPr>
              <w:lang w:val="en-US"/>
            </w:rPr>
          </w:pPr>
          <w:r w:rsidRPr="006546D5">
            <w:t xml:space="preserve">Rodrigues-Pose A </w:t>
          </w:r>
          <w:r>
            <w:t>and</w:t>
          </w:r>
          <w:r w:rsidRPr="006546D5">
            <w:t xml:space="preserve"> Comptour F (2012) Do Clusters Generate Greater Innovation and Growth? An Analysis of European Regions, </w:t>
          </w:r>
          <w:r w:rsidRPr="006546D5">
            <w:rPr>
              <w:i/>
            </w:rPr>
            <w:t>The Professional Geographer</w:t>
          </w:r>
          <w:r w:rsidRPr="006546D5">
            <w:t>, 64(2).</w:t>
          </w:r>
        </w:p>
        <w:p w14:paraId="63BCC010" w14:textId="77777777" w:rsidR="00830FDC" w:rsidRPr="006546D5" w:rsidRDefault="00830FDC" w:rsidP="00830FDC">
          <w:pPr>
            <w:pStyle w:val="BodyText"/>
          </w:pPr>
          <w:r>
            <w:t xml:space="preserve">Rothwell J, Lobo, J, Strumsky, D and Muro, M </w:t>
          </w:r>
          <w:r w:rsidRPr="006546D5">
            <w:t>(2013) Patenting Prosperity: Invention and Economic Performance in the United States and its Metropolitan Areas, Brookings Institution</w:t>
          </w:r>
        </w:p>
        <w:p w14:paraId="5B211767" w14:textId="77777777" w:rsidR="00830FDC" w:rsidRPr="006546D5" w:rsidRDefault="00830FDC" w:rsidP="00830FDC">
          <w:pPr>
            <w:pStyle w:val="BodyText"/>
          </w:pPr>
          <w:r w:rsidRPr="006546D5">
            <w:t xml:space="preserve">Sandner PG </w:t>
          </w:r>
          <w:r>
            <w:t>and</w:t>
          </w:r>
          <w:r w:rsidRPr="006546D5">
            <w:t xml:space="preserve"> Block J (2011) The market value of R&amp;D, patents, and trademarks, </w:t>
          </w:r>
          <w:r w:rsidRPr="006546D5">
            <w:rPr>
              <w:i/>
            </w:rPr>
            <w:t>Research Policy</w:t>
          </w:r>
          <w:r>
            <w:t>, 40(7), pp. 969</w:t>
          </w:r>
          <w:r>
            <w:rPr>
              <w:rFonts w:cstheme="minorHAnsi"/>
            </w:rPr>
            <w:t>–</w:t>
          </w:r>
          <w:r>
            <w:t>985</w:t>
          </w:r>
        </w:p>
        <w:p w14:paraId="1F8BB259" w14:textId="77777777" w:rsidR="00830FDC" w:rsidRPr="006546D5" w:rsidRDefault="00830FDC" w:rsidP="00830FDC">
          <w:pPr>
            <w:pStyle w:val="BodyText"/>
          </w:pPr>
          <w:r w:rsidRPr="006546D5">
            <w:t xml:space="preserve">Santarelli E </w:t>
          </w:r>
          <w:r>
            <w:t>and</w:t>
          </w:r>
          <w:r w:rsidRPr="006546D5">
            <w:t xml:space="preserve"> Vivarelli M (2007) Entrepreneurship and the process of firms’ entry, survival and growth, </w:t>
          </w:r>
          <w:r w:rsidRPr="006546D5">
            <w:rPr>
              <w:i/>
            </w:rPr>
            <w:t>Industrial and Corporate Change</w:t>
          </w:r>
          <w:r>
            <w:t>, 16(3), pp. 455</w:t>
          </w:r>
          <w:r>
            <w:rPr>
              <w:rFonts w:cstheme="minorHAnsi"/>
            </w:rPr>
            <w:t>–</w:t>
          </w:r>
          <w:r>
            <w:t>488</w:t>
          </w:r>
        </w:p>
        <w:p w14:paraId="4D45B156" w14:textId="77777777" w:rsidR="00830FDC" w:rsidRPr="006546D5" w:rsidRDefault="00830FDC" w:rsidP="00830FDC">
          <w:pPr>
            <w:pStyle w:val="BodyText"/>
          </w:pPr>
          <w:r w:rsidRPr="006546D5">
            <w:t xml:space="preserve">Schumpeter J (1942) </w:t>
          </w:r>
          <w:r w:rsidRPr="006546D5">
            <w:rPr>
              <w:i/>
            </w:rPr>
            <w:t>Capitalism, socialism, and democracy</w:t>
          </w:r>
          <w:r w:rsidRPr="006546D5">
            <w:t xml:space="preserve">, Harper &amp; Bros. New York </w:t>
          </w:r>
        </w:p>
        <w:p w14:paraId="05B10225" w14:textId="77777777" w:rsidR="00830FDC" w:rsidRPr="006546D5" w:rsidRDefault="00830FDC" w:rsidP="00830FDC">
          <w:pPr>
            <w:pStyle w:val="BodyText"/>
          </w:pPr>
          <w:r w:rsidRPr="006546D5">
            <w:t>Smith R (2013) Economic geography and innovation cluste</w:t>
          </w:r>
          <w:r>
            <w:t>rs, DIICSRTE Working Paper 2012</w:t>
          </w:r>
          <w:r>
            <w:rPr>
              <w:rFonts w:cstheme="minorHAnsi"/>
            </w:rPr>
            <w:t>–</w:t>
          </w:r>
          <w:r w:rsidRPr="006546D5">
            <w:t>01</w:t>
          </w:r>
        </w:p>
        <w:p w14:paraId="72ABE702" w14:textId="00DA6E6A" w:rsidR="00830FDC" w:rsidRPr="006546D5" w:rsidRDefault="00830FDC" w:rsidP="00830FDC">
          <w:pPr>
            <w:pStyle w:val="BodyText"/>
          </w:pPr>
          <w:r>
            <w:t xml:space="preserve">Soames L, Brunker D and Talgaswatta T </w:t>
          </w:r>
          <w:r w:rsidRPr="006546D5">
            <w:t xml:space="preserve">(2011) </w:t>
          </w:r>
          <w:r w:rsidRPr="00DA37D8">
            <w:rPr>
              <w:i/>
            </w:rPr>
            <w:t>Competition, innovation and productivity in Australian businesses</w:t>
          </w:r>
          <w:r w:rsidR="003853D5">
            <w:t>.</w:t>
          </w:r>
          <w:r w:rsidRPr="006546D5">
            <w:t xml:space="preserve"> </w:t>
          </w:r>
          <w:r w:rsidRPr="006546D5">
            <w:rPr>
              <w:iCs/>
            </w:rPr>
            <w:t>Productivity Commission and Australian Bureau of Statistics</w:t>
          </w:r>
        </w:p>
        <w:p w14:paraId="0775AF9A" w14:textId="5C3DD031" w:rsidR="00830FDC" w:rsidRPr="009A07EA" w:rsidRDefault="00830FDC" w:rsidP="00DA37D8">
          <w:pPr>
            <w:pStyle w:val="BodyText"/>
          </w:pPr>
          <w:r w:rsidRPr="006546D5">
            <w:t xml:space="preserve">von Hippel EA (1994) ‘Sticky </w:t>
          </w:r>
          <w:r w:rsidR="003853D5">
            <w:t>i</w:t>
          </w:r>
          <w:r w:rsidRPr="006546D5">
            <w:t xml:space="preserve">nformation’ and the </w:t>
          </w:r>
          <w:r w:rsidR="003853D5">
            <w:t>l</w:t>
          </w:r>
          <w:r w:rsidRPr="006546D5">
            <w:t xml:space="preserve">ocus of </w:t>
          </w:r>
          <w:r w:rsidR="003853D5">
            <w:t>p</w:t>
          </w:r>
          <w:r w:rsidRPr="006546D5">
            <w:t xml:space="preserve">roblem </w:t>
          </w:r>
          <w:r w:rsidR="003853D5">
            <w:t>s</w:t>
          </w:r>
          <w:r w:rsidRPr="006546D5">
            <w:t xml:space="preserve">olving: Implications for </w:t>
          </w:r>
          <w:r w:rsidR="003853D5">
            <w:t>i</w:t>
          </w:r>
          <w:r w:rsidRPr="006546D5">
            <w:t xml:space="preserve">nnovation, </w:t>
          </w:r>
          <w:r w:rsidRPr="006546D5">
            <w:rPr>
              <w:i/>
            </w:rPr>
            <w:t>Management Science</w:t>
          </w:r>
          <w:r>
            <w:t xml:space="preserve"> 40(4)</w:t>
          </w:r>
          <w:r w:rsidR="003853D5">
            <w:t>:</w:t>
          </w:r>
          <w:r>
            <w:t xml:space="preserve"> 429–439</w:t>
          </w:r>
          <w:r w:rsidRPr="006546D5">
            <w:t xml:space="preserve"> </w:t>
          </w:r>
        </w:p>
      </w:sdtContent>
    </w:sdt>
    <w:p w14:paraId="4D35B9A6" w14:textId="77777777" w:rsidR="002F56EE" w:rsidRPr="00830FDC" w:rsidRDefault="002F56EE" w:rsidP="00DA37D8">
      <w:pPr>
        <w:pStyle w:val="BodyText"/>
      </w:pPr>
    </w:p>
    <w:sectPr w:rsidR="002F56EE" w:rsidRPr="00830FDC" w:rsidSect="00354EA2">
      <w:footerReference w:type="default" r:id="rId87"/>
      <w:footerReference w:type="first" r:id="rId8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13BC3" w14:textId="77777777" w:rsidR="00D55DA4" w:rsidRDefault="00D55DA4" w:rsidP="00F244EA">
      <w:pPr>
        <w:spacing w:after="0" w:line="240" w:lineRule="auto"/>
      </w:pPr>
      <w:r>
        <w:separator/>
      </w:r>
    </w:p>
  </w:endnote>
  <w:endnote w:type="continuationSeparator" w:id="0">
    <w:p w14:paraId="214F4370" w14:textId="77777777" w:rsidR="00D55DA4" w:rsidRDefault="00D55DA4" w:rsidP="00F2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FD1A5" w14:textId="77777777" w:rsidR="00D55DA4" w:rsidRDefault="00D55DA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A101C" w14:textId="77777777" w:rsidR="00D55DA4" w:rsidRPr="001C2E57" w:rsidRDefault="00D55DA4" w:rsidP="00F244EA">
    <w:pPr>
      <w:pStyle w:val="Footer"/>
    </w:pPr>
    <w:r w:rsidRPr="001C2E57">
      <w:fldChar w:fldCharType="begin"/>
    </w:r>
    <w:r w:rsidRPr="001C2E57">
      <w:instrText>IF</w:instrText>
    </w:r>
    <w:fldSimple w:instr=" STYLEREF &quot;Title Heading&quot; \* Charformat ">
      <w:r w:rsidR="005619F3">
        <w:rPr>
          <w:noProof/>
        </w:rPr>
        <w:instrText>Australian geography of innovative entrepreneurship</w:instrText>
      </w:r>
    </w:fldSimple>
    <w:r w:rsidRPr="001C2E57">
      <w:instrText xml:space="preserve"> &lt;&gt; "Error*" </w:instrText>
    </w:r>
    <w:fldSimple w:instr=" STYLEREF &quot;Title Heading&quot; \* Charformat ">
      <w:r w:rsidR="005619F3">
        <w:rPr>
          <w:noProof/>
        </w:rPr>
        <w:instrText>Australian geography of innovative entrepreneurship</w:instrText>
      </w:r>
    </w:fldSimple>
    <w:r w:rsidRPr="001C2E57">
      <w:instrText xml:space="preserve"> </w:instrText>
    </w:r>
    <w:r w:rsidRPr="001C2E57">
      <w:fldChar w:fldCharType="separate"/>
    </w:r>
    <w:r w:rsidR="005619F3">
      <w:rPr>
        <w:noProof/>
      </w:rPr>
      <w:t>Australian geography of innovative entrepreneurship</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5619F3">
      <w:rPr>
        <w:noProof/>
      </w:rPr>
      <w:t>53</w:t>
    </w:r>
    <w:r w:rsidRPr="001C2E57">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D773A" w14:textId="77777777" w:rsidR="00D55DA4" w:rsidRPr="001C2E57" w:rsidRDefault="00D55DA4" w:rsidP="007A59E6">
    <w:pPr>
      <w:pStyle w:val="Footer"/>
    </w:pPr>
    <w:r w:rsidRPr="001C2E57">
      <w:fldChar w:fldCharType="begin"/>
    </w:r>
    <w:r w:rsidRPr="001C2E57">
      <w:instrText>IF</w:instrText>
    </w:r>
    <w:fldSimple w:instr=" STYLEREF &quot;Title Heading&quot; \* Charformat ">
      <w:r>
        <w:rPr>
          <w:noProof/>
        </w:rPr>
        <w:instrText>Australian geography of innovative entrepreneurship</w:instrText>
      </w:r>
    </w:fldSimple>
    <w:r w:rsidRPr="001C2E57">
      <w:instrText xml:space="preserve"> &lt;&gt; "Error*" </w:instrText>
    </w:r>
    <w:fldSimple w:instr=" STYLEREF &quot;Title Heading&quot; \* Charformat ">
      <w:r>
        <w:rPr>
          <w:noProof/>
        </w:rPr>
        <w:instrText>Australian geography of innovative entrepreneurship</w:instrText>
      </w:r>
    </w:fldSimple>
    <w:r w:rsidRPr="001C2E57">
      <w:instrText xml:space="preserve"> </w:instrText>
    </w:r>
    <w:r w:rsidRPr="001C2E57">
      <w:fldChar w:fldCharType="separate"/>
    </w:r>
    <w:r>
      <w:rPr>
        <w:noProof/>
      </w:rPr>
      <w:t>Australian geography of innovative entrepreneurship</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FEBF5" w14:textId="77777777" w:rsidR="00D55DA4" w:rsidRDefault="00D55DA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1A7C" w14:textId="77777777" w:rsidR="00D55DA4" w:rsidRDefault="00D55D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B0923" w14:textId="77777777" w:rsidR="00D55DA4" w:rsidRDefault="00D55D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4BF4" w14:textId="77777777" w:rsidR="00D55DA4" w:rsidRPr="001C2E57" w:rsidRDefault="00D55DA4" w:rsidP="00F244EA">
    <w:pPr>
      <w:pStyle w:val="Footer"/>
    </w:pPr>
    <w:r w:rsidRPr="001C2E57">
      <w:fldChar w:fldCharType="begin"/>
    </w:r>
    <w:r w:rsidRPr="001C2E57">
      <w:instrText>IF</w:instrText>
    </w:r>
    <w:fldSimple w:instr=" STYLEREF &quot;Title Heading&quot; \* Charformat ">
      <w:r w:rsidR="003866D9">
        <w:rPr>
          <w:noProof/>
        </w:rPr>
        <w:instrText>Australian geography of innovative entrepreneurship</w:instrText>
      </w:r>
    </w:fldSimple>
    <w:r w:rsidRPr="001C2E57">
      <w:instrText xml:space="preserve"> &lt;&gt; "Error*" </w:instrText>
    </w:r>
    <w:fldSimple w:instr=" STYLEREF &quot;Title Heading&quot; \* Charformat ">
      <w:r w:rsidR="003866D9">
        <w:rPr>
          <w:noProof/>
        </w:rPr>
        <w:instrText>Australian geography of innovative entrepreneurship</w:instrText>
      </w:r>
    </w:fldSimple>
    <w:r w:rsidRPr="001C2E57">
      <w:instrText xml:space="preserve"> </w:instrText>
    </w:r>
    <w:r w:rsidRPr="001C2E57">
      <w:fldChar w:fldCharType="separate"/>
    </w:r>
    <w:r w:rsidR="003866D9">
      <w:rPr>
        <w:noProof/>
      </w:rPr>
      <w:t>Australian geography of innovative entrepreneurship</w:t>
    </w:r>
    <w:r w:rsidRPr="001C2E57">
      <w:fldChar w:fldCharType="end"/>
    </w:r>
    <w:r>
      <w:ptab w:relativeTo="margin" w:alignment="right" w:leader="none"/>
    </w:r>
    <w:r>
      <w:fldChar w:fldCharType="begin"/>
    </w:r>
    <w:r>
      <w:instrText xml:space="preserve"> PAGE   \* MERGEFORMAT </w:instrText>
    </w:r>
    <w:r>
      <w:fldChar w:fldCharType="separate"/>
    </w:r>
    <w:r w:rsidR="003866D9">
      <w:rPr>
        <w:noProof/>
      </w:rPr>
      <w:t>41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6F335" w14:textId="77777777" w:rsidR="00D55DA4" w:rsidRPr="001C2E57" w:rsidRDefault="00D55DA4" w:rsidP="007A59E6">
    <w:pPr>
      <w:pStyle w:val="Footer"/>
    </w:pP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19B5D" w14:textId="77777777" w:rsidR="00D55DA4" w:rsidRDefault="00D55DA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A3C7C" w14:textId="77777777" w:rsidR="00D55DA4" w:rsidRPr="001C2E57" w:rsidRDefault="00D55DA4" w:rsidP="00F244EA">
    <w:pPr>
      <w:pStyle w:val="Footer"/>
    </w:pPr>
    <w:r w:rsidRPr="001C2E57">
      <w:fldChar w:fldCharType="begin"/>
    </w:r>
    <w:r w:rsidRPr="001C2E57">
      <w:instrText>IF</w:instrText>
    </w:r>
    <w:fldSimple w:instr=" STYLEREF &quot;Title Heading&quot; \* Charformat ">
      <w:r w:rsidR="005619F3">
        <w:rPr>
          <w:noProof/>
        </w:rPr>
        <w:instrText>Australian geography of innovative entrepreneurship</w:instrText>
      </w:r>
    </w:fldSimple>
    <w:r w:rsidRPr="001C2E57">
      <w:instrText xml:space="preserve"> &lt;&gt; "Error*" </w:instrText>
    </w:r>
    <w:fldSimple w:instr=" STYLEREF &quot;Title Heading&quot; \* Charformat ">
      <w:r w:rsidR="005619F3">
        <w:rPr>
          <w:noProof/>
        </w:rPr>
        <w:instrText>Australian geography of innovative entrepreneurship</w:instrText>
      </w:r>
    </w:fldSimple>
    <w:r w:rsidRPr="001C2E57">
      <w:instrText xml:space="preserve"> </w:instrText>
    </w:r>
    <w:r w:rsidRPr="001C2E57">
      <w:fldChar w:fldCharType="separate"/>
    </w:r>
    <w:r w:rsidR="005619F3">
      <w:rPr>
        <w:noProof/>
      </w:rPr>
      <w:t>Australian geography of innovative entrepreneurship</w:t>
    </w:r>
    <w:r w:rsidRPr="001C2E57">
      <w:fldChar w:fldCharType="end"/>
    </w:r>
    <w:r>
      <w:ptab w:relativeTo="margin" w:alignment="right" w:leader="none"/>
    </w:r>
    <w:r>
      <w:fldChar w:fldCharType="begin"/>
    </w:r>
    <w:r>
      <w:instrText xml:space="preserve"> PAGE   \* MERGEFORMAT </w:instrText>
    </w:r>
    <w:r>
      <w:fldChar w:fldCharType="separate"/>
    </w:r>
    <w:r w:rsidR="005619F3">
      <w:rPr>
        <w:noProof/>
      </w:rPr>
      <w:t>49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35CDA" w14:textId="77777777" w:rsidR="00D55DA4" w:rsidRPr="001C2E57" w:rsidRDefault="00D55DA4" w:rsidP="007A59E6">
    <w:pPr>
      <w:pStyle w:val="Footer"/>
    </w:pPr>
    <w:r>
      <w:ptab w:relativeTo="margin" w:alignment="right" w:leader="none"/>
    </w:r>
    <w:r>
      <w:fldChar w:fldCharType="begin"/>
    </w:r>
    <w:r>
      <w:instrText xml:space="preserve"> PAGE   \* MERGEFORMAT </w:instrText>
    </w:r>
    <w:r>
      <w:fldChar w:fldCharType="separate"/>
    </w:r>
    <w:r>
      <w:rPr>
        <w:noProof/>
      </w:rPr>
      <w:t>51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30EFF" w14:textId="77777777" w:rsidR="00D55DA4" w:rsidRDefault="00D55DA4" w:rsidP="00F244EA">
      <w:pPr>
        <w:spacing w:after="0" w:line="240" w:lineRule="auto"/>
      </w:pPr>
      <w:r>
        <w:separator/>
      </w:r>
    </w:p>
  </w:footnote>
  <w:footnote w:type="continuationSeparator" w:id="0">
    <w:p w14:paraId="49D1F257" w14:textId="77777777" w:rsidR="00D55DA4" w:rsidRDefault="00D55DA4" w:rsidP="00F244EA">
      <w:pPr>
        <w:spacing w:after="0" w:line="240" w:lineRule="auto"/>
      </w:pPr>
      <w:r>
        <w:continuationSeparator/>
      </w:r>
    </w:p>
  </w:footnote>
  <w:footnote w:id="1">
    <w:p w14:paraId="793C21A5" w14:textId="26711FFB" w:rsidR="00D55DA4" w:rsidRDefault="00D55DA4" w:rsidP="00DA37D8">
      <w:pPr>
        <w:pStyle w:val="FootnoteText"/>
        <w:spacing w:after="0" w:line="240" w:lineRule="auto"/>
      </w:pPr>
      <w:r>
        <w:rPr>
          <w:rStyle w:val="FootnoteReference"/>
        </w:rPr>
        <w:footnoteRef/>
      </w:r>
      <w:r>
        <w:t xml:space="preserve"> OECD (2007)</w:t>
      </w:r>
    </w:p>
  </w:footnote>
  <w:footnote w:id="2">
    <w:p w14:paraId="74D857DE" w14:textId="21917A87" w:rsidR="00D55DA4" w:rsidRDefault="00D55DA4" w:rsidP="00DA37D8">
      <w:pPr>
        <w:pStyle w:val="FootnoteText"/>
        <w:spacing w:after="0" w:line="240" w:lineRule="auto"/>
      </w:pPr>
      <w:r>
        <w:rPr>
          <w:rStyle w:val="FootnoteReference"/>
        </w:rPr>
        <w:footnoteRef/>
      </w:r>
      <w:r>
        <w:t xml:space="preserve"> </w:t>
      </w:r>
      <w:r w:rsidRPr="00C1464F">
        <w:t xml:space="preserve">Soames </w:t>
      </w:r>
      <w:r w:rsidRPr="00C1464F">
        <w:rPr>
          <w:i/>
        </w:rPr>
        <w:t>et al</w:t>
      </w:r>
      <w:r w:rsidRPr="00C1464F">
        <w:t xml:space="preserve">. </w:t>
      </w:r>
      <w:r>
        <w:t>(2011)</w:t>
      </w:r>
    </w:p>
  </w:footnote>
  <w:footnote w:id="3">
    <w:p w14:paraId="47A84C97" w14:textId="5652E4D6" w:rsidR="00D55DA4" w:rsidRDefault="00D55DA4" w:rsidP="00DA37D8">
      <w:pPr>
        <w:pStyle w:val="FootnoteText"/>
        <w:spacing w:after="0" w:line="240" w:lineRule="auto"/>
      </w:pPr>
      <w:r>
        <w:rPr>
          <w:rStyle w:val="FootnoteReference"/>
        </w:rPr>
        <w:footnoteRef/>
      </w:r>
      <w:r>
        <w:t xml:space="preserve"> OECD (2007)</w:t>
      </w:r>
    </w:p>
  </w:footnote>
  <w:footnote w:id="4">
    <w:p w14:paraId="39D38505" w14:textId="35B097E8" w:rsidR="00D55DA4" w:rsidRDefault="00D55DA4" w:rsidP="00DA37D8">
      <w:pPr>
        <w:pStyle w:val="FootnoteText"/>
        <w:spacing w:after="0" w:line="240" w:lineRule="auto"/>
      </w:pPr>
      <w:r>
        <w:rPr>
          <w:rStyle w:val="FootnoteReference"/>
        </w:rPr>
        <w:footnoteRef/>
      </w:r>
      <w:r>
        <w:t xml:space="preserve"> </w:t>
      </w:r>
      <w:r w:rsidRPr="00C1464F">
        <w:t xml:space="preserve">Ketels </w:t>
      </w:r>
      <w:r>
        <w:t>(</w:t>
      </w:r>
      <w:r w:rsidRPr="00C1464F">
        <w:t>2011)</w:t>
      </w:r>
    </w:p>
  </w:footnote>
  <w:footnote w:id="5">
    <w:p w14:paraId="70776489" w14:textId="24A71E1B" w:rsidR="00D55DA4" w:rsidRDefault="00D55DA4" w:rsidP="00DA37D8">
      <w:pPr>
        <w:pStyle w:val="FootnoteText"/>
        <w:spacing w:after="0" w:line="240" w:lineRule="auto"/>
      </w:pPr>
      <w:r>
        <w:rPr>
          <w:rStyle w:val="FootnoteReference"/>
        </w:rPr>
        <w:footnoteRef/>
      </w:r>
      <w:r>
        <w:t xml:space="preserve"> </w:t>
      </w:r>
      <w:r w:rsidRPr="00C1464F">
        <w:t xml:space="preserve">Enright </w:t>
      </w:r>
      <w:r>
        <w:t>&amp;</w:t>
      </w:r>
      <w:r w:rsidRPr="00C1464F">
        <w:t xml:space="preserve"> Roberts </w:t>
      </w:r>
      <w:r>
        <w:t>(2001)</w:t>
      </w:r>
    </w:p>
  </w:footnote>
  <w:footnote w:id="6">
    <w:p w14:paraId="096C4873" w14:textId="2E54C0FE" w:rsidR="00D55DA4" w:rsidRDefault="00D55DA4" w:rsidP="00DA37D8">
      <w:pPr>
        <w:pStyle w:val="FootnoteText"/>
        <w:spacing w:after="0" w:line="240" w:lineRule="auto"/>
      </w:pPr>
      <w:r>
        <w:rPr>
          <w:rStyle w:val="FootnoteReference"/>
        </w:rPr>
        <w:footnoteRef/>
      </w:r>
      <w:r w:rsidRPr="006E139A">
        <w:rPr>
          <w:szCs w:val="16"/>
        </w:rPr>
        <w:t>Institute for Strategy and Competitiveness</w:t>
      </w:r>
      <w:r>
        <w:rPr>
          <w:szCs w:val="16"/>
        </w:rPr>
        <w:t xml:space="preserve"> (2015</w:t>
      </w:r>
      <w:r>
        <w:t>)</w:t>
      </w:r>
    </w:p>
  </w:footnote>
  <w:footnote w:id="7">
    <w:p w14:paraId="7F9F47F4" w14:textId="6B17136F" w:rsidR="00D55DA4" w:rsidRDefault="00D55DA4" w:rsidP="00DA37D8">
      <w:pPr>
        <w:pStyle w:val="FootnoteText"/>
        <w:spacing w:after="0" w:line="240" w:lineRule="auto"/>
      </w:pPr>
      <w:r>
        <w:rPr>
          <w:rStyle w:val="FootnoteReference"/>
        </w:rPr>
        <w:footnoteRef/>
      </w:r>
      <w:r>
        <w:t xml:space="preserve"> Casares &amp; Khan (2016)</w:t>
      </w:r>
    </w:p>
  </w:footnote>
  <w:footnote w:id="8">
    <w:p w14:paraId="655A0DA8" w14:textId="31BBC452" w:rsidR="00D55DA4" w:rsidRDefault="00D55DA4" w:rsidP="00DA37D8">
      <w:pPr>
        <w:pStyle w:val="FootnoteText"/>
        <w:spacing w:after="0" w:line="240" w:lineRule="auto"/>
      </w:pPr>
      <w:r>
        <w:rPr>
          <w:rStyle w:val="FootnoteReference"/>
        </w:rPr>
        <w:footnoteRef/>
      </w:r>
      <w:r>
        <w:t xml:space="preserve"> </w:t>
      </w:r>
      <w:r w:rsidRPr="00C1464F">
        <w:t xml:space="preserve">Porter </w:t>
      </w:r>
      <w:r>
        <w:t>(</w:t>
      </w:r>
      <w:r w:rsidRPr="00C1464F">
        <w:t>1998)</w:t>
      </w:r>
    </w:p>
  </w:footnote>
  <w:footnote w:id="9">
    <w:p w14:paraId="5D0B11B2" w14:textId="5E66C90E" w:rsidR="00D55DA4" w:rsidRPr="006E139A" w:rsidRDefault="00D55DA4" w:rsidP="00DA37D8">
      <w:pPr>
        <w:pStyle w:val="FootnoteText"/>
        <w:spacing w:after="0" w:line="240" w:lineRule="auto"/>
        <w:jc w:val="left"/>
        <w:rPr>
          <w:rFonts w:asciiTheme="minorHAnsi" w:hAnsiTheme="minorHAnsi"/>
          <w:szCs w:val="16"/>
        </w:rPr>
      </w:pPr>
      <w:r w:rsidRPr="006E139A">
        <w:rPr>
          <w:rFonts w:asciiTheme="minorHAnsi" w:hAnsiTheme="minorHAnsi"/>
          <w:szCs w:val="16"/>
          <w:vertAlign w:val="superscript"/>
        </w:rPr>
        <w:footnoteRef/>
      </w:r>
      <w:r w:rsidRPr="006E139A">
        <w:rPr>
          <w:szCs w:val="16"/>
          <w:vertAlign w:val="superscript"/>
        </w:rPr>
        <w:t xml:space="preserve"> </w:t>
      </w:r>
      <w:r w:rsidRPr="006E139A">
        <w:rPr>
          <w:szCs w:val="16"/>
        </w:rPr>
        <w:t>For a definition of intangible capital assets and a discussion of their economic significance in Australia, see Australian Government (2014)</w:t>
      </w:r>
      <w:r>
        <w:rPr>
          <w:rFonts w:asciiTheme="minorHAnsi" w:hAnsiTheme="minorHAnsi"/>
          <w:szCs w:val="16"/>
        </w:rPr>
        <w:t xml:space="preserve"> pp.19</w:t>
      </w:r>
      <w:r>
        <w:rPr>
          <w:rFonts w:asciiTheme="minorHAnsi" w:hAnsiTheme="minorHAnsi" w:cstheme="minorHAnsi"/>
          <w:szCs w:val="16"/>
        </w:rPr>
        <w:t>–</w:t>
      </w:r>
      <w:r w:rsidRPr="006E139A">
        <w:rPr>
          <w:rFonts w:asciiTheme="minorHAnsi" w:hAnsiTheme="minorHAnsi"/>
          <w:szCs w:val="16"/>
        </w:rPr>
        <w:t>21.</w:t>
      </w:r>
    </w:p>
  </w:footnote>
  <w:footnote w:id="10">
    <w:p w14:paraId="4114BACD" w14:textId="37FE57DA" w:rsidR="00D55DA4" w:rsidRDefault="00D55DA4" w:rsidP="00DA37D8">
      <w:pPr>
        <w:pStyle w:val="FootnoteText"/>
        <w:spacing w:after="0" w:line="240" w:lineRule="auto"/>
      </w:pPr>
      <w:r>
        <w:rPr>
          <w:rStyle w:val="FootnoteReference"/>
        </w:rPr>
        <w:footnoteRef/>
      </w:r>
      <w:r>
        <w:t xml:space="preserve"> von Hippel (1994); </w:t>
      </w:r>
      <w:r w:rsidRPr="00B17C46">
        <w:t xml:space="preserve">Griffith </w:t>
      </w:r>
      <w:r>
        <w:rPr>
          <w:i/>
        </w:rPr>
        <w:t xml:space="preserve">et al. </w:t>
      </w:r>
      <w:r>
        <w:t>(</w:t>
      </w:r>
      <w:r w:rsidRPr="00B17C46">
        <w:t>2006</w:t>
      </w:r>
      <w:r>
        <w:t>); Fagerberg (2013)</w:t>
      </w:r>
    </w:p>
  </w:footnote>
  <w:footnote w:id="11">
    <w:p w14:paraId="6835FB31" w14:textId="3C8F73BE" w:rsidR="00D55DA4" w:rsidRDefault="00D55DA4" w:rsidP="00DA37D8">
      <w:pPr>
        <w:pStyle w:val="FootnoteText"/>
        <w:spacing w:after="0" w:line="240" w:lineRule="auto"/>
      </w:pPr>
      <w:r>
        <w:rPr>
          <w:rStyle w:val="FootnoteReference"/>
        </w:rPr>
        <w:footnoteRef/>
      </w:r>
      <w:r>
        <w:t xml:space="preserve"> </w:t>
      </w:r>
      <w:r w:rsidRPr="00B752A0">
        <w:t xml:space="preserve">Aharonson </w:t>
      </w:r>
      <w:r>
        <w:rPr>
          <w:i/>
        </w:rPr>
        <w:t xml:space="preserve">et al. </w:t>
      </w:r>
      <w:r>
        <w:t>(2014)</w:t>
      </w:r>
    </w:p>
  </w:footnote>
  <w:footnote w:id="12">
    <w:p w14:paraId="6605014F" w14:textId="737B538B" w:rsidR="00D55DA4" w:rsidRDefault="00D55DA4" w:rsidP="00DA37D8">
      <w:pPr>
        <w:pStyle w:val="FootnoteText"/>
        <w:spacing w:after="0" w:line="240" w:lineRule="auto"/>
      </w:pPr>
      <w:r>
        <w:rPr>
          <w:rStyle w:val="FootnoteReference"/>
        </w:rPr>
        <w:footnoteRef/>
      </w:r>
      <w:r w:rsidRPr="008F01D6">
        <w:t xml:space="preserve"> </w:t>
      </w:r>
      <w:r w:rsidRPr="00DA37D8">
        <w:t>Fallah</w:t>
      </w:r>
      <w:r w:rsidRPr="008F01D6">
        <w:t xml:space="preserve"> </w:t>
      </w:r>
      <w:r w:rsidRPr="00DA37D8">
        <w:rPr>
          <w:i/>
        </w:rPr>
        <w:t>et al</w:t>
      </w:r>
      <w:r>
        <w:t xml:space="preserve">. </w:t>
      </w:r>
      <w:r w:rsidRPr="008F01D6">
        <w:t xml:space="preserve">(2014); </w:t>
      </w:r>
      <w:r w:rsidRPr="00DA37D8">
        <w:t xml:space="preserve">Braunerhjelm </w:t>
      </w:r>
      <w:r w:rsidRPr="00A83DDF">
        <w:rPr>
          <w:i/>
        </w:rPr>
        <w:t>et al</w:t>
      </w:r>
      <w:r w:rsidRPr="00DA37D8">
        <w:t>.</w:t>
      </w:r>
      <w:r w:rsidRPr="008F01D6">
        <w:t xml:space="preserve"> (2010);</w:t>
      </w:r>
      <w:r w:rsidRPr="00DA37D8">
        <w:t xml:space="preserve"> Acs</w:t>
      </w:r>
      <w:r w:rsidRPr="008F01D6">
        <w:t xml:space="preserve"> (2005); </w:t>
      </w:r>
      <w:r w:rsidRPr="00DA37D8">
        <w:t xml:space="preserve">Acs </w:t>
      </w:r>
      <w:r w:rsidRPr="008F01D6">
        <w:t xml:space="preserve">&amp; </w:t>
      </w:r>
      <w:r w:rsidRPr="00DA37D8">
        <w:t>Armington</w:t>
      </w:r>
      <w:r w:rsidRPr="008F01D6">
        <w:t xml:space="preserve"> (2004)</w:t>
      </w:r>
      <w:r w:rsidRPr="00DA37D8">
        <w:t>; Audretsch</w:t>
      </w:r>
      <w:r w:rsidRPr="008F01D6">
        <w:t xml:space="preserve"> (2003)</w:t>
      </w:r>
      <w:r w:rsidRPr="00DA37D8">
        <w:t xml:space="preserve">; Feldman </w:t>
      </w:r>
      <w:r w:rsidRPr="008F01D6">
        <w:t xml:space="preserve">&amp; </w:t>
      </w:r>
      <w:r w:rsidRPr="00DA37D8">
        <w:t>Audretsch</w:t>
      </w:r>
      <w:r w:rsidRPr="008F01D6">
        <w:t xml:space="preserve"> (1999)</w:t>
      </w:r>
    </w:p>
  </w:footnote>
  <w:footnote w:id="13">
    <w:p w14:paraId="4F0F182E" w14:textId="05243E63" w:rsidR="00D55DA4" w:rsidRDefault="00D55DA4" w:rsidP="00DA37D8">
      <w:pPr>
        <w:pStyle w:val="FootnoteText"/>
        <w:spacing w:after="0" w:line="240" w:lineRule="auto"/>
      </w:pPr>
      <w:r>
        <w:rPr>
          <w:rStyle w:val="FootnoteReference"/>
        </w:rPr>
        <w:footnoteRef/>
      </w:r>
      <w:r w:rsidRPr="00C1464F">
        <w:t xml:space="preserve">Rothwell </w:t>
      </w:r>
      <w:r w:rsidRPr="00C1464F">
        <w:rPr>
          <w:i/>
        </w:rPr>
        <w:t xml:space="preserve">et al. </w:t>
      </w:r>
      <w:r w:rsidRPr="00DA37D8">
        <w:t>(</w:t>
      </w:r>
      <w:r w:rsidRPr="00C1464F">
        <w:t>2013)</w:t>
      </w:r>
    </w:p>
  </w:footnote>
  <w:footnote w:id="14">
    <w:p w14:paraId="09C98D01" w14:textId="2C18AC65" w:rsidR="00D55DA4" w:rsidRDefault="00D55DA4" w:rsidP="00DA37D8">
      <w:pPr>
        <w:pStyle w:val="FootnoteText"/>
        <w:spacing w:after="0" w:line="240" w:lineRule="auto"/>
      </w:pPr>
      <w:r>
        <w:rPr>
          <w:rStyle w:val="FootnoteReference"/>
        </w:rPr>
        <w:footnoteRef/>
      </w:r>
      <w:r>
        <w:t xml:space="preserve"> </w:t>
      </w:r>
      <w:r w:rsidRPr="00C1464F">
        <w:t xml:space="preserve">Rodrigues-Pose </w:t>
      </w:r>
      <w:r>
        <w:t>&amp;</w:t>
      </w:r>
      <w:r w:rsidRPr="00C1464F">
        <w:t xml:space="preserve"> Comptour </w:t>
      </w:r>
      <w:r>
        <w:t>(</w:t>
      </w:r>
      <w:r w:rsidRPr="00C1464F">
        <w:t>2012).</w:t>
      </w:r>
    </w:p>
  </w:footnote>
  <w:footnote w:id="15">
    <w:p w14:paraId="261DE8C1" w14:textId="1C7460D9" w:rsidR="00D55DA4" w:rsidRDefault="00D55DA4" w:rsidP="00DA37D8">
      <w:pPr>
        <w:pStyle w:val="FootnoteText"/>
        <w:spacing w:after="0" w:line="240" w:lineRule="auto"/>
      </w:pPr>
      <w:r>
        <w:rPr>
          <w:rStyle w:val="FootnoteReference"/>
        </w:rPr>
        <w:footnoteRef/>
      </w:r>
      <w:r>
        <w:t>Grill (2014)</w:t>
      </w:r>
    </w:p>
  </w:footnote>
  <w:footnote w:id="16">
    <w:p w14:paraId="0CB2C68A" w14:textId="671027C1" w:rsidR="00D55DA4" w:rsidRPr="006E139A" w:rsidRDefault="00D55DA4" w:rsidP="00DA37D8">
      <w:pPr>
        <w:pStyle w:val="FootnoteText"/>
        <w:spacing w:after="0" w:line="240" w:lineRule="auto"/>
        <w:jc w:val="left"/>
        <w:rPr>
          <w:szCs w:val="16"/>
        </w:rPr>
      </w:pPr>
      <w:r w:rsidRPr="006E139A">
        <w:rPr>
          <w:rStyle w:val="FootnoteReference"/>
          <w:szCs w:val="16"/>
        </w:rPr>
        <w:footnoteRef/>
      </w:r>
      <w:r w:rsidRPr="006E139A">
        <w:rPr>
          <w:rStyle w:val="FootnoteReference"/>
          <w:szCs w:val="16"/>
        </w:rPr>
        <w:t xml:space="preserve"> </w:t>
      </w:r>
      <w:hyperlink r:id="rId1" w:tooltip="http://www.theaustralian.com.au/business/the-deal-magazine/the-deal-startup-guide" w:history="1">
        <w:r w:rsidRPr="006E139A">
          <w:rPr>
            <w:rStyle w:val="Hyperlink"/>
            <w:szCs w:val="16"/>
          </w:rPr>
          <w:t>http://www.theaustralian.com.au/business/the-deal-magazine/the-deal-startup-guide</w:t>
        </w:r>
      </w:hyperlink>
      <w:r w:rsidRPr="006E139A">
        <w:rPr>
          <w:szCs w:val="16"/>
        </w:rPr>
        <w:t>, accessed 29 June 2015.</w:t>
      </w:r>
    </w:p>
  </w:footnote>
  <w:footnote w:id="17">
    <w:p w14:paraId="41774CB0" w14:textId="77777777" w:rsidR="00D55DA4" w:rsidRDefault="00D55DA4" w:rsidP="00DA37D8">
      <w:pPr>
        <w:pStyle w:val="FootnoteText"/>
        <w:spacing w:after="0" w:line="240" w:lineRule="auto"/>
      </w:pPr>
      <w:r>
        <w:rPr>
          <w:rStyle w:val="FootnoteReference"/>
        </w:rPr>
        <w:footnoteRef/>
      </w:r>
      <w:r>
        <w:t xml:space="preserve"> </w:t>
      </w:r>
      <w:r w:rsidRPr="00AC6BDF">
        <w:t>OECD (2013</w:t>
      </w:r>
      <w:r>
        <w:t>)</w:t>
      </w:r>
      <w:r w:rsidRPr="0054506B">
        <w:rPr>
          <w:i/>
        </w:rPr>
        <w:t>, Innovative Entrepreneurship</w:t>
      </w:r>
      <w:r w:rsidRPr="00AC6BDF">
        <w:t xml:space="preserve">, Paris, Final Report, </w:t>
      </w:r>
      <w:r>
        <w:t xml:space="preserve">unpublished, </w:t>
      </w:r>
      <w:r w:rsidRPr="00AC6BDF">
        <w:t>p.4.</w:t>
      </w:r>
    </w:p>
  </w:footnote>
  <w:footnote w:id="18">
    <w:p w14:paraId="18C5CA64" w14:textId="77777777" w:rsidR="00D55DA4" w:rsidRDefault="00D55DA4" w:rsidP="00830FDC">
      <w:pPr>
        <w:pStyle w:val="FootnoteText"/>
      </w:pPr>
      <w:r>
        <w:rPr>
          <w:rStyle w:val="FootnoteReference"/>
        </w:rPr>
        <w:footnoteRef/>
      </w:r>
      <w:r>
        <w:t xml:space="preserve"> ABS (2011) </w:t>
      </w:r>
      <w:r w:rsidRPr="002F1E6C">
        <w:rPr>
          <w:i/>
        </w:rPr>
        <w:t>Australian Statistical Geography Standard (ASGS): Volume 1 - Main Structure and Greater Capital City Statistical Areas</w:t>
      </w:r>
      <w:r>
        <w:t>, cat. no. 1270.0.55.001</w:t>
      </w:r>
    </w:p>
  </w:footnote>
  <w:footnote w:id="19">
    <w:p w14:paraId="76F2189F" w14:textId="5D40FDF2" w:rsidR="00D55DA4" w:rsidRPr="006E139A" w:rsidRDefault="00D55DA4" w:rsidP="00830FDC">
      <w:pPr>
        <w:pStyle w:val="FootnoteText"/>
        <w:spacing w:after="0"/>
        <w:jc w:val="left"/>
        <w:rPr>
          <w:szCs w:val="16"/>
        </w:rPr>
      </w:pPr>
      <w:r w:rsidRPr="006E139A">
        <w:rPr>
          <w:rStyle w:val="FootnoteReference"/>
          <w:szCs w:val="16"/>
        </w:rPr>
        <w:footnoteRef/>
      </w:r>
      <w:r w:rsidRPr="006E139A">
        <w:rPr>
          <w:szCs w:val="16"/>
        </w:rPr>
        <w:t xml:space="preserve"> Total patent a</w:t>
      </w:r>
      <w:r>
        <w:rPr>
          <w:szCs w:val="16"/>
        </w:rPr>
        <w:t>applicants</w:t>
      </w:r>
      <w:r w:rsidRPr="006E139A">
        <w:rPr>
          <w:szCs w:val="16"/>
        </w:rPr>
        <w:t xml:space="preserve"> included National and PCT direct phase applications</w:t>
      </w:r>
      <w:r>
        <w:rPr>
          <w:szCs w:val="16"/>
        </w:rPr>
        <w:t xml:space="preserve"> (Appendix B).</w:t>
      </w:r>
    </w:p>
  </w:footnote>
  <w:footnote w:id="20">
    <w:p w14:paraId="63672976" w14:textId="4B796EF6" w:rsidR="00D55DA4" w:rsidRDefault="00D55DA4" w:rsidP="00830FDC">
      <w:pPr>
        <w:pStyle w:val="FootnoteText"/>
        <w:spacing w:after="0"/>
        <w:jc w:val="left"/>
        <w:rPr>
          <w:szCs w:val="16"/>
        </w:rPr>
      </w:pPr>
      <w:r w:rsidRPr="006E139A">
        <w:rPr>
          <w:rStyle w:val="FootnoteReference"/>
          <w:szCs w:val="16"/>
        </w:rPr>
        <w:footnoteRef/>
      </w:r>
      <w:r w:rsidRPr="006E139A">
        <w:rPr>
          <w:szCs w:val="16"/>
        </w:rPr>
        <w:t xml:space="preserve"> According to a World Bank group entrepreneurship survey analysis (WBGES, available at </w:t>
      </w:r>
      <w:hyperlink r:id="rId2" w:tooltip="http://siteresources.worldbank.org/INTFR/Resources/475459-1222364030476/FP_Ent08_RR_11Nov08.final.pdf" w:history="1">
        <w:r w:rsidRPr="006E139A">
          <w:rPr>
            <w:rStyle w:val="Hyperlink"/>
            <w:szCs w:val="16"/>
          </w:rPr>
          <w:t>http://siteresources.worldbank.org/INTFR/Resources/475459-1222364030476/FP_Ent08_RR_11Nov08.final.pdf</w:t>
        </w:r>
      </w:hyperlink>
      <w:r w:rsidRPr="006E139A">
        <w:rPr>
          <w:szCs w:val="16"/>
        </w:rPr>
        <w:t xml:space="preserve">)  registration of new businesses to a </w:t>
      </w:r>
      <w:r>
        <w:rPr>
          <w:szCs w:val="16"/>
        </w:rPr>
        <w:t>business</w:t>
      </w:r>
      <w:r w:rsidRPr="006E139A">
        <w:rPr>
          <w:szCs w:val="16"/>
        </w:rPr>
        <w:t xml:space="preserve"> registry such as the Australian Business Registry (ABR) is a quick and efficient proxy for entrepreneurial activity.</w:t>
      </w:r>
      <w:r>
        <w:rPr>
          <w:szCs w:val="16"/>
        </w:rPr>
        <w:t xml:space="preserve"> </w:t>
      </w:r>
    </w:p>
    <w:p w14:paraId="40A771BD" w14:textId="07AE8B88" w:rsidR="00D55DA4" w:rsidRPr="006E139A" w:rsidRDefault="00D55DA4" w:rsidP="00F43CA9">
      <w:pPr>
        <w:pStyle w:val="FootnoteText"/>
        <w:spacing w:after="0"/>
        <w:ind w:firstLine="0"/>
        <w:jc w:val="left"/>
        <w:rPr>
          <w:szCs w:val="16"/>
        </w:rPr>
      </w:pPr>
      <w:r>
        <w:rPr>
          <w:szCs w:val="16"/>
        </w:rPr>
        <w:t>Business entries as counted by the ABS comprises new registrations, reactivations and businesses that have recommenced remitting.</w:t>
      </w:r>
    </w:p>
  </w:footnote>
  <w:footnote w:id="21">
    <w:p w14:paraId="72C341BD" w14:textId="77777777" w:rsidR="00D55DA4" w:rsidRPr="006E139A" w:rsidRDefault="00D55DA4" w:rsidP="00830FDC">
      <w:pPr>
        <w:pStyle w:val="FootnoteText"/>
        <w:spacing w:after="0"/>
        <w:jc w:val="left"/>
        <w:rPr>
          <w:szCs w:val="16"/>
        </w:rPr>
      </w:pPr>
      <w:r w:rsidRPr="006E139A">
        <w:rPr>
          <w:rStyle w:val="FootnoteReference"/>
          <w:szCs w:val="16"/>
        </w:rPr>
        <w:footnoteRef/>
      </w:r>
      <w:r w:rsidRPr="006E139A">
        <w:rPr>
          <w:szCs w:val="16"/>
        </w:rPr>
        <w:t xml:space="preserve"> The SA4 regions are the largest sub-state regions in the main structure of the Australian Statistical Geography Standard (ASGS). They are designed for the output of labour force data and reflect labour markets in each state and territory within the population limits imposed by the Labour Force Survey sample. SA4s provide the best sub-state socio-economic breakdown in the ASGS.</w:t>
      </w:r>
    </w:p>
  </w:footnote>
  <w:footnote w:id="22">
    <w:p w14:paraId="47BDE6F2" w14:textId="77777777" w:rsidR="00D55DA4" w:rsidRDefault="00D55DA4" w:rsidP="00830FDC">
      <w:pPr>
        <w:pStyle w:val="FootnoteText"/>
        <w:spacing w:after="0"/>
      </w:pPr>
      <w:r>
        <w:rPr>
          <w:rStyle w:val="FootnoteReference"/>
        </w:rPr>
        <w:footnoteRef/>
      </w:r>
      <w:r>
        <w:t xml:space="preserve"> ABS (2015) Australian National Accounts: Input-output tables, 2012</w:t>
      </w:r>
      <w:r>
        <w:rPr>
          <w:rFonts w:cs="Arial"/>
        </w:rPr>
        <w:t>–</w:t>
      </w:r>
      <w:r>
        <w:t>13, cat. no. 5209.0.55.001</w:t>
      </w:r>
    </w:p>
  </w:footnote>
  <w:footnote w:id="23">
    <w:p w14:paraId="5B51B258" w14:textId="77777777" w:rsidR="00D55DA4" w:rsidRDefault="00D55DA4" w:rsidP="00830FDC">
      <w:pPr>
        <w:pStyle w:val="FootnoteText"/>
      </w:pPr>
      <w:r>
        <w:rPr>
          <w:rStyle w:val="FootnoteReference"/>
        </w:rPr>
        <w:footnoteRef/>
      </w:r>
      <w:r>
        <w:t xml:space="preserve"> Griffith DA, </w:t>
      </w:r>
      <w:r w:rsidRPr="003D4B6D">
        <w:t>Spatial Autocorrelation. Department of Geography, Syracuse University.</w:t>
      </w:r>
    </w:p>
  </w:footnote>
  <w:footnote w:id="24">
    <w:p w14:paraId="2A4F76B9" w14:textId="32259AF5" w:rsidR="00D55DA4" w:rsidRDefault="00D55DA4" w:rsidP="00DA37D8">
      <w:pPr>
        <w:pStyle w:val="FootnoteText"/>
        <w:spacing w:after="0" w:line="240" w:lineRule="auto"/>
      </w:pPr>
      <w:r>
        <w:rPr>
          <w:rStyle w:val="FootnoteReference"/>
        </w:rPr>
        <w:footnoteRef/>
      </w:r>
      <w:r>
        <w:t xml:space="preserve"> Casares &amp; Khan (2016).</w:t>
      </w:r>
    </w:p>
  </w:footnote>
  <w:footnote w:id="25">
    <w:p w14:paraId="6A40513D" w14:textId="1CE48CB3" w:rsidR="00D55DA4" w:rsidRDefault="00D55DA4" w:rsidP="00DA37D8">
      <w:pPr>
        <w:pStyle w:val="FootnoteText"/>
        <w:spacing w:after="0" w:line="240" w:lineRule="auto"/>
      </w:pPr>
      <w:r>
        <w:rPr>
          <w:rStyle w:val="FootnoteReference"/>
        </w:rPr>
        <w:footnoteRef/>
      </w:r>
      <w:r>
        <w:t xml:space="preserve"> Greenhalgh</w:t>
      </w:r>
      <w:r w:rsidRPr="00E441F3">
        <w:t xml:space="preserve"> </w:t>
      </w:r>
      <w:r>
        <w:t>and Rogers (2006)</w:t>
      </w:r>
    </w:p>
  </w:footnote>
  <w:footnote w:id="26">
    <w:p w14:paraId="15F3BFB4" w14:textId="248C3DC1" w:rsidR="00D55DA4" w:rsidRDefault="00D55DA4" w:rsidP="00DA37D8">
      <w:pPr>
        <w:pStyle w:val="FootnoteText"/>
        <w:spacing w:after="0" w:line="240" w:lineRule="auto"/>
      </w:pPr>
      <w:r>
        <w:rPr>
          <w:rStyle w:val="FootnoteReference"/>
        </w:rPr>
        <w:footnoteRef/>
      </w:r>
      <w:r>
        <w:t xml:space="preserve"> Baptista and Swann (1999); Aharonson </w:t>
      </w:r>
      <w:r>
        <w:rPr>
          <w:i/>
        </w:rPr>
        <w:t xml:space="preserve">et al. </w:t>
      </w:r>
      <w:r>
        <w:t>(</w:t>
      </w:r>
      <w:r w:rsidRPr="00E441F3">
        <w:t>2013</w:t>
      </w:r>
      <w:r>
        <w:t>)</w:t>
      </w:r>
    </w:p>
  </w:footnote>
  <w:footnote w:id="27">
    <w:p w14:paraId="6B09827F" w14:textId="3D7D9C02" w:rsidR="00D55DA4" w:rsidRDefault="00D55DA4" w:rsidP="00DA37D8">
      <w:pPr>
        <w:pStyle w:val="FootnoteText"/>
        <w:spacing w:after="0" w:line="240" w:lineRule="auto"/>
      </w:pPr>
      <w:r>
        <w:rPr>
          <w:rStyle w:val="FootnoteReference"/>
        </w:rPr>
        <w:footnoteRef/>
      </w:r>
      <w:r>
        <w:t xml:space="preserve"> Autant-Bernard </w:t>
      </w:r>
      <w:r>
        <w:rPr>
          <w:i/>
        </w:rPr>
        <w:t xml:space="preserve">et al. </w:t>
      </w:r>
      <w:r>
        <w:t>(</w:t>
      </w:r>
      <w:r w:rsidRPr="00E441F3">
        <w:t>2013)</w:t>
      </w:r>
      <w:r>
        <w:t>.</w:t>
      </w:r>
    </w:p>
  </w:footnote>
  <w:footnote w:id="28">
    <w:p w14:paraId="6B142F43" w14:textId="5B675CBB" w:rsidR="00D55DA4" w:rsidRDefault="00D55DA4" w:rsidP="00DA37D8">
      <w:pPr>
        <w:pStyle w:val="FootnoteText"/>
        <w:spacing w:after="0" w:line="240" w:lineRule="auto"/>
      </w:pPr>
      <w:r>
        <w:rPr>
          <w:rStyle w:val="FootnoteReference"/>
        </w:rPr>
        <w:footnoteRef/>
      </w:r>
      <w:r>
        <w:t xml:space="preserve"> Krugman (</w:t>
      </w:r>
      <w:r w:rsidRPr="00462A1C">
        <w:t>1990</w:t>
      </w:r>
      <w:r>
        <w:t>)</w:t>
      </w:r>
    </w:p>
  </w:footnote>
  <w:footnote w:id="29">
    <w:p w14:paraId="796C6BFA" w14:textId="24C80652" w:rsidR="00D55DA4" w:rsidRDefault="00D55DA4" w:rsidP="00DA37D8">
      <w:pPr>
        <w:pStyle w:val="FootnoteText"/>
        <w:spacing w:after="0" w:line="240" w:lineRule="auto"/>
      </w:pPr>
      <w:r>
        <w:rPr>
          <w:rStyle w:val="FootnoteReference"/>
        </w:rPr>
        <w:footnoteRef/>
      </w:r>
      <w:r>
        <w:t xml:space="preserve"> Aharonson</w:t>
      </w:r>
      <w:r w:rsidRPr="00E441F3">
        <w:t xml:space="preserve"> </w:t>
      </w:r>
      <w:r w:rsidRPr="00EE1594">
        <w:rPr>
          <w:i/>
        </w:rPr>
        <w:t>et al</w:t>
      </w:r>
      <w:r>
        <w:t>. (</w:t>
      </w:r>
      <w:r w:rsidRPr="00E441F3">
        <w:t>2013</w:t>
      </w:r>
      <w:r>
        <w:t>)</w:t>
      </w:r>
    </w:p>
  </w:footnote>
  <w:footnote w:id="30">
    <w:p w14:paraId="6D113A22" w14:textId="470297D1" w:rsidR="00D55DA4" w:rsidRDefault="00D55DA4" w:rsidP="00DA37D8">
      <w:pPr>
        <w:pStyle w:val="FootnoteText"/>
        <w:spacing w:after="0" w:line="240" w:lineRule="auto"/>
      </w:pPr>
      <w:r>
        <w:rPr>
          <w:rStyle w:val="FootnoteReference"/>
        </w:rPr>
        <w:footnoteRef/>
      </w:r>
      <w:r>
        <w:t xml:space="preserve"> Schumpeter (1942).</w:t>
      </w:r>
    </w:p>
  </w:footnote>
  <w:footnote w:id="31">
    <w:p w14:paraId="6833D167" w14:textId="3080D444" w:rsidR="00D55DA4" w:rsidRPr="006E139A" w:rsidRDefault="00D55DA4" w:rsidP="00DA37D8">
      <w:pPr>
        <w:pStyle w:val="BodyText"/>
        <w:spacing w:after="0" w:line="240" w:lineRule="auto"/>
        <w:ind w:left="2268" w:hanging="108"/>
        <w:jc w:val="left"/>
        <w:rPr>
          <w:sz w:val="16"/>
          <w:szCs w:val="16"/>
        </w:rPr>
      </w:pPr>
      <w:r w:rsidRPr="006E139A">
        <w:rPr>
          <w:rStyle w:val="FootnoteReference"/>
          <w:sz w:val="16"/>
          <w:szCs w:val="16"/>
        </w:rPr>
        <w:footnoteRef/>
      </w:r>
      <w:r w:rsidRPr="006E139A">
        <w:rPr>
          <w:rStyle w:val="FootnoteReference"/>
          <w:sz w:val="16"/>
          <w:szCs w:val="16"/>
        </w:rPr>
        <w:t xml:space="preserve"> </w:t>
      </w:r>
      <w:r w:rsidRPr="006E139A">
        <w:rPr>
          <w:sz w:val="16"/>
          <w:szCs w:val="16"/>
        </w:rPr>
        <w:t xml:space="preserve">See </w:t>
      </w:r>
      <w:r w:rsidRPr="00DA37D8">
        <w:rPr>
          <w:sz w:val="16"/>
          <w:szCs w:val="16"/>
        </w:rPr>
        <w:t>OECD (2015)</w:t>
      </w:r>
      <w:r w:rsidRPr="006E139A">
        <w:rPr>
          <w:sz w:val="16"/>
          <w:szCs w:val="16"/>
        </w:rPr>
        <w:t xml:space="preserve"> </w:t>
      </w:r>
    </w:p>
  </w:footnote>
  <w:footnote w:id="32">
    <w:p w14:paraId="52527651" w14:textId="13F76C7D" w:rsidR="00D55DA4" w:rsidRDefault="00D55DA4" w:rsidP="00DA37D8">
      <w:pPr>
        <w:pStyle w:val="FootnoteText"/>
        <w:spacing w:after="0" w:line="240" w:lineRule="auto"/>
      </w:pPr>
      <w:r>
        <w:rPr>
          <w:rStyle w:val="FootnoteReference"/>
        </w:rPr>
        <w:footnoteRef/>
      </w:r>
      <w:r>
        <w:t xml:space="preserve"> AWPA (2014a)</w:t>
      </w:r>
    </w:p>
  </w:footnote>
  <w:footnote w:id="33">
    <w:p w14:paraId="7C6BD5F2" w14:textId="73A743CD" w:rsidR="00D55DA4" w:rsidRDefault="00D55DA4" w:rsidP="00DA37D8">
      <w:pPr>
        <w:pStyle w:val="FootnoteText"/>
        <w:spacing w:after="0" w:line="240" w:lineRule="auto"/>
      </w:pPr>
      <w:r>
        <w:rPr>
          <w:rStyle w:val="FootnoteReference"/>
        </w:rPr>
        <w:footnoteRef/>
      </w:r>
      <w:r>
        <w:t xml:space="preserve"> Hendrickson </w:t>
      </w:r>
      <w:r>
        <w:rPr>
          <w:i/>
        </w:rPr>
        <w:t xml:space="preserve">et al. </w:t>
      </w:r>
      <w:r>
        <w:t>(2015)</w:t>
      </w:r>
    </w:p>
  </w:footnote>
  <w:footnote w:id="34">
    <w:p w14:paraId="65420A52" w14:textId="2D987686" w:rsidR="00D55DA4" w:rsidRDefault="00D55DA4" w:rsidP="00DA37D8">
      <w:pPr>
        <w:pStyle w:val="FootnoteText"/>
        <w:spacing w:after="0" w:line="240" w:lineRule="auto"/>
      </w:pPr>
      <w:r>
        <w:rPr>
          <w:rStyle w:val="FootnoteReference"/>
        </w:rPr>
        <w:footnoteRef/>
      </w:r>
      <w:r>
        <w:t xml:space="preserve"> AWPA (2014b)</w:t>
      </w:r>
    </w:p>
  </w:footnote>
  <w:footnote w:id="35">
    <w:p w14:paraId="7E74CBDD" w14:textId="4B9E63D5" w:rsidR="00D55DA4" w:rsidRDefault="00D55DA4" w:rsidP="00DA37D8">
      <w:pPr>
        <w:pStyle w:val="FootnoteText"/>
        <w:spacing w:after="0" w:line="240" w:lineRule="auto"/>
      </w:pPr>
      <w:r>
        <w:rPr>
          <w:rStyle w:val="FootnoteReference"/>
        </w:rPr>
        <w:footnoteRef/>
      </w:r>
      <w:r>
        <w:t xml:space="preserve"> Hendrickson </w:t>
      </w:r>
      <w:r w:rsidRPr="00EE1594">
        <w:rPr>
          <w:i/>
        </w:rPr>
        <w:t>et al</w:t>
      </w:r>
      <w:r>
        <w:rPr>
          <w:i/>
        </w:rPr>
        <w:t>.</w:t>
      </w:r>
      <w:r>
        <w:t xml:space="preserve"> (2015)</w:t>
      </w:r>
    </w:p>
  </w:footnote>
  <w:footnote w:id="36">
    <w:p w14:paraId="7EF64E16" w14:textId="396D383A" w:rsidR="00D55DA4" w:rsidRDefault="00D55DA4" w:rsidP="0053524D">
      <w:pPr>
        <w:pStyle w:val="FootnoteText"/>
        <w:spacing w:after="0" w:line="240" w:lineRule="auto"/>
      </w:pPr>
      <w:r>
        <w:rPr>
          <w:rStyle w:val="FootnoteReference"/>
        </w:rPr>
        <w:footnoteRef/>
      </w:r>
      <w:r>
        <w:t xml:space="preserve"> Jensen</w:t>
      </w:r>
      <w:r w:rsidRPr="00E441F3">
        <w:t xml:space="preserve"> </w:t>
      </w:r>
      <w:r w:rsidRPr="00EE1594">
        <w:rPr>
          <w:i/>
        </w:rPr>
        <w:t>et al</w:t>
      </w:r>
      <w:r>
        <w:rPr>
          <w:i/>
        </w:rPr>
        <w:t>.</w:t>
      </w:r>
      <w:r>
        <w:t xml:space="preserve"> (</w:t>
      </w:r>
      <w:r w:rsidRPr="00E441F3">
        <w:t>2008</w:t>
      </w:r>
      <w:r>
        <w:t>)</w:t>
      </w:r>
    </w:p>
  </w:footnote>
  <w:footnote w:id="37">
    <w:p w14:paraId="5AD64848" w14:textId="3440902C" w:rsidR="00D55DA4" w:rsidRDefault="00D55DA4" w:rsidP="0053524D">
      <w:pPr>
        <w:pStyle w:val="FootnoteText"/>
        <w:spacing w:after="0" w:line="240" w:lineRule="auto"/>
      </w:pPr>
      <w:r>
        <w:rPr>
          <w:rStyle w:val="FootnoteReference"/>
        </w:rPr>
        <w:footnoteRef/>
      </w:r>
      <w:r>
        <w:t xml:space="preserve"> Florida &amp; Mellander (2014)</w:t>
      </w:r>
    </w:p>
  </w:footnote>
  <w:footnote w:id="38">
    <w:p w14:paraId="294B153C" w14:textId="02545E3E" w:rsidR="00D55DA4" w:rsidRDefault="00D55DA4" w:rsidP="00810142">
      <w:pPr>
        <w:pStyle w:val="FootnoteText"/>
        <w:spacing w:after="0" w:line="240" w:lineRule="auto"/>
      </w:pPr>
      <w:r>
        <w:rPr>
          <w:rStyle w:val="FootnoteReference"/>
        </w:rPr>
        <w:footnoteRef/>
      </w:r>
      <w:r>
        <w:t xml:space="preserve"> Es-Sadki &amp; Arundel (2015)</w:t>
      </w:r>
    </w:p>
  </w:footnote>
  <w:footnote w:id="39">
    <w:p w14:paraId="26F54ACA" w14:textId="3F3EBC83" w:rsidR="00D55DA4" w:rsidRPr="006E139A" w:rsidRDefault="00D55DA4" w:rsidP="00810142">
      <w:pPr>
        <w:pStyle w:val="FootnoteText"/>
        <w:spacing w:after="0" w:line="240" w:lineRule="auto"/>
        <w:jc w:val="left"/>
        <w:rPr>
          <w:szCs w:val="16"/>
        </w:rPr>
      </w:pPr>
      <w:r w:rsidRPr="006E139A">
        <w:rPr>
          <w:rStyle w:val="FootnoteReference"/>
          <w:rFonts w:asciiTheme="minorHAnsi" w:hAnsiTheme="minorHAnsi"/>
          <w:szCs w:val="16"/>
        </w:rPr>
        <w:footnoteRef/>
      </w:r>
      <w:r w:rsidRPr="006E139A">
        <w:rPr>
          <w:szCs w:val="16"/>
          <w:vertAlign w:val="superscript"/>
        </w:rPr>
        <w:t xml:space="preserve"> </w:t>
      </w:r>
      <w:hyperlink r:id="rId3" w:tooltip="http://www.industry.gov.au/innovation/reportsandstudies/Pages/Summary-of-selected-CRC-commercialisation-for-2005-06-to-2012-13.aspx" w:history="1">
        <w:r w:rsidRPr="006E139A">
          <w:rPr>
            <w:rFonts w:asciiTheme="minorHAnsi" w:hAnsiTheme="minorHAnsi"/>
            <w:szCs w:val="16"/>
          </w:rPr>
          <w:t>http://www.industry.gov.au/innovation/reportsandstudies/Pages/Summary-of-selected-CRC-commercialisation-for-2005-06-to-2012-13.aspx</w:t>
        </w:r>
      </w:hyperlink>
      <w:r w:rsidRPr="006E139A">
        <w:rPr>
          <w:rFonts w:asciiTheme="minorHAnsi" w:hAnsiTheme="minorHAnsi"/>
          <w:szCs w:val="16"/>
        </w:rPr>
        <w:t xml:space="preserve">, accessed </w:t>
      </w:r>
      <w:r>
        <w:rPr>
          <w:rFonts w:asciiTheme="minorHAnsi" w:hAnsiTheme="minorHAnsi"/>
          <w:szCs w:val="16"/>
        </w:rPr>
        <w:t xml:space="preserve">19 August </w:t>
      </w:r>
      <w:r w:rsidRPr="006E139A">
        <w:rPr>
          <w:rFonts w:asciiTheme="minorHAnsi" w:hAnsiTheme="minorHAnsi"/>
          <w:szCs w:val="16"/>
        </w:rPr>
        <w:t>2015.</w:t>
      </w:r>
      <w:r w:rsidRPr="006E139A">
        <w:rPr>
          <w:szCs w:val="16"/>
        </w:rPr>
        <w:t xml:space="preserve"> </w:t>
      </w:r>
    </w:p>
  </w:footnote>
  <w:footnote w:id="40">
    <w:p w14:paraId="11167DF5" w14:textId="37288C70" w:rsidR="00D55DA4" w:rsidRDefault="00D55DA4" w:rsidP="00DA37D8">
      <w:pPr>
        <w:pStyle w:val="FootnoteText"/>
        <w:spacing w:after="0" w:line="240" w:lineRule="auto"/>
      </w:pPr>
      <w:r>
        <w:rPr>
          <w:rStyle w:val="FootnoteReference"/>
        </w:rPr>
        <w:footnoteRef/>
      </w:r>
      <w:r>
        <w:t xml:space="preserve"> Department of Industry (2013)</w:t>
      </w:r>
    </w:p>
  </w:footnote>
  <w:footnote w:id="41">
    <w:p w14:paraId="2B42F037" w14:textId="77777777" w:rsidR="00D55DA4" w:rsidRDefault="00D55DA4" w:rsidP="00DA37D8">
      <w:pPr>
        <w:pStyle w:val="FootnoteText"/>
        <w:spacing w:after="0" w:line="240" w:lineRule="auto"/>
      </w:pPr>
      <w:r>
        <w:rPr>
          <w:rStyle w:val="FootnoteReference"/>
        </w:rPr>
        <w:footnoteRef/>
      </w:r>
      <w:r>
        <w:t xml:space="preserve"> IP Australia data request.</w:t>
      </w:r>
    </w:p>
  </w:footnote>
  <w:footnote w:id="42">
    <w:p w14:paraId="3CEFC99D" w14:textId="6D3DAF15" w:rsidR="00D55DA4" w:rsidRDefault="00D55DA4" w:rsidP="00DA37D8">
      <w:pPr>
        <w:pStyle w:val="FootnoteText"/>
        <w:spacing w:after="0" w:line="240" w:lineRule="auto"/>
      </w:pPr>
      <w:r>
        <w:rPr>
          <w:rStyle w:val="FootnoteReference"/>
        </w:rPr>
        <w:footnoteRef/>
      </w:r>
      <w:r>
        <w:t xml:space="preserve"> Department of Industry and Science (2014)</w:t>
      </w:r>
    </w:p>
  </w:footnote>
  <w:footnote w:id="43">
    <w:p w14:paraId="60C56D83" w14:textId="052BF21F" w:rsidR="00D55DA4" w:rsidRDefault="00D55DA4" w:rsidP="00DA37D8">
      <w:pPr>
        <w:pStyle w:val="FootnoteText"/>
        <w:spacing w:after="0" w:line="240" w:lineRule="auto"/>
      </w:pPr>
      <w:r>
        <w:rPr>
          <w:rStyle w:val="FootnoteReference"/>
        </w:rPr>
        <w:footnoteRef/>
      </w:r>
      <w:r>
        <w:t xml:space="preserve"> </w:t>
      </w:r>
      <w:r w:rsidRPr="00DA37D8">
        <w:rPr>
          <w:i/>
        </w:rPr>
        <w:t>Ibid</w:t>
      </w:r>
      <w:r>
        <w:t>.</w:t>
      </w:r>
    </w:p>
  </w:footnote>
  <w:footnote w:id="44">
    <w:p w14:paraId="4C3ACF6B" w14:textId="7884F7EF" w:rsidR="00D55DA4" w:rsidRDefault="00D55DA4" w:rsidP="00810142">
      <w:pPr>
        <w:pStyle w:val="FootnoteText"/>
        <w:spacing w:after="0" w:line="240" w:lineRule="auto"/>
      </w:pPr>
      <w:r>
        <w:rPr>
          <w:rStyle w:val="FootnoteReference"/>
        </w:rPr>
        <w:footnoteRef/>
      </w:r>
      <w:r>
        <w:t xml:space="preserve"> </w:t>
      </w:r>
      <w:r w:rsidRPr="00E441F3">
        <w:t>Kl</w:t>
      </w:r>
      <w:r>
        <w:t xml:space="preserve">einknecht </w:t>
      </w:r>
      <w:r>
        <w:rPr>
          <w:i/>
        </w:rPr>
        <w:t>et al.</w:t>
      </w:r>
      <w:r>
        <w:t xml:space="preserve"> 2002</w:t>
      </w:r>
    </w:p>
  </w:footnote>
  <w:footnote w:id="45">
    <w:p w14:paraId="0F74B8E7" w14:textId="7C87F448" w:rsidR="00D55DA4" w:rsidRDefault="00D55DA4" w:rsidP="00810142">
      <w:pPr>
        <w:pStyle w:val="FootnoteText"/>
        <w:spacing w:after="0" w:line="240" w:lineRule="auto"/>
      </w:pPr>
      <w:r>
        <w:rPr>
          <w:rStyle w:val="FootnoteReference"/>
        </w:rPr>
        <w:footnoteRef/>
      </w:r>
      <w:r>
        <w:t xml:space="preserve"> Sandner &amp; Block 2011</w:t>
      </w:r>
    </w:p>
  </w:footnote>
  <w:footnote w:id="46">
    <w:p w14:paraId="05A82178" w14:textId="5970338E" w:rsidR="00D55DA4" w:rsidRDefault="00D55DA4" w:rsidP="00810142">
      <w:pPr>
        <w:pStyle w:val="FootnoteText"/>
        <w:spacing w:after="0" w:line="240" w:lineRule="auto"/>
      </w:pPr>
      <w:r>
        <w:rPr>
          <w:rStyle w:val="FootnoteReference"/>
        </w:rPr>
        <w:footnoteRef/>
      </w:r>
      <w:r>
        <w:t xml:space="preserve"> Greenhalgh &amp; Rogers 2010</w:t>
      </w:r>
    </w:p>
  </w:footnote>
  <w:footnote w:id="47">
    <w:p w14:paraId="1EE0A3F2" w14:textId="3D7F6D11" w:rsidR="00D55DA4" w:rsidRDefault="00D55DA4" w:rsidP="00810142">
      <w:pPr>
        <w:pStyle w:val="FootnoteText"/>
        <w:spacing w:after="0" w:line="240" w:lineRule="auto"/>
      </w:pPr>
      <w:r>
        <w:rPr>
          <w:rStyle w:val="FootnoteReference"/>
        </w:rPr>
        <w:footnoteRef/>
      </w:r>
      <w:r>
        <w:t xml:space="preserve"> Mendonça </w:t>
      </w:r>
      <w:r>
        <w:rPr>
          <w:i/>
        </w:rPr>
        <w:t xml:space="preserve">et al. </w:t>
      </w:r>
      <w:r>
        <w:t>2004</w:t>
      </w:r>
    </w:p>
  </w:footnote>
  <w:footnote w:id="48">
    <w:p w14:paraId="6A1B6106" w14:textId="53816564" w:rsidR="00D55DA4" w:rsidRDefault="00D55DA4" w:rsidP="00810142">
      <w:pPr>
        <w:pStyle w:val="FootnoteText"/>
        <w:spacing w:after="0" w:line="240" w:lineRule="auto"/>
      </w:pPr>
      <w:r>
        <w:rPr>
          <w:rStyle w:val="FootnoteReference"/>
        </w:rPr>
        <w:footnoteRef/>
      </w:r>
      <w:r>
        <w:t xml:space="preserve"> </w:t>
      </w:r>
      <w:r w:rsidRPr="00AE4F29">
        <w:rPr>
          <w:rFonts w:asciiTheme="minorHAnsi" w:hAnsiTheme="minorHAnsi"/>
        </w:rPr>
        <w:t>IPGOD 201</w:t>
      </w:r>
      <w:r>
        <w:rPr>
          <w:rFonts w:asciiTheme="minorHAnsi" w:hAnsiTheme="minorHAnsi"/>
        </w:rPr>
        <w:t>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BF190" w14:textId="77777777" w:rsidR="00D55DA4" w:rsidRDefault="00D55DA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108B" w14:textId="77777777" w:rsidR="00D55DA4" w:rsidRDefault="00D55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EA849" w14:textId="77777777" w:rsidR="00D55DA4" w:rsidRDefault="00D55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48AC9" w14:textId="77777777" w:rsidR="00D55DA4" w:rsidRDefault="00D55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ED5E2" w14:textId="77777777" w:rsidR="00D55DA4" w:rsidRDefault="00D55D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8B49E" w14:textId="77777777" w:rsidR="00D55DA4" w:rsidRDefault="00D55D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68050" w14:textId="77777777" w:rsidR="00D55DA4" w:rsidRDefault="00D55D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56BCD" w14:textId="77777777" w:rsidR="00D55DA4" w:rsidRPr="007964F4" w:rsidRDefault="00D55DA4" w:rsidP="00D009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FB998" w14:textId="77777777" w:rsidR="00D55DA4" w:rsidRDefault="00D55DA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1A7B1" w14:textId="77777777" w:rsidR="00D55DA4" w:rsidRDefault="00D55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1272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C07E4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90010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3323B38"/>
    <w:multiLevelType w:val="multilevel"/>
    <w:tmpl w:val="3A866F96"/>
    <w:styleLink w:val="OCEHeadings"/>
    <w:lvl w:ilvl="0">
      <w:start w:val="1"/>
      <w:numFmt w:val="decimal"/>
      <w:pStyle w:val="Heading1"/>
      <w:lvlText w:val="%1."/>
      <w:lvlJc w:val="left"/>
      <w:pPr>
        <w:ind w:left="2835" w:hanging="675"/>
      </w:pPr>
      <w:rPr>
        <w:rFonts w:hint="default"/>
      </w:rPr>
    </w:lvl>
    <w:lvl w:ilvl="1">
      <w:start w:val="1"/>
      <w:numFmt w:val="decimal"/>
      <w:pStyle w:val="Heading2"/>
      <w:lvlText w:val="%1.%2"/>
      <w:lvlJc w:val="left"/>
      <w:pPr>
        <w:ind w:left="2835" w:hanging="675"/>
      </w:pPr>
      <w:rPr>
        <w:rFonts w:hint="default"/>
      </w:rPr>
    </w:lvl>
    <w:lvl w:ilvl="2">
      <w:start w:val="1"/>
      <w:numFmt w:val="none"/>
      <w:pStyle w:val="Heading3"/>
      <w:suff w:val="nothing"/>
      <w:lvlText w:val=""/>
      <w:lvlJc w:val="left"/>
      <w:pPr>
        <w:ind w:left="216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4536" w:hanging="2376"/>
      </w:pPr>
      <w:rPr>
        <w:rFonts w:hint="default"/>
      </w:rPr>
    </w:lvl>
    <w:lvl w:ilvl="6">
      <w:start w:val="1"/>
      <w:numFmt w:val="decimal"/>
      <w:pStyle w:val="Heading7"/>
      <w:lvlText w:val="%6.%7"/>
      <w:lvlJc w:val="left"/>
      <w:pPr>
        <w:ind w:left="2835" w:hanging="675"/>
      </w:pPr>
      <w:rPr>
        <w:rFonts w:hint="default"/>
      </w:rPr>
    </w:lvl>
    <w:lvl w:ilvl="7">
      <w:start w:val="1"/>
      <w:numFmt w:val="none"/>
      <w:pStyle w:val="Heading8"/>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4"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5"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6" w15:restartNumberingAfterBreak="0">
    <w:nsid w:val="18801DAD"/>
    <w:multiLevelType w:val="multilevel"/>
    <w:tmpl w:val="0CF0D11A"/>
    <w:styleLink w:val="OCENumberedList"/>
    <w:lvl w:ilvl="0">
      <w:start w:val="1"/>
      <w:numFmt w:val="decimal"/>
      <w:pStyle w:val="ListNumber"/>
      <w:lvlText w:val="%1."/>
      <w:lvlJc w:val="left"/>
      <w:pPr>
        <w:ind w:left="2495" w:hanging="335"/>
      </w:pPr>
      <w:rPr>
        <w:rFonts w:hint="default"/>
      </w:rPr>
    </w:lvl>
    <w:lvl w:ilvl="1">
      <w:start w:val="1"/>
      <w:numFmt w:val="decimal"/>
      <w:pStyle w:val="ListNumber2"/>
      <w:lvlText w:val="%1.%2"/>
      <w:lvlJc w:val="left"/>
      <w:pPr>
        <w:ind w:left="2977" w:hanging="425"/>
      </w:pPr>
      <w:rPr>
        <w:rFonts w:hint="default"/>
      </w:rPr>
    </w:lvl>
    <w:lvl w:ilvl="2">
      <w:start w:val="1"/>
      <w:numFmt w:val="decimal"/>
      <w:pStyle w:val="ListNumber3"/>
      <w:lvlText w:val="%1.%2.%3"/>
      <w:lvlJc w:val="left"/>
      <w:pPr>
        <w:ind w:left="3686" w:hanging="709"/>
      </w:pPr>
      <w:rPr>
        <w:rFonts w:hint="default"/>
      </w:rPr>
    </w:lvl>
    <w:lvl w:ilvl="3">
      <w:start w:val="1"/>
      <w:numFmt w:val="none"/>
      <w:lvlText w:val=""/>
      <w:lvlJc w:val="left"/>
      <w:pPr>
        <w:ind w:left="3686"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7" w15:restartNumberingAfterBreak="0">
    <w:nsid w:val="254C1349"/>
    <w:multiLevelType w:val="hybridMultilevel"/>
    <w:tmpl w:val="C2F240F2"/>
    <w:lvl w:ilvl="0" w:tplc="12E089B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9"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0" w15:restartNumberingAfterBreak="0">
    <w:nsid w:val="4B94390E"/>
    <w:multiLevelType w:val="multilevel"/>
    <w:tmpl w:val="A3F68728"/>
    <w:styleLink w:val="OCEBulletedList"/>
    <w:lvl w:ilvl="0">
      <w:start w:val="1"/>
      <w:numFmt w:val="bullet"/>
      <w:pStyle w:val="ListBullet"/>
      <w:lvlText w:val=""/>
      <w:lvlJc w:val="left"/>
      <w:pPr>
        <w:ind w:left="2552" w:hanging="392"/>
      </w:pPr>
      <w:rPr>
        <w:rFonts w:ascii="Wingdings" w:hAnsi="Wingdings" w:hint="default"/>
      </w:rPr>
    </w:lvl>
    <w:lvl w:ilvl="1">
      <w:start w:val="1"/>
      <w:numFmt w:val="bullet"/>
      <w:pStyle w:val="ListBullet2"/>
      <w:lvlText w:val="-"/>
      <w:lvlJc w:val="left"/>
      <w:pPr>
        <w:ind w:left="2835" w:hanging="283"/>
      </w:pPr>
      <w:rPr>
        <w:rFonts w:ascii="Courier New" w:hAnsi="Courier New" w:hint="default"/>
      </w:rPr>
    </w:lvl>
    <w:lvl w:ilvl="2">
      <w:start w:val="1"/>
      <w:numFmt w:val="bullet"/>
      <w:pStyle w:val="ListBullet3"/>
      <w:lvlText w:val=""/>
      <w:lvlJc w:val="left"/>
      <w:pPr>
        <w:ind w:left="3062" w:hanging="227"/>
      </w:pPr>
      <w:rPr>
        <w:rFonts w:ascii="Wingdings" w:hAnsi="Wingdings" w:hint="default"/>
      </w:rPr>
    </w:lvl>
    <w:lvl w:ilvl="3">
      <w:start w:val="1"/>
      <w:numFmt w:val="none"/>
      <w:pStyle w:val="ListBullet4"/>
      <w:suff w:val="nothing"/>
      <w:lvlText w:val=""/>
      <w:lvlJc w:val="left"/>
      <w:pPr>
        <w:ind w:left="306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60E1601F"/>
    <w:multiLevelType w:val="multilevel"/>
    <w:tmpl w:val="3684BDEC"/>
    <w:numStyleLink w:val="OCETableBullets"/>
  </w:abstractNum>
  <w:abstractNum w:abstractNumId="12" w15:restartNumberingAfterBreak="0">
    <w:nsid w:val="60FB58CD"/>
    <w:multiLevelType w:val="hybridMultilevel"/>
    <w:tmpl w:val="0E8217AA"/>
    <w:lvl w:ilvl="0" w:tplc="846A47E2">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3" w15:restartNumberingAfterBreak="0">
    <w:nsid w:val="642F3E0A"/>
    <w:multiLevelType w:val="hybridMultilevel"/>
    <w:tmpl w:val="5FC447EA"/>
    <w:lvl w:ilvl="0" w:tplc="5CEC320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8"/>
  </w:num>
  <w:num w:numId="3">
    <w:abstractNumId w:val="3"/>
  </w:num>
  <w:num w:numId="4">
    <w:abstractNumId w:val="10"/>
  </w:num>
  <w:num w:numId="5">
    <w:abstractNumId w:val="6"/>
  </w:num>
  <w:num w:numId="6">
    <w:abstractNumId w:val="5"/>
  </w:num>
  <w:num w:numId="7">
    <w:abstractNumId w:val="9"/>
  </w:num>
  <w:num w:numId="8">
    <w:abstractNumId w:val="9"/>
  </w:num>
  <w:num w:numId="9">
    <w:abstractNumId w:val="2"/>
  </w:num>
  <w:num w:numId="10">
    <w:abstractNumId w:val="1"/>
  </w:num>
  <w:num w:numId="11">
    <w:abstractNumId w:val="0"/>
  </w:num>
  <w:num w:numId="12">
    <w:abstractNumId w:val="7"/>
  </w:num>
  <w:num w:numId="13">
    <w:abstractNumId w:val="7"/>
  </w:num>
  <w:num w:numId="14">
    <w:abstractNumId w:val="7"/>
  </w:num>
  <w:num w:numId="15">
    <w:abstractNumId w:val="4"/>
  </w:num>
  <w:num w:numId="16">
    <w:abstractNumId w:val="4"/>
  </w:num>
  <w:num w:numId="17">
    <w:abstractNumId w:val="3"/>
  </w:num>
  <w:num w:numId="18">
    <w:abstractNumId w:val="3"/>
  </w:num>
  <w:num w:numId="19">
    <w:abstractNumId w:val="3"/>
  </w:num>
  <w:num w:numId="20">
    <w:abstractNumId w:val="3"/>
  </w:num>
  <w:num w:numId="21">
    <w:abstractNumId w:val="3"/>
  </w:num>
  <w:num w:numId="22">
    <w:abstractNumId w:val="3"/>
  </w:num>
  <w:num w:numId="23">
    <w:abstractNumId w:val="10"/>
  </w:num>
  <w:num w:numId="24">
    <w:abstractNumId w:val="6"/>
  </w:num>
  <w:num w:numId="25">
    <w:abstractNumId w:val="10"/>
  </w:num>
  <w:num w:numId="26">
    <w:abstractNumId w:val="10"/>
  </w:num>
  <w:num w:numId="27">
    <w:abstractNumId w:val="10"/>
  </w:num>
  <w:num w:numId="28">
    <w:abstractNumId w:val="6"/>
  </w:num>
  <w:num w:numId="29">
    <w:abstractNumId w:val="6"/>
  </w:num>
  <w:num w:numId="30">
    <w:abstractNumId w:val="14"/>
  </w:num>
  <w:num w:numId="31">
    <w:abstractNumId w:val="8"/>
  </w:num>
  <w:num w:numId="32">
    <w:abstractNumId w:val="3"/>
  </w:num>
  <w:num w:numId="33">
    <w:abstractNumId w:val="10"/>
  </w:num>
  <w:num w:numId="34">
    <w:abstractNumId w:val="6"/>
  </w:num>
  <w:num w:numId="35">
    <w:abstractNumId w:val="5"/>
  </w:num>
  <w:num w:numId="36">
    <w:abstractNumId w:val="9"/>
  </w:num>
  <w:num w:numId="37">
    <w:abstractNumId w:val="11"/>
  </w:num>
  <w:num w:numId="38">
    <w:abstractNumId w:val="4"/>
  </w:num>
  <w:num w:numId="39">
    <w:abstractNumId w:val="3"/>
    <w:lvlOverride w:ilvl="0">
      <w:lvl w:ilvl="0">
        <w:numFmt w:val="decimal"/>
        <w:pStyle w:val="Heading1"/>
        <w:lvlText w:val=""/>
        <w:lvlJc w:val="left"/>
      </w:lvl>
    </w:lvlOverride>
    <w:lvlOverride w:ilvl="1">
      <w:lvl w:ilvl="1">
        <w:numFmt w:val="decimal"/>
        <w:pStyle w:val="Heading2"/>
        <w:lvlText w:val=""/>
        <w:lvlJc w:val="left"/>
      </w:lvl>
    </w:lvlOverride>
    <w:lvlOverride w:ilvl="2">
      <w:lvl w:ilvl="2">
        <w:numFmt w:val="decimal"/>
        <w:pStyle w:val="Heading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start w:val="1"/>
        <w:numFmt w:val="upperLetter"/>
        <w:pStyle w:val="Heading6"/>
        <w:lvlText w:val="Appendix %6"/>
        <w:lvlJc w:val="left"/>
        <w:pPr>
          <w:ind w:left="4536" w:hanging="2376"/>
        </w:pPr>
        <w:rPr>
          <w:rFonts w:hint="default"/>
        </w:rPr>
      </w:lvl>
    </w:lvlOverride>
  </w:num>
  <w:num w:numId="40">
    <w:abstractNumId w:val="3"/>
    <w:lvlOverride w:ilvl="0">
      <w:lvl w:ilvl="0">
        <w:start w:val="1"/>
        <w:numFmt w:val="decimal"/>
        <w:pStyle w:val="Heading1"/>
        <w:lvlText w:val="%1."/>
        <w:lvlJc w:val="left"/>
        <w:pPr>
          <w:ind w:left="2835" w:hanging="675"/>
        </w:pPr>
        <w:rPr>
          <w:rFonts w:hint="default"/>
        </w:rPr>
      </w:lvl>
    </w:lvlOverride>
    <w:lvlOverride w:ilvl="1">
      <w:lvl w:ilvl="1">
        <w:start w:val="1"/>
        <w:numFmt w:val="decimal"/>
        <w:pStyle w:val="Heading2"/>
        <w:lvlText w:val="%1.%2"/>
        <w:lvlJc w:val="left"/>
        <w:pPr>
          <w:ind w:left="2835" w:hanging="675"/>
        </w:pPr>
        <w:rPr>
          <w:rFonts w:hint="default"/>
        </w:rPr>
      </w:lvl>
    </w:lvlOverride>
    <w:lvlOverride w:ilvl="2">
      <w:lvl w:ilvl="2">
        <w:start w:val="1"/>
        <w:numFmt w:val="none"/>
        <w:pStyle w:val="Heading3"/>
        <w:suff w:val="nothing"/>
        <w:lvlText w:val=""/>
        <w:lvlJc w:val="left"/>
        <w:pPr>
          <w:ind w:left="216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4536" w:hanging="2376"/>
        </w:pPr>
        <w:rPr>
          <w:rFonts w:hint="default"/>
        </w:rPr>
      </w:lvl>
    </w:lvlOverride>
    <w:lvlOverride w:ilvl="6">
      <w:lvl w:ilvl="6">
        <w:start w:val="1"/>
        <w:numFmt w:val="decimal"/>
        <w:pStyle w:val="Heading7"/>
        <w:lvlText w:val="%6.%7"/>
        <w:lvlJc w:val="left"/>
        <w:pPr>
          <w:ind w:left="2835" w:hanging="675"/>
        </w:pPr>
        <w:rPr>
          <w:rFonts w:hint="default"/>
        </w:rPr>
      </w:lvl>
    </w:lvlOverride>
    <w:lvlOverride w:ilvl="7">
      <w:lvl w:ilvl="7">
        <w:start w:val="1"/>
        <w:numFmt w:val="none"/>
        <w:pStyle w:val="Heading8"/>
        <w:suff w:val="nothing"/>
        <w:lvlText w:val=""/>
        <w:lvlJc w:val="left"/>
        <w:pPr>
          <w:ind w:left="2160" w:firstLine="0"/>
        </w:pPr>
        <w:rPr>
          <w:rFonts w:hint="default"/>
        </w:rPr>
      </w:lvl>
    </w:lvlOverride>
    <w:lvlOverride w:ilvl="8">
      <w:lvl w:ilvl="8">
        <w:start w:val="1"/>
        <w:numFmt w:val="none"/>
        <w:suff w:val="nothing"/>
        <w:lvlText w:val=""/>
        <w:lvlJc w:val="left"/>
        <w:pPr>
          <w:ind w:left="2160" w:firstLine="0"/>
        </w:pPr>
        <w:rPr>
          <w:rFonts w:hint="default"/>
        </w:rPr>
      </w:lvl>
    </w:lvlOverride>
  </w:num>
  <w:num w:numId="41">
    <w:abstractNumId w:val="12"/>
  </w:num>
  <w:num w:numId="42">
    <w:abstractNumId w:val="13"/>
  </w:num>
  <w:num w:numId="4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75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ACA"/>
    <w:rsid w:val="000036F1"/>
    <w:rsid w:val="00003B81"/>
    <w:rsid w:val="00004365"/>
    <w:rsid w:val="00007EBB"/>
    <w:rsid w:val="000122D8"/>
    <w:rsid w:val="00013F4A"/>
    <w:rsid w:val="0002648C"/>
    <w:rsid w:val="00026794"/>
    <w:rsid w:val="00035325"/>
    <w:rsid w:val="00041FE3"/>
    <w:rsid w:val="000464AD"/>
    <w:rsid w:val="00050E78"/>
    <w:rsid w:val="0005753A"/>
    <w:rsid w:val="00060184"/>
    <w:rsid w:val="00060CE1"/>
    <w:rsid w:val="000618FB"/>
    <w:rsid w:val="000641E0"/>
    <w:rsid w:val="0006492D"/>
    <w:rsid w:val="0006772C"/>
    <w:rsid w:val="00072129"/>
    <w:rsid w:val="000728D2"/>
    <w:rsid w:val="00082BF4"/>
    <w:rsid w:val="00090174"/>
    <w:rsid w:val="000909CE"/>
    <w:rsid w:val="000920D2"/>
    <w:rsid w:val="000A1EEC"/>
    <w:rsid w:val="000A3868"/>
    <w:rsid w:val="000A3D7F"/>
    <w:rsid w:val="000A63C0"/>
    <w:rsid w:val="000A6F5B"/>
    <w:rsid w:val="000B0579"/>
    <w:rsid w:val="000B279E"/>
    <w:rsid w:val="000D227A"/>
    <w:rsid w:val="000D422C"/>
    <w:rsid w:val="000E415F"/>
    <w:rsid w:val="000F077C"/>
    <w:rsid w:val="00100B74"/>
    <w:rsid w:val="00101FDC"/>
    <w:rsid w:val="00107A3F"/>
    <w:rsid w:val="0011443C"/>
    <w:rsid w:val="0011640A"/>
    <w:rsid w:val="0012045F"/>
    <w:rsid w:val="00120E94"/>
    <w:rsid w:val="00125971"/>
    <w:rsid w:val="0013066A"/>
    <w:rsid w:val="00132897"/>
    <w:rsid w:val="00135E19"/>
    <w:rsid w:val="0015000D"/>
    <w:rsid w:val="00163D6E"/>
    <w:rsid w:val="001658D2"/>
    <w:rsid w:val="00166576"/>
    <w:rsid w:val="00166996"/>
    <w:rsid w:val="001710AD"/>
    <w:rsid w:val="0017293E"/>
    <w:rsid w:val="00174624"/>
    <w:rsid w:val="00177984"/>
    <w:rsid w:val="00180E4F"/>
    <w:rsid w:val="00183DC9"/>
    <w:rsid w:val="00185764"/>
    <w:rsid w:val="00186D3D"/>
    <w:rsid w:val="001878AC"/>
    <w:rsid w:val="00190250"/>
    <w:rsid w:val="001A107C"/>
    <w:rsid w:val="001A322A"/>
    <w:rsid w:val="001A6352"/>
    <w:rsid w:val="001B345E"/>
    <w:rsid w:val="001C4733"/>
    <w:rsid w:val="001C5291"/>
    <w:rsid w:val="001E6001"/>
    <w:rsid w:val="001F1E5D"/>
    <w:rsid w:val="001F2D8A"/>
    <w:rsid w:val="001F5BC1"/>
    <w:rsid w:val="001F5F85"/>
    <w:rsid w:val="001F7477"/>
    <w:rsid w:val="00200B23"/>
    <w:rsid w:val="0020515A"/>
    <w:rsid w:val="00207D37"/>
    <w:rsid w:val="0022378D"/>
    <w:rsid w:val="00225842"/>
    <w:rsid w:val="00232E73"/>
    <w:rsid w:val="00234CEA"/>
    <w:rsid w:val="00241BA5"/>
    <w:rsid w:val="0024337F"/>
    <w:rsid w:val="00252C28"/>
    <w:rsid w:val="00253B22"/>
    <w:rsid w:val="00255773"/>
    <w:rsid w:val="00262DB4"/>
    <w:rsid w:val="0026658D"/>
    <w:rsid w:val="00266986"/>
    <w:rsid w:val="00272093"/>
    <w:rsid w:val="00272952"/>
    <w:rsid w:val="002757A5"/>
    <w:rsid w:val="00280EB9"/>
    <w:rsid w:val="00285A2F"/>
    <w:rsid w:val="00292061"/>
    <w:rsid w:val="002A0884"/>
    <w:rsid w:val="002A33E7"/>
    <w:rsid w:val="002A7F2D"/>
    <w:rsid w:val="002B1DD2"/>
    <w:rsid w:val="002B3220"/>
    <w:rsid w:val="002C1206"/>
    <w:rsid w:val="002C465C"/>
    <w:rsid w:val="002D0127"/>
    <w:rsid w:val="002D4188"/>
    <w:rsid w:val="002D5C65"/>
    <w:rsid w:val="002E3270"/>
    <w:rsid w:val="002E43BD"/>
    <w:rsid w:val="002E7DF8"/>
    <w:rsid w:val="002F0EEF"/>
    <w:rsid w:val="002F56EE"/>
    <w:rsid w:val="002F5DC8"/>
    <w:rsid w:val="00302D6C"/>
    <w:rsid w:val="0030442F"/>
    <w:rsid w:val="00307AD6"/>
    <w:rsid w:val="00311A07"/>
    <w:rsid w:val="00311B71"/>
    <w:rsid w:val="003134B5"/>
    <w:rsid w:val="00322656"/>
    <w:rsid w:val="0032333A"/>
    <w:rsid w:val="00326F52"/>
    <w:rsid w:val="00340E62"/>
    <w:rsid w:val="00345516"/>
    <w:rsid w:val="00347A7F"/>
    <w:rsid w:val="00354E7E"/>
    <w:rsid w:val="00354EA2"/>
    <w:rsid w:val="00364BAD"/>
    <w:rsid w:val="00370CD0"/>
    <w:rsid w:val="003712D9"/>
    <w:rsid w:val="003712ED"/>
    <w:rsid w:val="00381213"/>
    <w:rsid w:val="003853D5"/>
    <w:rsid w:val="00385BB6"/>
    <w:rsid w:val="003866D9"/>
    <w:rsid w:val="00387F73"/>
    <w:rsid w:val="003929EF"/>
    <w:rsid w:val="00393187"/>
    <w:rsid w:val="00396E87"/>
    <w:rsid w:val="003A253A"/>
    <w:rsid w:val="003B12F3"/>
    <w:rsid w:val="003B141B"/>
    <w:rsid w:val="003B47E3"/>
    <w:rsid w:val="003C02CF"/>
    <w:rsid w:val="003C0FAA"/>
    <w:rsid w:val="003D2B8A"/>
    <w:rsid w:val="003D6501"/>
    <w:rsid w:val="003D7074"/>
    <w:rsid w:val="003E32D9"/>
    <w:rsid w:val="003F7E51"/>
    <w:rsid w:val="00407394"/>
    <w:rsid w:val="00407BFB"/>
    <w:rsid w:val="00410B42"/>
    <w:rsid w:val="00416A6C"/>
    <w:rsid w:val="004253A5"/>
    <w:rsid w:val="00426883"/>
    <w:rsid w:val="00427685"/>
    <w:rsid w:val="004302F4"/>
    <w:rsid w:val="00430E39"/>
    <w:rsid w:val="00432ABB"/>
    <w:rsid w:val="00440C70"/>
    <w:rsid w:val="00445DE2"/>
    <w:rsid w:val="00446C1F"/>
    <w:rsid w:val="00446C40"/>
    <w:rsid w:val="00447B15"/>
    <w:rsid w:val="004561DA"/>
    <w:rsid w:val="00457D05"/>
    <w:rsid w:val="0047180F"/>
    <w:rsid w:val="00474C11"/>
    <w:rsid w:val="0048023B"/>
    <w:rsid w:val="00480CAF"/>
    <w:rsid w:val="00483169"/>
    <w:rsid w:val="00491275"/>
    <w:rsid w:val="00493446"/>
    <w:rsid w:val="004939EA"/>
    <w:rsid w:val="00495952"/>
    <w:rsid w:val="00496236"/>
    <w:rsid w:val="004A46E3"/>
    <w:rsid w:val="004A6E2D"/>
    <w:rsid w:val="004A752B"/>
    <w:rsid w:val="004B53E7"/>
    <w:rsid w:val="004B70E3"/>
    <w:rsid w:val="004B7AEA"/>
    <w:rsid w:val="004C1602"/>
    <w:rsid w:val="004C2892"/>
    <w:rsid w:val="004C5068"/>
    <w:rsid w:val="004E2E6A"/>
    <w:rsid w:val="004E3D67"/>
    <w:rsid w:val="004E512F"/>
    <w:rsid w:val="004E77FE"/>
    <w:rsid w:val="004F7D5E"/>
    <w:rsid w:val="00505701"/>
    <w:rsid w:val="0051017B"/>
    <w:rsid w:val="00513F90"/>
    <w:rsid w:val="005141A1"/>
    <w:rsid w:val="00516A09"/>
    <w:rsid w:val="00516D57"/>
    <w:rsid w:val="00522523"/>
    <w:rsid w:val="00523B54"/>
    <w:rsid w:val="00525CAD"/>
    <w:rsid w:val="00527CD7"/>
    <w:rsid w:val="0053524D"/>
    <w:rsid w:val="00544B29"/>
    <w:rsid w:val="005453E2"/>
    <w:rsid w:val="00546E72"/>
    <w:rsid w:val="005577F2"/>
    <w:rsid w:val="005619F3"/>
    <w:rsid w:val="00562489"/>
    <w:rsid w:val="00573F05"/>
    <w:rsid w:val="00576B53"/>
    <w:rsid w:val="00580D45"/>
    <w:rsid w:val="00585BB3"/>
    <w:rsid w:val="005862E9"/>
    <w:rsid w:val="005872AC"/>
    <w:rsid w:val="00587701"/>
    <w:rsid w:val="005921E2"/>
    <w:rsid w:val="00595001"/>
    <w:rsid w:val="005971FA"/>
    <w:rsid w:val="00597A0A"/>
    <w:rsid w:val="005A14AD"/>
    <w:rsid w:val="005A3353"/>
    <w:rsid w:val="005A39A1"/>
    <w:rsid w:val="005A6F30"/>
    <w:rsid w:val="005B7535"/>
    <w:rsid w:val="005C4185"/>
    <w:rsid w:val="005C5D37"/>
    <w:rsid w:val="005D0DE5"/>
    <w:rsid w:val="005D39A3"/>
    <w:rsid w:val="005D49BE"/>
    <w:rsid w:val="005E121F"/>
    <w:rsid w:val="005E5AE3"/>
    <w:rsid w:val="005E7795"/>
    <w:rsid w:val="005F4627"/>
    <w:rsid w:val="005F5226"/>
    <w:rsid w:val="00604241"/>
    <w:rsid w:val="0061140B"/>
    <w:rsid w:val="006128D9"/>
    <w:rsid w:val="00616A03"/>
    <w:rsid w:val="00620945"/>
    <w:rsid w:val="006321E5"/>
    <w:rsid w:val="00634DF0"/>
    <w:rsid w:val="006370E6"/>
    <w:rsid w:val="00640B00"/>
    <w:rsid w:val="00641BBD"/>
    <w:rsid w:val="006446EF"/>
    <w:rsid w:val="006517C3"/>
    <w:rsid w:val="0065213F"/>
    <w:rsid w:val="00652811"/>
    <w:rsid w:val="00656E51"/>
    <w:rsid w:val="006606C0"/>
    <w:rsid w:val="00685F6E"/>
    <w:rsid w:val="006915ED"/>
    <w:rsid w:val="006A3983"/>
    <w:rsid w:val="006A6873"/>
    <w:rsid w:val="006C0A8C"/>
    <w:rsid w:val="006C366E"/>
    <w:rsid w:val="006C5399"/>
    <w:rsid w:val="006C5E1A"/>
    <w:rsid w:val="006C604E"/>
    <w:rsid w:val="006D3274"/>
    <w:rsid w:val="006D6C5F"/>
    <w:rsid w:val="006E2109"/>
    <w:rsid w:val="006E45EC"/>
    <w:rsid w:val="006F1F8D"/>
    <w:rsid w:val="006F398D"/>
    <w:rsid w:val="00722986"/>
    <w:rsid w:val="00727BE8"/>
    <w:rsid w:val="007321F8"/>
    <w:rsid w:val="00742CC2"/>
    <w:rsid w:val="00746272"/>
    <w:rsid w:val="00746291"/>
    <w:rsid w:val="00751128"/>
    <w:rsid w:val="007602FD"/>
    <w:rsid w:val="00765582"/>
    <w:rsid w:val="00766E58"/>
    <w:rsid w:val="007719E5"/>
    <w:rsid w:val="00773B48"/>
    <w:rsid w:val="007765E4"/>
    <w:rsid w:val="007812AE"/>
    <w:rsid w:val="00795CA9"/>
    <w:rsid w:val="00796467"/>
    <w:rsid w:val="00797BE4"/>
    <w:rsid w:val="00797DBB"/>
    <w:rsid w:val="007A59E6"/>
    <w:rsid w:val="007A7202"/>
    <w:rsid w:val="007B6A5F"/>
    <w:rsid w:val="007C42A6"/>
    <w:rsid w:val="007C6F2D"/>
    <w:rsid w:val="007D7031"/>
    <w:rsid w:val="007E517F"/>
    <w:rsid w:val="007F13C4"/>
    <w:rsid w:val="007F194E"/>
    <w:rsid w:val="008006BA"/>
    <w:rsid w:val="00802621"/>
    <w:rsid w:val="008057E6"/>
    <w:rsid w:val="00810142"/>
    <w:rsid w:val="00810F3D"/>
    <w:rsid w:val="008174F6"/>
    <w:rsid w:val="00817A6A"/>
    <w:rsid w:val="008233B0"/>
    <w:rsid w:val="0082355B"/>
    <w:rsid w:val="00830FDC"/>
    <w:rsid w:val="00832CAA"/>
    <w:rsid w:val="0083590B"/>
    <w:rsid w:val="00850C5D"/>
    <w:rsid w:val="00861710"/>
    <w:rsid w:val="00861ACA"/>
    <w:rsid w:val="008626BB"/>
    <w:rsid w:val="0086611B"/>
    <w:rsid w:val="00866271"/>
    <w:rsid w:val="008667A7"/>
    <w:rsid w:val="0087267D"/>
    <w:rsid w:val="008735F6"/>
    <w:rsid w:val="00874E79"/>
    <w:rsid w:val="00876BAA"/>
    <w:rsid w:val="0089091D"/>
    <w:rsid w:val="00893061"/>
    <w:rsid w:val="00895006"/>
    <w:rsid w:val="00895030"/>
    <w:rsid w:val="0089762E"/>
    <w:rsid w:val="008A25C6"/>
    <w:rsid w:val="008B4FA8"/>
    <w:rsid w:val="008C2A59"/>
    <w:rsid w:val="008C3E24"/>
    <w:rsid w:val="008C6145"/>
    <w:rsid w:val="008C731D"/>
    <w:rsid w:val="008C7439"/>
    <w:rsid w:val="008D0685"/>
    <w:rsid w:val="008D1F5D"/>
    <w:rsid w:val="008F01D6"/>
    <w:rsid w:val="008F28CD"/>
    <w:rsid w:val="008F3372"/>
    <w:rsid w:val="00903E9B"/>
    <w:rsid w:val="009118CA"/>
    <w:rsid w:val="009125BA"/>
    <w:rsid w:val="00916E00"/>
    <w:rsid w:val="00917C8D"/>
    <w:rsid w:val="00921942"/>
    <w:rsid w:val="00922EAB"/>
    <w:rsid w:val="0092504F"/>
    <w:rsid w:val="00931078"/>
    <w:rsid w:val="00932CE0"/>
    <w:rsid w:val="0093309C"/>
    <w:rsid w:val="00933C3D"/>
    <w:rsid w:val="00935433"/>
    <w:rsid w:val="009403EA"/>
    <w:rsid w:val="00943DE2"/>
    <w:rsid w:val="00944C03"/>
    <w:rsid w:val="00947E1D"/>
    <w:rsid w:val="00951561"/>
    <w:rsid w:val="00962D24"/>
    <w:rsid w:val="009635EF"/>
    <w:rsid w:val="00964B20"/>
    <w:rsid w:val="00970932"/>
    <w:rsid w:val="00973C7C"/>
    <w:rsid w:val="009861EC"/>
    <w:rsid w:val="009A3B62"/>
    <w:rsid w:val="009B3448"/>
    <w:rsid w:val="009C02E3"/>
    <w:rsid w:val="009C187E"/>
    <w:rsid w:val="009E16E5"/>
    <w:rsid w:val="009E42B5"/>
    <w:rsid w:val="009E4405"/>
    <w:rsid w:val="009E5DBE"/>
    <w:rsid w:val="009E6212"/>
    <w:rsid w:val="009F5FB3"/>
    <w:rsid w:val="009F6A18"/>
    <w:rsid w:val="009F78F1"/>
    <w:rsid w:val="009F7ABB"/>
    <w:rsid w:val="00A00036"/>
    <w:rsid w:val="00A01741"/>
    <w:rsid w:val="00A0242D"/>
    <w:rsid w:val="00A0712A"/>
    <w:rsid w:val="00A07FE5"/>
    <w:rsid w:val="00A15233"/>
    <w:rsid w:val="00A27FC5"/>
    <w:rsid w:val="00A30089"/>
    <w:rsid w:val="00A32C6A"/>
    <w:rsid w:val="00A45C3D"/>
    <w:rsid w:val="00A527F7"/>
    <w:rsid w:val="00A5438B"/>
    <w:rsid w:val="00A56D66"/>
    <w:rsid w:val="00A6081C"/>
    <w:rsid w:val="00A61083"/>
    <w:rsid w:val="00A612CF"/>
    <w:rsid w:val="00A646CC"/>
    <w:rsid w:val="00A65155"/>
    <w:rsid w:val="00A8384D"/>
    <w:rsid w:val="00A83DDF"/>
    <w:rsid w:val="00A84D04"/>
    <w:rsid w:val="00A87C5A"/>
    <w:rsid w:val="00A94BA9"/>
    <w:rsid w:val="00A95F9C"/>
    <w:rsid w:val="00AA42B5"/>
    <w:rsid w:val="00AA71B0"/>
    <w:rsid w:val="00AB4844"/>
    <w:rsid w:val="00AB4D42"/>
    <w:rsid w:val="00AC0A27"/>
    <w:rsid w:val="00AD12E9"/>
    <w:rsid w:val="00AE3349"/>
    <w:rsid w:val="00AE46E9"/>
    <w:rsid w:val="00AE4D4F"/>
    <w:rsid w:val="00AE5708"/>
    <w:rsid w:val="00AF0526"/>
    <w:rsid w:val="00AF1D6E"/>
    <w:rsid w:val="00AF2F00"/>
    <w:rsid w:val="00AF59D8"/>
    <w:rsid w:val="00B0306F"/>
    <w:rsid w:val="00B12669"/>
    <w:rsid w:val="00B15FAA"/>
    <w:rsid w:val="00B16F86"/>
    <w:rsid w:val="00B171CA"/>
    <w:rsid w:val="00B2365E"/>
    <w:rsid w:val="00B23E4D"/>
    <w:rsid w:val="00B3291A"/>
    <w:rsid w:val="00B343CA"/>
    <w:rsid w:val="00B36B85"/>
    <w:rsid w:val="00B37D2B"/>
    <w:rsid w:val="00B42D88"/>
    <w:rsid w:val="00B5752F"/>
    <w:rsid w:val="00B6022F"/>
    <w:rsid w:val="00B67312"/>
    <w:rsid w:val="00B72E9A"/>
    <w:rsid w:val="00B767FF"/>
    <w:rsid w:val="00B9127E"/>
    <w:rsid w:val="00B96014"/>
    <w:rsid w:val="00BA31B0"/>
    <w:rsid w:val="00BA478A"/>
    <w:rsid w:val="00BA56CE"/>
    <w:rsid w:val="00BB087B"/>
    <w:rsid w:val="00BB2141"/>
    <w:rsid w:val="00BB73A2"/>
    <w:rsid w:val="00BC1EBA"/>
    <w:rsid w:val="00BC412E"/>
    <w:rsid w:val="00BE020E"/>
    <w:rsid w:val="00BE0221"/>
    <w:rsid w:val="00BF371E"/>
    <w:rsid w:val="00C0070E"/>
    <w:rsid w:val="00C100E0"/>
    <w:rsid w:val="00C1464F"/>
    <w:rsid w:val="00C165A3"/>
    <w:rsid w:val="00C21AAD"/>
    <w:rsid w:val="00C2262E"/>
    <w:rsid w:val="00C45682"/>
    <w:rsid w:val="00C51D12"/>
    <w:rsid w:val="00C527E6"/>
    <w:rsid w:val="00C55C83"/>
    <w:rsid w:val="00C648E0"/>
    <w:rsid w:val="00C726CD"/>
    <w:rsid w:val="00C73580"/>
    <w:rsid w:val="00C8039D"/>
    <w:rsid w:val="00C810F5"/>
    <w:rsid w:val="00C8621D"/>
    <w:rsid w:val="00C9326C"/>
    <w:rsid w:val="00CA461D"/>
    <w:rsid w:val="00CB2285"/>
    <w:rsid w:val="00CB267B"/>
    <w:rsid w:val="00CB448F"/>
    <w:rsid w:val="00CC03B9"/>
    <w:rsid w:val="00CC2CAB"/>
    <w:rsid w:val="00CC38E3"/>
    <w:rsid w:val="00CD595F"/>
    <w:rsid w:val="00CE51A0"/>
    <w:rsid w:val="00CF0D8C"/>
    <w:rsid w:val="00CF30D8"/>
    <w:rsid w:val="00CF357C"/>
    <w:rsid w:val="00CF6ED8"/>
    <w:rsid w:val="00D0090A"/>
    <w:rsid w:val="00D01FAB"/>
    <w:rsid w:val="00D065BC"/>
    <w:rsid w:val="00D11523"/>
    <w:rsid w:val="00D14ECD"/>
    <w:rsid w:val="00D15184"/>
    <w:rsid w:val="00D1580C"/>
    <w:rsid w:val="00D1663A"/>
    <w:rsid w:val="00D26040"/>
    <w:rsid w:val="00D30438"/>
    <w:rsid w:val="00D32FDC"/>
    <w:rsid w:val="00D37E46"/>
    <w:rsid w:val="00D41D9D"/>
    <w:rsid w:val="00D43764"/>
    <w:rsid w:val="00D438CC"/>
    <w:rsid w:val="00D50174"/>
    <w:rsid w:val="00D5121F"/>
    <w:rsid w:val="00D521B7"/>
    <w:rsid w:val="00D53B4E"/>
    <w:rsid w:val="00D55DA4"/>
    <w:rsid w:val="00D56EFB"/>
    <w:rsid w:val="00D620AE"/>
    <w:rsid w:val="00D655AB"/>
    <w:rsid w:val="00D66B6D"/>
    <w:rsid w:val="00D67873"/>
    <w:rsid w:val="00D7005D"/>
    <w:rsid w:val="00D71A31"/>
    <w:rsid w:val="00D755C0"/>
    <w:rsid w:val="00D80D73"/>
    <w:rsid w:val="00D8534F"/>
    <w:rsid w:val="00D86837"/>
    <w:rsid w:val="00D91138"/>
    <w:rsid w:val="00D9288D"/>
    <w:rsid w:val="00D9649E"/>
    <w:rsid w:val="00DA37D8"/>
    <w:rsid w:val="00DB15CE"/>
    <w:rsid w:val="00DB2638"/>
    <w:rsid w:val="00DB6D06"/>
    <w:rsid w:val="00DC0E9F"/>
    <w:rsid w:val="00DC5E7E"/>
    <w:rsid w:val="00DD2763"/>
    <w:rsid w:val="00DD4AAB"/>
    <w:rsid w:val="00DE06CF"/>
    <w:rsid w:val="00DE40EE"/>
    <w:rsid w:val="00DE4703"/>
    <w:rsid w:val="00DF0A5A"/>
    <w:rsid w:val="00DF1E20"/>
    <w:rsid w:val="00DF7BBA"/>
    <w:rsid w:val="00E03969"/>
    <w:rsid w:val="00E04937"/>
    <w:rsid w:val="00E208F7"/>
    <w:rsid w:val="00E2097B"/>
    <w:rsid w:val="00E232B4"/>
    <w:rsid w:val="00E3314E"/>
    <w:rsid w:val="00E45C78"/>
    <w:rsid w:val="00E530CD"/>
    <w:rsid w:val="00E57835"/>
    <w:rsid w:val="00E609D5"/>
    <w:rsid w:val="00E614C0"/>
    <w:rsid w:val="00E6385A"/>
    <w:rsid w:val="00E70C38"/>
    <w:rsid w:val="00E7454B"/>
    <w:rsid w:val="00E77B01"/>
    <w:rsid w:val="00E845F8"/>
    <w:rsid w:val="00E85A86"/>
    <w:rsid w:val="00E9166E"/>
    <w:rsid w:val="00EA34B8"/>
    <w:rsid w:val="00EB034A"/>
    <w:rsid w:val="00EB736A"/>
    <w:rsid w:val="00EC0098"/>
    <w:rsid w:val="00EC0548"/>
    <w:rsid w:val="00ED1389"/>
    <w:rsid w:val="00EE0A8B"/>
    <w:rsid w:val="00EE6D06"/>
    <w:rsid w:val="00EF054B"/>
    <w:rsid w:val="00EF2817"/>
    <w:rsid w:val="00EF37CC"/>
    <w:rsid w:val="00F03A40"/>
    <w:rsid w:val="00F04158"/>
    <w:rsid w:val="00F04CC2"/>
    <w:rsid w:val="00F1195C"/>
    <w:rsid w:val="00F12AAF"/>
    <w:rsid w:val="00F17117"/>
    <w:rsid w:val="00F244EA"/>
    <w:rsid w:val="00F26232"/>
    <w:rsid w:val="00F37625"/>
    <w:rsid w:val="00F43CA9"/>
    <w:rsid w:val="00F46EF6"/>
    <w:rsid w:val="00F5479E"/>
    <w:rsid w:val="00F558B0"/>
    <w:rsid w:val="00F56A1E"/>
    <w:rsid w:val="00F57092"/>
    <w:rsid w:val="00F61ECB"/>
    <w:rsid w:val="00F74066"/>
    <w:rsid w:val="00F748F5"/>
    <w:rsid w:val="00F82AB3"/>
    <w:rsid w:val="00F85150"/>
    <w:rsid w:val="00F87674"/>
    <w:rsid w:val="00F87BD3"/>
    <w:rsid w:val="00F949DC"/>
    <w:rsid w:val="00FA7F07"/>
    <w:rsid w:val="00FB28D2"/>
    <w:rsid w:val="00FB3DCF"/>
    <w:rsid w:val="00FB45FD"/>
    <w:rsid w:val="00FB61FB"/>
    <w:rsid w:val="00FC05A6"/>
    <w:rsid w:val="00FC3B1E"/>
    <w:rsid w:val="00FD13F9"/>
    <w:rsid w:val="00FD3EBC"/>
    <w:rsid w:val="00FD62ED"/>
    <w:rsid w:val="00FE4E3E"/>
    <w:rsid w:val="00FF3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3D157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30FDC"/>
    <w:pPr>
      <w:spacing w:after="180" w:line="260" w:lineRule="exact"/>
      <w:ind w:left="2160"/>
      <w:jc w:val="both"/>
    </w:pPr>
    <w:rPr>
      <w:rFonts w:ascii="Arial" w:hAnsi="Arial"/>
      <w:color w:val="595A5B"/>
      <w:sz w:val="20"/>
    </w:rPr>
  </w:style>
  <w:style w:type="paragraph" w:styleId="Heading1">
    <w:name w:val="heading 1"/>
    <w:basedOn w:val="Normal"/>
    <w:next w:val="BodyText"/>
    <w:link w:val="Heading1Char"/>
    <w:qFormat/>
    <w:rsid w:val="008F3372"/>
    <w:pPr>
      <w:keepNext/>
      <w:numPr>
        <w:numId w:val="32"/>
      </w:numPr>
      <w:spacing w:before="300" w:line="280" w:lineRule="atLeast"/>
      <w:jc w:val="left"/>
      <w:outlineLvl w:val="0"/>
    </w:pPr>
    <w:rPr>
      <w:rFonts w:asciiTheme="majorHAnsi" w:eastAsia="Times New Roman" w:hAnsiTheme="majorHAnsi" w:cs="Arial"/>
      <w:b/>
      <w:bCs/>
      <w:color w:val="22789A"/>
      <w:kern w:val="32"/>
      <w:sz w:val="32"/>
      <w:szCs w:val="32"/>
    </w:rPr>
  </w:style>
  <w:style w:type="paragraph" w:styleId="Heading2">
    <w:name w:val="heading 2"/>
    <w:basedOn w:val="BodyText"/>
    <w:next w:val="BodyText"/>
    <w:link w:val="Heading2Char"/>
    <w:qFormat/>
    <w:rsid w:val="008F3372"/>
    <w:pPr>
      <w:keepNext/>
      <w:numPr>
        <w:ilvl w:val="1"/>
        <w:numId w:val="32"/>
      </w:numPr>
      <w:spacing w:before="300" w:line="280" w:lineRule="atLeast"/>
      <w:jc w:val="left"/>
      <w:outlineLvl w:val="1"/>
    </w:pPr>
    <w:rPr>
      <w:rFonts w:asciiTheme="majorHAnsi" w:eastAsia="Times New Roman" w:hAnsiTheme="majorHAnsi" w:cs="Arial"/>
      <w:b/>
      <w:bCs/>
      <w:iCs/>
      <w:color w:val="6CCCDE"/>
      <w:sz w:val="22"/>
      <w:szCs w:val="28"/>
    </w:rPr>
  </w:style>
  <w:style w:type="paragraph" w:styleId="Heading3">
    <w:name w:val="heading 3"/>
    <w:basedOn w:val="BodyText"/>
    <w:next w:val="BodyText"/>
    <w:link w:val="Heading3Char"/>
    <w:qFormat/>
    <w:rsid w:val="008F3372"/>
    <w:pPr>
      <w:keepNext/>
      <w:numPr>
        <w:ilvl w:val="2"/>
        <w:numId w:val="32"/>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rsid w:val="008F3372"/>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8F3372"/>
    <w:pPr>
      <w:keepNext/>
      <w:pageBreakBefore/>
      <w:numPr>
        <w:ilvl w:val="5"/>
        <w:numId w:val="32"/>
      </w:numPr>
      <w:spacing w:before="300" w:line="280" w:lineRule="atLeast"/>
      <w:jc w:val="lef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8F3372"/>
    <w:pPr>
      <w:keepNext/>
      <w:keepLines/>
      <w:numPr>
        <w:ilvl w:val="6"/>
        <w:numId w:val="32"/>
      </w:numPr>
      <w:spacing w:before="300" w:line="280" w:lineRule="atLeast"/>
      <w:jc w:val="left"/>
      <w:outlineLvl w:val="6"/>
    </w:pPr>
    <w:rPr>
      <w:rFonts w:asciiTheme="majorHAnsi" w:eastAsiaTheme="majorEastAsia" w:hAnsiTheme="majorHAnsi" w:cstheme="majorBidi"/>
      <w:b/>
      <w:iCs/>
      <w:color w:val="6CCCDE"/>
      <w:sz w:val="22"/>
    </w:rPr>
  </w:style>
  <w:style w:type="paragraph" w:styleId="Heading8">
    <w:name w:val="heading 8"/>
    <w:basedOn w:val="Normal"/>
    <w:next w:val="BodyText"/>
    <w:link w:val="Heading8Char"/>
    <w:uiPriority w:val="1"/>
    <w:qFormat/>
    <w:rsid w:val="008F3372"/>
    <w:pPr>
      <w:keepNext/>
      <w:keepLines/>
      <w:numPr>
        <w:ilvl w:val="7"/>
        <w:numId w:val="32"/>
      </w:numPr>
      <w:spacing w:before="300"/>
      <w:jc w:val="left"/>
      <w:outlineLvl w:val="7"/>
    </w:pPr>
    <w:rPr>
      <w:rFonts w:asciiTheme="majorHAnsi" w:eastAsiaTheme="majorEastAsia" w:hAnsiTheme="majorHAnsi" w:cstheme="majorBidi"/>
      <w:color w:val="22789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BPTable">
    <w:name w:val="DBP Table"/>
    <w:basedOn w:val="TableContemporary"/>
    <w:uiPriority w:val="99"/>
    <w:rsid w:val="008F3372"/>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8F3372"/>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31"/>
      </w:numPr>
      <w:spacing w:before="100" w:line="312" w:lineRule="auto"/>
    </w:pPr>
    <w:rPr>
      <w:rFonts w:eastAsia="Times New Roman"/>
      <w:lang w:eastAsia="en-AU"/>
    </w:rPr>
  </w:style>
  <w:style w:type="character" w:customStyle="1" w:styleId="Heading1Char">
    <w:name w:val="Heading 1 Char"/>
    <w:basedOn w:val="DefaultParagraphFont"/>
    <w:link w:val="Heading1"/>
    <w:rsid w:val="008F3372"/>
    <w:rPr>
      <w:rFonts w:asciiTheme="majorHAnsi" w:eastAsia="Times New Roman" w:hAnsiTheme="majorHAnsi" w:cs="Arial"/>
      <w:b/>
      <w:bCs/>
      <w:color w:val="22789A"/>
      <w:kern w:val="32"/>
      <w:sz w:val="32"/>
      <w:szCs w:val="32"/>
    </w:rPr>
  </w:style>
  <w:style w:type="character" w:customStyle="1" w:styleId="Heading2Char">
    <w:name w:val="Heading 2 Char"/>
    <w:basedOn w:val="DefaultParagraphFont"/>
    <w:link w:val="Heading2"/>
    <w:rsid w:val="008F3372"/>
    <w:rPr>
      <w:rFonts w:asciiTheme="majorHAnsi" w:eastAsia="Times New Roman" w:hAnsiTheme="majorHAnsi" w:cs="Arial"/>
      <w:b/>
      <w:bCs/>
      <w:iCs/>
      <w:color w:val="6CCCDE"/>
      <w:szCs w:val="28"/>
    </w:rPr>
  </w:style>
  <w:style w:type="character" w:customStyle="1" w:styleId="Heading3Char">
    <w:name w:val="Heading 3 Char"/>
    <w:basedOn w:val="DefaultParagraphFont"/>
    <w:link w:val="Heading3"/>
    <w:rsid w:val="008F3372"/>
    <w:rPr>
      <w:rFonts w:asciiTheme="majorHAnsi" w:eastAsia="Times New Roman" w:hAnsiTheme="majorHAnsi" w:cs="Arial"/>
      <w:bCs/>
      <w:color w:val="22789A"/>
    </w:rPr>
  </w:style>
  <w:style w:type="paragraph" w:styleId="TOC1">
    <w:name w:val="toc 1"/>
    <w:basedOn w:val="Normal"/>
    <w:next w:val="Normal"/>
    <w:autoRedefine/>
    <w:uiPriority w:val="39"/>
    <w:rsid w:val="008F3372"/>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8F3372"/>
    <w:pPr>
      <w:ind w:left="2268" w:hanging="108"/>
    </w:pPr>
    <w:rPr>
      <w:rFonts w:eastAsia="Times New Roman"/>
      <w:sz w:val="16"/>
    </w:rPr>
  </w:style>
  <w:style w:type="character" w:customStyle="1" w:styleId="FootnoteTextChar">
    <w:name w:val="Footnote Text Char"/>
    <w:basedOn w:val="DefaultParagraphFont"/>
    <w:link w:val="FootnoteText"/>
    <w:uiPriority w:val="19"/>
    <w:rsid w:val="008F3372"/>
    <w:rPr>
      <w:rFonts w:ascii="Arial" w:eastAsia="Times New Roman" w:hAnsi="Arial"/>
      <w:color w:val="595A5B"/>
      <w:sz w:val="16"/>
    </w:rPr>
  </w:style>
  <w:style w:type="paragraph" w:styleId="Footer">
    <w:name w:val="footer"/>
    <w:basedOn w:val="Normal"/>
    <w:link w:val="FooterChar"/>
    <w:uiPriority w:val="9"/>
    <w:rsid w:val="008F3372"/>
    <w:pPr>
      <w:tabs>
        <w:tab w:val="right" w:pos="9680"/>
      </w:tabs>
    </w:pPr>
    <w:rPr>
      <w:rFonts w:eastAsia="Times New Roman"/>
      <w:sz w:val="16"/>
      <w:szCs w:val="16"/>
    </w:rPr>
  </w:style>
  <w:style w:type="character" w:customStyle="1" w:styleId="FooterChar">
    <w:name w:val="Footer Char"/>
    <w:basedOn w:val="DefaultParagraphFont"/>
    <w:link w:val="Footer"/>
    <w:uiPriority w:val="9"/>
    <w:rsid w:val="008F3372"/>
    <w:rPr>
      <w:rFonts w:ascii="Arial" w:eastAsia="Times New Roman" w:hAnsi="Arial"/>
      <w:color w:val="595A5B"/>
      <w:sz w:val="16"/>
      <w:szCs w:val="16"/>
    </w:rPr>
  </w:style>
  <w:style w:type="paragraph" w:styleId="TableofFigures">
    <w:name w:val="table of figures"/>
    <w:basedOn w:val="Normal"/>
    <w:next w:val="Normal"/>
    <w:uiPriority w:val="99"/>
    <w:rsid w:val="008F3372"/>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19"/>
    <w:rsid w:val="008F3372"/>
    <w:rPr>
      <w:vertAlign w:val="superscript"/>
    </w:rPr>
  </w:style>
  <w:style w:type="character" w:styleId="PageNumber">
    <w:name w:val="page number"/>
    <w:rsid w:val="008F3372"/>
    <w:rPr>
      <w:rFonts w:ascii="Arial" w:hAnsi="Arial"/>
      <w:sz w:val="18"/>
    </w:rPr>
  </w:style>
  <w:style w:type="paragraph" w:styleId="BodyText">
    <w:name w:val="Body Text"/>
    <w:link w:val="BodyTextChar"/>
    <w:qFormat/>
    <w:rsid w:val="008F3372"/>
    <w:pPr>
      <w:spacing w:after="180" w:line="270" w:lineRule="exact"/>
      <w:ind w:left="2160"/>
      <w:jc w:val="both"/>
    </w:pPr>
    <w:rPr>
      <w:color w:val="595A5B"/>
      <w:sz w:val="20"/>
    </w:rPr>
  </w:style>
  <w:style w:type="character" w:customStyle="1" w:styleId="BodyTextChar">
    <w:name w:val="Body Text Char"/>
    <w:basedOn w:val="DefaultParagraphFont"/>
    <w:link w:val="BodyText"/>
    <w:rsid w:val="008F3372"/>
    <w:rPr>
      <w:color w:val="595A5B"/>
      <w:sz w:val="20"/>
    </w:rPr>
  </w:style>
  <w:style w:type="paragraph" w:styleId="Subtitle">
    <w:name w:val="Subtitle"/>
    <w:basedOn w:val="Normal"/>
    <w:next w:val="Normal"/>
    <w:link w:val="SubtitleChar"/>
    <w:rsid w:val="008F3372"/>
    <w:pPr>
      <w:numPr>
        <w:ilvl w:val="1"/>
      </w:numPr>
      <w:ind w:left="2160"/>
    </w:pPr>
    <w:rPr>
      <w:rFonts w:asciiTheme="majorHAnsi" w:eastAsiaTheme="majorEastAsia" w:hAnsiTheme="majorHAnsi" w:cstheme="majorBidi"/>
      <w:i/>
      <w:iCs/>
      <w:color w:val="22789A" w:themeColor="accent1"/>
      <w:spacing w:val="15"/>
      <w:sz w:val="24"/>
      <w:szCs w:val="24"/>
    </w:rPr>
  </w:style>
  <w:style w:type="character" w:customStyle="1" w:styleId="SubtitleChar">
    <w:name w:val="Subtitle Char"/>
    <w:basedOn w:val="DefaultParagraphFont"/>
    <w:link w:val="Subtitle"/>
    <w:rsid w:val="008F3372"/>
    <w:rPr>
      <w:rFonts w:asciiTheme="majorHAnsi" w:eastAsiaTheme="majorEastAsia" w:hAnsiTheme="majorHAnsi" w:cstheme="majorBidi"/>
      <w:i/>
      <w:iCs/>
      <w:color w:val="22789A" w:themeColor="accent1"/>
      <w:spacing w:val="15"/>
      <w:sz w:val="24"/>
      <w:szCs w:val="24"/>
    </w:rPr>
  </w:style>
  <w:style w:type="character" w:styleId="Hyperlink">
    <w:name w:val="Hyperlink"/>
    <w:uiPriority w:val="99"/>
    <w:rsid w:val="008F3372"/>
    <w:rPr>
      <w:color w:val="22789A"/>
      <w:u w:val="single"/>
    </w:rPr>
  </w:style>
  <w:style w:type="table" w:styleId="Table3Deffects1">
    <w:name w:val="Table 3D effects 1"/>
    <w:basedOn w:val="TableNormal"/>
    <w:rsid w:val="008F3372"/>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8F3372"/>
    <w:rPr>
      <w:rFonts w:ascii="Tahoma" w:eastAsia="Times New Roman" w:hAnsi="Tahoma" w:cs="Tahoma"/>
      <w:sz w:val="16"/>
      <w:szCs w:val="16"/>
    </w:rPr>
  </w:style>
  <w:style w:type="character" w:customStyle="1" w:styleId="BalloonTextChar">
    <w:name w:val="Balloon Text Char"/>
    <w:basedOn w:val="DefaultParagraphFont"/>
    <w:link w:val="BalloonText"/>
    <w:rsid w:val="008F3372"/>
    <w:rPr>
      <w:rFonts w:ascii="Tahoma" w:eastAsia="Times New Roman" w:hAnsi="Tahoma" w:cs="Tahoma"/>
      <w:color w:val="595A5B"/>
      <w:sz w:val="16"/>
      <w:szCs w:val="16"/>
    </w:rPr>
  </w:style>
  <w:style w:type="table" w:styleId="TableGrid">
    <w:name w:val="Table Grid"/>
    <w:basedOn w:val="TableNormal"/>
    <w:uiPriority w:val="59"/>
    <w:rsid w:val="008F3372"/>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8F3372"/>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styleId="ColorfulGrid-Accent1">
    <w:name w:val="Colorful Grid Accent 1"/>
    <w:basedOn w:val="TableNormal"/>
    <w:uiPriority w:val="73"/>
    <w:rsid w:val="008F3372"/>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character" w:styleId="IntenseEmphasis">
    <w:name w:val="Intense Emphasis"/>
    <w:basedOn w:val="DefaultParagraphFont"/>
    <w:uiPriority w:val="21"/>
    <w:rsid w:val="008F3372"/>
    <w:rPr>
      <w:b/>
      <w:bCs/>
      <w:i/>
      <w:iCs/>
      <w:color w:val="22789A" w:themeColor="accent1"/>
    </w:rPr>
  </w:style>
  <w:style w:type="paragraph" w:styleId="Bibliography">
    <w:name w:val="Bibliography"/>
    <w:basedOn w:val="Normal"/>
    <w:next w:val="Normal"/>
    <w:uiPriority w:val="37"/>
    <w:unhideWhenUsed/>
    <w:rsid w:val="008F3372"/>
    <w:rPr>
      <w:rFonts w:eastAsia="Times New Roman"/>
    </w:rPr>
  </w:style>
  <w:style w:type="paragraph" w:styleId="TOCHeading">
    <w:name w:val="TOC Heading"/>
    <w:basedOn w:val="Heading1"/>
    <w:next w:val="Normal"/>
    <w:uiPriority w:val="39"/>
    <w:semiHidden/>
    <w:unhideWhenUsed/>
    <w:qFormat/>
    <w:rsid w:val="008F3372"/>
    <w:pPr>
      <w:keepLines/>
      <w:numPr>
        <w:numId w:val="0"/>
      </w:numPr>
      <w:spacing w:before="480" w:after="0" w:line="276" w:lineRule="auto"/>
      <w:outlineLvl w:val="9"/>
    </w:pPr>
    <w:rPr>
      <w:rFonts w:eastAsiaTheme="majorEastAsia" w:cstheme="majorBidi"/>
      <w:color w:val="195973" w:themeColor="accent1" w:themeShade="BF"/>
      <w:kern w:val="0"/>
      <w:sz w:val="28"/>
      <w:szCs w:val="28"/>
      <w:lang w:eastAsia="ja-JP"/>
    </w:rPr>
  </w:style>
  <w:style w:type="table" w:styleId="Table3Deffects2">
    <w:name w:val="Table 3D effects 2"/>
    <w:basedOn w:val="TableNormal"/>
    <w:rsid w:val="008F3372"/>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8F3372"/>
    <w:pPr>
      <w:numPr>
        <w:numId w:val="3"/>
      </w:numPr>
    </w:pPr>
  </w:style>
  <w:style w:type="character" w:customStyle="1" w:styleId="Heading4Char">
    <w:name w:val="Heading 4 Char"/>
    <w:basedOn w:val="DefaultParagraphFont"/>
    <w:link w:val="Heading4"/>
    <w:uiPriority w:val="9"/>
    <w:rsid w:val="008F3372"/>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8F3372"/>
    <w:rPr>
      <w:rFonts w:asciiTheme="majorHAnsi" w:eastAsiaTheme="majorEastAsia" w:hAnsiTheme="majorHAnsi" w:cstheme="majorBidi"/>
      <w:b/>
      <w:iCs/>
      <w:color w:val="22789A"/>
      <w:sz w:val="32"/>
    </w:rPr>
  </w:style>
  <w:style w:type="paragraph" w:styleId="ListParagraph">
    <w:name w:val="List Paragraph"/>
    <w:basedOn w:val="ListBullet"/>
    <w:link w:val="ListParagraphChar"/>
    <w:uiPriority w:val="34"/>
    <w:qFormat/>
    <w:rsid w:val="008F3372"/>
    <w:pPr>
      <w:numPr>
        <w:numId w:val="0"/>
      </w:numPr>
    </w:pPr>
    <w:rPr>
      <w:lang w:val="en"/>
    </w:rPr>
  </w:style>
  <w:style w:type="character" w:customStyle="1" w:styleId="ListParagraphChar">
    <w:name w:val="List Paragraph Char"/>
    <w:basedOn w:val="DefaultParagraphFont"/>
    <w:link w:val="ListParagraph"/>
    <w:uiPriority w:val="34"/>
    <w:rsid w:val="008F3372"/>
    <w:rPr>
      <w:color w:val="595A5B"/>
      <w:sz w:val="20"/>
      <w:lang w:val="en"/>
    </w:rPr>
  </w:style>
  <w:style w:type="numbering" w:customStyle="1" w:styleId="OCEBulletedList">
    <w:name w:val="OCE Bulleted List"/>
    <w:uiPriority w:val="99"/>
    <w:rsid w:val="008F3372"/>
    <w:pPr>
      <w:numPr>
        <w:numId w:val="4"/>
      </w:numPr>
    </w:pPr>
  </w:style>
  <w:style w:type="paragraph" w:styleId="ListBullet">
    <w:name w:val="List Bullet"/>
    <w:basedOn w:val="BodyText"/>
    <w:uiPriority w:val="4"/>
    <w:qFormat/>
    <w:rsid w:val="008F3372"/>
    <w:pPr>
      <w:numPr>
        <w:numId w:val="33"/>
      </w:numPr>
      <w:spacing w:after="120"/>
    </w:pPr>
  </w:style>
  <w:style w:type="paragraph" w:styleId="ListContinue2">
    <w:name w:val="List Continue 2"/>
    <w:basedOn w:val="Normal"/>
    <w:rsid w:val="008F3372"/>
    <w:pPr>
      <w:spacing w:after="120"/>
      <w:ind w:left="566"/>
      <w:contextualSpacing/>
    </w:pPr>
  </w:style>
  <w:style w:type="paragraph" w:styleId="ListBullet2">
    <w:name w:val="List Bullet 2"/>
    <w:basedOn w:val="ListBullet"/>
    <w:uiPriority w:val="4"/>
    <w:qFormat/>
    <w:rsid w:val="008F3372"/>
    <w:pPr>
      <w:numPr>
        <w:ilvl w:val="1"/>
      </w:numPr>
    </w:pPr>
  </w:style>
  <w:style w:type="paragraph" w:styleId="ListBullet4">
    <w:name w:val="List Bullet 4"/>
    <w:basedOn w:val="ListBullet3"/>
    <w:rsid w:val="008F3372"/>
    <w:pPr>
      <w:numPr>
        <w:ilvl w:val="3"/>
      </w:numPr>
    </w:pPr>
  </w:style>
  <w:style w:type="paragraph" w:styleId="ListBullet3">
    <w:name w:val="List Bullet 3"/>
    <w:basedOn w:val="ListBullet2"/>
    <w:uiPriority w:val="4"/>
    <w:qFormat/>
    <w:rsid w:val="008F3372"/>
    <w:pPr>
      <w:numPr>
        <w:ilvl w:val="2"/>
      </w:numPr>
    </w:pPr>
  </w:style>
  <w:style w:type="paragraph" w:styleId="ListNumber">
    <w:name w:val="List Number"/>
    <w:basedOn w:val="Normal"/>
    <w:uiPriority w:val="4"/>
    <w:qFormat/>
    <w:rsid w:val="008F3372"/>
    <w:pPr>
      <w:numPr>
        <w:numId w:val="34"/>
      </w:numPr>
      <w:spacing w:after="120"/>
    </w:pPr>
  </w:style>
  <w:style w:type="paragraph" w:styleId="ListNumber2">
    <w:name w:val="List Number 2"/>
    <w:basedOn w:val="Normal"/>
    <w:uiPriority w:val="4"/>
    <w:qFormat/>
    <w:rsid w:val="008F3372"/>
    <w:pPr>
      <w:numPr>
        <w:ilvl w:val="1"/>
        <w:numId w:val="34"/>
      </w:numPr>
      <w:spacing w:after="120"/>
    </w:pPr>
  </w:style>
  <w:style w:type="paragraph" w:styleId="ListNumber3">
    <w:name w:val="List Number 3"/>
    <w:basedOn w:val="Normal"/>
    <w:uiPriority w:val="4"/>
    <w:qFormat/>
    <w:rsid w:val="008F3372"/>
    <w:pPr>
      <w:numPr>
        <w:ilvl w:val="2"/>
        <w:numId w:val="34"/>
      </w:numPr>
      <w:spacing w:after="120"/>
    </w:pPr>
  </w:style>
  <w:style w:type="character" w:customStyle="1" w:styleId="Heading7Char">
    <w:name w:val="Heading 7 Char"/>
    <w:basedOn w:val="DefaultParagraphFont"/>
    <w:link w:val="Heading7"/>
    <w:uiPriority w:val="1"/>
    <w:rsid w:val="008F3372"/>
    <w:rPr>
      <w:rFonts w:asciiTheme="majorHAnsi" w:eastAsiaTheme="majorEastAsia" w:hAnsiTheme="majorHAnsi" w:cstheme="majorBidi"/>
      <w:b/>
      <w:iCs/>
      <w:color w:val="6CCCDE"/>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8F3372"/>
    <w:rPr>
      <w:rFonts w:asciiTheme="majorHAnsi" w:eastAsiaTheme="majorEastAsia" w:hAnsiTheme="majorHAnsi" w:cstheme="majorBidi"/>
      <w:color w:val="22789A"/>
      <w:szCs w:val="20"/>
    </w:rPr>
  </w:style>
  <w:style w:type="paragraph" w:customStyle="1" w:styleId="Source">
    <w:name w:val="Source"/>
    <w:basedOn w:val="Normal"/>
    <w:next w:val="BodyText"/>
    <w:link w:val="SourceChar"/>
    <w:qFormat/>
    <w:rsid w:val="008F3372"/>
    <w:pPr>
      <w:keepLines/>
      <w:pBdr>
        <w:bottom w:val="single" w:sz="4" w:space="1" w:color="595A5B"/>
      </w:pBdr>
      <w:spacing w:before="60" w:after="3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8F3372"/>
    <w:rPr>
      <w:rFonts w:ascii="Arial" w:eastAsia="Times New Roman" w:hAnsi="Arial" w:cs="Arial"/>
      <w:color w:val="22789A"/>
      <w:sz w:val="16"/>
      <w:szCs w:val="20"/>
      <w:lang w:val="en"/>
    </w:rPr>
  </w:style>
  <w:style w:type="paragraph" w:customStyle="1" w:styleId="Tabletext">
    <w:name w:val="Table text"/>
    <w:basedOn w:val="Normal"/>
    <w:link w:val="TabletextChar"/>
    <w:qFormat/>
    <w:rsid w:val="008F3372"/>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8F3372"/>
    <w:rPr>
      <w:rFonts w:ascii="Arial" w:hAnsi="Arial" w:cs="Arial"/>
      <w:color w:val="595A5B"/>
      <w:sz w:val="18"/>
      <w:szCs w:val="18"/>
    </w:rPr>
  </w:style>
  <w:style w:type="paragraph" w:customStyle="1" w:styleId="Tableheader">
    <w:name w:val="Table header"/>
    <w:basedOn w:val="Normal"/>
    <w:link w:val="TableheaderChar"/>
    <w:qFormat/>
    <w:rsid w:val="008F3372"/>
    <w:pPr>
      <w:keepNext/>
      <w:spacing w:before="120" w:after="120" w:line="240" w:lineRule="auto"/>
      <w:ind w:left="0"/>
      <w:jc w:val="left"/>
    </w:pPr>
    <w:rPr>
      <w:rFonts w:cs="Arial"/>
      <w:i/>
      <w:color w:val="FFFFFF" w:themeColor="background1"/>
      <w:sz w:val="18"/>
      <w:szCs w:val="18"/>
    </w:rPr>
  </w:style>
  <w:style w:type="character" w:customStyle="1" w:styleId="TableheaderChar">
    <w:name w:val="Table header Char"/>
    <w:basedOn w:val="DefaultParagraphFont"/>
    <w:link w:val="Tableheader"/>
    <w:rsid w:val="008F3372"/>
    <w:rPr>
      <w:rFonts w:ascii="Arial" w:hAnsi="Arial" w:cs="Arial"/>
      <w:i/>
      <w:color w:val="FFFFFF" w:themeColor="background1"/>
      <w:sz w:val="18"/>
      <w:szCs w:val="18"/>
    </w:rPr>
  </w:style>
  <w:style w:type="paragraph" w:styleId="Caption">
    <w:name w:val="caption"/>
    <w:basedOn w:val="Normal"/>
    <w:next w:val="Placeholder"/>
    <w:rsid w:val="008F3372"/>
    <w:pPr>
      <w:keepNext/>
      <w:keepLines/>
      <w:pBdr>
        <w:top w:val="single" w:sz="2" w:space="1" w:color="595A5B"/>
      </w:pBdr>
      <w:spacing w:before="360" w:after="240" w:line="240" w:lineRule="atLeast"/>
    </w:pPr>
    <w:rPr>
      <w:bCs/>
      <w:color w:val="22789A" w:themeColor="accent1"/>
      <w:sz w:val="18"/>
      <w:szCs w:val="18"/>
    </w:rPr>
  </w:style>
  <w:style w:type="paragraph" w:customStyle="1" w:styleId="Note">
    <w:name w:val="Note"/>
    <w:basedOn w:val="Source"/>
    <w:rsid w:val="008F3372"/>
    <w:pPr>
      <w:keepNext/>
      <w:spacing w:after="60"/>
    </w:pPr>
  </w:style>
  <w:style w:type="table" w:customStyle="1" w:styleId="OCETable">
    <w:name w:val="OCE Table"/>
    <w:basedOn w:val="TableNormal"/>
    <w:uiPriority w:val="99"/>
    <w:rsid w:val="008F3372"/>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paragraph" w:customStyle="1" w:styleId="CaptionWide">
    <w:name w:val="Caption Wide"/>
    <w:basedOn w:val="Caption"/>
    <w:next w:val="PlaceholderWide"/>
    <w:rsid w:val="008F3372"/>
    <w:pPr>
      <w:ind w:left="0"/>
    </w:pPr>
  </w:style>
  <w:style w:type="paragraph" w:customStyle="1" w:styleId="NoteWide">
    <w:name w:val="Note Wide"/>
    <w:basedOn w:val="Note"/>
    <w:rsid w:val="008F3372"/>
    <w:pPr>
      <w:ind w:left="0"/>
    </w:pPr>
  </w:style>
  <w:style w:type="paragraph" w:customStyle="1" w:styleId="SourceWide">
    <w:name w:val="Source Wide"/>
    <w:basedOn w:val="Source"/>
    <w:next w:val="BodyText"/>
    <w:rsid w:val="008F3372"/>
    <w:pPr>
      <w:ind w:left="0"/>
    </w:pPr>
  </w:style>
  <w:style w:type="paragraph" w:customStyle="1" w:styleId="Placeholder">
    <w:name w:val="Placeholder"/>
    <w:basedOn w:val="Normal"/>
    <w:rsid w:val="008F3372"/>
    <w:pPr>
      <w:keepNext/>
      <w:keepLines/>
      <w:spacing w:after="0" w:line="240" w:lineRule="auto"/>
      <w:ind w:left="0"/>
      <w:jc w:val="center"/>
    </w:pPr>
    <w:rPr>
      <w:sz w:val="18"/>
    </w:rPr>
  </w:style>
  <w:style w:type="paragraph" w:customStyle="1" w:styleId="PlaceholderWide">
    <w:name w:val="Placeholder Wide"/>
    <w:basedOn w:val="Placeholder"/>
    <w:rsid w:val="008F3372"/>
  </w:style>
  <w:style w:type="paragraph" w:customStyle="1" w:styleId="Boxtext">
    <w:name w:val="Box text"/>
    <w:basedOn w:val="Placeholder"/>
    <w:link w:val="BoxtextChar"/>
    <w:qFormat/>
    <w:rsid w:val="008F3372"/>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8F3372"/>
    <w:pPr>
      <w:numPr>
        <w:numId w:val="5"/>
      </w:numPr>
    </w:pPr>
  </w:style>
  <w:style w:type="paragraph" w:customStyle="1" w:styleId="UnnumberedHeading">
    <w:name w:val="Unnumbered Heading"/>
    <w:next w:val="BodyText"/>
    <w:link w:val="UnnumberedHeadingChar"/>
    <w:rsid w:val="008F3372"/>
    <w:pPr>
      <w:keepNext/>
      <w:spacing w:before="300" w:after="180" w:line="280" w:lineRule="exact"/>
      <w:ind w:left="2194" w:right="57"/>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8F3372"/>
    <w:rPr>
      <w:rFonts w:ascii="Arial" w:eastAsia="Times New Roman" w:hAnsi="Arial" w:cs="Times New Roman"/>
      <w:b/>
      <w:bCs w:val="0"/>
      <w:color w:val="22789A"/>
      <w:kern w:val="32"/>
      <w:sz w:val="32"/>
      <w:szCs w:val="20"/>
    </w:rPr>
  </w:style>
  <w:style w:type="paragraph" w:styleId="Title">
    <w:name w:val="Title"/>
    <w:basedOn w:val="ResearchPaper"/>
    <w:next w:val="Normal"/>
    <w:link w:val="TitleChar"/>
    <w:rsid w:val="008F3372"/>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8F3372"/>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8F3372"/>
    <w:pPr>
      <w:spacing w:before="240" w:line="270" w:lineRule="exact"/>
    </w:pPr>
    <w:rPr>
      <w:rFonts w:eastAsia="Times New Roman" w:cs="Arial"/>
      <w:b/>
      <w:caps/>
      <w:sz w:val="21"/>
      <w:szCs w:val="20"/>
    </w:rPr>
  </w:style>
  <w:style w:type="character" w:customStyle="1" w:styleId="ResearchPaperChar">
    <w:name w:val="Research Paper # Char"/>
    <w:link w:val="ResearchPaper"/>
    <w:rsid w:val="008F3372"/>
    <w:rPr>
      <w:rFonts w:eastAsia="Times New Roman" w:cs="Arial"/>
      <w:b/>
      <w:caps/>
      <w:color w:val="595A5B"/>
      <w:sz w:val="21"/>
      <w:szCs w:val="20"/>
    </w:rPr>
  </w:style>
  <w:style w:type="paragraph" w:customStyle="1" w:styleId="Author">
    <w:name w:val="Author"/>
    <w:basedOn w:val="Normal"/>
    <w:link w:val="AuthorChar"/>
    <w:rsid w:val="008F3372"/>
    <w:pPr>
      <w:spacing w:before="180" w:line="270" w:lineRule="exact"/>
      <w:ind w:left="0"/>
      <w:jc w:val="left"/>
    </w:pPr>
    <w:rPr>
      <w:rFonts w:eastAsia="Times New Roman" w:cs="Arial"/>
      <w:b/>
      <w:color w:val="22789A"/>
      <w:sz w:val="32"/>
      <w:szCs w:val="20"/>
    </w:rPr>
  </w:style>
  <w:style w:type="character" w:customStyle="1" w:styleId="AuthorChar">
    <w:name w:val="Author Char"/>
    <w:basedOn w:val="DefaultParagraphFont"/>
    <w:link w:val="Author"/>
    <w:rsid w:val="008F3372"/>
    <w:rPr>
      <w:rFonts w:ascii="Arial" w:eastAsia="Times New Roman" w:hAnsi="Arial" w:cs="Arial"/>
      <w:b/>
      <w:color w:val="22789A"/>
      <w:sz w:val="32"/>
      <w:szCs w:val="20"/>
    </w:rPr>
  </w:style>
  <w:style w:type="paragraph" w:customStyle="1" w:styleId="MonthYear">
    <w:name w:val="Month Year"/>
    <w:basedOn w:val="Normal"/>
    <w:link w:val="MonthYearChar"/>
    <w:qFormat/>
    <w:rsid w:val="008F3372"/>
    <w:pPr>
      <w:spacing w:before="720" w:line="270" w:lineRule="exact"/>
      <w:ind w:left="0"/>
      <w:jc w:val="left"/>
    </w:pPr>
    <w:rPr>
      <w:rFonts w:asciiTheme="minorHAnsi" w:eastAsia="Times New Roman" w:hAnsiTheme="minorHAnsi" w:cs="Arial"/>
      <w:b/>
      <w:color w:val="9ED9DF"/>
      <w:szCs w:val="20"/>
    </w:rPr>
  </w:style>
  <w:style w:type="character" w:customStyle="1" w:styleId="MonthYearChar">
    <w:name w:val="Month Year Char"/>
    <w:basedOn w:val="DefaultParagraphFont"/>
    <w:link w:val="MonthYear"/>
    <w:rsid w:val="008F3372"/>
    <w:rPr>
      <w:rFonts w:eastAsia="Times New Roman" w:cs="Arial"/>
      <w:b/>
      <w:color w:val="9ED9DF"/>
      <w:sz w:val="20"/>
      <w:szCs w:val="20"/>
    </w:rPr>
  </w:style>
  <w:style w:type="paragraph" w:customStyle="1" w:styleId="AbstractHeader">
    <w:name w:val="Abstract Header"/>
    <w:basedOn w:val="Normal"/>
    <w:link w:val="AbstractHeaderChar"/>
    <w:qFormat/>
    <w:rsid w:val="008F3372"/>
    <w:pPr>
      <w:spacing w:before="360" w:line="270" w:lineRule="exact"/>
      <w:ind w:left="0"/>
    </w:pPr>
    <w:rPr>
      <w:rFonts w:eastAsia="Times New Roman" w:cs="Arial"/>
      <w:color w:val="22789A"/>
      <w:sz w:val="32"/>
      <w:szCs w:val="20"/>
    </w:rPr>
  </w:style>
  <w:style w:type="character" w:customStyle="1" w:styleId="AbstractHeaderChar">
    <w:name w:val="Abstract Header Char"/>
    <w:basedOn w:val="DefaultParagraphFont"/>
    <w:link w:val="AbstractHeader"/>
    <w:rsid w:val="008F3372"/>
    <w:rPr>
      <w:rFonts w:ascii="Arial" w:eastAsia="Times New Roman" w:hAnsi="Arial" w:cs="Arial"/>
      <w:color w:val="22789A"/>
      <w:sz w:val="32"/>
      <w:szCs w:val="20"/>
    </w:rPr>
  </w:style>
  <w:style w:type="numbering" w:customStyle="1" w:styleId="EASDMultilevelList">
    <w:name w:val="EASD Multilevel List"/>
    <w:uiPriority w:val="99"/>
    <w:rsid w:val="008F3372"/>
    <w:pPr>
      <w:numPr>
        <w:numId w:val="6"/>
      </w:numPr>
    </w:pPr>
  </w:style>
  <w:style w:type="numbering" w:styleId="111111">
    <w:name w:val="Outline List 2"/>
    <w:basedOn w:val="NoList"/>
    <w:rsid w:val="008F3372"/>
    <w:pPr>
      <w:numPr>
        <w:numId w:val="1"/>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8F3372"/>
    <w:pPr>
      <w:spacing w:line="240" w:lineRule="auto"/>
    </w:pPr>
    <w:rPr>
      <w:color w:val="595A5B"/>
      <w:sz w:val="20"/>
    </w:rPr>
  </w:style>
  <w:style w:type="paragraph" w:customStyle="1" w:styleId="TitleHeading">
    <w:name w:val="Title Heading"/>
    <w:basedOn w:val="Heading2"/>
    <w:link w:val="TitleHeadingChar"/>
    <w:qFormat/>
    <w:rsid w:val="008F3372"/>
    <w:pPr>
      <w:numPr>
        <w:ilvl w:val="0"/>
        <w:numId w:val="0"/>
      </w:numPr>
      <w:spacing w:before="600" w:after="600" w:line="240" w:lineRule="auto"/>
      <w:ind w:right="57"/>
    </w:pPr>
    <w:rPr>
      <w:rFonts w:ascii="Arial" w:hAnsi="Arial" w:cs="Times New Roman"/>
      <w:b w:val="0"/>
      <w:bCs w:val="0"/>
      <w:iCs w:val="0"/>
      <w:color w:val="22789A"/>
      <w:sz w:val="72"/>
      <w:szCs w:val="20"/>
    </w:rPr>
  </w:style>
  <w:style w:type="character" w:customStyle="1" w:styleId="TitleHeadingChar">
    <w:name w:val="Title Heading Char"/>
    <w:basedOn w:val="Heading2Char"/>
    <w:link w:val="TitleHeading"/>
    <w:rsid w:val="008F3372"/>
    <w:rPr>
      <w:rFonts w:ascii="Arial" w:eastAsia="Times New Roman" w:hAnsi="Arial" w:cs="Times New Roman"/>
      <w:b w:val="0"/>
      <w:bCs w:val="0"/>
      <w:iCs w:val="0"/>
      <w:color w:val="22789A"/>
      <w:sz w:val="72"/>
      <w:szCs w:val="20"/>
    </w:rPr>
  </w:style>
  <w:style w:type="paragraph" w:customStyle="1" w:styleId="Keypointsbullet">
    <w:name w:val="Key points bullet"/>
    <w:basedOn w:val="ListParagraph"/>
    <w:link w:val="KeypointsbulletChar"/>
    <w:qFormat/>
    <w:rsid w:val="008F3372"/>
    <w:pPr>
      <w:numPr>
        <w:numId w:val="36"/>
      </w:numPr>
      <w:spacing w:after="180"/>
      <w:ind w:right="155"/>
    </w:pPr>
    <w:rPr>
      <w:rFonts w:eastAsia="Times New Roman" w:cs="Arial"/>
      <w:b/>
      <w:szCs w:val="20"/>
    </w:rPr>
  </w:style>
  <w:style w:type="character" w:customStyle="1" w:styleId="KeypointsbulletChar">
    <w:name w:val="Key points bullet Char"/>
    <w:basedOn w:val="ListParagraphChar"/>
    <w:link w:val="Keypointsbullet"/>
    <w:rsid w:val="008F3372"/>
    <w:rPr>
      <w:rFonts w:eastAsia="Times New Roman" w:cs="Arial"/>
      <w:b/>
      <w:color w:val="595A5B"/>
      <w:sz w:val="20"/>
      <w:szCs w:val="20"/>
      <w:lang w:val="en"/>
    </w:rPr>
  </w:style>
  <w:style w:type="paragraph" w:styleId="Header">
    <w:name w:val="header"/>
    <w:aliases w:val="HeaderPort"/>
    <w:basedOn w:val="Normal"/>
    <w:link w:val="HeaderChar"/>
    <w:unhideWhenUsed/>
    <w:rsid w:val="008F3372"/>
    <w:pPr>
      <w:tabs>
        <w:tab w:val="center" w:pos="4513"/>
        <w:tab w:val="right" w:pos="9026"/>
      </w:tabs>
      <w:spacing w:after="0" w:line="240" w:lineRule="auto"/>
    </w:pPr>
  </w:style>
  <w:style w:type="character" w:customStyle="1" w:styleId="HeaderChar">
    <w:name w:val="Header Char"/>
    <w:aliases w:val="HeaderPort Char"/>
    <w:basedOn w:val="DefaultParagraphFont"/>
    <w:link w:val="Header"/>
    <w:rsid w:val="008F3372"/>
    <w:rPr>
      <w:rFonts w:ascii="Arial" w:hAnsi="Arial"/>
      <w:color w:val="595A5B"/>
      <w:sz w:val="20"/>
    </w:rPr>
  </w:style>
  <w:style w:type="paragraph" w:customStyle="1" w:styleId="CoverAbstract">
    <w:name w:val="Cover Abstract"/>
    <w:basedOn w:val="Normal"/>
    <w:uiPriority w:val="10"/>
    <w:rsid w:val="008F3372"/>
    <w:pPr>
      <w:spacing w:line="270" w:lineRule="exact"/>
    </w:pPr>
    <w:rPr>
      <w:lang w:val="en"/>
    </w:rPr>
  </w:style>
  <w:style w:type="paragraph" w:customStyle="1" w:styleId="ReportCoverContact">
    <w:name w:val="Report Cover Contact"/>
    <w:basedOn w:val="Normal"/>
    <w:rsid w:val="008F3372"/>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8F3372"/>
    <w:pPr>
      <w:keepNext/>
      <w:pBdr>
        <w:top w:val="single" w:sz="4" w:space="1" w:color="595A5B"/>
      </w:pBdr>
      <w:spacing w:before="600" w:after="120" w:line="240" w:lineRule="atLeast"/>
      <w:ind w:left="0" w:right="57"/>
      <w:outlineLvl w:val="7"/>
    </w:pPr>
    <w:rPr>
      <w:rFonts w:eastAsia="Times New Roman" w:cs="Times New Roman"/>
      <w:color w:val="22789A"/>
      <w:sz w:val="16"/>
      <w:szCs w:val="20"/>
      <w:lang w:val="en"/>
    </w:rPr>
  </w:style>
  <w:style w:type="paragraph" w:styleId="TOC2">
    <w:name w:val="toc 2"/>
    <w:basedOn w:val="Normal"/>
    <w:next w:val="Normal"/>
    <w:autoRedefine/>
    <w:uiPriority w:val="39"/>
    <w:rsid w:val="008F3372"/>
    <w:pPr>
      <w:tabs>
        <w:tab w:val="right" w:pos="8931"/>
      </w:tabs>
      <w:spacing w:after="100"/>
      <w:ind w:left="1843" w:right="804" w:hanging="567"/>
    </w:pPr>
    <w:rPr>
      <w:noProof/>
    </w:rPr>
  </w:style>
  <w:style w:type="paragraph" w:styleId="TOC3">
    <w:name w:val="toc 3"/>
    <w:basedOn w:val="Normal"/>
    <w:next w:val="Normal"/>
    <w:autoRedefine/>
    <w:uiPriority w:val="39"/>
    <w:rsid w:val="008F3372"/>
    <w:pPr>
      <w:tabs>
        <w:tab w:val="right" w:pos="8931"/>
      </w:tabs>
      <w:spacing w:after="100"/>
      <w:ind w:left="1843" w:right="804"/>
    </w:pPr>
    <w:rPr>
      <w:noProof/>
    </w:rPr>
  </w:style>
  <w:style w:type="paragraph" w:styleId="TOC6">
    <w:name w:val="toc 6"/>
    <w:basedOn w:val="Normal"/>
    <w:next w:val="Normal"/>
    <w:autoRedefine/>
    <w:uiPriority w:val="39"/>
    <w:rsid w:val="008F3372"/>
    <w:pPr>
      <w:tabs>
        <w:tab w:val="right" w:pos="8931"/>
      </w:tabs>
      <w:spacing w:after="100"/>
      <w:ind w:left="2127" w:right="804" w:hanging="1418"/>
    </w:pPr>
    <w:rPr>
      <w:b/>
    </w:rPr>
  </w:style>
  <w:style w:type="paragraph" w:customStyle="1" w:styleId="Contents">
    <w:name w:val="Contents"/>
    <w:basedOn w:val="CoverNormal"/>
    <w:uiPriority w:val="19"/>
    <w:rsid w:val="008F3372"/>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Normal"/>
    <w:next w:val="Normal"/>
    <w:rsid w:val="008F3372"/>
    <w:pPr>
      <w:keepNext/>
      <w:pBdr>
        <w:top w:val="single" w:sz="4" w:space="1" w:color="595A5B"/>
      </w:pBdr>
      <w:spacing w:before="360" w:after="120" w:line="240" w:lineRule="atLeast"/>
      <w:ind w:right="57"/>
      <w:outlineLvl w:val="7"/>
    </w:pPr>
    <w:rPr>
      <w:rFonts w:eastAsia="Times New Roman" w:cs="Times New Roman"/>
      <w:color w:val="22789A"/>
      <w:sz w:val="16"/>
      <w:szCs w:val="20"/>
      <w:lang w:val="en"/>
    </w:rPr>
  </w:style>
  <w:style w:type="paragraph" w:customStyle="1" w:styleId="Keypointsheader">
    <w:name w:val="Key points header"/>
    <w:basedOn w:val="Normal"/>
    <w:link w:val="KeypointsheaderChar"/>
    <w:qFormat/>
    <w:rsid w:val="008F3372"/>
    <w:pPr>
      <w:keepNext/>
      <w:pageBreakBefore/>
      <w:spacing w:before="300" w:line="280" w:lineRule="atLeast"/>
      <w:ind w:left="34" w:right="57"/>
      <w:jc w:val="left"/>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8F3372"/>
    <w:rPr>
      <w:rFonts w:ascii="Arial" w:eastAsia="Times New Roman" w:hAnsi="Arial" w:cs="Times New Roman"/>
      <w:b/>
      <w:color w:val="22789A"/>
      <w:sz w:val="32"/>
      <w:szCs w:val="20"/>
    </w:rPr>
  </w:style>
  <w:style w:type="paragraph" w:customStyle="1" w:styleId="AbstractText">
    <w:name w:val="Abstract Text"/>
    <w:basedOn w:val="CoverNormal"/>
    <w:rsid w:val="008F3372"/>
    <w:pPr>
      <w:spacing w:before="60" w:after="60" w:line="260" w:lineRule="exact"/>
    </w:pPr>
  </w:style>
  <w:style w:type="paragraph" w:customStyle="1" w:styleId="JELCodeheader">
    <w:name w:val="JEL Code header"/>
    <w:link w:val="JELCodeheaderChar"/>
    <w:qFormat/>
    <w:rsid w:val="008F3372"/>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rsid w:val="008F3372"/>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qFormat/>
    <w:rsid w:val="008F3372"/>
    <w:pPr>
      <w:spacing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8F3372"/>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8F3372"/>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8F3372"/>
    <w:rPr>
      <w:rFonts w:ascii="Arial" w:eastAsia="Calibri" w:hAnsi="Arial" w:cs="Times New Roman"/>
      <w:color w:val="22789A"/>
      <w:sz w:val="20"/>
      <w:szCs w:val="20"/>
      <w:u w:val="single"/>
    </w:rPr>
  </w:style>
  <w:style w:type="paragraph" w:customStyle="1" w:styleId="DisclaimerHeading">
    <w:name w:val="Disclaimer Heading"/>
    <w:basedOn w:val="Heading8"/>
    <w:link w:val="DisclaimerHeadingChar"/>
    <w:qFormat/>
    <w:rsid w:val="008F3372"/>
    <w:pPr>
      <w:keepLines w:val="0"/>
      <w:numPr>
        <w:ilvl w:val="0"/>
        <w:numId w:val="0"/>
      </w:numPr>
      <w:pBdr>
        <w:top w:val="single" w:sz="4" w:space="1" w:color="595A5B"/>
      </w:pBdr>
      <w:spacing w:before="360" w:after="120" w:line="240" w:lineRule="atLeast"/>
      <w:ind w:left="2160" w:right="57"/>
    </w:pPr>
    <w:rPr>
      <w:rFonts w:ascii="Arial" w:eastAsia="Times New Roman" w:hAnsi="Arial" w:cs="Times New Roman"/>
      <w:sz w:val="16"/>
      <w:lang w:val="en"/>
    </w:rPr>
  </w:style>
  <w:style w:type="character" w:customStyle="1" w:styleId="DisclaimerHeadingChar">
    <w:name w:val="Disclaimer Heading Char"/>
    <w:basedOn w:val="DefaultParagraphFont"/>
    <w:link w:val="DisclaimerHeading"/>
    <w:rsid w:val="008F3372"/>
    <w:rPr>
      <w:rFonts w:ascii="Arial" w:eastAsia="Times New Roman" w:hAnsi="Arial" w:cs="Times New Roman"/>
      <w:color w:val="22789A"/>
      <w:sz w:val="16"/>
      <w:szCs w:val="20"/>
      <w:lang w:val="en"/>
    </w:rPr>
  </w:style>
  <w:style w:type="paragraph" w:styleId="Quote">
    <w:name w:val="Quote"/>
    <w:basedOn w:val="Normal"/>
    <w:next w:val="Normal"/>
    <w:link w:val="QuoteChar"/>
    <w:uiPriority w:val="29"/>
    <w:rsid w:val="008F3372"/>
    <w:pPr>
      <w:ind w:left="2552" w:right="521"/>
    </w:pPr>
    <w:rPr>
      <w:rFonts w:asciiTheme="minorHAnsi" w:hAnsiTheme="minorHAnsi"/>
      <w:iCs/>
      <w:color w:val="595A5B" w:themeColor="text1"/>
      <w:sz w:val="18"/>
    </w:rPr>
  </w:style>
  <w:style w:type="character" w:customStyle="1" w:styleId="QuoteChar">
    <w:name w:val="Quote Char"/>
    <w:basedOn w:val="DefaultParagraphFont"/>
    <w:link w:val="Quote"/>
    <w:uiPriority w:val="29"/>
    <w:rsid w:val="008F3372"/>
    <w:rPr>
      <w:iCs/>
      <w:color w:val="595A5B" w:themeColor="text1"/>
      <w:sz w:val="18"/>
    </w:rPr>
  </w:style>
  <w:style w:type="paragraph" w:customStyle="1" w:styleId="TableListBullet">
    <w:name w:val="Table List Bullet"/>
    <w:basedOn w:val="Tabletext"/>
    <w:rsid w:val="008F3372"/>
    <w:pPr>
      <w:numPr>
        <w:numId w:val="38"/>
      </w:numPr>
    </w:pPr>
    <w:rPr>
      <w:rFonts w:eastAsia="Times New Roman"/>
      <w:lang w:eastAsia="en-AU"/>
    </w:rPr>
  </w:style>
  <w:style w:type="numbering" w:customStyle="1" w:styleId="OCETableBullets">
    <w:name w:val="OCE Table Bullets"/>
    <w:uiPriority w:val="99"/>
    <w:rsid w:val="008F3372"/>
    <w:pPr>
      <w:numPr>
        <w:numId w:val="15"/>
      </w:numPr>
    </w:pPr>
  </w:style>
  <w:style w:type="character" w:styleId="FollowedHyperlink">
    <w:name w:val="FollowedHyperlink"/>
    <w:basedOn w:val="DefaultParagraphFont"/>
    <w:uiPriority w:val="99"/>
    <w:rsid w:val="00861ACA"/>
    <w:rPr>
      <w:color w:val="56B4E9" w:themeColor="followedHyperlink"/>
      <w:u w:val="single"/>
    </w:rPr>
  </w:style>
  <w:style w:type="paragraph" w:styleId="NormalWeb">
    <w:name w:val="Normal (Web)"/>
    <w:basedOn w:val="Normal"/>
    <w:uiPriority w:val="99"/>
    <w:unhideWhenUsed/>
    <w:rsid w:val="00861ACA"/>
    <w:pPr>
      <w:spacing w:before="100" w:beforeAutospacing="1" w:after="100" w:afterAutospacing="1" w:line="240" w:lineRule="auto"/>
      <w:ind w:left="0"/>
      <w:jc w:val="left"/>
    </w:pPr>
    <w:rPr>
      <w:rFonts w:ascii="Times New Roman" w:eastAsiaTheme="minorEastAsia" w:hAnsi="Times New Roman" w:cs="Times New Roman"/>
      <w:color w:val="auto"/>
      <w:sz w:val="24"/>
      <w:szCs w:val="24"/>
      <w:lang w:eastAsia="en-AU"/>
    </w:rPr>
  </w:style>
  <w:style w:type="paragraph" w:styleId="EndnoteText">
    <w:name w:val="endnote text"/>
    <w:basedOn w:val="Normal"/>
    <w:link w:val="EndnoteTextChar"/>
    <w:uiPriority w:val="19"/>
    <w:rsid w:val="00861ACA"/>
    <w:pPr>
      <w:spacing w:after="0" w:line="240" w:lineRule="auto"/>
    </w:pPr>
    <w:rPr>
      <w:szCs w:val="20"/>
    </w:rPr>
  </w:style>
  <w:style w:type="character" w:customStyle="1" w:styleId="EndnoteTextChar">
    <w:name w:val="Endnote Text Char"/>
    <w:basedOn w:val="DefaultParagraphFont"/>
    <w:link w:val="EndnoteText"/>
    <w:uiPriority w:val="19"/>
    <w:rsid w:val="00861ACA"/>
    <w:rPr>
      <w:rFonts w:ascii="Arial" w:hAnsi="Arial"/>
      <w:color w:val="595A5B"/>
      <w:sz w:val="20"/>
      <w:szCs w:val="20"/>
    </w:rPr>
  </w:style>
  <w:style w:type="character" w:styleId="EndnoteReference">
    <w:name w:val="endnote reference"/>
    <w:basedOn w:val="DefaultParagraphFont"/>
    <w:uiPriority w:val="19"/>
    <w:rsid w:val="00861ACA"/>
    <w:rPr>
      <w:vertAlign w:val="superscript"/>
    </w:rPr>
  </w:style>
  <w:style w:type="character" w:styleId="CommentReference">
    <w:name w:val="annotation reference"/>
    <w:basedOn w:val="DefaultParagraphFont"/>
    <w:semiHidden/>
    <w:unhideWhenUsed/>
    <w:rsid w:val="00861ACA"/>
    <w:rPr>
      <w:sz w:val="16"/>
      <w:szCs w:val="16"/>
    </w:rPr>
  </w:style>
  <w:style w:type="paragraph" w:styleId="CommentText">
    <w:name w:val="annotation text"/>
    <w:basedOn w:val="Normal"/>
    <w:link w:val="CommentTextChar"/>
    <w:unhideWhenUsed/>
    <w:rsid w:val="00861ACA"/>
    <w:pPr>
      <w:spacing w:line="240" w:lineRule="auto"/>
    </w:pPr>
    <w:rPr>
      <w:szCs w:val="20"/>
    </w:rPr>
  </w:style>
  <w:style w:type="character" w:customStyle="1" w:styleId="CommentTextChar">
    <w:name w:val="Comment Text Char"/>
    <w:basedOn w:val="DefaultParagraphFont"/>
    <w:link w:val="CommentText"/>
    <w:rsid w:val="00861ACA"/>
    <w:rPr>
      <w:rFonts w:ascii="Arial" w:hAnsi="Arial"/>
      <w:color w:val="595A5B"/>
      <w:sz w:val="20"/>
      <w:szCs w:val="20"/>
    </w:rPr>
  </w:style>
  <w:style w:type="paragraph" w:styleId="CommentSubject">
    <w:name w:val="annotation subject"/>
    <w:basedOn w:val="CommentText"/>
    <w:next w:val="CommentText"/>
    <w:link w:val="CommentSubjectChar"/>
    <w:semiHidden/>
    <w:unhideWhenUsed/>
    <w:rsid w:val="00861ACA"/>
    <w:rPr>
      <w:b/>
      <w:bCs/>
    </w:rPr>
  </w:style>
  <w:style w:type="character" w:customStyle="1" w:styleId="CommentSubjectChar">
    <w:name w:val="Comment Subject Char"/>
    <w:basedOn w:val="CommentTextChar"/>
    <w:link w:val="CommentSubject"/>
    <w:semiHidden/>
    <w:rsid w:val="00861ACA"/>
    <w:rPr>
      <w:rFonts w:ascii="Arial" w:hAnsi="Arial"/>
      <w:b/>
      <w:bCs/>
      <w:color w:val="595A5B"/>
      <w:sz w:val="20"/>
      <w:szCs w:val="20"/>
    </w:rPr>
  </w:style>
  <w:style w:type="paragraph" w:styleId="Revision">
    <w:name w:val="Revision"/>
    <w:hidden/>
    <w:uiPriority w:val="99"/>
    <w:semiHidden/>
    <w:rsid w:val="00861ACA"/>
    <w:pPr>
      <w:spacing w:after="0" w:line="240" w:lineRule="auto"/>
    </w:pPr>
    <w:rPr>
      <w:rFonts w:ascii="Arial" w:hAnsi="Arial"/>
      <w:color w:val="595A5B"/>
      <w:sz w:val="20"/>
    </w:rPr>
  </w:style>
  <w:style w:type="paragraph" w:customStyle="1" w:styleId="xl81">
    <w:name w:val="xl81"/>
    <w:basedOn w:val="Normal"/>
    <w:rsid w:val="00861ACA"/>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n-AU"/>
    </w:rPr>
  </w:style>
  <w:style w:type="paragraph" w:customStyle="1" w:styleId="xl82">
    <w:name w:val="xl82"/>
    <w:basedOn w:val="Normal"/>
    <w:rsid w:val="00861ACA"/>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n-AU"/>
    </w:rPr>
  </w:style>
  <w:style w:type="paragraph" w:customStyle="1" w:styleId="xl83">
    <w:name w:val="xl83"/>
    <w:basedOn w:val="Normal"/>
    <w:rsid w:val="00861ACA"/>
    <w:pPr>
      <w:spacing w:before="100" w:beforeAutospacing="1" w:after="100" w:afterAutospacing="1" w:line="240" w:lineRule="auto"/>
      <w:ind w:left="0" w:firstLineChars="100" w:firstLine="100"/>
      <w:jc w:val="left"/>
    </w:pPr>
    <w:rPr>
      <w:rFonts w:ascii="Times New Roman" w:eastAsia="Times New Roman" w:hAnsi="Times New Roman" w:cs="Times New Roman"/>
      <w:color w:val="auto"/>
      <w:sz w:val="24"/>
      <w:szCs w:val="24"/>
      <w:lang w:eastAsia="en-AU"/>
    </w:rPr>
  </w:style>
  <w:style w:type="paragraph" w:customStyle="1" w:styleId="xl85">
    <w:name w:val="xl85"/>
    <w:basedOn w:val="Normal"/>
    <w:rsid w:val="00861ACA"/>
    <w:pPr>
      <w:spacing w:before="100" w:beforeAutospacing="1" w:after="100" w:afterAutospacing="1" w:line="240" w:lineRule="auto"/>
      <w:ind w:left="0" w:firstLineChars="100" w:firstLine="100"/>
      <w:jc w:val="left"/>
    </w:pPr>
    <w:rPr>
      <w:rFonts w:ascii="Times New Roman" w:eastAsia="Times New Roman" w:hAnsi="Times New Roman" w:cs="Times New Roman"/>
      <w:color w:val="auto"/>
      <w:sz w:val="24"/>
      <w:szCs w:val="24"/>
      <w:lang w:eastAsia="en-AU"/>
    </w:rPr>
  </w:style>
  <w:style w:type="paragraph" w:styleId="DocumentMap">
    <w:name w:val="Document Map"/>
    <w:basedOn w:val="Normal"/>
    <w:link w:val="DocumentMapChar"/>
    <w:uiPriority w:val="19"/>
    <w:rsid w:val="00861AC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19"/>
    <w:rsid w:val="00861ACA"/>
    <w:rPr>
      <w:rFonts w:ascii="Tahoma" w:hAnsi="Tahoma" w:cs="Tahoma"/>
      <w:color w:val="595A5B"/>
      <w:sz w:val="16"/>
      <w:szCs w:val="16"/>
    </w:rPr>
  </w:style>
  <w:style w:type="character" w:customStyle="1" w:styleId="BoxtextChar">
    <w:name w:val="Box text Char"/>
    <w:basedOn w:val="DefaultParagraphFont"/>
    <w:link w:val="Boxtext"/>
    <w:rsid w:val="00861ACA"/>
    <w:rPr>
      <w:rFonts w:ascii="Arial" w:eastAsia="Times New Roman" w:hAnsi="Arial" w:cs="Arial"/>
      <w:color w:val="595A5B"/>
      <w:sz w:val="18"/>
      <w:szCs w:val="18"/>
      <w:lang w:val="en"/>
    </w:rPr>
  </w:style>
  <w:style w:type="paragraph" w:customStyle="1" w:styleId="Default">
    <w:name w:val="Default"/>
    <w:rsid w:val="00E232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6197270">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918637891">
      <w:bodyDiv w:val="1"/>
      <w:marLeft w:val="0"/>
      <w:marRight w:val="0"/>
      <w:marTop w:val="0"/>
      <w:marBottom w:val="0"/>
      <w:divBdr>
        <w:top w:val="none" w:sz="0" w:space="0" w:color="auto"/>
        <w:left w:val="none" w:sz="0" w:space="0" w:color="auto"/>
        <w:bottom w:val="none" w:sz="0" w:space="0" w:color="auto"/>
        <w:right w:val="none" w:sz="0" w:space="0" w:color="auto"/>
      </w:divBdr>
    </w:div>
    <w:div w:id="1324354353">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efeconomist@industry.gov.au" TargetMode="External"/><Relationship Id="rId18" Type="http://schemas.openxmlformats.org/officeDocument/2006/relationships/hyperlink" Target="http://www.industry.gov.au/Office-of-the-Chief-Economist/Publications/Pages/Australian-Innovation-System.aspx" TargetMode="External"/><Relationship Id="rId26" Type="http://schemas.openxmlformats.org/officeDocument/2006/relationships/hyperlink" Target="http://www.data.gov.au/" TargetMode="External"/><Relationship Id="rId39" Type="http://schemas.openxmlformats.org/officeDocument/2006/relationships/footer" Target="footer4.xml"/><Relationship Id="rId21" Type="http://schemas.openxmlformats.org/officeDocument/2006/relationships/footer" Target="footer1.xml"/><Relationship Id="rId34" Type="http://schemas.openxmlformats.org/officeDocument/2006/relationships/image" Target="media/image6.png"/><Relationship Id="rId42" Type="http://schemas.openxmlformats.org/officeDocument/2006/relationships/footer" Target="footer6.xml"/><Relationship Id="rId47" Type="http://schemas.openxmlformats.org/officeDocument/2006/relationships/image" Target="media/image10.tiff"/><Relationship Id="rId50" Type="http://schemas.openxmlformats.org/officeDocument/2006/relationships/hyperlink" Target="https://data.gov.au/dataset/intellectual-property-government-open-data" TargetMode="External"/><Relationship Id="rId55" Type="http://schemas.openxmlformats.org/officeDocument/2006/relationships/image" Target="media/image13.png"/><Relationship Id="rId63" Type="http://schemas.openxmlformats.org/officeDocument/2006/relationships/image" Target="media/image19.png"/><Relationship Id="rId68" Type="http://schemas.openxmlformats.org/officeDocument/2006/relationships/hyperlink" Target="https://data.gov.au/dataset/intellectual-property-government-open-data" TargetMode="External"/><Relationship Id="rId76" Type="http://schemas.openxmlformats.org/officeDocument/2006/relationships/footer" Target="footer9.xml"/><Relationship Id="rId84" Type="http://schemas.openxmlformats.org/officeDocument/2006/relationships/hyperlink" Target="http://www.forbes.com/sites/alanmcglade/2014/02/06/why-south-korea-will-be-the-next-global-hub-for-tech-startups/"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hyperlink" Target="https://data.gov.au/dataset/intellectual-property-government-open-data" TargetMode="Externa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yperlink" Target="http://www.abs.gov.au/AUSSTATS/abs@.nsf/DetailsPage/3235.02011" TargetMode="External"/><Relationship Id="rId53" Type="http://schemas.openxmlformats.org/officeDocument/2006/relationships/hyperlink" Target="http://www.geoda.com/" TargetMode="External"/><Relationship Id="rId58" Type="http://schemas.openxmlformats.org/officeDocument/2006/relationships/image" Target="media/image16.png"/><Relationship Id="rId66" Type="http://schemas.openxmlformats.org/officeDocument/2006/relationships/hyperlink" Target="https://data.gov.au/dataset/intellectual-property-government-open-data" TargetMode="External"/><Relationship Id="rId74" Type="http://schemas.openxmlformats.org/officeDocument/2006/relationships/footer" Target="footer8.xml"/><Relationship Id="rId79" Type="http://schemas.openxmlformats.org/officeDocument/2006/relationships/hyperlink" Target="http://www.awpa.gov.au/our-work/Workforce%20development/national-workforce-development-strategy/2013-workforce-development-strategy/Documents/2013%20Industry%20Snapshots/Q-Health-care-and-social-assistance.pdf" TargetMode="External"/><Relationship Id="rId87" Type="http://schemas.openxmlformats.org/officeDocument/2006/relationships/footer" Target="footer10.xml"/><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hyperlink" Target="http://www.isc.hbs.edu/competitiveness-economic-development/frameworks-and-key-concepts/Pages/clusters.aspx" TargetMode="External"/><Relationship Id="rId90" Type="http://schemas.openxmlformats.org/officeDocument/2006/relationships/theme" Target="theme/theme1.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dustry.gov.au/OCE"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yperlink" Target="http://www.abs.gov.au/AUSSTATS/abs@.nsf/DetailsPage/3235.02011" TargetMode="External"/><Relationship Id="rId43" Type="http://schemas.openxmlformats.org/officeDocument/2006/relationships/image" Target="media/image8.png"/><Relationship Id="rId48" Type="http://schemas.openxmlformats.org/officeDocument/2006/relationships/image" Target="media/image11.tiff"/><Relationship Id="rId56" Type="http://schemas.openxmlformats.org/officeDocument/2006/relationships/image" Target="media/image14.png"/><Relationship Id="rId64" Type="http://schemas.openxmlformats.org/officeDocument/2006/relationships/hyperlink" Target="http://www.abs.gov.au/AUSSTATS/abs@.nsf/DetailsPage/3235.02011" TargetMode="External"/><Relationship Id="rId69" Type="http://schemas.openxmlformats.org/officeDocument/2006/relationships/image" Target="media/image20.PNG"/><Relationship Id="rId77" Type="http://schemas.openxmlformats.org/officeDocument/2006/relationships/hyperlink" Target="http://www.abs.gov.au/ausstats/abs@.nsf/mf/1259.0.30.001" TargetMode="External"/><Relationship Id="rId8" Type="http://schemas.openxmlformats.org/officeDocument/2006/relationships/webSettings" Target="webSettings.xml"/><Relationship Id="rId51" Type="http://schemas.openxmlformats.org/officeDocument/2006/relationships/hyperlink" Target="https://data.gov.au/dataset/intellectual-property-government-open-data" TargetMode="External"/><Relationship Id="rId72" Type="http://schemas.openxmlformats.org/officeDocument/2006/relationships/header" Target="header9.xml"/><Relationship Id="rId80" Type="http://schemas.openxmlformats.org/officeDocument/2006/relationships/hyperlink" Target="http://www.awpa.gov.au/our-work/Workforce%20development/national-workforce-development-strategy/2013-workforce-development-strategy/Documents/2013%20Industry%20Snapshots/B-Mining.pdf" TargetMode="External"/><Relationship Id="rId85" Type="http://schemas.openxmlformats.org/officeDocument/2006/relationships/hyperlink" Target="http://apo.org.au/node/41800" TargetMode="External"/><Relationship Id="rId3" Type="http://schemas.openxmlformats.org/officeDocument/2006/relationships/customXml" Target="../customXml/item3.xml"/><Relationship Id="rId12" Type="http://schemas.openxmlformats.org/officeDocument/2006/relationships/hyperlink" Target="file://prod.protected.ind/group/OCE/Visual%20Analytics%20and%20Dissemination/2014-15%20Vis%20Analytics%20and%20Data%20Vis/Projects/AIS%20Report/2015/Geography%20of%20Innovative%20Paper/innovation.report@industry.gov.au" TargetMode="External"/><Relationship Id="rId17" Type="http://schemas.openxmlformats.org/officeDocument/2006/relationships/hyperlink" Target="http://creativecommons.org/licenses/by/3.0/au/legalcode" TargetMode="External"/><Relationship Id="rId25" Type="http://schemas.openxmlformats.org/officeDocument/2006/relationships/hyperlink" Target="http://www.industry.gov.au/innovationreport" TargetMode="External"/><Relationship Id="rId33" Type="http://schemas.openxmlformats.org/officeDocument/2006/relationships/hyperlink" Target="https://data.gov.au/dataset/intellectual-property-government-open-data" TargetMode="External"/><Relationship Id="rId38" Type="http://schemas.openxmlformats.org/officeDocument/2006/relationships/header" Target="header5.xml"/><Relationship Id="rId46" Type="http://schemas.openxmlformats.org/officeDocument/2006/relationships/hyperlink" Target="https://data.gov.au/dataset/intellectual-property-government-open-data" TargetMode="External"/><Relationship Id="rId59" Type="http://schemas.openxmlformats.org/officeDocument/2006/relationships/image" Target="media/image17.png"/><Relationship Id="rId67" Type="http://schemas.openxmlformats.org/officeDocument/2006/relationships/hyperlink" Target="https://data.gov.au/dataset/intellectual-property-government-open-data" TargetMode="External"/><Relationship Id="rId20" Type="http://schemas.openxmlformats.org/officeDocument/2006/relationships/header" Target="header2.xml"/><Relationship Id="rId41" Type="http://schemas.openxmlformats.org/officeDocument/2006/relationships/header" Target="header6.xml"/><Relationship Id="rId54" Type="http://schemas.openxmlformats.org/officeDocument/2006/relationships/hyperlink" Target="http://www.qgis.org/" TargetMode="External"/><Relationship Id="rId62" Type="http://schemas.openxmlformats.org/officeDocument/2006/relationships/hyperlink" Target="http://www.abs.gov.au/AUSSTATS/abs@.nsf/DetailsPage/3235.02011" TargetMode="External"/><Relationship Id="rId70" Type="http://schemas.openxmlformats.org/officeDocument/2006/relationships/image" Target="media/image21.PNG"/><Relationship Id="rId75" Type="http://schemas.openxmlformats.org/officeDocument/2006/relationships/header" Target="header10.xml"/><Relationship Id="rId83" Type="http://schemas.openxmlformats.org/officeDocument/2006/relationships/hyperlink" Target="http://www.us.oup.com/us/catalog/general/subject/Business/Management/StrategicManagement/?view=usa&amp;ci=9780199578030" TargetMode="External"/><Relationship Id="rId88"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hyperlink" Target="http://stat.abs.gov.au/" TargetMode="External"/><Relationship Id="rId36" Type="http://schemas.openxmlformats.org/officeDocument/2006/relationships/image" Target="media/image7.png"/><Relationship Id="rId49" Type="http://schemas.openxmlformats.org/officeDocument/2006/relationships/image" Target="media/image12.png"/><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data.gov.au/dataset/intellectual-property-government-open-data" TargetMode="External"/><Relationship Id="rId44" Type="http://schemas.openxmlformats.org/officeDocument/2006/relationships/image" Target="media/image9.png"/><Relationship Id="rId52" Type="http://schemas.openxmlformats.org/officeDocument/2006/relationships/hyperlink" Target="http://www.abs.gov.au/AUSSTATS/abs@.nsf/Lookup/1270.0.55.001Main+Features1July%202011" TargetMode="External"/><Relationship Id="rId60" Type="http://schemas.openxmlformats.org/officeDocument/2006/relationships/header" Target="header7.xml"/><Relationship Id="rId65" Type="http://schemas.openxmlformats.org/officeDocument/2006/relationships/hyperlink" Target="https://data.gov.au/dataset/intellectual-property-government-open-data" TargetMode="External"/><Relationship Id="rId73" Type="http://schemas.openxmlformats.org/officeDocument/2006/relationships/footer" Target="footer7.xml"/><Relationship Id="rId78" Type="http://schemas.openxmlformats.org/officeDocument/2006/relationships/hyperlink" Target="http://www.abs.gov.au/AUSSTATS/abs@.nsf/DetailsPage/1270.0.55.001July%202011" TargetMode="External"/><Relationship Id="rId81" Type="http://schemas.openxmlformats.org/officeDocument/2006/relationships/hyperlink" Target="http://www.bloomberg.com/graphics/2015-innovative-countries/" TargetMode="External"/><Relationship Id="rId86" Type="http://schemas.openxmlformats.org/officeDocument/2006/relationships/hyperlink" Target="http://www.oecd.org/sti/OECD-Innovation-Strategy-2015-CMIN2015-7.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ndustry.gov.au/innovation/reportsandstudies/Pages/Summary-of-selected-CRC-commercialisation-for-2005-06-to-2012-13.aspx" TargetMode="External"/><Relationship Id="rId2" Type="http://schemas.openxmlformats.org/officeDocument/2006/relationships/hyperlink" Target="http://siteresources.worldbank.org/INTFR/Resources/475459-1222364030476/FP_Ent08_RR_11Nov08.final.pdf" TargetMode="External"/><Relationship Id="rId1" Type="http://schemas.openxmlformats.org/officeDocument/2006/relationships/hyperlink" Target="http://www.theaustralian.com.au/business/the-deal-magazine/the-deal-startup-guide" TargetMode="External"/></Relationships>
</file>

<file path=word/theme/theme1.xml><?xml version="1.0" encoding="utf-8"?>
<a:theme xmlns:a="http://schemas.openxmlformats.org/drawingml/2006/main" name="Office Theme">
  <a:themeElements>
    <a:clrScheme name="OCE 1">
      <a:dk1>
        <a:srgbClr val="595A5B"/>
      </a:dk1>
      <a:lt1>
        <a:srgbClr val="FFFFFF"/>
      </a:lt1>
      <a:dk2>
        <a:srgbClr val="FFFFFF"/>
      </a:dk2>
      <a:lt2>
        <a:srgbClr val="292067"/>
      </a:lt2>
      <a:accent1>
        <a:srgbClr val="22789A"/>
      </a:accent1>
      <a:accent2>
        <a:srgbClr val="9ED9DF"/>
      </a:accent2>
      <a:accent3>
        <a:srgbClr val="BCBFC1"/>
      </a:accent3>
      <a:accent4>
        <a:srgbClr val="595A5B"/>
      </a:accent4>
      <a:accent5>
        <a:srgbClr val="C979A7"/>
      </a:accent5>
      <a:accent6>
        <a:srgbClr val="0072B2"/>
      </a:accent6>
      <a:hlink>
        <a:srgbClr val="22789A"/>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cludeInContentRollups xmlns="20901e0a-996c-4953-88e1-a22c17de23ca">false</IncludeInContentRollups>
    <CorePublishingDocumentCategory xmlns="c0b4bd0a-f6ac-422c-a0b2-ddc3a705a698" xsi:nil="true"/>
    <IPSCategory xmlns="20901e0a-996c-4953-88e1-a22c17de23ca" xsi:nil="true"/>
    <CorePublishingComments xmlns="20901e0a-996c-4953-88e1-a22c17de23ca" xsi:nil="true"/>
    <CorePublishingFileReference xmlns="20901e0a-996c-4953-88e1-a22c17de23ca" xsi:nil="true"/>
    <KeywordsLookupField xmlns="c0b4bd0a-f6ac-422c-a0b2-ddc3a705a698"/>
    <CorePublishingDocumentContact xmlns="20901e0a-996c-4953-88e1-a22c17de23ca">
      <UserInfo>
        <DisplayName/>
        <AccountId xsi:nil="true"/>
        <AccountType/>
      </UserInfo>
    </CorePublishingDocumentContact>
    <IncludeInRSSFeeds xmlns="20901e0a-996c-4953-88e1-a22c17de23ca">false</IncludeInRSSFeeds>
    <CorePublishingDocumentChangeDescription xmlns="20901e0a-996c-4953-88e1-a22c17de23ca" xsi:nil="true"/>
    <SubjectLookupField xmlns="c0b4bd0a-f6ac-422c-a0b2-ddc3a705a698"/>
    <PublishingExpirationDate xmlns="http://schemas.microsoft.com/sharepoint/v3" xsi:nil="true"/>
    <PublishingStartDate xmlns="http://schemas.microsoft.com/sharepoint/v3" xsi:nil="true"/>
    <IncludeInNotificationsAndUpdates xmlns="20901e0a-996c-4953-88e1-a22c17de23ca">true</IncludeInNotificationsAndUpdates>
    <DocumentRollupCategory xmlns="c0b4bd0a-f6ac-422c-a0b2-ddc3a705a698"/>
  </documentManagement>
</p:properties>
</file>

<file path=customXml/item2.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8D00C6EEA806BF439AAC8A6F5CA70088" ma:contentTypeVersion="78" ma:contentTypeDescription="Core Publishing Document, inherited from OOTB document." ma:contentTypeScope="" ma:versionID="7e413a98533245584fc2cca206ba67ea">
  <xsd:schema xmlns:xsd="http://www.w3.org/2001/XMLSchema" xmlns:xs="http://www.w3.org/2001/XMLSchema" xmlns:p="http://schemas.microsoft.com/office/2006/metadata/properties" xmlns:ns1="http://schemas.microsoft.com/sharepoint/v3" xmlns:ns2="20901e0a-996c-4953-88e1-a22c17de23ca" xmlns:ns3="c0b4bd0a-f6ac-422c-a0b2-ddc3a705a698" targetNamespace="http://schemas.microsoft.com/office/2006/metadata/properties" ma:root="true" ma:fieldsID="353ee9a50d2c33859dc0631cfb593ddc" ns1:_="" ns2:_="" ns3:_="">
    <xsd:import namespace="http://schemas.microsoft.com/sharepoint/v3"/>
    <xsd:import namespace="20901e0a-996c-4953-88e1-a22c17de23ca"/>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901e0a-996c-4953-88e1-a22c17de23ca"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SearchPeopleOnly="false" ma:SharePointGroup="0" ma:internalName="CorePublishingDocumentContac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xsd:simpleType>
        <xsd:restriction base="dms:Text">
          <xsd:maxLength value="255"/>
        </xsd:restriction>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CAE7D-DD62-4237-A625-D7974B0F8FC2}">
  <ds:schemaRefs>
    <ds:schemaRef ds:uri="http://schemas.microsoft.com/office/2006/documentManagement/types"/>
    <ds:schemaRef ds:uri="20901e0a-996c-4953-88e1-a22c17de23ca"/>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c0b4bd0a-f6ac-422c-a0b2-ddc3a705a698"/>
    <ds:schemaRef ds:uri="http://www.w3.org/XML/1998/namespace"/>
    <ds:schemaRef ds:uri="http://purl.org/dc/dcmitype/"/>
  </ds:schemaRefs>
</ds:datastoreItem>
</file>

<file path=customXml/itemProps2.xml><?xml version="1.0" encoding="utf-8"?>
<ds:datastoreItem xmlns:ds="http://schemas.openxmlformats.org/officeDocument/2006/customXml" ds:itemID="{C5B97301-F408-472F-936B-E7960D172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901e0a-996c-4953-88e1-a22c17de23ca"/>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9B4BD6-2401-4B1B-B0CA-63768559A665}">
  <ds:schemaRefs>
    <ds:schemaRef ds:uri="http://schemas.microsoft.com/sharepoint/v3/contenttype/forms"/>
  </ds:schemaRefs>
</ds:datastoreItem>
</file>

<file path=customXml/itemProps4.xml><?xml version="1.0" encoding="utf-8"?>
<ds:datastoreItem xmlns:ds="http://schemas.openxmlformats.org/officeDocument/2006/customXml" ds:itemID="{5898528E-D495-470D-807D-EC7EAAADB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15988</Words>
  <Characters>91137</Characters>
  <Application>Microsoft Office Word</Application>
  <DocSecurity>4</DocSecurity>
  <Lines>759</Lines>
  <Paragraphs>213</Paragraphs>
  <ScaleCrop>false</ScaleCrop>
  <HeadingPairs>
    <vt:vector size="2" baseType="variant">
      <vt:variant>
        <vt:lpstr>Title</vt:lpstr>
      </vt:variant>
      <vt:variant>
        <vt:i4>1</vt:i4>
      </vt:variant>
    </vt:vector>
  </HeadingPairs>
  <TitlesOfParts>
    <vt:vector size="1" baseType="lpstr">
      <vt:lpstr>Geography of Innovation Entrepreneurship</vt:lpstr>
    </vt:vector>
  </TitlesOfParts>
  <LinksUpToDate>false</LinksUpToDate>
  <CharactersWithSpaces>106912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of Innovation Entrepreneurship</dc:title>
  <dc:creator/>
  <cp:keywords>Geography, innovation, entrepreneurship</cp:keywords>
  <cp:lastModifiedBy/>
  <cp:revision>1</cp:revision>
  <dcterms:created xsi:type="dcterms:W3CDTF">2018-06-11T02:15:00Z</dcterms:created>
  <dcterms:modified xsi:type="dcterms:W3CDTF">2018-06-11T02:15:00Z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0x01010097F86F0C24D64525B252BB20BD9D45A7008D00C6EEA806BF439AAC8A6F5CA70088</vt:lpwstr>
  </property>
</Properties>
</file>