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538DF" w14:textId="77777777" w:rsidR="00E26F4D" w:rsidRDefault="000616D1" w:rsidP="00E26F4D">
      <w:pPr>
        <w:pStyle w:val="Heading1"/>
      </w:pPr>
      <w:bookmarkStart w:id="0" w:name="_Toc19289801"/>
      <w:bookmarkStart w:id="1" w:name="_Toc155176735"/>
      <w:bookmarkStart w:id="2" w:name="_Toc144911604"/>
      <w:r w:rsidRPr="00022543">
        <w:rPr>
          <w:noProof/>
        </w:rPr>
        <w:drawing>
          <wp:inline distT="0" distB="0" distL="0" distR="0" wp14:anchorId="588EB20B" wp14:editId="7551446F">
            <wp:extent cx="5127508" cy="648463"/>
            <wp:effectExtent l="0" t="0" r="0" b="0"/>
            <wp:docPr id="11985758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8575877" name="Picture 1198575877"/>
                    <pic:cNvPicPr/>
                  </pic:nvPicPr>
                  <pic:blipFill>
                    <a:blip r:embed="rId8" cstate="print">
                      <a:extLst>
                        <a:ext uri="{28A0092B-C50C-407E-A947-70E740481C1C}">
                          <a14:useLocalDpi xmlns:a14="http://schemas.microsoft.com/office/drawing/2010/main" val="0"/>
                        </a:ext>
                      </a:extLst>
                    </a:blip>
                    <a:stretch>
                      <a:fillRect/>
                    </a:stretch>
                  </pic:blipFill>
                  <pic:spPr>
                    <a:xfrm>
                      <a:off x="0" y="0"/>
                      <a:ext cx="5127508" cy="648463"/>
                    </a:xfrm>
                    <a:prstGeom prst="rect">
                      <a:avLst/>
                    </a:prstGeom>
                  </pic:spPr>
                </pic:pic>
              </a:graphicData>
            </a:graphic>
          </wp:inline>
        </w:drawing>
      </w:r>
    </w:p>
    <w:p w14:paraId="6714BEA7" w14:textId="77777777" w:rsidR="00C4411C" w:rsidRDefault="00C4411C">
      <w:pPr>
        <w:pStyle w:val="Heading2"/>
        <w:divId w:val="2107384619"/>
        <w:rPr>
          <w:color w:val="237AAB" w:themeColor="accent1"/>
          <w:sz w:val="72"/>
          <w:szCs w:val="32"/>
        </w:rPr>
      </w:pPr>
    </w:p>
    <w:p w14:paraId="1BE7F5EA" w14:textId="77777777" w:rsidR="00C4411C" w:rsidRDefault="00C4411C">
      <w:pPr>
        <w:pStyle w:val="Heading2"/>
        <w:divId w:val="2107384619"/>
        <w:rPr>
          <w:color w:val="237AAB" w:themeColor="accent1"/>
          <w:sz w:val="72"/>
          <w:szCs w:val="32"/>
        </w:rPr>
      </w:pPr>
    </w:p>
    <w:p w14:paraId="0818E622" w14:textId="77777777" w:rsidR="00C4411C" w:rsidRDefault="00C4411C">
      <w:pPr>
        <w:pStyle w:val="Heading2"/>
        <w:divId w:val="2107384619"/>
        <w:rPr>
          <w:color w:val="237AAB" w:themeColor="accent1"/>
          <w:sz w:val="72"/>
          <w:szCs w:val="32"/>
        </w:rPr>
      </w:pPr>
    </w:p>
    <w:p w14:paraId="70F55ADF" w14:textId="3E41685D" w:rsidR="00A06E90" w:rsidRDefault="00A06E90" w:rsidP="00C4411C">
      <w:pPr>
        <w:pStyle w:val="Heading2"/>
        <w:jc w:val="center"/>
        <w:divId w:val="2107384619"/>
        <w:rPr>
          <w:color w:val="237AAB" w:themeColor="accent1"/>
          <w:sz w:val="72"/>
          <w:szCs w:val="32"/>
        </w:rPr>
      </w:pPr>
      <w:r w:rsidRPr="00A06E90">
        <w:rPr>
          <w:color w:val="237AAB" w:themeColor="accent1"/>
          <w:sz w:val="72"/>
          <w:szCs w:val="32"/>
        </w:rPr>
        <w:t>International Trade Remedies Forum Minutes</w:t>
      </w:r>
    </w:p>
    <w:p w14:paraId="68E26DE6" w14:textId="77777777" w:rsidR="00A06E90" w:rsidRDefault="00A06E90" w:rsidP="00C4411C">
      <w:pPr>
        <w:spacing w:before="60" w:after="60"/>
        <w:ind w:right="84"/>
        <w:jc w:val="center"/>
        <w:divId w:val="662657883"/>
        <w:rPr>
          <w:rFonts w:eastAsia="Calibri" w:cstheme="minorHAnsi"/>
          <w:b/>
          <w:sz w:val="40"/>
          <w:szCs w:val="40"/>
          <w:highlight w:val="yellow"/>
        </w:rPr>
      </w:pPr>
    </w:p>
    <w:p w14:paraId="55ADBDF9" w14:textId="055FAC41" w:rsidR="00A06E90" w:rsidRPr="0090053C" w:rsidRDefault="00074CAE" w:rsidP="00C4411C">
      <w:pPr>
        <w:spacing w:before="60" w:after="60"/>
        <w:ind w:right="84"/>
        <w:jc w:val="center"/>
        <w:divId w:val="662657883"/>
        <w:rPr>
          <w:rFonts w:eastAsia="Calibri" w:cstheme="minorHAnsi"/>
          <w:b/>
          <w:sz w:val="40"/>
          <w:szCs w:val="40"/>
        </w:rPr>
      </w:pPr>
      <w:r>
        <w:rPr>
          <w:rFonts w:eastAsia="Calibri" w:cstheme="minorHAnsi"/>
          <w:b/>
          <w:sz w:val="40"/>
          <w:szCs w:val="40"/>
        </w:rPr>
        <w:t>Tuesday 29 September 2026</w:t>
      </w:r>
    </w:p>
    <w:p w14:paraId="6DD9A0A6" w14:textId="77777777" w:rsidR="00FC5E38" w:rsidRDefault="00FC5E38" w:rsidP="00FC5E38">
      <w:pPr>
        <w:divId w:val="1217740835"/>
      </w:pPr>
    </w:p>
    <w:p w14:paraId="4E187AF3" w14:textId="77777777" w:rsidR="00A06E90" w:rsidRDefault="00A06E90" w:rsidP="00FC5E38">
      <w:pPr>
        <w:divId w:val="1217740835"/>
      </w:pPr>
    </w:p>
    <w:p w14:paraId="3498373C" w14:textId="77777777" w:rsidR="00A06E90" w:rsidRDefault="00A06E90" w:rsidP="00FC5E38">
      <w:pPr>
        <w:divId w:val="1217740835"/>
      </w:pPr>
    </w:p>
    <w:p w14:paraId="662D9C99" w14:textId="77777777" w:rsidR="00A06E90" w:rsidRDefault="00A06E90" w:rsidP="00FC5E38">
      <w:pPr>
        <w:divId w:val="1217740835"/>
      </w:pPr>
    </w:p>
    <w:p w14:paraId="1522740D" w14:textId="77777777" w:rsidR="00A06E90" w:rsidRDefault="00A06E90" w:rsidP="00FC5E38">
      <w:pPr>
        <w:divId w:val="1217740835"/>
      </w:pPr>
    </w:p>
    <w:p w14:paraId="2F3D5DE4" w14:textId="77777777" w:rsidR="00A06E90" w:rsidRDefault="00A06E90" w:rsidP="00FC5E38">
      <w:pPr>
        <w:divId w:val="1217740835"/>
      </w:pPr>
    </w:p>
    <w:p w14:paraId="3C063DAD" w14:textId="77777777" w:rsidR="00A06E90" w:rsidRDefault="00A06E90" w:rsidP="00FC5E38">
      <w:pPr>
        <w:divId w:val="1217740835"/>
      </w:pPr>
    </w:p>
    <w:p w14:paraId="76AD1A55" w14:textId="77777777" w:rsidR="00A06E90" w:rsidRDefault="00A06E90" w:rsidP="00FC5E38">
      <w:pPr>
        <w:divId w:val="1217740835"/>
      </w:pPr>
    </w:p>
    <w:p w14:paraId="25C6C80D" w14:textId="77777777" w:rsidR="00A06E90" w:rsidRDefault="00A06E90" w:rsidP="00FC5E38">
      <w:pPr>
        <w:divId w:val="1217740835"/>
      </w:pPr>
    </w:p>
    <w:p w14:paraId="40219C8D" w14:textId="77777777" w:rsidR="00A06E90" w:rsidRDefault="00A06E90" w:rsidP="00FC5E38">
      <w:pPr>
        <w:divId w:val="1217740835"/>
      </w:pPr>
    </w:p>
    <w:p w14:paraId="602C8233" w14:textId="73724180" w:rsidR="00E26F4D" w:rsidRDefault="00A06E90" w:rsidP="00074CAE">
      <w:pPr>
        <w:pStyle w:val="Heading3"/>
        <w:divId w:val="1919243797"/>
        <w:rPr>
          <w:kern w:val="2"/>
          <w:lang w:eastAsia="en-AU"/>
          <w14:ligatures w14:val="standardContextual"/>
        </w:rPr>
      </w:pPr>
      <w:r w:rsidRPr="00A06E90">
        <w:lastRenderedPageBreak/>
        <w:t xml:space="preserve">Welcome and </w:t>
      </w:r>
      <w:r w:rsidR="00074CAE">
        <w:t>opening</w:t>
      </w:r>
    </w:p>
    <w:p w14:paraId="510DC104" w14:textId="63FB252C" w:rsidR="00074CAE" w:rsidRPr="0007664F" w:rsidRDefault="00074CAE" w:rsidP="00074CAE">
      <w:pPr>
        <w:divId w:val="1919243797"/>
        <w:rPr>
          <w:sz w:val="22"/>
        </w:rPr>
      </w:pPr>
      <w:r w:rsidRPr="0007664F">
        <w:rPr>
          <w:sz w:val="22"/>
        </w:rPr>
        <w:t>The Commissioner of the Australian Trade Remedies Commission opened the special meeting, made an Acknowledgement of Country, and thanked International Trade Remedies Forum (ITRF) members for attending at short notice.</w:t>
      </w:r>
    </w:p>
    <w:p w14:paraId="2973485A" w14:textId="2BEA5634" w:rsidR="00A44A4C" w:rsidRPr="0007664F" w:rsidRDefault="00A44A4C" w:rsidP="00A44A4C">
      <w:pPr>
        <w:divId w:val="1919243797"/>
        <w:rPr>
          <w:sz w:val="22"/>
        </w:rPr>
      </w:pPr>
      <w:r>
        <w:rPr>
          <w:sz w:val="22"/>
        </w:rPr>
        <w:t>The Commissioner said t</w:t>
      </w:r>
      <w:r w:rsidRPr="0007664F">
        <w:rPr>
          <w:sz w:val="22"/>
        </w:rPr>
        <w:t>he Anti-Dumping Commission ha</w:t>
      </w:r>
      <w:r>
        <w:rPr>
          <w:sz w:val="22"/>
        </w:rPr>
        <w:t>d</w:t>
      </w:r>
      <w:r w:rsidRPr="0007664F">
        <w:rPr>
          <w:sz w:val="22"/>
        </w:rPr>
        <w:t xml:space="preserve"> been renamed the Australian Trade Remedies Commission</w:t>
      </w:r>
      <w:r w:rsidR="009F4446">
        <w:rPr>
          <w:sz w:val="22"/>
        </w:rPr>
        <w:t xml:space="preserve"> (ATRC)</w:t>
      </w:r>
      <w:r w:rsidRPr="0007664F">
        <w:rPr>
          <w:sz w:val="22"/>
        </w:rPr>
        <w:t xml:space="preserve"> following the commencement of the Customs Amendment (Safeguard Inquiries) Act 2026. The </w:t>
      </w:r>
      <w:r w:rsidR="00C70E4C">
        <w:rPr>
          <w:sz w:val="22"/>
        </w:rPr>
        <w:t>ATRC</w:t>
      </w:r>
      <w:r w:rsidRPr="0007664F">
        <w:rPr>
          <w:sz w:val="22"/>
        </w:rPr>
        <w:t xml:space="preserve"> is responsible for Australia’s anti-dumping, countervailing and safeguard inquiry functions. Bringing these functions together within a single agency creates a more coherent trade remedies framework</w:t>
      </w:r>
      <w:r w:rsidR="007E1D7B">
        <w:rPr>
          <w:sz w:val="22"/>
        </w:rPr>
        <w:t>.</w:t>
      </w:r>
    </w:p>
    <w:p w14:paraId="44A09875" w14:textId="5F3EDBE7" w:rsidR="00074CAE" w:rsidRPr="0007664F" w:rsidRDefault="00074CAE" w:rsidP="00074CAE">
      <w:pPr>
        <w:divId w:val="1919243797"/>
        <w:rPr>
          <w:sz w:val="22"/>
        </w:rPr>
      </w:pPr>
      <w:r w:rsidRPr="0007664F">
        <w:rPr>
          <w:sz w:val="22"/>
        </w:rPr>
        <w:t>The Commissioner acknowledged the ITRF’s longstanding contribution to policy advocacy and trade remedies reform, including its support for bringing all trade remedies functions together in one body. The Commissioner encouraged members to continue contributing practical ideas and advocating for reform.</w:t>
      </w:r>
    </w:p>
    <w:p w14:paraId="5035E834" w14:textId="77777777" w:rsidR="00074CAE" w:rsidRPr="0007664F" w:rsidRDefault="00074CAE" w:rsidP="00074CAE">
      <w:pPr>
        <w:divId w:val="1919243797"/>
        <w:rPr>
          <w:sz w:val="22"/>
        </w:rPr>
      </w:pPr>
      <w:r w:rsidRPr="0007664F">
        <w:rPr>
          <w:sz w:val="22"/>
        </w:rPr>
        <w:t>The Commissioner encouraged members to help broaden awareness of the trade remedies system, particularly among small and medium enterprises, so businesses could understand how the system operates, remain informed about developments and cases, and be aware of opportunities to participate.</w:t>
      </w:r>
    </w:p>
    <w:p w14:paraId="3F19EF5A" w14:textId="6E08F356" w:rsidR="00074CAE" w:rsidRPr="0007664F" w:rsidRDefault="00074CAE" w:rsidP="00074CAE">
      <w:pPr>
        <w:divId w:val="1919243797"/>
        <w:rPr>
          <w:sz w:val="22"/>
        </w:rPr>
      </w:pPr>
      <w:r w:rsidRPr="0007664F">
        <w:rPr>
          <w:sz w:val="22"/>
        </w:rPr>
        <w:t xml:space="preserve">The Commissioner acknowledged the enactment of the Regulatory Reform Omnibus </w:t>
      </w:r>
      <w:r w:rsidR="00B038C5">
        <w:rPr>
          <w:sz w:val="22"/>
        </w:rPr>
        <w:t xml:space="preserve">Act </w:t>
      </w:r>
      <w:r w:rsidRPr="0007664F">
        <w:rPr>
          <w:sz w:val="22"/>
        </w:rPr>
        <w:t xml:space="preserve">2026, noting that it contained reforms to streamline the trade remedies system that ITRF members had proposed. </w:t>
      </w:r>
    </w:p>
    <w:p w14:paraId="61002F14" w14:textId="72C1BABF" w:rsidR="00074CAE" w:rsidRPr="0007664F" w:rsidRDefault="00074CAE" w:rsidP="00074CAE">
      <w:pPr>
        <w:divId w:val="1919243797"/>
        <w:rPr>
          <w:sz w:val="22"/>
        </w:rPr>
      </w:pPr>
      <w:r w:rsidRPr="0007664F">
        <w:rPr>
          <w:sz w:val="22"/>
        </w:rPr>
        <w:t>The</w:t>
      </w:r>
      <w:r w:rsidR="00B038C5" w:rsidRPr="00B038C5">
        <w:rPr>
          <w:sz w:val="22"/>
        </w:rPr>
        <w:t xml:space="preserve"> Head of </w:t>
      </w:r>
      <w:r w:rsidR="00813754">
        <w:rPr>
          <w:sz w:val="22"/>
        </w:rPr>
        <w:t>the</w:t>
      </w:r>
      <w:r w:rsidR="00B038C5" w:rsidRPr="00B038C5">
        <w:rPr>
          <w:sz w:val="22"/>
        </w:rPr>
        <w:t xml:space="preserve"> Heavy Industry and Local Manufacturing Division</w:t>
      </w:r>
      <w:r w:rsidR="001E278F">
        <w:rPr>
          <w:sz w:val="22"/>
        </w:rPr>
        <w:t xml:space="preserve"> in the</w:t>
      </w:r>
      <w:r w:rsidR="00B038C5" w:rsidRPr="00B038C5">
        <w:rPr>
          <w:sz w:val="22"/>
        </w:rPr>
        <w:t xml:space="preserve"> Department of Industry, Science and Resources, </w:t>
      </w:r>
      <w:r w:rsidRPr="0007664F">
        <w:rPr>
          <w:sz w:val="22"/>
        </w:rPr>
        <w:t xml:space="preserve">welcomed the reforms and described their achievement as a collective effort involving government commitment, the Minister, the ITRF, the Commission and departmental teams. </w:t>
      </w:r>
    </w:p>
    <w:p w14:paraId="1BBB9F01" w14:textId="11B4CD30" w:rsidR="0007664F" w:rsidRPr="0007664F" w:rsidRDefault="00074CAE" w:rsidP="00074CAE">
      <w:pPr>
        <w:divId w:val="1919243797"/>
        <w:rPr>
          <w:sz w:val="22"/>
        </w:rPr>
      </w:pPr>
      <w:r w:rsidRPr="0007664F">
        <w:rPr>
          <w:sz w:val="22"/>
        </w:rPr>
        <w:t>The Commissioner advised that building safeguards capability was a key priority. Recruitment</w:t>
      </w:r>
      <w:r w:rsidR="00147118">
        <w:rPr>
          <w:sz w:val="22"/>
        </w:rPr>
        <w:t xml:space="preserve"> would</w:t>
      </w:r>
      <w:r w:rsidRPr="0007664F">
        <w:rPr>
          <w:sz w:val="22"/>
        </w:rPr>
        <w:t xml:space="preserve"> commence shortly to expand the team at executive and operational levels and ensure the Commission could respond to safeguard matters and discharge its new legislative responsibilities.</w:t>
      </w:r>
    </w:p>
    <w:p w14:paraId="2830EA5A" w14:textId="43799CEC" w:rsidR="00074CAE" w:rsidRPr="0007664F" w:rsidRDefault="00074CAE" w:rsidP="00074CAE">
      <w:pPr>
        <w:divId w:val="1919243797"/>
        <w:rPr>
          <w:sz w:val="22"/>
        </w:rPr>
      </w:pPr>
      <w:r w:rsidRPr="0007664F">
        <w:rPr>
          <w:sz w:val="22"/>
        </w:rPr>
        <w:t xml:space="preserve">The Commissioner advised members that Isolde Lueckenhausen had accepted a new role and would leave the Commission on 23 October 2026. He thanked her for her contribution over five years, including her support to the Commissioner, </w:t>
      </w:r>
      <w:r w:rsidR="00F65564">
        <w:rPr>
          <w:sz w:val="22"/>
        </w:rPr>
        <w:t xml:space="preserve">the </w:t>
      </w:r>
      <w:r w:rsidRPr="0007664F">
        <w:rPr>
          <w:sz w:val="22"/>
        </w:rPr>
        <w:t xml:space="preserve">Commission and </w:t>
      </w:r>
      <w:r w:rsidR="00F65564">
        <w:rPr>
          <w:sz w:val="22"/>
        </w:rPr>
        <w:t>its</w:t>
      </w:r>
      <w:r w:rsidRPr="0007664F">
        <w:rPr>
          <w:sz w:val="22"/>
        </w:rPr>
        <w:t xml:space="preserve"> staff, and ITRF members.</w:t>
      </w:r>
    </w:p>
    <w:p w14:paraId="4C736FDB" w14:textId="1F769B4C" w:rsidR="00E26F4D" w:rsidRDefault="00074CAE" w:rsidP="00074CAE">
      <w:pPr>
        <w:pStyle w:val="Heading3"/>
        <w:divId w:val="2144351089"/>
        <w:rPr>
          <w:kern w:val="2"/>
          <w:lang w:eastAsia="en-AU"/>
          <w14:ligatures w14:val="standardContextual"/>
        </w:rPr>
      </w:pPr>
      <w:r>
        <w:t>Questions and member feedback</w:t>
      </w:r>
    </w:p>
    <w:p w14:paraId="26BA7CAE" w14:textId="77777777" w:rsidR="00074CAE" w:rsidRDefault="00074CAE" w:rsidP="00074CAE">
      <w:pPr>
        <w:pStyle w:val="Heading4"/>
        <w:divId w:val="2144351089"/>
      </w:pPr>
      <w:r>
        <w:t>Review mechanisms for safeguards</w:t>
      </w:r>
    </w:p>
    <w:p w14:paraId="43B7B8A4" w14:textId="17DDA984" w:rsidR="00074CAE" w:rsidRPr="0007664F" w:rsidRDefault="00074CAE" w:rsidP="00074CAE">
      <w:pPr>
        <w:divId w:val="2144351089"/>
        <w:rPr>
          <w:sz w:val="22"/>
        </w:rPr>
      </w:pPr>
      <w:r w:rsidRPr="0007664F">
        <w:rPr>
          <w:sz w:val="22"/>
        </w:rPr>
        <w:t>A member welcomed the reforms and asked what review mechanisms would apply to safeguards, noting that the anti-dumping system has the Anti-Dumping Review Panel.</w:t>
      </w:r>
    </w:p>
    <w:p w14:paraId="7A335573" w14:textId="7261B4A5" w:rsidR="00074CAE" w:rsidRPr="0007664F" w:rsidRDefault="1E8951BB" w:rsidP="13CFE8C4">
      <w:pPr>
        <w:divId w:val="2144351089"/>
        <w:rPr>
          <w:sz w:val="22"/>
        </w:rPr>
      </w:pPr>
      <w:r w:rsidRPr="13CFE8C4">
        <w:rPr>
          <w:sz w:val="22"/>
        </w:rPr>
        <w:t xml:space="preserve">DISR and Commission representatives advised that the safeguards legislation does not provide for merits review by the Anti-Dumping Review Panel. Judicial review may be available, as it is for Commonwealth decision-making more generally. </w:t>
      </w:r>
    </w:p>
    <w:p w14:paraId="1E620FDF" w14:textId="77777777" w:rsidR="00074CAE" w:rsidRDefault="00074CAE" w:rsidP="00074CAE">
      <w:pPr>
        <w:pStyle w:val="Heading4"/>
        <w:divId w:val="2144351089"/>
      </w:pPr>
      <w:r>
        <w:t>Resourcing of the safeguards function</w:t>
      </w:r>
    </w:p>
    <w:p w14:paraId="3307917D" w14:textId="546B1AF9" w:rsidR="00074CAE" w:rsidRPr="0007664F" w:rsidRDefault="00074CAE" w:rsidP="00074CAE">
      <w:pPr>
        <w:divId w:val="2144351089"/>
        <w:rPr>
          <w:sz w:val="22"/>
        </w:rPr>
      </w:pPr>
      <w:r w:rsidRPr="0007664F">
        <w:rPr>
          <w:sz w:val="22"/>
        </w:rPr>
        <w:t xml:space="preserve">A member asked whether additional funding would accompany the Commission’s expanded </w:t>
      </w:r>
      <w:r w:rsidR="00B038C5">
        <w:rPr>
          <w:sz w:val="22"/>
        </w:rPr>
        <w:t>responsibilities</w:t>
      </w:r>
      <w:r w:rsidRPr="0007664F">
        <w:rPr>
          <w:sz w:val="22"/>
        </w:rPr>
        <w:t>, including what this could mean for staffing</w:t>
      </w:r>
      <w:r w:rsidR="00B038C5">
        <w:rPr>
          <w:sz w:val="22"/>
        </w:rPr>
        <w:t>.</w:t>
      </w:r>
    </w:p>
    <w:p w14:paraId="44653A15" w14:textId="5E0286AB" w:rsidR="00074CAE" w:rsidRPr="0007664F" w:rsidRDefault="00074CAE" w:rsidP="00074CAE">
      <w:pPr>
        <w:divId w:val="2144351089"/>
        <w:rPr>
          <w:sz w:val="22"/>
        </w:rPr>
      </w:pPr>
      <w:r w:rsidRPr="0007664F">
        <w:rPr>
          <w:sz w:val="22"/>
        </w:rPr>
        <w:t xml:space="preserve">The Commissioner advised that funding decisions were matters for </w:t>
      </w:r>
      <w:r w:rsidR="00853253">
        <w:rPr>
          <w:sz w:val="22"/>
        </w:rPr>
        <w:t>G</w:t>
      </w:r>
      <w:r w:rsidRPr="0007664F">
        <w:rPr>
          <w:sz w:val="22"/>
        </w:rPr>
        <w:t>overnment and were being worked through by the department and the Commission. He noted the importance of appropriately resourcing safeguards without affecting anti-dumping investigations. The Commissioner confirmed that recruitment would proceed to establish the team needed to discharge the Commission’s safeguard responsibilities.</w:t>
      </w:r>
    </w:p>
    <w:p w14:paraId="7A721104" w14:textId="4C744BC8" w:rsidR="00074CAE" w:rsidRPr="0007664F" w:rsidRDefault="00074CAE" w:rsidP="00074CAE">
      <w:pPr>
        <w:divId w:val="2144351089"/>
        <w:rPr>
          <w:sz w:val="22"/>
        </w:rPr>
      </w:pPr>
      <w:r w:rsidRPr="0007664F">
        <w:rPr>
          <w:sz w:val="22"/>
        </w:rPr>
        <w:lastRenderedPageBreak/>
        <w:t>The H</w:t>
      </w:r>
      <w:r w:rsidR="00B038C5">
        <w:rPr>
          <w:sz w:val="22"/>
        </w:rPr>
        <w:t xml:space="preserve">ead of </w:t>
      </w:r>
      <w:r w:rsidR="0040259E">
        <w:rPr>
          <w:sz w:val="22"/>
        </w:rPr>
        <w:t>the</w:t>
      </w:r>
      <w:r w:rsidRPr="0007664F">
        <w:rPr>
          <w:sz w:val="22"/>
        </w:rPr>
        <w:t xml:space="preserve"> </w:t>
      </w:r>
      <w:r w:rsidR="00B038C5" w:rsidRPr="00B038C5">
        <w:rPr>
          <w:sz w:val="22"/>
        </w:rPr>
        <w:t>Heavy Industry and Local Manufacturing Division</w:t>
      </w:r>
      <w:r w:rsidR="001E278F">
        <w:rPr>
          <w:sz w:val="22"/>
        </w:rPr>
        <w:t xml:space="preserve"> </w:t>
      </w:r>
      <w:r w:rsidRPr="0007664F">
        <w:rPr>
          <w:sz w:val="22"/>
        </w:rPr>
        <w:t xml:space="preserve">referred to correspondence between the ITRF and the Minister about appropriate resourcing. She advised that </w:t>
      </w:r>
      <w:r w:rsidR="009C6763">
        <w:rPr>
          <w:sz w:val="22"/>
        </w:rPr>
        <w:t>f</w:t>
      </w:r>
      <w:r w:rsidRPr="0007664F">
        <w:rPr>
          <w:sz w:val="22"/>
        </w:rPr>
        <w:t>unding decisions are considered through government budget processes, which do not always align with the timing of legislation and Royal Assent, and staged consideration of resourcing was expected.</w:t>
      </w:r>
    </w:p>
    <w:p w14:paraId="77FE28B5" w14:textId="360D7B57" w:rsidR="00A06E90" w:rsidRPr="0007664F" w:rsidRDefault="00074CAE" w:rsidP="10247ED5">
      <w:pPr>
        <w:divId w:val="2144351089"/>
        <w:rPr>
          <w:sz w:val="22"/>
        </w:rPr>
      </w:pPr>
      <w:r w:rsidRPr="10247ED5">
        <w:rPr>
          <w:sz w:val="22"/>
        </w:rPr>
        <w:t xml:space="preserve">The Commissioner acknowledged that adequate funding was a key concern for industry and noted that the issue had also been raised in </w:t>
      </w:r>
      <w:r w:rsidR="5DA67178" w:rsidRPr="10247ED5">
        <w:rPr>
          <w:sz w:val="22"/>
        </w:rPr>
        <w:t xml:space="preserve">stakeholder </w:t>
      </w:r>
      <w:r w:rsidRPr="10247ED5">
        <w:rPr>
          <w:sz w:val="22"/>
        </w:rPr>
        <w:t>submissions to the Senate inquiry into the legislative reforms.</w:t>
      </w:r>
    </w:p>
    <w:p w14:paraId="5AEA4C17" w14:textId="480378DC" w:rsidR="00E26F4D" w:rsidRDefault="00074CAE" w:rsidP="00074CAE">
      <w:pPr>
        <w:pStyle w:val="Heading3"/>
        <w:divId w:val="2144351089"/>
      </w:pPr>
      <w:r>
        <w:t>Closing remarks</w:t>
      </w:r>
    </w:p>
    <w:p w14:paraId="3FF3D72C" w14:textId="77777777" w:rsidR="00074CAE" w:rsidRPr="0007664F" w:rsidRDefault="00074CAE" w:rsidP="00074CAE">
      <w:pPr>
        <w:divId w:val="2144351089"/>
        <w:rPr>
          <w:sz w:val="22"/>
        </w:rPr>
      </w:pPr>
      <w:r w:rsidRPr="0007664F">
        <w:rPr>
          <w:sz w:val="22"/>
        </w:rPr>
        <w:t>The Commissioner thanked members for attending at short notice and for their contribution to the reforms. He advised that members could continue to direct questions to the Commission and the department outside the meeting.</w:t>
      </w:r>
    </w:p>
    <w:p w14:paraId="48D2C8E3" w14:textId="58565EA0" w:rsidR="18435B40" w:rsidRDefault="761192F1" w:rsidP="60840CCE">
      <w:pPr>
        <w:rPr>
          <w:sz w:val="22"/>
        </w:rPr>
      </w:pPr>
      <w:r w:rsidRPr="74CC47A0">
        <w:rPr>
          <w:sz w:val="22"/>
        </w:rPr>
        <w:t xml:space="preserve">The Commissioner advised that the next ITRF meeting would be held in </w:t>
      </w:r>
      <w:r w:rsidR="68A6D580" w:rsidRPr="74CC47A0">
        <w:rPr>
          <w:sz w:val="22"/>
        </w:rPr>
        <w:t>Melbourne on 3 December 2026.</w:t>
      </w:r>
    </w:p>
    <w:p w14:paraId="6975E964" w14:textId="20320E48" w:rsidR="00E26F4D" w:rsidRDefault="0038706F" w:rsidP="00074CAE">
      <w:pPr>
        <w:pStyle w:val="Heading3"/>
        <w:divId w:val="1949777513"/>
        <w:rPr>
          <w:kern w:val="2"/>
          <w:lang w:eastAsia="en-AU"/>
          <w14:ligatures w14:val="standardContextual"/>
        </w:rPr>
      </w:pPr>
      <w:r w:rsidRPr="00074CAE">
        <w:br w:type="column"/>
      </w:r>
      <w:r w:rsidR="00E26F4D">
        <w:lastRenderedPageBreak/>
        <w:t xml:space="preserve">Attachment A: </w:t>
      </w:r>
      <w:r w:rsidR="00A06E90">
        <w:t>Attendees</w:t>
      </w:r>
    </w:p>
    <w:tbl>
      <w:tblPr>
        <w:tblStyle w:val="GridTable4-Accent1"/>
        <w:tblW w:w="4843" w:type="pct"/>
        <w:tblLook w:val="04A0" w:firstRow="1" w:lastRow="0" w:firstColumn="1" w:lastColumn="0" w:noHBand="0" w:noVBand="1"/>
      </w:tblPr>
      <w:tblGrid>
        <w:gridCol w:w="9601"/>
      </w:tblGrid>
      <w:tr w:rsidR="00A06E90" w:rsidRPr="00A06E90" w14:paraId="70DCD7E5" w14:textId="77777777" w:rsidTr="00A06E90">
        <w:trPr>
          <w:cnfStyle w:val="100000000000" w:firstRow="1" w:lastRow="0" w:firstColumn="0" w:lastColumn="0" w:oddVBand="0" w:evenVBand="0" w:oddHBand="0" w:evenHBand="0" w:firstRowFirstColumn="0" w:firstRowLastColumn="0" w:lastRowFirstColumn="0" w:lastRowLastColumn="0"/>
          <w:divId w:val="1949777513"/>
          <w:trHeight w:val="537"/>
          <w:tblHeader/>
        </w:trPr>
        <w:tc>
          <w:tcPr>
            <w:cnfStyle w:val="001000000000" w:firstRow="0" w:lastRow="0" w:firstColumn="1" w:lastColumn="0" w:oddVBand="0" w:evenVBand="0" w:oddHBand="0" w:evenHBand="0" w:firstRowFirstColumn="0" w:firstRowLastColumn="0" w:lastRowFirstColumn="0" w:lastRowLastColumn="0"/>
            <w:tcW w:w="8733" w:type="dxa"/>
            <w:hideMark/>
          </w:tcPr>
          <w:p w14:paraId="6B8795C4" w14:textId="2AF972DE" w:rsidR="00A06E90" w:rsidRPr="00A06E90" w:rsidRDefault="00B038C5" w:rsidP="0023347B">
            <w:pPr>
              <w:rPr>
                <w:rFonts w:cs="Times New Roman"/>
                <w:sz w:val="22"/>
              </w:rPr>
            </w:pPr>
            <w:r>
              <w:rPr>
                <w:sz w:val="22"/>
              </w:rPr>
              <w:t>Australian Trade Remedies Commission</w:t>
            </w:r>
          </w:p>
        </w:tc>
      </w:tr>
      <w:tr w:rsidR="00A06E90" w:rsidRPr="00A06E90" w14:paraId="52B29B9E" w14:textId="77777777" w:rsidTr="00A06E90">
        <w:trPr>
          <w:cnfStyle w:val="000000100000" w:firstRow="0" w:lastRow="0" w:firstColumn="0" w:lastColumn="0" w:oddVBand="0" w:evenVBand="0" w:oddHBand="1" w:evenHBand="0" w:firstRowFirstColumn="0" w:firstRowLastColumn="0" w:lastRowFirstColumn="0" w:lastRowLastColumn="0"/>
          <w:divId w:val="1949777513"/>
          <w:trHeight w:val="386"/>
        </w:trPr>
        <w:tc>
          <w:tcPr>
            <w:cnfStyle w:val="001000000000" w:firstRow="0" w:lastRow="0" w:firstColumn="1" w:lastColumn="0" w:oddVBand="0" w:evenVBand="0" w:oddHBand="0" w:evenHBand="0" w:firstRowFirstColumn="0" w:firstRowLastColumn="0" w:lastRowFirstColumn="0" w:lastRowLastColumn="0"/>
            <w:tcW w:w="8733" w:type="dxa"/>
            <w:hideMark/>
          </w:tcPr>
          <w:p w14:paraId="7391A7CD" w14:textId="2AD7F7C4" w:rsidR="00A06E90" w:rsidRPr="00A06E90" w:rsidRDefault="00074CAE" w:rsidP="0023347B">
            <w:pPr>
              <w:rPr>
                <w:b w:val="0"/>
                <w:bCs w:val="0"/>
                <w:sz w:val="22"/>
              </w:rPr>
            </w:pPr>
            <w:r>
              <w:rPr>
                <w:sz w:val="22"/>
              </w:rPr>
              <w:t>Virtual</w:t>
            </w:r>
          </w:p>
        </w:tc>
      </w:tr>
      <w:tr w:rsidR="00A06E90" w:rsidRPr="00A06E90" w14:paraId="0312E9A4" w14:textId="77777777" w:rsidTr="00074CAE">
        <w:trPr>
          <w:divId w:val="1949777513"/>
          <w:trHeight w:val="1173"/>
        </w:trPr>
        <w:tc>
          <w:tcPr>
            <w:cnfStyle w:val="001000000000" w:firstRow="0" w:lastRow="0" w:firstColumn="1" w:lastColumn="0" w:oddVBand="0" w:evenVBand="0" w:oddHBand="0" w:evenHBand="0" w:firstRowFirstColumn="0" w:firstRowLastColumn="0" w:lastRowFirstColumn="0" w:lastRowLastColumn="0"/>
            <w:tcW w:w="8733" w:type="dxa"/>
            <w:hideMark/>
          </w:tcPr>
          <w:p w14:paraId="6B51B588" w14:textId="77777777" w:rsidR="00A06E90" w:rsidRPr="00081B94" w:rsidRDefault="00A06E90" w:rsidP="00832CF8">
            <w:pPr>
              <w:pStyle w:val="ListParagraph"/>
              <w:numPr>
                <w:ilvl w:val="0"/>
                <w:numId w:val="17"/>
              </w:numPr>
              <w:spacing w:after="0" w:line="288" w:lineRule="auto"/>
              <w:ind w:left="442" w:hanging="357"/>
              <w:contextualSpacing/>
              <w:rPr>
                <w:b w:val="0"/>
                <w:bCs w:val="0"/>
                <w:sz w:val="22"/>
              </w:rPr>
            </w:pPr>
            <w:r w:rsidRPr="00081B94">
              <w:rPr>
                <w:b w:val="0"/>
                <w:bCs w:val="0"/>
                <w:sz w:val="22"/>
              </w:rPr>
              <w:t xml:space="preserve">David Latina, Commissioner </w:t>
            </w:r>
          </w:p>
          <w:p w14:paraId="08257272" w14:textId="77777777" w:rsidR="00A06E90" w:rsidRPr="00081B94" w:rsidRDefault="00A06E90" w:rsidP="00832CF8">
            <w:pPr>
              <w:pStyle w:val="ListParagraph"/>
              <w:numPr>
                <w:ilvl w:val="0"/>
                <w:numId w:val="17"/>
              </w:numPr>
              <w:spacing w:after="0" w:line="288" w:lineRule="auto"/>
              <w:ind w:left="442" w:hanging="357"/>
              <w:contextualSpacing/>
              <w:rPr>
                <w:b w:val="0"/>
                <w:bCs w:val="0"/>
                <w:sz w:val="22"/>
              </w:rPr>
            </w:pPr>
            <w:r w:rsidRPr="00081B94">
              <w:rPr>
                <w:b w:val="0"/>
                <w:bCs w:val="0"/>
                <w:sz w:val="22"/>
              </w:rPr>
              <w:t xml:space="preserve">Isolde Lueckenhausen, Deputy Commissioner, Investigations </w:t>
            </w:r>
          </w:p>
          <w:p w14:paraId="36DE730B" w14:textId="2C7D2096" w:rsidR="004010B4" w:rsidRPr="00081B94" w:rsidRDefault="004010B4" w:rsidP="00832CF8">
            <w:pPr>
              <w:pStyle w:val="ListParagraph"/>
              <w:numPr>
                <w:ilvl w:val="0"/>
                <w:numId w:val="17"/>
              </w:numPr>
              <w:spacing w:after="0" w:line="288" w:lineRule="auto"/>
              <w:ind w:left="442" w:hanging="357"/>
              <w:contextualSpacing/>
              <w:rPr>
                <w:b w:val="0"/>
                <w:bCs w:val="0"/>
                <w:sz w:val="22"/>
              </w:rPr>
            </w:pPr>
            <w:r w:rsidRPr="00081B94">
              <w:rPr>
                <w:b w:val="0"/>
                <w:bCs w:val="0"/>
                <w:sz w:val="22"/>
              </w:rPr>
              <w:t>Aggie Marek</w:t>
            </w:r>
            <w:r w:rsidR="00AC030F" w:rsidRPr="00081B94">
              <w:rPr>
                <w:b w:val="0"/>
                <w:bCs w:val="0"/>
                <w:sz w:val="22"/>
              </w:rPr>
              <w:t>, Deputy Commissioner, Strategy and Operations</w:t>
            </w:r>
          </w:p>
          <w:p w14:paraId="1FA42960" w14:textId="77777777" w:rsidR="00A06E90" w:rsidRPr="00081B94" w:rsidRDefault="00A06E90" w:rsidP="00832CF8">
            <w:pPr>
              <w:pStyle w:val="ListParagraph"/>
              <w:numPr>
                <w:ilvl w:val="0"/>
                <w:numId w:val="17"/>
              </w:numPr>
              <w:spacing w:after="0" w:line="288" w:lineRule="auto"/>
              <w:ind w:left="442" w:hanging="357"/>
              <w:contextualSpacing/>
              <w:rPr>
                <w:b w:val="0"/>
                <w:bCs w:val="0"/>
                <w:sz w:val="22"/>
              </w:rPr>
            </w:pPr>
            <w:r w:rsidRPr="00081B94">
              <w:rPr>
                <w:b w:val="0"/>
                <w:bCs w:val="0"/>
                <w:sz w:val="22"/>
              </w:rPr>
              <w:t xml:space="preserve">Katrina Gunn, Executive Director, Legal </w:t>
            </w:r>
          </w:p>
          <w:p w14:paraId="1D71264E" w14:textId="77777777" w:rsidR="00142037" w:rsidRPr="00081B94" w:rsidRDefault="004010B4" w:rsidP="00832CF8">
            <w:pPr>
              <w:pStyle w:val="ListParagraph"/>
              <w:numPr>
                <w:ilvl w:val="0"/>
                <w:numId w:val="17"/>
              </w:numPr>
              <w:spacing w:after="0" w:line="288" w:lineRule="auto"/>
              <w:ind w:left="442" w:hanging="357"/>
              <w:contextualSpacing/>
              <w:rPr>
                <w:b w:val="0"/>
                <w:bCs w:val="0"/>
                <w:sz w:val="22"/>
              </w:rPr>
            </w:pPr>
            <w:r w:rsidRPr="00081B94">
              <w:rPr>
                <w:b w:val="0"/>
                <w:bCs w:val="0"/>
                <w:sz w:val="22"/>
              </w:rPr>
              <w:t xml:space="preserve">Monika Lacey, </w:t>
            </w:r>
            <w:r w:rsidR="00AF1477" w:rsidRPr="00081B94">
              <w:rPr>
                <w:b w:val="0"/>
                <w:bCs w:val="0"/>
                <w:sz w:val="22"/>
              </w:rPr>
              <w:t>Executive Officer</w:t>
            </w:r>
          </w:p>
          <w:p w14:paraId="195D90F1" w14:textId="679A16FF" w:rsidR="004C1470" w:rsidRPr="00081B94" w:rsidRDefault="004C1470" w:rsidP="00832CF8">
            <w:pPr>
              <w:pStyle w:val="ListParagraph"/>
              <w:numPr>
                <w:ilvl w:val="0"/>
                <w:numId w:val="17"/>
              </w:numPr>
              <w:spacing w:after="0" w:line="288" w:lineRule="auto"/>
              <w:ind w:left="442" w:hanging="357"/>
              <w:contextualSpacing/>
              <w:rPr>
                <w:b w:val="0"/>
                <w:bCs w:val="0"/>
                <w:sz w:val="22"/>
              </w:rPr>
            </w:pPr>
            <w:r w:rsidRPr="00081B94">
              <w:rPr>
                <w:b w:val="0"/>
                <w:bCs w:val="0"/>
                <w:sz w:val="22"/>
              </w:rPr>
              <w:t>Justin Wickes</w:t>
            </w:r>
            <w:r w:rsidR="0074298E" w:rsidRPr="00081B94">
              <w:rPr>
                <w:b w:val="0"/>
                <w:bCs w:val="0"/>
                <w:sz w:val="22"/>
              </w:rPr>
              <w:t>, Director, Investigations</w:t>
            </w:r>
          </w:p>
          <w:p w14:paraId="678443A7" w14:textId="7C701580" w:rsidR="00A06E90" w:rsidRPr="00081B94" w:rsidRDefault="00A06E90" w:rsidP="00832CF8">
            <w:pPr>
              <w:pStyle w:val="ListParagraph"/>
              <w:numPr>
                <w:ilvl w:val="0"/>
                <w:numId w:val="17"/>
              </w:numPr>
              <w:spacing w:after="0" w:line="288" w:lineRule="auto"/>
              <w:ind w:left="442" w:hanging="357"/>
              <w:contextualSpacing/>
              <w:rPr>
                <w:sz w:val="22"/>
              </w:rPr>
            </w:pPr>
            <w:r w:rsidRPr="00081B94">
              <w:rPr>
                <w:b w:val="0"/>
                <w:bCs w:val="0"/>
                <w:sz w:val="22"/>
              </w:rPr>
              <w:t xml:space="preserve">Jason Fitts, Director, Engagement and Market Intelligence (ITRF Secretariat) </w:t>
            </w:r>
          </w:p>
        </w:tc>
      </w:tr>
    </w:tbl>
    <w:p w14:paraId="0799E65D" w14:textId="77777777" w:rsidR="00E26F4D" w:rsidRPr="00A06E90" w:rsidRDefault="00E26F4D" w:rsidP="0023347B">
      <w:pPr>
        <w:divId w:val="1949777513"/>
        <w:rPr>
          <w:rFonts w:ascii="Aptos" w:hAnsi="Aptos" w:cs="Times New Roman"/>
          <w:sz w:val="22"/>
        </w:rPr>
      </w:pPr>
    </w:p>
    <w:tbl>
      <w:tblPr>
        <w:tblStyle w:val="GridTable4-Accent1"/>
        <w:tblW w:w="4843" w:type="pct"/>
        <w:tblLook w:val="04A0" w:firstRow="1" w:lastRow="0" w:firstColumn="1" w:lastColumn="0" w:noHBand="0" w:noVBand="1"/>
      </w:tblPr>
      <w:tblGrid>
        <w:gridCol w:w="9601"/>
      </w:tblGrid>
      <w:tr w:rsidR="00A06E90" w:rsidRPr="00A06E90" w14:paraId="4D2BBE7D" w14:textId="77777777" w:rsidTr="0101D276">
        <w:trPr>
          <w:cnfStyle w:val="100000000000" w:firstRow="1" w:lastRow="0" w:firstColumn="0" w:lastColumn="0" w:oddVBand="0" w:evenVBand="0" w:oddHBand="0" w:evenHBand="0" w:firstRowFirstColumn="0" w:firstRowLastColumn="0" w:lastRowFirstColumn="0" w:lastRowLastColumn="0"/>
          <w:divId w:val="1949777513"/>
          <w:trHeight w:val="537"/>
          <w:tblHeader/>
        </w:trPr>
        <w:tc>
          <w:tcPr>
            <w:cnfStyle w:val="001000000000" w:firstRow="0" w:lastRow="0" w:firstColumn="1" w:lastColumn="0" w:oddVBand="0" w:evenVBand="0" w:oddHBand="0" w:evenHBand="0" w:firstRowFirstColumn="0" w:firstRowLastColumn="0" w:lastRowFirstColumn="0" w:lastRowLastColumn="0"/>
            <w:tcW w:w="8733" w:type="dxa"/>
            <w:hideMark/>
          </w:tcPr>
          <w:p w14:paraId="10BA1106" w14:textId="0B9748E2" w:rsidR="00A06E90" w:rsidRPr="00A06E90" w:rsidRDefault="00A06E90" w:rsidP="0023347B">
            <w:pPr>
              <w:rPr>
                <w:rFonts w:cs="Times New Roman"/>
                <w:sz w:val="22"/>
              </w:rPr>
            </w:pPr>
            <w:r w:rsidRPr="00A06E90">
              <w:rPr>
                <w:sz w:val="22"/>
              </w:rPr>
              <w:t>Industry members</w:t>
            </w:r>
          </w:p>
        </w:tc>
      </w:tr>
      <w:tr w:rsidR="00A06E90" w:rsidRPr="00A06E90" w14:paraId="22313C04" w14:textId="77777777" w:rsidTr="0101D276">
        <w:trPr>
          <w:cnfStyle w:val="000000100000" w:firstRow="0" w:lastRow="0" w:firstColumn="0" w:lastColumn="0" w:oddVBand="0" w:evenVBand="0" w:oddHBand="1" w:evenHBand="0" w:firstRowFirstColumn="0" w:firstRowLastColumn="0" w:lastRowFirstColumn="0" w:lastRowLastColumn="0"/>
          <w:divId w:val="1949777513"/>
          <w:trHeight w:val="386"/>
        </w:trPr>
        <w:tc>
          <w:tcPr>
            <w:cnfStyle w:val="001000000000" w:firstRow="0" w:lastRow="0" w:firstColumn="1" w:lastColumn="0" w:oddVBand="0" w:evenVBand="0" w:oddHBand="0" w:evenHBand="0" w:firstRowFirstColumn="0" w:firstRowLastColumn="0" w:lastRowFirstColumn="0" w:lastRowLastColumn="0"/>
            <w:tcW w:w="8733" w:type="dxa"/>
            <w:hideMark/>
          </w:tcPr>
          <w:p w14:paraId="5A55A1E9" w14:textId="77777777" w:rsidR="00A06E90" w:rsidRPr="00A06E90" w:rsidRDefault="00A06E90" w:rsidP="0023347B">
            <w:pPr>
              <w:rPr>
                <w:sz w:val="22"/>
              </w:rPr>
            </w:pPr>
            <w:r w:rsidRPr="00A06E90">
              <w:rPr>
                <w:sz w:val="22"/>
              </w:rPr>
              <w:t>Virtual</w:t>
            </w:r>
          </w:p>
        </w:tc>
      </w:tr>
      <w:tr w:rsidR="00A06E90" w:rsidRPr="00A06E90" w14:paraId="61495137" w14:textId="77777777" w:rsidTr="0101D276">
        <w:trPr>
          <w:divId w:val="1949777513"/>
          <w:trHeight w:val="327"/>
        </w:trPr>
        <w:tc>
          <w:tcPr>
            <w:cnfStyle w:val="001000000000" w:firstRow="0" w:lastRow="0" w:firstColumn="1" w:lastColumn="0" w:oddVBand="0" w:evenVBand="0" w:oddHBand="0" w:evenHBand="0" w:firstRowFirstColumn="0" w:firstRowLastColumn="0" w:lastRowFirstColumn="0" w:lastRowLastColumn="0"/>
            <w:tcW w:w="8733" w:type="dxa"/>
            <w:hideMark/>
          </w:tcPr>
          <w:p w14:paraId="06415F44" w14:textId="1756DBBF" w:rsidR="47FB1617" w:rsidRDefault="47FB1617" w:rsidP="52702748">
            <w:pPr>
              <w:pStyle w:val="ListParagraph"/>
              <w:spacing w:after="0" w:line="288" w:lineRule="auto"/>
              <w:ind w:left="442" w:hanging="357"/>
              <w:contextualSpacing/>
              <w:rPr>
                <w:b w:val="0"/>
                <w:bCs w:val="0"/>
                <w:sz w:val="22"/>
              </w:rPr>
            </w:pPr>
            <w:r w:rsidRPr="52702748">
              <w:rPr>
                <w:b w:val="0"/>
                <w:bCs w:val="0"/>
                <w:sz w:val="22"/>
              </w:rPr>
              <w:t>Sam Aspinall, Director</w:t>
            </w:r>
            <w:r w:rsidR="001E224C">
              <w:rPr>
                <w:b w:val="0"/>
                <w:bCs w:val="0"/>
                <w:sz w:val="22"/>
              </w:rPr>
              <w:t>,</w:t>
            </w:r>
            <w:r w:rsidRPr="52702748">
              <w:rPr>
                <w:b w:val="0"/>
                <w:bCs w:val="0"/>
                <w:sz w:val="22"/>
              </w:rPr>
              <w:t xml:space="preserve"> Global Trade, Rio Tinto</w:t>
            </w:r>
          </w:p>
          <w:p w14:paraId="4D4E980D" w14:textId="208C9864" w:rsidR="47FB1617" w:rsidRDefault="47FB1617" w:rsidP="6594D9BA">
            <w:pPr>
              <w:pStyle w:val="ListParagraph"/>
              <w:spacing w:after="0" w:line="288" w:lineRule="auto"/>
              <w:ind w:left="442" w:hanging="357"/>
              <w:contextualSpacing/>
              <w:rPr>
                <w:b w:val="0"/>
                <w:bCs w:val="0"/>
                <w:sz w:val="22"/>
              </w:rPr>
            </w:pPr>
            <w:r w:rsidRPr="6594D9BA">
              <w:rPr>
                <w:b w:val="0"/>
                <w:bCs w:val="0"/>
                <w:sz w:val="22"/>
              </w:rPr>
              <w:t>David Buchanan, Chief Executive Officer, Australian Steel Association </w:t>
            </w:r>
          </w:p>
          <w:p w14:paraId="4A6416D2" w14:textId="4A869A40" w:rsidR="47FB1617" w:rsidRDefault="47FB1617" w:rsidP="236423DC">
            <w:pPr>
              <w:pStyle w:val="ListParagraph"/>
              <w:spacing w:after="0" w:line="288" w:lineRule="auto"/>
              <w:ind w:left="442" w:hanging="357"/>
              <w:contextualSpacing/>
              <w:rPr>
                <w:b w:val="0"/>
                <w:bCs w:val="0"/>
                <w:sz w:val="22"/>
              </w:rPr>
            </w:pPr>
            <w:r w:rsidRPr="236423DC">
              <w:rPr>
                <w:b w:val="0"/>
                <w:bCs w:val="0"/>
                <w:sz w:val="22"/>
              </w:rPr>
              <w:t>Mar</w:t>
            </w:r>
            <w:r w:rsidR="001B6FBF">
              <w:rPr>
                <w:b w:val="0"/>
                <w:bCs w:val="0"/>
                <w:sz w:val="22"/>
              </w:rPr>
              <w:t>k</w:t>
            </w:r>
            <w:r w:rsidRPr="236423DC">
              <w:rPr>
                <w:b w:val="0"/>
                <w:bCs w:val="0"/>
                <w:sz w:val="22"/>
              </w:rPr>
              <w:t xml:space="preserve"> Cain, Chief Executive, Australian Steel Institute</w:t>
            </w:r>
          </w:p>
          <w:p w14:paraId="199309C7" w14:textId="06E28807" w:rsidR="47FB1617" w:rsidRDefault="47FB1617" w:rsidP="739F787A">
            <w:pPr>
              <w:pStyle w:val="ListParagraph"/>
              <w:spacing w:after="0" w:line="288" w:lineRule="auto"/>
              <w:ind w:left="442" w:hanging="357"/>
              <w:contextualSpacing/>
              <w:rPr>
                <w:b w:val="0"/>
                <w:bCs w:val="0"/>
                <w:sz w:val="22"/>
              </w:rPr>
            </w:pPr>
            <w:r w:rsidRPr="739F787A">
              <w:rPr>
                <w:b w:val="0"/>
                <w:bCs w:val="0"/>
                <w:sz w:val="22"/>
              </w:rPr>
              <w:t>Mel Cheesman, Head of Government and Regulation, Orica  </w:t>
            </w:r>
          </w:p>
          <w:p w14:paraId="7EC85B0F" w14:textId="65AA486F" w:rsidR="47FB1617" w:rsidRDefault="47FB1617" w:rsidP="50D9067C">
            <w:pPr>
              <w:pStyle w:val="ListParagraph"/>
              <w:spacing w:after="0" w:line="288" w:lineRule="auto"/>
              <w:ind w:left="442" w:hanging="357"/>
              <w:contextualSpacing/>
              <w:rPr>
                <w:b w:val="0"/>
                <w:bCs w:val="0"/>
                <w:sz w:val="22"/>
              </w:rPr>
            </w:pPr>
            <w:r w:rsidRPr="50D9067C">
              <w:rPr>
                <w:b w:val="0"/>
                <w:bCs w:val="0"/>
                <w:sz w:val="22"/>
              </w:rPr>
              <w:t xml:space="preserve">Matt Condon, Trade and Government Affairs Manager, </w:t>
            </w:r>
            <w:proofErr w:type="spellStart"/>
            <w:r w:rsidRPr="50D9067C">
              <w:rPr>
                <w:b w:val="0"/>
                <w:bCs w:val="0"/>
                <w:sz w:val="22"/>
              </w:rPr>
              <w:t>InfraBuild</w:t>
            </w:r>
            <w:proofErr w:type="spellEnd"/>
          </w:p>
          <w:p w14:paraId="38960B5F" w14:textId="7A38E6E1" w:rsidR="47FB1617" w:rsidRDefault="47FB1617" w:rsidP="487A27A9">
            <w:pPr>
              <w:pStyle w:val="ListParagraph"/>
              <w:spacing w:after="0" w:line="288" w:lineRule="auto"/>
              <w:ind w:left="442" w:hanging="357"/>
              <w:contextualSpacing/>
              <w:rPr>
                <w:b w:val="0"/>
                <w:bCs w:val="0"/>
                <w:sz w:val="22"/>
              </w:rPr>
            </w:pPr>
            <w:r w:rsidRPr="487A27A9">
              <w:rPr>
                <w:b w:val="0"/>
                <w:bCs w:val="0"/>
                <w:sz w:val="22"/>
              </w:rPr>
              <w:t>Marc Cousins, Manager</w:t>
            </w:r>
            <w:r w:rsidR="001E224C">
              <w:rPr>
                <w:b w:val="0"/>
                <w:bCs w:val="0"/>
                <w:sz w:val="22"/>
              </w:rPr>
              <w:t>,</w:t>
            </w:r>
            <w:r w:rsidRPr="487A27A9">
              <w:rPr>
                <w:b w:val="0"/>
                <w:bCs w:val="0"/>
                <w:sz w:val="22"/>
              </w:rPr>
              <w:t xml:space="preserve"> International Trade Affairs, BlueScope </w:t>
            </w:r>
          </w:p>
          <w:p w14:paraId="381910EB" w14:textId="13D9DE1E" w:rsidR="52702748" w:rsidRDefault="47FB1617" w:rsidP="52702748">
            <w:pPr>
              <w:pStyle w:val="ListParagraph"/>
              <w:spacing w:after="0" w:line="288" w:lineRule="auto"/>
              <w:ind w:left="442" w:hanging="357"/>
              <w:contextualSpacing/>
              <w:rPr>
                <w:b w:val="0"/>
                <w:bCs w:val="0"/>
                <w:sz w:val="22"/>
              </w:rPr>
            </w:pPr>
            <w:r w:rsidRPr="739F787A">
              <w:rPr>
                <w:b w:val="0"/>
                <w:bCs w:val="0"/>
                <w:sz w:val="22"/>
              </w:rPr>
              <w:t>Sean Howe, Deputy Director, Legal and Industrial, United Workers Union</w:t>
            </w:r>
          </w:p>
          <w:p w14:paraId="69FDA0DC" w14:textId="5042DBFE" w:rsidR="00211401" w:rsidRPr="00F40C30" w:rsidRDefault="47FB1617" w:rsidP="0E880D7C">
            <w:pPr>
              <w:pStyle w:val="ListParagraph"/>
              <w:spacing w:after="0" w:line="288" w:lineRule="auto"/>
              <w:ind w:left="442" w:hanging="357"/>
              <w:contextualSpacing/>
              <w:rPr>
                <w:b w:val="0"/>
                <w:bCs w:val="0"/>
                <w:sz w:val="22"/>
              </w:rPr>
            </w:pPr>
            <w:r w:rsidRPr="0E880D7C">
              <w:rPr>
                <w:b w:val="0"/>
                <w:bCs w:val="0"/>
                <w:sz w:val="22"/>
              </w:rPr>
              <w:t>Andrew Hudson, Partner, Rigby Cooke Lawyers (representing the Food and Beverage Importers Association)</w:t>
            </w:r>
          </w:p>
          <w:p w14:paraId="6CDFF5E5" w14:textId="6583CBEE" w:rsidR="00211401" w:rsidRPr="00F40C30" w:rsidRDefault="47FB1617" w:rsidP="4F12CC14">
            <w:pPr>
              <w:pStyle w:val="ListParagraph"/>
              <w:spacing w:after="0" w:line="288" w:lineRule="auto"/>
              <w:ind w:left="442" w:hanging="357"/>
              <w:contextualSpacing/>
              <w:rPr>
                <w:b w:val="0"/>
                <w:bCs w:val="0"/>
                <w:sz w:val="22"/>
              </w:rPr>
            </w:pPr>
            <w:r w:rsidRPr="4F12CC14">
              <w:rPr>
                <w:b w:val="0"/>
                <w:bCs w:val="0"/>
                <w:sz w:val="22"/>
              </w:rPr>
              <w:t>Richard Hyett, Acting CEO, Australian Forest Products Association</w:t>
            </w:r>
          </w:p>
          <w:p w14:paraId="5B83429E" w14:textId="0C9BD67E" w:rsidR="47FB1617" w:rsidRDefault="47FB1617" w:rsidP="05CFAF24">
            <w:pPr>
              <w:pStyle w:val="ListParagraph"/>
              <w:spacing w:after="0" w:line="288" w:lineRule="auto"/>
              <w:ind w:left="442" w:hanging="357"/>
              <w:contextualSpacing/>
              <w:rPr>
                <w:b w:val="0"/>
                <w:bCs w:val="0"/>
                <w:sz w:val="22"/>
              </w:rPr>
            </w:pPr>
            <w:r w:rsidRPr="05CFAF24">
              <w:rPr>
                <w:b w:val="0"/>
                <w:bCs w:val="0"/>
                <w:sz w:val="22"/>
              </w:rPr>
              <w:t>Jaqueline Lau, Senior Adviser, Trade and International Affairs, Australian Chamber of Commerce and Industry</w:t>
            </w:r>
          </w:p>
          <w:p w14:paraId="20C3CC0E" w14:textId="4B596B2C" w:rsidR="05CFAF24" w:rsidRDefault="47FB1617" w:rsidP="05CFAF24">
            <w:pPr>
              <w:pStyle w:val="ListParagraph"/>
              <w:spacing w:after="0" w:line="288" w:lineRule="auto"/>
              <w:ind w:left="442" w:hanging="357"/>
              <w:contextualSpacing/>
              <w:rPr>
                <w:b w:val="0"/>
                <w:bCs w:val="0"/>
                <w:sz w:val="22"/>
              </w:rPr>
            </w:pPr>
            <w:r w:rsidRPr="45C0A798">
              <w:rPr>
                <w:b w:val="0"/>
                <w:bCs w:val="0"/>
                <w:sz w:val="22"/>
              </w:rPr>
              <w:t>Brad Leonard, Manager, Border and Biosecurity, International Forwarders and Customs Brokers Association of Australia</w:t>
            </w:r>
          </w:p>
          <w:p w14:paraId="7094B47E" w14:textId="161CC6BB" w:rsidR="00211401" w:rsidRPr="00F40C30" w:rsidRDefault="00211401" w:rsidP="00211401">
            <w:pPr>
              <w:pStyle w:val="ListParagraph"/>
              <w:spacing w:after="0" w:line="288" w:lineRule="auto"/>
              <w:ind w:left="442" w:hanging="357"/>
              <w:contextualSpacing/>
              <w:rPr>
                <w:b w:val="0"/>
                <w:bCs w:val="0"/>
                <w:sz w:val="22"/>
              </w:rPr>
            </w:pPr>
            <w:r w:rsidRPr="00F40C30">
              <w:rPr>
                <w:b w:val="0"/>
                <w:bCs w:val="0"/>
                <w:sz w:val="22"/>
              </w:rPr>
              <w:t>Aleks Mitreski, Senior Advisor, Industry Development and Policy, Australian Industry Group</w:t>
            </w:r>
          </w:p>
          <w:p w14:paraId="7EFB7F60" w14:textId="5AF88023" w:rsidR="627B353D" w:rsidRPr="00F40C30" w:rsidRDefault="2E425864" w:rsidP="1DD15CB5">
            <w:pPr>
              <w:pStyle w:val="ListParagraph"/>
              <w:spacing w:after="0" w:line="288" w:lineRule="auto"/>
              <w:ind w:left="442" w:hanging="357"/>
              <w:contextualSpacing/>
              <w:rPr>
                <w:b w:val="0"/>
                <w:bCs w:val="0"/>
                <w:sz w:val="22"/>
              </w:rPr>
            </w:pPr>
            <w:r w:rsidRPr="1DD15CB5">
              <w:rPr>
                <w:b w:val="0"/>
                <w:bCs w:val="0"/>
                <w:sz w:val="22"/>
              </w:rPr>
              <w:t>Thomas Mortimer, National Policy Director, Australian Workers’ Union </w:t>
            </w:r>
          </w:p>
          <w:p w14:paraId="63B9DE5F" w14:textId="6910A258" w:rsidR="627B353D" w:rsidRPr="00F40C30" w:rsidRDefault="2E425864" w:rsidP="0ECFF16B">
            <w:pPr>
              <w:pStyle w:val="ListParagraph"/>
              <w:spacing w:after="0" w:line="288" w:lineRule="auto"/>
              <w:ind w:left="442" w:hanging="357"/>
              <w:contextualSpacing/>
              <w:rPr>
                <w:b w:val="0"/>
                <w:bCs w:val="0"/>
                <w:sz w:val="22"/>
              </w:rPr>
            </w:pPr>
            <w:r w:rsidRPr="5F392BA9">
              <w:rPr>
                <w:b w:val="0"/>
                <w:bCs w:val="0"/>
                <w:sz w:val="22"/>
              </w:rPr>
              <w:t>Steven Murphy, National Secretary, Australian Manufacturing Workers Union</w:t>
            </w:r>
          </w:p>
          <w:p w14:paraId="5C4D58F2" w14:textId="779B40BE" w:rsidR="627B353D" w:rsidRPr="00F40C30" w:rsidRDefault="627B353D" w:rsidP="095DC256">
            <w:pPr>
              <w:pStyle w:val="ListParagraph"/>
              <w:spacing w:after="0" w:line="288" w:lineRule="auto"/>
              <w:ind w:left="442" w:hanging="357"/>
              <w:contextualSpacing/>
              <w:rPr>
                <w:b w:val="0"/>
                <w:bCs w:val="0"/>
                <w:sz w:val="22"/>
              </w:rPr>
            </w:pPr>
            <w:r w:rsidRPr="00F40C30">
              <w:rPr>
                <w:b w:val="0"/>
                <w:bCs w:val="0"/>
                <w:sz w:val="22"/>
              </w:rPr>
              <w:t>Guy Nichol, Policy Officer, National Farmers’ Federation</w:t>
            </w:r>
          </w:p>
          <w:p w14:paraId="1D4ECC42" w14:textId="05BF979A" w:rsidR="4BADE41F" w:rsidRDefault="0007664F" w:rsidP="062202B8">
            <w:pPr>
              <w:pStyle w:val="ListParagraph"/>
              <w:spacing w:after="0" w:line="288" w:lineRule="auto"/>
              <w:ind w:left="442" w:hanging="357"/>
              <w:contextualSpacing/>
              <w:rPr>
                <w:b w:val="0"/>
                <w:bCs w:val="0"/>
                <w:sz w:val="22"/>
              </w:rPr>
            </w:pPr>
            <w:r w:rsidRPr="00F40C30">
              <w:rPr>
                <w:b w:val="0"/>
                <w:bCs w:val="0"/>
                <w:sz w:val="22"/>
              </w:rPr>
              <w:t>Travis Wacey, National Policy Research Officer, Timber Furnishing and Textiles Union </w:t>
            </w:r>
          </w:p>
          <w:p w14:paraId="55D82D29" w14:textId="056C2BAE" w:rsidR="001165CE" w:rsidRPr="00594F03" w:rsidRDefault="0007664F" w:rsidP="00594F03">
            <w:pPr>
              <w:pStyle w:val="ListParagraph"/>
              <w:spacing w:after="0" w:line="288" w:lineRule="auto"/>
              <w:ind w:left="442" w:hanging="357"/>
              <w:contextualSpacing/>
              <w:rPr>
                <w:b w:val="0"/>
                <w:bCs w:val="0"/>
                <w:sz w:val="22"/>
              </w:rPr>
            </w:pPr>
            <w:r w:rsidRPr="062202B8">
              <w:rPr>
                <w:b w:val="0"/>
                <w:bCs w:val="0"/>
                <w:sz w:val="22"/>
              </w:rPr>
              <w:t>Russell Wi</w:t>
            </w:r>
            <w:r w:rsidR="00606AB2" w:rsidRPr="062202B8">
              <w:rPr>
                <w:b w:val="0"/>
                <w:bCs w:val="0"/>
                <w:sz w:val="22"/>
              </w:rPr>
              <w:t>e</w:t>
            </w:r>
            <w:r w:rsidRPr="062202B8">
              <w:rPr>
                <w:b w:val="0"/>
                <w:bCs w:val="0"/>
                <w:sz w:val="22"/>
              </w:rPr>
              <w:t>se, Director</w:t>
            </w:r>
            <w:r w:rsidR="00474FB2">
              <w:rPr>
                <w:b w:val="0"/>
                <w:bCs w:val="0"/>
                <w:sz w:val="22"/>
              </w:rPr>
              <w:t>,</w:t>
            </w:r>
            <w:r w:rsidRPr="062202B8">
              <w:rPr>
                <w:b w:val="0"/>
                <w:bCs w:val="0"/>
                <w:sz w:val="22"/>
              </w:rPr>
              <w:t xml:space="preserve"> CGT Law (representing Freight </w:t>
            </w:r>
            <w:r w:rsidR="00AB56B9" w:rsidRPr="062202B8">
              <w:rPr>
                <w:b w:val="0"/>
                <w:bCs w:val="0"/>
                <w:sz w:val="22"/>
              </w:rPr>
              <w:t xml:space="preserve">and </w:t>
            </w:r>
            <w:r w:rsidRPr="062202B8">
              <w:rPr>
                <w:b w:val="0"/>
                <w:bCs w:val="0"/>
                <w:sz w:val="22"/>
              </w:rPr>
              <w:t xml:space="preserve">Trade Alliance)  </w:t>
            </w:r>
          </w:p>
        </w:tc>
      </w:tr>
    </w:tbl>
    <w:p w14:paraId="3E17A5AE" w14:textId="3F011CF3" w:rsidR="00927336" w:rsidRDefault="00927336" w:rsidP="0023347B">
      <w:pPr>
        <w:spacing w:before="0" w:after="160" w:line="259" w:lineRule="auto"/>
        <w:rPr>
          <w:rFonts w:ascii="Aptos" w:hAnsi="Aptos" w:cs="Times New Roman"/>
          <w:sz w:val="22"/>
        </w:rPr>
      </w:pPr>
    </w:p>
    <w:p w14:paraId="619C29EC" w14:textId="47BFFCA1" w:rsidR="001B2BD2" w:rsidRDefault="00927336" w:rsidP="0023347B">
      <w:pPr>
        <w:spacing w:before="0" w:after="160" w:line="259" w:lineRule="auto"/>
        <w:rPr>
          <w:rFonts w:ascii="Aptos" w:hAnsi="Aptos" w:cs="Times New Roman"/>
          <w:sz w:val="22"/>
        </w:rPr>
      </w:pPr>
      <w:r>
        <w:rPr>
          <w:rFonts w:ascii="Aptos" w:hAnsi="Aptos" w:cs="Times New Roman"/>
          <w:sz w:val="22"/>
        </w:rPr>
        <w:br w:type="page"/>
      </w:r>
    </w:p>
    <w:tbl>
      <w:tblPr>
        <w:tblStyle w:val="GridTable4-Accent1"/>
        <w:tblW w:w="4843" w:type="pct"/>
        <w:tblLook w:val="04A0" w:firstRow="1" w:lastRow="0" w:firstColumn="1" w:lastColumn="0" w:noHBand="0" w:noVBand="1"/>
      </w:tblPr>
      <w:tblGrid>
        <w:gridCol w:w="9601"/>
      </w:tblGrid>
      <w:tr w:rsidR="00A06E90" w:rsidRPr="00A06E90" w14:paraId="44586214" w14:textId="77777777" w:rsidTr="00A06E90">
        <w:trPr>
          <w:cnfStyle w:val="100000000000" w:firstRow="1" w:lastRow="0" w:firstColumn="0" w:lastColumn="0" w:oddVBand="0" w:evenVBand="0" w:oddHBand="0" w:evenHBand="0" w:firstRowFirstColumn="0" w:firstRowLastColumn="0" w:lastRowFirstColumn="0" w:lastRowLastColumn="0"/>
          <w:divId w:val="1949777513"/>
          <w:trHeight w:val="537"/>
          <w:tblHeader/>
        </w:trPr>
        <w:tc>
          <w:tcPr>
            <w:cnfStyle w:val="001000000000" w:firstRow="0" w:lastRow="0" w:firstColumn="1" w:lastColumn="0" w:oddVBand="0" w:evenVBand="0" w:oddHBand="0" w:evenHBand="0" w:firstRowFirstColumn="0" w:firstRowLastColumn="0" w:lastRowFirstColumn="0" w:lastRowLastColumn="0"/>
            <w:tcW w:w="8733" w:type="dxa"/>
            <w:hideMark/>
          </w:tcPr>
          <w:p w14:paraId="0A2B90A3" w14:textId="72FE6508" w:rsidR="00A06E90" w:rsidRPr="00A06E90" w:rsidRDefault="00A06E90" w:rsidP="0023347B">
            <w:pPr>
              <w:rPr>
                <w:rFonts w:cs="Times New Roman"/>
                <w:sz w:val="22"/>
              </w:rPr>
            </w:pPr>
            <w:r w:rsidRPr="00A06E90">
              <w:rPr>
                <w:sz w:val="22"/>
              </w:rPr>
              <w:lastRenderedPageBreak/>
              <w:t xml:space="preserve">Department of Industry, Science and Resources </w:t>
            </w:r>
          </w:p>
        </w:tc>
      </w:tr>
      <w:tr w:rsidR="00A06E90" w:rsidRPr="00A06E90" w14:paraId="5CE89957" w14:textId="77777777" w:rsidTr="00A06E90">
        <w:trPr>
          <w:cnfStyle w:val="000000100000" w:firstRow="0" w:lastRow="0" w:firstColumn="0" w:lastColumn="0" w:oddVBand="0" w:evenVBand="0" w:oddHBand="1" w:evenHBand="0" w:firstRowFirstColumn="0" w:firstRowLastColumn="0" w:lastRowFirstColumn="0" w:lastRowLastColumn="0"/>
          <w:divId w:val="1949777513"/>
          <w:trHeight w:val="386"/>
        </w:trPr>
        <w:tc>
          <w:tcPr>
            <w:cnfStyle w:val="001000000000" w:firstRow="0" w:lastRow="0" w:firstColumn="1" w:lastColumn="0" w:oddVBand="0" w:evenVBand="0" w:oddHBand="0" w:evenHBand="0" w:firstRowFirstColumn="0" w:firstRowLastColumn="0" w:lastRowFirstColumn="0" w:lastRowLastColumn="0"/>
            <w:tcW w:w="8733" w:type="dxa"/>
            <w:hideMark/>
          </w:tcPr>
          <w:p w14:paraId="75C9E1CE" w14:textId="77777777" w:rsidR="00A06E90" w:rsidRPr="00A06E90" w:rsidRDefault="00A06E90" w:rsidP="0023347B">
            <w:pPr>
              <w:rPr>
                <w:b w:val="0"/>
                <w:bCs w:val="0"/>
                <w:sz w:val="22"/>
              </w:rPr>
            </w:pPr>
            <w:r w:rsidRPr="00A06E90">
              <w:rPr>
                <w:sz w:val="22"/>
              </w:rPr>
              <w:t>Virtual</w:t>
            </w:r>
          </w:p>
        </w:tc>
      </w:tr>
      <w:tr w:rsidR="00A06E90" w:rsidRPr="00A06E90" w14:paraId="1F3C6E89" w14:textId="77777777" w:rsidTr="00B038C5">
        <w:trPr>
          <w:divId w:val="1949777513"/>
          <w:trHeight w:val="343"/>
        </w:trPr>
        <w:tc>
          <w:tcPr>
            <w:cnfStyle w:val="001000000000" w:firstRow="0" w:lastRow="0" w:firstColumn="1" w:lastColumn="0" w:oddVBand="0" w:evenVBand="0" w:oddHBand="0" w:evenHBand="0" w:firstRowFirstColumn="0" w:firstRowLastColumn="0" w:lastRowFirstColumn="0" w:lastRowLastColumn="0"/>
            <w:tcW w:w="8733" w:type="dxa"/>
            <w:hideMark/>
          </w:tcPr>
          <w:p w14:paraId="5194A3A6" w14:textId="77777777" w:rsidR="00B038C5" w:rsidRPr="00963F64" w:rsidRDefault="00B038C5" w:rsidP="00832CF8">
            <w:pPr>
              <w:pStyle w:val="ListParagraph"/>
              <w:numPr>
                <w:ilvl w:val="0"/>
                <w:numId w:val="17"/>
              </w:numPr>
              <w:spacing w:after="0" w:line="288" w:lineRule="auto"/>
              <w:ind w:left="442" w:hanging="357"/>
              <w:contextualSpacing/>
              <w:rPr>
                <w:b w:val="0"/>
                <w:bCs w:val="0"/>
                <w:sz w:val="22"/>
              </w:rPr>
            </w:pPr>
            <w:r w:rsidRPr="00963F64">
              <w:rPr>
                <w:b w:val="0"/>
                <w:bCs w:val="0"/>
                <w:sz w:val="22"/>
              </w:rPr>
              <w:t>Tara Oliver, Head of Division, Heavy Industry Transition </w:t>
            </w:r>
          </w:p>
          <w:p w14:paraId="20C149AC" w14:textId="77777777" w:rsidR="00A06E90" w:rsidRPr="00963F64" w:rsidRDefault="00B038C5" w:rsidP="00832CF8">
            <w:pPr>
              <w:pStyle w:val="ListParagraph"/>
              <w:numPr>
                <w:ilvl w:val="0"/>
                <w:numId w:val="17"/>
              </w:numPr>
              <w:spacing w:after="0" w:line="288" w:lineRule="auto"/>
              <w:ind w:left="442" w:hanging="357"/>
              <w:contextualSpacing/>
              <w:rPr>
                <w:b w:val="0"/>
                <w:bCs w:val="0"/>
                <w:sz w:val="22"/>
              </w:rPr>
            </w:pPr>
            <w:r w:rsidRPr="00963F64">
              <w:rPr>
                <w:b w:val="0"/>
                <w:bCs w:val="0"/>
                <w:sz w:val="22"/>
              </w:rPr>
              <w:t>Belinda Morris, Acting General Manager, Trade Remedies &amp; Global Industry </w:t>
            </w:r>
          </w:p>
          <w:p w14:paraId="40C29B72" w14:textId="075851E7" w:rsidR="000437D6" w:rsidRPr="00963F64" w:rsidRDefault="002F256C" w:rsidP="00832CF8">
            <w:pPr>
              <w:pStyle w:val="ListParagraph"/>
              <w:numPr>
                <w:ilvl w:val="0"/>
                <w:numId w:val="17"/>
              </w:numPr>
              <w:spacing w:after="0" w:line="288" w:lineRule="auto"/>
              <w:ind w:left="442" w:hanging="357"/>
              <w:contextualSpacing/>
              <w:rPr>
                <w:b w:val="0"/>
                <w:bCs w:val="0"/>
                <w:sz w:val="22"/>
              </w:rPr>
            </w:pPr>
            <w:r w:rsidRPr="00963F64">
              <w:rPr>
                <w:b w:val="0"/>
                <w:bCs w:val="0"/>
                <w:sz w:val="22"/>
              </w:rPr>
              <w:t xml:space="preserve">Chris </w:t>
            </w:r>
            <w:r w:rsidR="0023751B" w:rsidRPr="00963F64">
              <w:rPr>
                <w:b w:val="0"/>
                <w:bCs w:val="0"/>
                <w:sz w:val="22"/>
              </w:rPr>
              <w:t>H</w:t>
            </w:r>
            <w:r w:rsidRPr="00963F64">
              <w:rPr>
                <w:b w:val="0"/>
                <w:bCs w:val="0"/>
                <w:sz w:val="22"/>
              </w:rPr>
              <w:t>ewett</w:t>
            </w:r>
            <w:r w:rsidR="00927D4D" w:rsidRPr="00963F64">
              <w:rPr>
                <w:b w:val="0"/>
                <w:bCs w:val="0"/>
                <w:sz w:val="22"/>
              </w:rPr>
              <w:t>, G</w:t>
            </w:r>
            <w:r w:rsidR="00587446">
              <w:rPr>
                <w:b w:val="0"/>
                <w:bCs w:val="0"/>
                <w:sz w:val="22"/>
              </w:rPr>
              <w:t xml:space="preserve">eneral </w:t>
            </w:r>
            <w:r w:rsidR="006948A0" w:rsidRPr="00963F64">
              <w:rPr>
                <w:b w:val="0"/>
                <w:bCs w:val="0"/>
                <w:sz w:val="22"/>
              </w:rPr>
              <w:t>M</w:t>
            </w:r>
            <w:r w:rsidR="00587446">
              <w:rPr>
                <w:b w:val="0"/>
                <w:bCs w:val="0"/>
                <w:sz w:val="22"/>
              </w:rPr>
              <w:t>anager,</w:t>
            </w:r>
            <w:r w:rsidR="006948A0" w:rsidRPr="00963F64">
              <w:rPr>
                <w:b w:val="0"/>
                <w:bCs w:val="0"/>
                <w:sz w:val="22"/>
              </w:rPr>
              <w:t xml:space="preserve"> Net Zero and Clean Energy</w:t>
            </w:r>
            <w:r w:rsidR="00927D4D" w:rsidRPr="00963F64">
              <w:rPr>
                <w:b w:val="0"/>
                <w:bCs w:val="0"/>
                <w:sz w:val="22"/>
              </w:rPr>
              <w:t xml:space="preserve"> </w:t>
            </w:r>
          </w:p>
          <w:p w14:paraId="624F8209" w14:textId="7DA0E4BD" w:rsidR="00142037" w:rsidRPr="00142037" w:rsidRDefault="00142037" w:rsidP="00832CF8">
            <w:pPr>
              <w:pStyle w:val="ListParagraph"/>
              <w:numPr>
                <w:ilvl w:val="0"/>
                <w:numId w:val="17"/>
              </w:numPr>
              <w:spacing w:after="0" w:line="288" w:lineRule="auto"/>
              <w:ind w:left="442" w:hanging="357"/>
              <w:contextualSpacing/>
              <w:rPr>
                <w:rFonts w:ascii="Calibri" w:eastAsia="Times New Roman" w:hAnsi="Calibri" w:cs="Calibri"/>
                <w:b w:val="0"/>
                <w:bCs w:val="0"/>
                <w:sz w:val="22"/>
                <w:lang w:eastAsia="en-AU"/>
              </w:rPr>
            </w:pPr>
            <w:r w:rsidRPr="00963F64">
              <w:rPr>
                <w:b w:val="0"/>
                <w:bCs w:val="0"/>
                <w:sz w:val="22"/>
              </w:rPr>
              <w:t>Jeremy Rees, Manager, Trade Remedies</w:t>
            </w:r>
          </w:p>
        </w:tc>
      </w:tr>
    </w:tbl>
    <w:p w14:paraId="05863F00" w14:textId="77777777" w:rsidR="00A06E90" w:rsidRPr="00A06E90" w:rsidRDefault="00A06E90" w:rsidP="0023347B">
      <w:pPr>
        <w:divId w:val="1949777513"/>
        <w:rPr>
          <w:rFonts w:ascii="Aptos" w:hAnsi="Aptos" w:cs="Times New Roman"/>
          <w:sz w:val="22"/>
        </w:rPr>
      </w:pPr>
    </w:p>
    <w:tbl>
      <w:tblPr>
        <w:tblStyle w:val="GridTable4-Accent1"/>
        <w:tblW w:w="4843" w:type="pct"/>
        <w:tblLook w:val="04A0" w:firstRow="1" w:lastRow="0" w:firstColumn="1" w:lastColumn="0" w:noHBand="0" w:noVBand="1"/>
      </w:tblPr>
      <w:tblGrid>
        <w:gridCol w:w="9601"/>
      </w:tblGrid>
      <w:tr w:rsidR="00A06E90" w:rsidRPr="00074CAE" w14:paraId="2DD73317" w14:textId="77777777" w:rsidTr="00A06E90">
        <w:trPr>
          <w:cnfStyle w:val="100000000000" w:firstRow="1" w:lastRow="0" w:firstColumn="0" w:lastColumn="0" w:oddVBand="0" w:evenVBand="0" w:oddHBand="0" w:evenHBand="0" w:firstRowFirstColumn="0" w:firstRowLastColumn="0" w:lastRowFirstColumn="0" w:lastRowLastColumn="0"/>
          <w:divId w:val="1949777513"/>
          <w:trHeight w:val="537"/>
          <w:tblHeader/>
        </w:trPr>
        <w:tc>
          <w:tcPr>
            <w:cnfStyle w:val="001000000000" w:firstRow="0" w:lastRow="0" w:firstColumn="1" w:lastColumn="0" w:oddVBand="0" w:evenVBand="0" w:oddHBand="0" w:evenHBand="0" w:firstRowFirstColumn="0" w:firstRowLastColumn="0" w:lastRowFirstColumn="0" w:lastRowLastColumn="0"/>
            <w:tcW w:w="8733" w:type="dxa"/>
            <w:hideMark/>
          </w:tcPr>
          <w:p w14:paraId="4CC49D66" w14:textId="74EC27FF" w:rsidR="00A06E90" w:rsidRPr="00074CAE" w:rsidRDefault="00A06E90" w:rsidP="0023347B">
            <w:pPr>
              <w:rPr>
                <w:rFonts w:cs="Times New Roman"/>
                <w:sz w:val="22"/>
              </w:rPr>
            </w:pPr>
            <w:r w:rsidRPr="00074CAE">
              <w:rPr>
                <w:sz w:val="22"/>
              </w:rPr>
              <w:t>Department of Foreign Affairs and Trade</w:t>
            </w:r>
          </w:p>
        </w:tc>
      </w:tr>
      <w:tr w:rsidR="00A06E90" w:rsidRPr="00A06E90" w14:paraId="334C86EA" w14:textId="77777777" w:rsidTr="00A06E90">
        <w:trPr>
          <w:cnfStyle w:val="000000100000" w:firstRow="0" w:lastRow="0" w:firstColumn="0" w:lastColumn="0" w:oddVBand="0" w:evenVBand="0" w:oddHBand="1" w:evenHBand="0" w:firstRowFirstColumn="0" w:firstRowLastColumn="0" w:lastRowFirstColumn="0" w:lastRowLastColumn="0"/>
          <w:divId w:val="1949777513"/>
          <w:trHeight w:val="386"/>
        </w:trPr>
        <w:tc>
          <w:tcPr>
            <w:cnfStyle w:val="001000000000" w:firstRow="0" w:lastRow="0" w:firstColumn="1" w:lastColumn="0" w:oddVBand="0" w:evenVBand="0" w:oddHBand="0" w:evenHBand="0" w:firstRowFirstColumn="0" w:firstRowLastColumn="0" w:lastRowFirstColumn="0" w:lastRowLastColumn="0"/>
            <w:tcW w:w="8733" w:type="dxa"/>
            <w:hideMark/>
          </w:tcPr>
          <w:p w14:paraId="0D45369B" w14:textId="77777777" w:rsidR="00A06E90" w:rsidRPr="00A06E90" w:rsidRDefault="00A06E90" w:rsidP="0023347B">
            <w:pPr>
              <w:rPr>
                <w:b w:val="0"/>
                <w:bCs w:val="0"/>
                <w:sz w:val="22"/>
              </w:rPr>
            </w:pPr>
            <w:r w:rsidRPr="00A06E90">
              <w:rPr>
                <w:sz w:val="22"/>
              </w:rPr>
              <w:t>Virtual</w:t>
            </w:r>
          </w:p>
        </w:tc>
      </w:tr>
      <w:tr w:rsidR="00A06E90" w:rsidRPr="00A06E90" w14:paraId="5837CFCC" w14:textId="77777777" w:rsidTr="00B038C5">
        <w:trPr>
          <w:divId w:val="1949777513"/>
          <w:trHeight w:val="342"/>
        </w:trPr>
        <w:tc>
          <w:tcPr>
            <w:cnfStyle w:val="001000000000" w:firstRow="0" w:lastRow="0" w:firstColumn="1" w:lastColumn="0" w:oddVBand="0" w:evenVBand="0" w:oddHBand="0" w:evenHBand="0" w:firstRowFirstColumn="0" w:firstRowLastColumn="0" w:lastRowFirstColumn="0" w:lastRowLastColumn="0"/>
            <w:tcW w:w="8733" w:type="dxa"/>
            <w:hideMark/>
          </w:tcPr>
          <w:p w14:paraId="6279BA18" w14:textId="77777777" w:rsidR="00823F1A" w:rsidRPr="00AC030F" w:rsidRDefault="00531B37" w:rsidP="00832CF8">
            <w:pPr>
              <w:pStyle w:val="ListParagraph"/>
              <w:numPr>
                <w:ilvl w:val="0"/>
                <w:numId w:val="17"/>
              </w:numPr>
              <w:spacing w:after="0" w:line="288" w:lineRule="auto"/>
              <w:ind w:left="442" w:hanging="357"/>
              <w:contextualSpacing/>
              <w:rPr>
                <w:b w:val="0"/>
                <w:bCs w:val="0"/>
                <w:sz w:val="22"/>
              </w:rPr>
            </w:pPr>
            <w:r w:rsidRPr="00AC030F">
              <w:rPr>
                <w:b w:val="0"/>
                <w:bCs w:val="0"/>
                <w:sz w:val="22"/>
              </w:rPr>
              <w:t>Ben Jarvis, Director, Market Access and Trade Remedies Section</w:t>
            </w:r>
          </w:p>
          <w:p w14:paraId="19E5E698" w14:textId="67253C04" w:rsidR="008E36F2" w:rsidRPr="00AC030F" w:rsidRDefault="008E36F2" w:rsidP="00832CF8">
            <w:pPr>
              <w:pStyle w:val="ListParagraph"/>
              <w:numPr>
                <w:ilvl w:val="0"/>
                <w:numId w:val="17"/>
              </w:numPr>
              <w:spacing w:after="0" w:line="288" w:lineRule="auto"/>
              <w:ind w:left="442" w:hanging="357"/>
              <w:contextualSpacing/>
              <w:rPr>
                <w:b w:val="0"/>
                <w:bCs w:val="0"/>
                <w:sz w:val="22"/>
              </w:rPr>
            </w:pPr>
            <w:r w:rsidRPr="00AC030F">
              <w:rPr>
                <w:b w:val="0"/>
                <w:bCs w:val="0"/>
                <w:sz w:val="22"/>
              </w:rPr>
              <w:t>Oscar Grosser-Kennedy</w:t>
            </w:r>
            <w:r w:rsidR="00762717">
              <w:rPr>
                <w:b w:val="0"/>
                <w:bCs w:val="0"/>
                <w:sz w:val="22"/>
              </w:rPr>
              <w:t xml:space="preserve">, Director, </w:t>
            </w:r>
            <w:r w:rsidR="002C2CE6" w:rsidRPr="002C2CE6">
              <w:rPr>
                <w:b w:val="0"/>
                <w:bCs w:val="0"/>
                <w:sz w:val="22"/>
              </w:rPr>
              <w:t>Subsidies and Trade Remedies Law Section</w:t>
            </w:r>
          </w:p>
          <w:p w14:paraId="19E0981A" w14:textId="41C76D32" w:rsidR="00A06E90" w:rsidRPr="009D63D8" w:rsidRDefault="00823F1A" w:rsidP="00832CF8">
            <w:pPr>
              <w:pStyle w:val="ListParagraph"/>
              <w:numPr>
                <w:ilvl w:val="0"/>
                <w:numId w:val="17"/>
              </w:numPr>
              <w:spacing w:after="0" w:line="288" w:lineRule="auto"/>
              <w:ind w:left="442" w:hanging="357"/>
              <w:contextualSpacing/>
              <w:rPr>
                <w:b w:val="0"/>
                <w:bCs w:val="0"/>
                <w:sz w:val="22"/>
              </w:rPr>
            </w:pPr>
            <w:r w:rsidRPr="00AC030F">
              <w:rPr>
                <w:b w:val="0"/>
                <w:bCs w:val="0"/>
                <w:sz w:val="22"/>
              </w:rPr>
              <w:t>Tara Leaney</w:t>
            </w:r>
            <w:r w:rsidR="0093472E" w:rsidRPr="00AC030F">
              <w:rPr>
                <w:b w:val="0"/>
                <w:bCs w:val="0"/>
                <w:sz w:val="22"/>
              </w:rPr>
              <w:t>, Policy Officer, Market Access and Trade Remedies Section</w:t>
            </w:r>
            <w:r w:rsidR="00531B37" w:rsidRPr="009D63D8">
              <w:rPr>
                <w:b w:val="0"/>
                <w:bCs w:val="0"/>
                <w:sz w:val="22"/>
              </w:rPr>
              <w:t> </w:t>
            </w:r>
          </w:p>
        </w:tc>
      </w:tr>
    </w:tbl>
    <w:p w14:paraId="7BCB994A" w14:textId="77777777" w:rsidR="00A06E90" w:rsidRPr="00A06E90" w:rsidRDefault="00A06E90" w:rsidP="0023347B">
      <w:pPr>
        <w:divId w:val="1949777513"/>
        <w:rPr>
          <w:rFonts w:ascii="Aptos" w:hAnsi="Aptos" w:cs="Times New Roman"/>
          <w:sz w:val="22"/>
        </w:rPr>
      </w:pPr>
    </w:p>
    <w:tbl>
      <w:tblPr>
        <w:tblStyle w:val="GridTable4-Accent1"/>
        <w:tblW w:w="4843" w:type="pct"/>
        <w:tblLook w:val="04A0" w:firstRow="1" w:lastRow="0" w:firstColumn="1" w:lastColumn="0" w:noHBand="0" w:noVBand="1"/>
      </w:tblPr>
      <w:tblGrid>
        <w:gridCol w:w="9601"/>
      </w:tblGrid>
      <w:tr w:rsidR="00A06E90" w:rsidRPr="00A06E90" w14:paraId="6B0DF493" w14:textId="77777777" w:rsidTr="00A06E90">
        <w:trPr>
          <w:cnfStyle w:val="100000000000" w:firstRow="1" w:lastRow="0" w:firstColumn="0" w:lastColumn="0" w:oddVBand="0" w:evenVBand="0" w:oddHBand="0" w:evenHBand="0" w:firstRowFirstColumn="0" w:firstRowLastColumn="0" w:lastRowFirstColumn="0" w:lastRowLastColumn="0"/>
          <w:divId w:val="1949777513"/>
          <w:trHeight w:val="537"/>
          <w:tblHeader/>
        </w:trPr>
        <w:tc>
          <w:tcPr>
            <w:cnfStyle w:val="001000000000" w:firstRow="0" w:lastRow="0" w:firstColumn="1" w:lastColumn="0" w:oddVBand="0" w:evenVBand="0" w:oddHBand="0" w:evenHBand="0" w:firstRowFirstColumn="0" w:firstRowLastColumn="0" w:lastRowFirstColumn="0" w:lastRowLastColumn="0"/>
            <w:tcW w:w="8733" w:type="dxa"/>
            <w:hideMark/>
          </w:tcPr>
          <w:p w14:paraId="3B87FD52" w14:textId="21993447" w:rsidR="00A06E90" w:rsidRPr="00A06E90" w:rsidRDefault="00AF3C63" w:rsidP="0023347B">
            <w:pPr>
              <w:rPr>
                <w:rFonts w:cs="Times New Roman"/>
                <w:sz w:val="22"/>
              </w:rPr>
            </w:pPr>
            <w:r>
              <w:rPr>
                <w:sz w:val="22"/>
              </w:rPr>
              <w:t>Australian Border Force</w:t>
            </w:r>
          </w:p>
        </w:tc>
      </w:tr>
      <w:tr w:rsidR="00A06E90" w:rsidRPr="00A06E90" w14:paraId="4946D691" w14:textId="77777777" w:rsidTr="00A06E90">
        <w:trPr>
          <w:cnfStyle w:val="000000100000" w:firstRow="0" w:lastRow="0" w:firstColumn="0" w:lastColumn="0" w:oddVBand="0" w:evenVBand="0" w:oddHBand="1" w:evenHBand="0" w:firstRowFirstColumn="0" w:firstRowLastColumn="0" w:lastRowFirstColumn="0" w:lastRowLastColumn="0"/>
          <w:divId w:val="1949777513"/>
          <w:trHeight w:val="386"/>
        </w:trPr>
        <w:tc>
          <w:tcPr>
            <w:cnfStyle w:val="001000000000" w:firstRow="0" w:lastRow="0" w:firstColumn="1" w:lastColumn="0" w:oddVBand="0" w:evenVBand="0" w:oddHBand="0" w:evenHBand="0" w:firstRowFirstColumn="0" w:firstRowLastColumn="0" w:lastRowFirstColumn="0" w:lastRowLastColumn="0"/>
            <w:tcW w:w="8733" w:type="dxa"/>
            <w:hideMark/>
          </w:tcPr>
          <w:p w14:paraId="2641E6FA" w14:textId="77777777" w:rsidR="00A06E90" w:rsidRPr="00A06E90" w:rsidRDefault="00A06E90" w:rsidP="0023347B">
            <w:pPr>
              <w:rPr>
                <w:b w:val="0"/>
                <w:bCs w:val="0"/>
                <w:sz w:val="22"/>
              </w:rPr>
            </w:pPr>
            <w:r w:rsidRPr="00A06E90">
              <w:rPr>
                <w:sz w:val="22"/>
              </w:rPr>
              <w:t>Virtual</w:t>
            </w:r>
          </w:p>
        </w:tc>
      </w:tr>
      <w:tr w:rsidR="00A06E90" w:rsidRPr="00A06E90" w14:paraId="183E7860" w14:textId="77777777" w:rsidTr="00AC030F">
        <w:trPr>
          <w:divId w:val="1949777513"/>
          <w:trHeight w:val="475"/>
        </w:trPr>
        <w:tc>
          <w:tcPr>
            <w:cnfStyle w:val="001000000000" w:firstRow="0" w:lastRow="0" w:firstColumn="1" w:lastColumn="0" w:oddVBand="0" w:evenVBand="0" w:oddHBand="0" w:evenHBand="0" w:firstRowFirstColumn="0" w:firstRowLastColumn="0" w:lastRowFirstColumn="0" w:lastRowLastColumn="0"/>
            <w:tcW w:w="8733" w:type="dxa"/>
            <w:hideMark/>
          </w:tcPr>
          <w:p w14:paraId="3DA25909" w14:textId="3C3ABA9F" w:rsidR="00531B37" w:rsidRPr="00142037" w:rsidRDefault="00531B37" w:rsidP="00832CF8">
            <w:pPr>
              <w:pStyle w:val="ListParagraph"/>
              <w:numPr>
                <w:ilvl w:val="0"/>
                <w:numId w:val="17"/>
              </w:numPr>
              <w:spacing w:after="0" w:line="288" w:lineRule="auto"/>
              <w:ind w:left="442" w:hanging="357"/>
              <w:contextualSpacing/>
              <w:rPr>
                <w:b w:val="0"/>
                <w:bCs w:val="0"/>
                <w:sz w:val="22"/>
              </w:rPr>
            </w:pPr>
            <w:r w:rsidRPr="00963F64">
              <w:rPr>
                <w:b w:val="0"/>
                <w:bCs w:val="0"/>
                <w:sz w:val="22"/>
              </w:rPr>
              <w:t>Sondra Gagliardi, Inspector, Trade Risk &amp; Enforcement</w:t>
            </w:r>
            <w:r w:rsidRPr="00142037">
              <w:rPr>
                <w:sz w:val="22"/>
              </w:rPr>
              <w:t> </w:t>
            </w:r>
          </w:p>
        </w:tc>
      </w:tr>
    </w:tbl>
    <w:p w14:paraId="54D99DCF" w14:textId="77777777" w:rsidR="00A06E90" w:rsidRPr="00A06E90" w:rsidRDefault="00A06E90" w:rsidP="0023347B">
      <w:pPr>
        <w:divId w:val="1949777513"/>
        <w:rPr>
          <w:rFonts w:ascii="Aptos" w:hAnsi="Aptos" w:cs="Times New Roman"/>
          <w:sz w:val="22"/>
        </w:rPr>
      </w:pPr>
    </w:p>
    <w:tbl>
      <w:tblPr>
        <w:tblStyle w:val="GridTable4-Accent1"/>
        <w:tblW w:w="4843" w:type="pct"/>
        <w:tblLook w:val="04A0" w:firstRow="1" w:lastRow="0" w:firstColumn="1" w:lastColumn="0" w:noHBand="0" w:noVBand="1"/>
      </w:tblPr>
      <w:tblGrid>
        <w:gridCol w:w="9601"/>
      </w:tblGrid>
      <w:tr w:rsidR="00531B37" w:rsidRPr="00A06E90" w14:paraId="00F363B1" w14:textId="77777777">
        <w:trPr>
          <w:cnfStyle w:val="100000000000" w:firstRow="1" w:lastRow="0" w:firstColumn="0" w:lastColumn="0" w:oddVBand="0" w:evenVBand="0" w:oddHBand="0" w:evenHBand="0" w:firstRowFirstColumn="0" w:firstRowLastColumn="0" w:lastRowFirstColumn="0" w:lastRowLastColumn="0"/>
          <w:trHeight w:val="537"/>
          <w:tblHeader/>
        </w:trPr>
        <w:tc>
          <w:tcPr>
            <w:cnfStyle w:val="001000000000" w:firstRow="0" w:lastRow="0" w:firstColumn="1" w:lastColumn="0" w:oddVBand="0" w:evenVBand="0" w:oddHBand="0" w:evenHBand="0" w:firstRowFirstColumn="0" w:firstRowLastColumn="0" w:lastRowFirstColumn="0" w:lastRowLastColumn="0"/>
            <w:tcW w:w="8733" w:type="dxa"/>
            <w:hideMark/>
          </w:tcPr>
          <w:p w14:paraId="1B17F3DF" w14:textId="762BD479" w:rsidR="00531B37" w:rsidRPr="00A06E90" w:rsidRDefault="00531B37" w:rsidP="0023347B">
            <w:pPr>
              <w:rPr>
                <w:rFonts w:cs="Times New Roman"/>
                <w:sz w:val="22"/>
              </w:rPr>
            </w:pPr>
            <w:r>
              <w:rPr>
                <w:sz w:val="22"/>
              </w:rPr>
              <w:t>Apologies</w:t>
            </w:r>
          </w:p>
        </w:tc>
      </w:tr>
      <w:tr w:rsidR="00531B37" w:rsidRPr="00A06E90" w14:paraId="0C4E94D6" w14:textId="77777777">
        <w:trPr>
          <w:cnfStyle w:val="000000100000" w:firstRow="0" w:lastRow="0" w:firstColumn="0" w:lastColumn="0" w:oddVBand="0" w:evenVBand="0" w:oddHBand="1" w:evenHBand="0" w:firstRowFirstColumn="0" w:firstRowLastColumn="0" w:lastRowFirstColumn="0" w:lastRowLastColumn="0"/>
          <w:trHeight w:val="386"/>
        </w:trPr>
        <w:tc>
          <w:tcPr>
            <w:cnfStyle w:val="001000000000" w:firstRow="0" w:lastRow="0" w:firstColumn="1" w:lastColumn="0" w:oddVBand="0" w:evenVBand="0" w:oddHBand="0" w:evenHBand="0" w:firstRowFirstColumn="0" w:firstRowLastColumn="0" w:lastRowFirstColumn="0" w:lastRowLastColumn="0"/>
            <w:tcW w:w="8733" w:type="dxa"/>
            <w:hideMark/>
          </w:tcPr>
          <w:p w14:paraId="0AD0EE31" w14:textId="77777777" w:rsidR="00531B37" w:rsidRPr="00A06E90" w:rsidRDefault="00531B37" w:rsidP="0023347B">
            <w:pPr>
              <w:rPr>
                <w:b w:val="0"/>
                <w:bCs w:val="0"/>
                <w:sz w:val="22"/>
              </w:rPr>
            </w:pPr>
            <w:r w:rsidRPr="00A06E90">
              <w:rPr>
                <w:sz w:val="22"/>
              </w:rPr>
              <w:t>Virtual</w:t>
            </w:r>
          </w:p>
        </w:tc>
      </w:tr>
      <w:tr w:rsidR="00531B37" w:rsidRPr="00A06E90" w14:paraId="39AC6E15" w14:textId="77777777" w:rsidTr="00142037">
        <w:trPr>
          <w:trHeight w:val="338"/>
        </w:trPr>
        <w:tc>
          <w:tcPr>
            <w:cnfStyle w:val="001000000000" w:firstRow="0" w:lastRow="0" w:firstColumn="1" w:lastColumn="0" w:oddVBand="0" w:evenVBand="0" w:oddHBand="0" w:evenHBand="0" w:firstRowFirstColumn="0" w:firstRowLastColumn="0" w:lastRowFirstColumn="0" w:lastRowLastColumn="0"/>
            <w:tcW w:w="8733" w:type="dxa"/>
            <w:hideMark/>
          </w:tcPr>
          <w:p w14:paraId="3DB090B6" w14:textId="1843352F" w:rsidR="00531B37" w:rsidRPr="00A06E90" w:rsidRDefault="00531B37" w:rsidP="00832CF8">
            <w:pPr>
              <w:pStyle w:val="ListParagraph"/>
              <w:numPr>
                <w:ilvl w:val="0"/>
                <w:numId w:val="17"/>
              </w:numPr>
              <w:spacing w:after="0" w:line="288" w:lineRule="auto"/>
              <w:ind w:left="442" w:hanging="357"/>
              <w:contextualSpacing/>
              <w:rPr>
                <w:b w:val="0"/>
                <w:bCs w:val="0"/>
                <w:sz w:val="22"/>
              </w:rPr>
            </w:pPr>
            <w:r w:rsidRPr="00531B37">
              <w:rPr>
                <w:b w:val="0"/>
                <w:bCs w:val="0"/>
                <w:sz w:val="22"/>
              </w:rPr>
              <w:t>Ross Becroft, Principal, Gross and Becroft Lawyers, Law Council of Australia </w:t>
            </w:r>
          </w:p>
        </w:tc>
      </w:tr>
    </w:tbl>
    <w:p w14:paraId="1148BC83" w14:textId="77777777" w:rsidR="00080667" w:rsidRDefault="00080667" w:rsidP="0023347B">
      <w:pPr>
        <w:spacing w:before="0" w:after="160" w:line="259" w:lineRule="auto"/>
      </w:pPr>
    </w:p>
    <w:tbl>
      <w:tblPr>
        <w:tblStyle w:val="GridTable4-Accent1"/>
        <w:tblW w:w="4843" w:type="pct"/>
        <w:tblLook w:val="04A0" w:firstRow="1" w:lastRow="0" w:firstColumn="1" w:lastColumn="0" w:noHBand="0" w:noVBand="1"/>
      </w:tblPr>
      <w:tblGrid>
        <w:gridCol w:w="9601"/>
      </w:tblGrid>
      <w:tr w:rsidR="00080667" w:rsidRPr="00A06E90" w14:paraId="4C7BED87" w14:textId="77777777">
        <w:trPr>
          <w:cnfStyle w:val="100000000000" w:firstRow="1" w:lastRow="0" w:firstColumn="0" w:lastColumn="0" w:oddVBand="0" w:evenVBand="0" w:oddHBand="0" w:evenHBand="0" w:firstRowFirstColumn="0" w:firstRowLastColumn="0" w:lastRowFirstColumn="0" w:lastRowLastColumn="0"/>
          <w:trHeight w:val="537"/>
          <w:tblHeader/>
        </w:trPr>
        <w:tc>
          <w:tcPr>
            <w:cnfStyle w:val="001000000000" w:firstRow="0" w:lastRow="0" w:firstColumn="1" w:lastColumn="0" w:oddVBand="0" w:evenVBand="0" w:oddHBand="0" w:evenHBand="0" w:firstRowFirstColumn="0" w:firstRowLastColumn="0" w:lastRowFirstColumn="0" w:lastRowLastColumn="0"/>
            <w:tcW w:w="8733" w:type="dxa"/>
            <w:hideMark/>
          </w:tcPr>
          <w:p w14:paraId="2E74A8C9" w14:textId="77CDB78C" w:rsidR="00080667" w:rsidRPr="00A06E90" w:rsidRDefault="00080667" w:rsidP="0023347B">
            <w:pPr>
              <w:rPr>
                <w:rFonts w:cs="Times New Roman"/>
                <w:sz w:val="22"/>
              </w:rPr>
            </w:pPr>
            <w:r>
              <w:rPr>
                <w:sz w:val="22"/>
              </w:rPr>
              <w:t>Observers</w:t>
            </w:r>
          </w:p>
        </w:tc>
      </w:tr>
      <w:tr w:rsidR="00080667" w:rsidRPr="00A06E90" w14:paraId="3D00EDD1" w14:textId="77777777">
        <w:trPr>
          <w:cnfStyle w:val="000000100000" w:firstRow="0" w:lastRow="0" w:firstColumn="0" w:lastColumn="0" w:oddVBand="0" w:evenVBand="0" w:oddHBand="1" w:evenHBand="0" w:firstRowFirstColumn="0" w:firstRowLastColumn="0" w:lastRowFirstColumn="0" w:lastRowLastColumn="0"/>
          <w:trHeight w:val="386"/>
        </w:trPr>
        <w:tc>
          <w:tcPr>
            <w:cnfStyle w:val="001000000000" w:firstRow="0" w:lastRow="0" w:firstColumn="1" w:lastColumn="0" w:oddVBand="0" w:evenVBand="0" w:oddHBand="0" w:evenHBand="0" w:firstRowFirstColumn="0" w:firstRowLastColumn="0" w:lastRowFirstColumn="0" w:lastRowLastColumn="0"/>
            <w:tcW w:w="8733" w:type="dxa"/>
            <w:hideMark/>
          </w:tcPr>
          <w:p w14:paraId="49542AF6" w14:textId="77777777" w:rsidR="00080667" w:rsidRPr="00A06E90" w:rsidRDefault="00080667" w:rsidP="0023347B">
            <w:pPr>
              <w:rPr>
                <w:b w:val="0"/>
                <w:bCs w:val="0"/>
                <w:sz w:val="22"/>
              </w:rPr>
            </w:pPr>
            <w:r w:rsidRPr="00A06E90">
              <w:rPr>
                <w:sz w:val="22"/>
              </w:rPr>
              <w:t>Virtual</w:t>
            </w:r>
          </w:p>
        </w:tc>
      </w:tr>
      <w:tr w:rsidR="00080667" w:rsidRPr="00A06E90" w14:paraId="7150791B" w14:textId="77777777">
        <w:trPr>
          <w:trHeight w:val="338"/>
        </w:trPr>
        <w:tc>
          <w:tcPr>
            <w:cnfStyle w:val="001000000000" w:firstRow="0" w:lastRow="0" w:firstColumn="1" w:lastColumn="0" w:oddVBand="0" w:evenVBand="0" w:oddHBand="0" w:evenHBand="0" w:firstRowFirstColumn="0" w:firstRowLastColumn="0" w:lastRowFirstColumn="0" w:lastRowLastColumn="0"/>
            <w:tcW w:w="8733" w:type="dxa"/>
            <w:hideMark/>
          </w:tcPr>
          <w:p w14:paraId="67B04B95" w14:textId="3B06FE49" w:rsidR="00080667" w:rsidRPr="0042737F" w:rsidRDefault="00080667" w:rsidP="00694B3C">
            <w:pPr>
              <w:pStyle w:val="ListParagraph"/>
              <w:numPr>
                <w:ilvl w:val="0"/>
                <w:numId w:val="17"/>
              </w:numPr>
              <w:spacing w:after="0" w:line="288" w:lineRule="auto"/>
              <w:ind w:left="442" w:hanging="357"/>
              <w:contextualSpacing/>
              <w:rPr>
                <w:b w:val="0"/>
                <w:bCs w:val="0"/>
                <w:sz w:val="22"/>
              </w:rPr>
            </w:pPr>
            <w:r w:rsidRPr="0042737F">
              <w:rPr>
                <w:b w:val="0"/>
                <w:bCs w:val="0"/>
                <w:sz w:val="22"/>
              </w:rPr>
              <w:t xml:space="preserve">Dillan Amin, </w:t>
            </w:r>
            <w:r w:rsidR="0042737F" w:rsidRPr="0042737F">
              <w:rPr>
                <w:b w:val="0"/>
                <w:bCs w:val="0"/>
                <w:sz w:val="22"/>
              </w:rPr>
              <w:t xml:space="preserve">Director, Global Trade &amp; Customs, </w:t>
            </w:r>
            <w:r w:rsidRPr="0042737F">
              <w:rPr>
                <w:b w:val="0"/>
                <w:bCs w:val="0"/>
                <w:sz w:val="22"/>
              </w:rPr>
              <w:t>Rio Tinto</w:t>
            </w:r>
          </w:p>
        </w:tc>
      </w:tr>
      <w:bookmarkEnd w:id="0"/>
      <w:bookmarkEnd w:id="1"/>
      <w:bookmarkEnd w:id="2"/>
    </w:tbl>
    <w:p w14:paraId="433505E8" w14:textId="1541C3AF" w:rsidR="00E26F4D" w:rsidRPr="001B2BD2" w:rsidRDefault="00E26F4D" w:rsidP="001B2BD2">
      <w:pPr>
        <w:spacing w:before="0" w:after="160" w:line="259" w:lineRule="auto"/>
        <w:rPr>
          <w:rFonts w:asciiTheme="majorHAnsi" w:eastAsiaTheme="majorEastAsia" w:hAnsiTheme="majorHAnsi"/>
          <w:color w:val="0E202D" w:themeColor="text2" w:themeShade="80"/>
          <w:sz w:val="48"/>
          <w:szCs w:val="48"/>
        </w:rPr>
      </w:pPr>
    </w:p>
    <w:sectPr w:rsidR="00E26F4D" w:rsidRPr="001B2BD2" w:rsidSect="0023347B">
      <w:headerReference w:type="even" r:id="rId9"/>
      <w:footerReference w:type="even" r:id="rId10"/>
      <w:headerReference w:type="first" r:id="rId11"/>
      <w:pgSz w:w="11906" w:h="16838"/>
      <w:pgMar w:top="1276" w:right="991" w:bottom="1440" w:left="993" w:header="851"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B1668D" w14:textId="77777777" w:rsidR="009F3FED" w:rsidRPr="00022543" w:rsidRDefault="009F3FED" w:rsidP="00B251DB">
      <w:pPr>
        <w:spacing w:after="0"/>
      </w:pPr>
      <w:r w:rsidRPr="00022543">
        <w:separator/>
      </w:r>
    </w:p>
  </w:endnote>
  <w:endnote w:type="continuationSeparator" w:id="0">
    <w:p w14:paraId="5DD16696" w14:textId="77777777" w:rsidR="009F3FED" w:rsidRPr="00022543" w:rsidRDefault="009F3FED" w:rsidP="00B251DB">
      <w:pPr>
        <w:spacing w:after="0"/>
      </w:pPr>
      <w:r w:rsidRPr="0002254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SemiBold">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879ED" w14:textId="77777777" w:rsidR="00335C23" w:rsidRPr="00022543" w:rsidRDefault="006A092C">
    <w:pPr>
      <w:pStyle w:val="Footer"/>
    </w:pPr>
    <w:r w:rsidRPr="00022543">
      <w:rPr>
        <w:noProof/>
      </w:rPr>
      <mc:AlternateContent>
        <mc:Choice Requires="wps">
          <w:drawing>
            <wp:anchor distT="0" distB="0" distL="0" distR="0" simplePos="0" relativeHeight="251658244" behindDoc="0" locked="0" layoutInCell="1" allowOverlap="1" wp14:anchorId="34D9AEC2" wp14:editId="6550EF17">
              <wp:simplePos x="635" y="635"/>
              <wp:positionH relativeFrom="page">
                <wp:align>center</wp:align>
              </wp:positionH>
              <wp:positionV relativeFrom="page">
                <wp:align>bottom</wp:align>
              </wp:positionV>
              <wp:extent cx="551815" cy="452755"/>
              <wp:effectExtent l="0" t="0" r="635" b="0"/>
              <wp:wrapNone/>
              <wp:docPr id="386952231"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2FDCE43C" w14:textId="77777777" w:rsidR="006A092C" w:rsidRPr="00022543" w:rsidRDefault="006A092C" w:rsidP="006A092C">
                          <w:pPr>
                            <w:spacing w:after="0"/>
                            <w:rPr>
                              <w:rFonts w:ascii="Calibri" w:eastAsia="Calibri" w:hAnsi="Calibri" w:cs="Calibri"/>
                              <w:color w:val="C00000"/>
                              <w:szCs w:val="24"/>
                            </w:rPr>
                          </w:pPr>
                          <w:r w:rsidRPr="00022543">
                            <w:rPr>
                              <w:rFonts w:ascii="Calibri" w:eastAsia="Calibri" w:hAnsi="Calibri" w:cs="Calibri"/>
                              <w:color w:val="C0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4D9AEC2" id="_x0000_t202" coordsize="21600,21600" o:spt="202" path="m,l,21600r21600,l21600,xe">
              <v:stroke joinstyle="miter"/>
              <v:path gradientshapeok="t" o:connecttype="rect"/>
            </v:shapetype>
            <v:shape id="Text Box 5" o:spid="_x0000_s1027" type="#_x0000_t202" alt="OFFICIAL" style="position:absolute;margin-left:0;margin-top:0;width:43.45pt;height:35.6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" filled="f" stroked="f">
              <v:textbox style="mso-fit-shape-to-text:t" inset="0,0,0,15pt">
                <w:txbxContent>
                  <w:p w14:paraId="2FDCE43C" w14:textId="77777777" w:rsidR="006A092C" w:rsidRPr="00022543" w:rsidRDefault="006A092C" w:rsidP="006A092C">
                    <w:pPr>
                      <w:spacing w:after="0"/>
                      <w:rPr>
                        <w:rFonts w:ascii="Calibri" w:eastAsia="Calibri" w:hAnsi="Calibri" w:cs="Calibri"/>
                        <w:color w:val="C00000"/>
                        <w:szCs w:val="24"/>
                      </w:rPr>
                    </w:pPr>
                    <w:r w:rsidRPr="00022543">
                      <w:rPr>
                        <w:rFonts w:ascii="Calibri" w:eastAsia="Calibri" w:hAnsi="Calibri" w:cs="Calibri"/>
                        <w:color w:val="C00000"/>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270733" w14:textId="77777777" w:rsidR="009F3FED" w:rsidRPr="00022543" w:rsidRDefault="009F3FED" w:rsidP="00B251DB">
      <w:pPr>
        <w:spacing w:after="0"/>
      </w:pPr>
      <w:r w:rsidRPr="00022543">
        <w:separator/>
      </w:r>
    </w:p>
  </w:footnote>
  <w:footnote w:type="continuationSeparator" w:id="0">
    <w:p w14:paraId="541363B6" w14:textId="77777777" w:rsidR="009F3FED" w:rsidRPr="00022543" w:rsidRDefault="009F3FED" w:rsidP="00B251DB">
      <w:pPr>
        <w:spacing w:after="0"/>
      </w:pPr>
      <w:r w:rsidRPr="0002254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2559A" w14:textId="77777777" w:rsidR="00335C23" w:rsidRPr="00022543" w:rsidRDefault="006A092C">
    <w:pPr>
      <w:pStyle w:val="Header"/>
    </w:pPr>
    <w:r w:rsidRPr="00022543">
      <w:rPr>
        <w:noProof/>
      </w:rPr>
      <mc:AlternateContent>
        <mc:Choice Requires="wps">
          <w:drawing>
            <wp:anchor distT="0" distB="0" distL="0" distR="0" simplePos="0" relativeHeight="251658242" behindDoc="0" locked="0" layoutInCell="1" allowOverlap="1" wp14:anchorId="6EBA1D5C" wp14:editId="0E922634">
              <wp:simplePos x="635" y="635"/>
              <wp:positionH relativeFrom="page">
                <wp:align>center</wp:align>
              </wp:positionH>
              <wp:positionV relativeFrom="page">
                <wp:align>top</wp:align>
              </wp:positionV>
              <wp:extent cx="551815" cy="452755"/>
              <wp:effectExtent l="0" t="0" r="635" b="4445"/>
              <wp:wrapNone/>
              <wp:docPr id="180522813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146E091A" w14:textId="77777777" w:rsidR="006A092C" w:rsidRPr="00022543" w:rsidRDefault="006A092C" w:rsidP="006A092C">
                          <w:pPr>
                            <w:spacing w:after="0"/>
                            <w:rPr>
                              <w:rFonts w:ascii="Calibri" w:eastAsia="Calibri" w:hAnsi="Calibri" w:cs="Calibri"/>
                              <w:color w:val="C00000"/>
                              <w:szCs w:val="24"/>
                            </w:rPr>
                          </w:pPr>
                          <w:r w:rsidRPr="00022543">
                            <w:rPr>
                              <w:rFonts w:ascii="Calibri" w:eastAsia="Calibri" w:hAnsi="Calibri" w:cs="Calibri"/>
                              <w:color w:val="C0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EBA1D5C" id="_x0000_t202" coordsize="21600,21600" o:spt="202" path="m,l,21600r21600,l21600,xe">
              <v:stroke joinstyle="miter"/>
              <v:path gradientshapeok="t" o:connecttype="rect"/>
            </v:shapetype>
            <v:shape id="Text Box 2" o:spid="_x0000_s1026" type="#_x0000_t202" alt="OFFICIAL" style="position:absolute;margin-left:0;margin-top:0;width:43.45pt;height:35.6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" filled="f" stroked="f">
              <v:textbox style="mso-fit-shape-to-text:t" inset="0,15pt,0,0">
                <w:txbxContent>
                  <w:p w14:paraId="146E091A" w14:textId="77777777" w:rsidR="006A092C" w:rsidRPr="00022543" w:rsidRDefault="006A092C" w:rsidP="006A092C">
                    <w:pPr>
                      <w:spacing w:after="0"/>
                      <w:rPr>
                        <w:rFonts w:ascii="Calibri" w:eastAsia="Calibri" w:hAnsi="Calibri" w:cs="Calibri"/>
                        <w:color w:val="C00000"/>
                        <w:szCs w:val="24"/>
                      </w:rPr>
                    </w:pPr>
                    <w:r w:rsidRPr="00022543">
                      <w:rPr>
                        <w:rFonts w:ascii="Calibri" w:eastAsia="Calibri" w:hAnsi="Calibri" w:cs="Calibri"/>
                        <w:color w:val="C0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BCD20" w14:textId="770695AF" w:rsidR="00194586" w:rsidRPr="00022543" w:rsidRDefault="00F95110" w:rsidP="00CD36CB">
    <w:pPr>
      <w:pStyle w:val="Header"/>
    </w:pPr>
    <w:r w:rsidRPr="00022543">
      <w:rPr>
        <w:noProof/>
      </w:rPr>
      <w:drawing>
        <wp:anchor distT="0" distB="0" distL="114300" distR="114300" simplePos="0" relativeHeight="251658245" behindDoc="1" locked="1" layoutInCell="1" allowOverlap="1" wp14:anchorId="263B0A72" wp14:editId="6BBC49A1">
          <wp:simplePos x="0" y="0"/>
          <wp:positionH relativeFrom="page">
            <wp:align>right</wp:align>
          </wp:positionH>
          <wp:positionV relativeFrom="page">
            <wp:align>top</wp:align>
          </wp:positionV>
          <wp:extent cx="2350800" cy="1310400"/>
          <wp:effectExtent l="0" t="0" r="0" b="0"/>
          <wp:wrapNone/>
          <wp:docPr id="1321614478" name="Graphic 41">
            <a:extLst xmlns:a="http://schemas.openxmlformats.org/drawingml/2006/main">
              <a:ext uri="{FF2B5EF4-FFF2-40B4-BE49-F238E27FC236}">
                <a16:creationId xmlns:a16="http://schemas.microsoft.com/office/drawing/2014/main" id="{EA3CC603-9E95-5823-1AF0-59A3AFD17361}"/>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Graphic 41">
                    <a:extLst>
                      <a:ext uri="{FF2B5EF4-FFF2-40B4-BE49-F238E27FC236}">
                        <a16:creationId xmlns:a16="http://schemas.microsoft.com/office/drawing/2014/main" id="{EA3CC603-9E95-5823-1AF0-59A3AFD17361}"/>
                      </a:ext>
                      <a:ext uri="{C183D7F6-B498-43B3-948B-1728B52AA6E4}">
                        <adec:decorative xmlns:adec="http://schemas.microsoft.com/office/drawing/2017/decorative" val="1"/>
                      </a:ext>
                    </a:extLst>
                  </pic:cNvPr>
                  <pic:cNvPicPr>
                    <a:picLocks noChangeAspect="1"/>
                  </pic:cNvPicPr>
                </pic:nvPicPr>
                <pic:blipFill>
                  <a:blip r:embed="rId1">
                    <a:extLst>
                      <a:ext uri="{96DAC541-7B7A-43D3-8B79-37D633B846F1}">
                        <asvg:svgBlip xmlns:asvg="http://schemas.microsoft.com/office/drawing/2016/SVG/main" r:embed="rId2"/>
                      </a:ext>
                    </a:extLst>
                  </a:blip>
                  <a:srcRect t="41031" r="19552"/>
                  <a:stretch>
                    <a:fillRect/>
                  </a:stretch>
                </pic:blipFill>
                <pic:spPr>
                  <a:xfrm>
                    <a:off x="0" y="0"/>
                    <a:ext cx="2350800" cy="1310400"/>
                  </a:xfrm>
                  <a:prstGeom prst="rect">
                    <a:avLst/>
                  </a:prstGeom>
                </pic:spPr>
              </pic:pic>
            </a:graphicData>
          </a:graphic>
          <wp14:sizeRelH relativeFrom="page">
            <wp14:pctWidth>0</wp14:pctWidth>
          </wp14:sizeRelH>
          <wp14:sizeRelV relativeFrom="page">
            <wp14:pctHeight>0</wp14:pctHeight>
          </wp14:sizeRelV>
        </wp:anchor>
      </w:drawing>
    </w:r>
    <w:r w:rsidR="00CD36CB" w:rsidRPr="00022543">
      <w:rPr>
        <w:noProof/>
      </w:rPr>
      <mc:AlternateContent>
        <mc:Choice Requires="wps">
          <w:drawing>
            <wp:anchor distT="0" distB="0" distL="114300" distR="114300" simplePos="0" relativeHeight="251658240" behindDoc="0" locked="0" layoutInCell="1" allowOverlap="1" wp14:anchorId="1DB691DA" wp14:editId="52A94186">
              <wp:simplePos x="0" y="0"/>
              <wp:positionH relativeFrom="page">
                <wp:posOffset>0</wp:posOffset>
              </wp:positionH>
              <wp:positionV relativeFrom="page">
                <wp:posOffset>0</wp:posOffset>
              </wp:positionV>
              <wp:extent cx="1962000" cy="284400"/>
              <wp:effectExtent l="0" t="0" r="635" b="1905"/>
              <wp:wrapNone/>
              <wp:docPr id="7" name="Rectangle 1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962000" cy="284400"/>
                      </a:xfrm>
                      <a:custGeom>
                        <a:avLst/>
                        <a:gdLst>
                          <a:gd name="connsiteX0" fmla="*/ 0 w 2332168"/>
                          <a:gd name="connsiteY0" fmla="*/ 0 h 336570"/>
                          <a:gd name="connsiteX1" fmla="*/ 2332168 w 2332168"/>
                          <a:gd name="connsiteY1" fmla="*/ 0 h 336570"/>
                          <a:gd name="connsiteX2" fmla="*/ 2332168 w 2332168"/>
                          <a:gd name="connsiteY2" fmla="*/ 336570 h 336570"/>
                          <a:gd name="connsiteX3" fmla="*/ 0 w 2332168"/>
                          <a:gd name="connsiteY3" fmla="*/ 336570 h 336570"/>
                          <a:gd name="connsiteX4" fmla="*/ 0 w 2332168"/>
                          <a:gd name="connsiteY4" fmla="*/ 0 h 336570"/>
                          <a:gd name="connsiteX0" fmla="*/ 0 w 2332168"/>
                          <a:gd name="connsiteY0" fmla="*/ 0 h 336570"/>
                          <a:gd name="connsiteX1" fmla="*/ 2332168 w 2332168"/>
                          <a:gd name="connsiteY1" fmla="*/ 0 h 336570"/>
                          <a:gd name="connsiteX2" fmla="*/ 2266641 w 2332168"/>
                          <a:gd name="connsiteY2" fmla="*/ 196581 h 336570"/>
                          <a:gd name="connsiteX3" fmla="*/ 0 w 2332168"/>
                          <a:gd name="connsiteY3" fmla="*/ 336570 h 336570"/>
                          <a:gd name="connsiteX4" fmla="*/ 0 w 2332168"/>
                          <a:gd name="connsiteY4" fmla="*/ 0 h 33657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332168" h="336570">
                            <a:moveTo>
                              <a:pt x="0" y="0"/>
                            </a:moveTo>
                            <a:lnTo>
                              <a:pt x="2332168" y="0"/>
                            </a:lnTo>
                            <a:lnTo>
                              <a:pt x="2266641" y="196581"/>
                            </a:lnTo>
                            <a:lnTo>
                              <a:pt x="0" y="336570"/>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shape w14:anchorId="6513C476" id="Rectangle 12" o:spid="_x0000_s1026" alt="&quot;&quot;" style="position:absolute;margin-left:0;margin-top:0;width:154.5pt;height:22.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coordsize="2332168,336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" path="m,l2332168,r-65527,196581l,336570,,xe" fillcolor="#237aab [3204]" stroked="f" strokeweight="1pt">
              <v:stroke joinstyle="miter"/>
              <v:path arrowok="t" o:connecttype="custom" o:connectlocs="0,0;1962000,0;1906874,166110;0,284400;0,0" o:connectangles="0,0,0,0,0"/>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F83E0FBE"/>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00CCF416"/>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52A5BE3"/>
    <w:multiLevelType w:val="multilevel"/>
    <w:tmpl w:val="0C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94D74F4"/>
    <w:multiLevelType w:val="hybridMultilevel"/>
    <w:tmpl w:val="D6283F8E"/>
    <w:lvl w:ilvl="0" w:tplc="6A00F20A">
      <w:start w:val="1"/>
      <w:numFmt w:val="bullet"/>
      <w:lvlText w:val=""/>
      <w:lvlJc w:val="left"/>
      <w:pPr>
        <w:ind w:left="567" w:hanging="567"/>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BF078C0"/>
    <w:multiLevelType w:val="hybridMultilevel"/>
    <w:tmpl w:val="6A641E4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2A1651B5"/>
    <w:multiLevelType w:val="hybridMultilevel"/>
    <w:tmpl w:val="B4F83EAA"/>
    <w:lvl w:ilvl="0" w:tplc="7D140F2C">
      <w:numFmt w:val="bullet"/>
      <w:lvlText w:val="-"/>
      <w:lvlJc w:val="left"/>
      <w:pPr>
        <w:ind w:left="720" w:hanging="360"/>
      </w:pPr>
      <w:rPr>
        <w:rFonts w:ascii="Calibri" w:hAnsi="Calibri" w:hint="default"/>
      </w:rPr>
    </w:lvl>
    <w:lvl w:ilvl="1" w:tplc="594C0F12" w:tentative="1">
      <w:start w:val="1"/>
      <w:numFmt w:val="bullet"/>
      <w:lvlText w:val="o"/>
      <w:lvlJc w:val="left"/>
      <w:pPr>
        <w:ind w:left="1440" w:hanging="360"/>
      </w:pPr>
      <w:rPr>
        <w:rFonts w:ascii="Courier New" w:hAnsi="Courier New" w:hint="default"/>
      </w:rPr>
    </w:lvl>
    <w:lvl w:ilvl="2" w:tplc="8D882A1A" w:tentative="1">
      <w:start w:val="1"/>
      <w:numFmt w:val="bullet"/>
      <w:lvlText w:val=""/>
      <w:lvlJc w:val="left"/>
      <w:pPr>
        <w:ind w:left="2160" w:hanging="360"/>
      </w:pPr>
      <w:rPr>
        <w:rFonts w:ascii="Wingdings" w:hAnsi="Wingdings" w:hint="default"/>
      </w:rPr>
    </w:lvl>
    <w:lvl w:ilvl="3" w:tplc="9854572E" w:tentative="1">
      <w:start w:val="1"/>
      <w:numFmt w:val="bullet"/>
      <w:lvlText w:val=""/>
      <w:lvlJc w:val="left"/>
      <w:pPr>
        <w:ind w:left="2880" w:hanging="360"/>
      </w:pPr>
      <w:rPr>
        <w:rFonts w:ascii="Symbol" w:hAnsi="Symbol" w:hint="default"/>
      </w:rPr>
    </w:lvl>
    <w:lvl w:ilvl="4" w:tplc="DB88A898" w:tentative="1">
      <w:start w:val="1"/>
      <w:numFmt w:val="bullet"/>
      <w:lvlText w:val="o"/>
      <w:lvlJc w:val="left"/>
      <w:pPr>
        <w:ind w:left="3600" w:hanging="360"/>
      </w:pPr>
      <w:rPr>
        <w:rFonts w:ascii="Courier New" w:hAnsi="Courier New" w:hint="default"/>
      </w:rPr>
    </w:lvl>
    <w:lvl w:ilvl="5" w:tplc="7506C7A6" w:tentative="1">
      <w:start w:val="1"/>
      <w:numFmt w:val="bullet"/>
      <w:lvlText w:val=""/>
      <w:lvlJc w:val="left"/>
      <w:pPr>
        <w:ind w:left="4320" w:hanging="360"/>
      </w:pPr>
      <w:rPr>
        <w:rFonts w:ascii="Wingdings" w:hAnsi="Wingdings" w:hint="default"/>
      </w:rPr>
    </w:lvl>
    <w:lvl w:ilvl="6" w:tplc="A4D04DCC" w:tentative="1">
      <w:start w:val="1"/>
      <w:numFmt w:val="bullet"/>
      <w:lvlText w:val=""/>
      <w:lvlJc w:val="left"/>
      <w:pPr>
        <w:ind w:left="5040" w:hanging="360"/>
      </w:pPr>
      <w:rPr>
        <w:rFonts w:ascii="Symbol" w:hAnsi="Symbol" w:hint="default"/>
      </w:rPr>
    </w:lvl>
    <w:lvl w:ilvl="7" w:tplc="0D5CF78C" w:tentative="1">
      <w:start w:val="1"/>
      <w:numFmt w:val="bullet"/>
      <w:lvlText w:val="o"/>
      <w:lvlJc w:val="left"/>
      <w:pPr>
        <w:ind w:left="5760" w:hanging="360"/>
      </w:pPr>
      <w:rPr>
        <w:rFonts w:ascii="Courier New" w:hAnsi="Courier New" w:hint="default"/>
      </w:rPr>
    </w:lvl>
    <w:lvl w:ilvl="8" w:tplc="7F26705C" w:tentative="1">
      <w:start w:val="1"/>
      <w:numFmt w:val="bullet"/>
      <w:lvlText w:val=""/>
      <w:lvlJc w:val="left"/>
      <w:pPr>
        <w:ind w:left="6480" w:hanging="360"/>
      </w:pPr>
      <w:rPr>
        <w:rFonts w:ascii="Wingdings" w:hAnsi="Wingdings" w:hint="default"/>
      </w:rPr>
    </w:lvl>
  </w:abstractNum>
  <w:abstractNum w:abstractNumId="6" w15:restartNumberingAfterBreak="0">
    <w:nsid w:val="347F34AF"/>
    <w:multiLevelType w:val="multilevel"/>
    <w:tmpl w:val="B45A7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B492487"/>
    <w:multiLevelType w:val="hybridMultilevel"/>
    <w:tmpl w:val="EDDA6CF8"/>
    <w:lvl w:ilvl="0" w:tplc="0C090001">
      <w:start w:val="1"/>
      <w:numFmt w:val="bullet"/>
      <w:lvlText w:val=""/>
      <w:lvlJc w:val="left"/>
      <w:pPr>
        <w:ind w:left="1167" w:hanging="360"/>
      </w:pPr>
      <w:rPr>
        <w:rFonts w:ascii="Symbol" w:hAnsi="Symbol" w:hint="default"/>
      </w:rPr>
    </w:lvl>
    <w:lvl w:ilvl="1" w:tplc="0C090003" w:tentative="1">
      <w:start w:val="1"/>
      <w:numFmt w:val="bullet"/>
      <w:lvlText w:val="o"/>
      <w:lvlJc w:val="left"/>
      <w:pPr>
        <w:ind w:left="1887" w:hanging="360"/>
      </w:pPr>
      <w:rPr>
        <w:rFonts w:ascii="Courier New" w:hAnsi="Courier New" w:cs="Courier New" w:hint="default"/>
      </w:rPr>
    </w:lvl>
    <w:lvl w:ilvl="2" w:tplc="0C090005" w:tentative="1">
      <w:start w:val="1"/>
      <w:numFmt w:val="bullet"/>
      <w:lvlText w:val=""/>
      <w:lvlJc w:val="left"/>
      <w:pPr>
        <w:ind w:left="2607" w:hanging="360"/>
      </w:pPr>
      <w:rPr>
        <w:rFonts w:ascii="Wingdings" w:hAnsi="Wingdings" w:hint="default"/>
      </w:rPr>
    </w:lvl>
    <w:lvl w:ilvl="3" w:tplc="0C090001" w:tentative="1">
      <w:start w:val="1"/>
      <w:numFmt w:val="bullet"/>
      <w:lvlText w:val=""/>
      <w:lvlJc w:val="left"/>
      <w:pPr>
        <w:ind w:left="3327" w:hanging="360"/>
      </w:pPr>
      <w:rPr>
        <w:rFonts w:ascii="Symbol" w:hAnsi="Symbol" w:hint="default"/>
      </w:rPr>
    </w:lvl>
    <w:lvl w:ilvl="4" w:tplc="0C090003" w:tentative="1">
      <w:start w:val="1"/>
      <w:numFmt w:val="bullet"/>
      <w:lvlText w:val="o"/>
      <w:lvlJc w:val="left"/>
      <w:pPr>
        <w:ind w:left="4047" w:hanging="360"/>
      </w:pPr>
      <w:rPr>
        <w:rFonts w:ascii="Courier New" w:hAnsi="Courier New" w:cs="Courier New" w:hint="default"/>
      </w:rPr>
    </w:lvl>
    <w:lvl w:ilvl="5" w:tplc="0C090005" w:tentative="1">
      <w:start w:val="1"/>
      <w:numFmt w:val="bullet"/>
      <w:lvlText w:val=""/>
      <w:lvlJc w:val="left"/>
      <w:pPr>
        <w:ind w:left="4767" w:hanging="360"/>
      </w:pPr>
      <w:rPr>
        <w:rFonts w:ascii="Wingdings" w:hAnsi="Wingdings" w:hint="default"/>
      </w:rPr>
    </w:lvl>
    <w:lvl w:ilvl="6" w:tplc="0C090001" w:tentative="1">
      <w:start w:val="1"/>
      <w:numFmt w:val="bullet"/>
      <w:lvlText w:val=""/>
      <w:lvlJc w:val="left"/>
      <w:pPr>
        <w:ind w:left="5487" w:hanging="360"/>
      </w:pPr>
      <w:rPr>
        <w:rFonts w:ascii="Symbol" w:hAnsi="Symbol" w:hint="default"/>
      </w:rPr>
    </w:lvl>
    <w:lvl w:ilvl="7" w:tplc="0C090003" w:tentative="1">
      <w:start w:val="1"/>
      <w:numFmt w:val="bullet"/>
      <w:lvlText w:val="o"/>
      <w:lvlJc w:val="left"/>
      <w:pPr>
        <w:ind w:left="6207" w:hanging="360"/>
      </w:pPr>
      <w:rPr>
        <w:rFonts w:ascii="Courier New" w:hAnsi="Courier New" w:cs="Courier New" w:hint="default"/>
      </w:rPr>
    </w:lvl>
    <w:lvl w:ilvl="8" w:tplc="0C090005" w:tentative="1">
      <w:start w:val="1"/>
      <w:numFmt w:val="bullet"/>
      <w:lvlText w:val=""/>
      <w:lvlJc w:val="left"/>
      <w:pPr>
        <w:ind w:left="6927" w:hanging="360"/>
      </w:pPr>
      <w:rPr>
        <w:rFonts w:ascii="Wingdings" w:hAnsi="Wingdings" w:hint="default"/>
      </w:rPr>
    </w:lvl>
  </w:abstractNum>
  <w:abstractNum w:abstractNumId="8" w15:restartNumberingAfterBreak="0">
    <w:nsid w:val="3F817F14"/>
    <w:multiLevelType w:val="multilevel"/>
    <w:tmpl w:val="F19A4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67F4B1A"/>
    <w:multiLevelType w:val="hybridMultilevel"/>
    <w:tmpl w:val="7A22CA2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46C65643"/>
    <w:multiLevelType w:val="multilevel"/>
    <w:tmpl w:val="FE6AB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A305039"/>
    <w:multiLevelType w:val="hybridMultilevel"/>
    <w:tmpl w:val="AFE440F6"/>
    <w:lvl w:ilvl="0" w:tplc="8A9E7376">
      <w:start w:val="1"/>
      <w:numFmt w:val="bullet"/>
      <w:lvlText w:val="•"/>
      <w:lvlJc w:val="left"/>
      <w:pPr>
        <w:tabs>
          <w:tab w:val="num" w:pos="720"/>
        </w:tabs>
        <w:ind w:left="720" w:hanging="360"/>
      </w:pPr>
      <w:rPr>
        <w:rFonts w:ascii="Arial" w:hAnsi="Arial" w:hint="default"/>
      </w:rPr>
    </w:lvl>
    <w:lvl w:ilvl="1" w:tplc="EC44B51E" w:tentative="1">
      <w:start w:val="1"/>
      <w:numFmt w:val="bullet"/>
      <w:lvlText w:val="•"/>
      <w:lvlJc w:val="left"/>
      <w:pPr>
        <w:tabs>
          <w:tab w:val="num" w:pos="1440"/>
        </w:tabs>
        <w:ind w:left="1440" w:hanging="360"/>
      </w:pPr>
      <w:rPr>
        <w:rFonts w:ascii="Arial" w:hAnsi="Arial" w:hint="default"/>
      </w:rPr>
    </w:lvl>
    <w:lvl w:ilvl="2" w:tplc="F30A5B74" w:tentative="1">
      <w:start w:val="1"/>
      <w:numFmt w:val="bullet"/>
      <w:lvlText w:val="•"/>
      <w:lvlJc w:val="left"/>
      <w:pPr>
        <w:tabs>
          <w:tab w:val="num" w:pos="2160"/>
        </w:tabs>
        <w:ind w:left="2160" w:hanging="360"/>
      </w:pPr>
      <w:rPr>
        <w:rFonts w:ascii="Arial" w:hAnsi="Arial" w:hint="default"/>
      </w:rPr>
    </w:lvl>
    <w:lvl w:ilvl="3" w:tplc="EE5AA906" w:tentative="1">
      <w:start w:val="1"/>
      <w:numFmt w:val="bullet"/>
      <w:lvlText w:val="•"/>
      <w:lvlJc w:val="left"/>
      <w:pPr>
        <w:tabs>
          <w:tab w:val="num" w:pos="2880"/>
        </w:tabs>
        <w:ind w:left="2880" w:hanging="360"/>
      </w:pPr>
      <w:rPr>
        <w:rFonts w:ascii="Arial" w:hAnsi="Arial" w:hint="default"/>
      </w:rPr>
    </w:lvl>
    <w:lvl w:ilvl="4" w:tplc="DECA6484" w:tentative="1">
      <w:start w:val="1"/>
      <w:numFmt w:val="bullet"/>
      <w:lvlText w:val="•"/>
      <w:lvlJc w:val="left"/>
      <w:pPr>
        <w:tabs>
          <w:tab w:val="num" w:pos="3600"/>
        </w:tabs>
        <w:ind w:left="3600" w:hanging="360"/>
      </w:pPr>
      <w:rPr>
        <w:rFonts w:ascii="Arial" w:hAnsi="Arial" w:hint="default"/>
      </w:rPr>
    </w:lvl>
    <w:lvl w:ilvl="5" w:tplc="85383BD0" w:tentative="1">
      <w:start w:val="1"/>
      <w:numFmt w:val="bullet"/>
      <w:lvlText w:val="•"/>
      <w:lvlJc w:val="left"/>
      <w:pPr>
        <w:tabs>
          <w:tab w:val="num" w:pos="4320"/>
        </w:tabs>
        <w:ind w:left="4320" w:hanging="360"/>
      </w:pPr>
      <w:rPr>
        <w:rFonts w:ascii="Arial" w:hAnsi="Arial" w:hint="default"/>
      </w:rPr>
    </w:lvl>
    <w:lvl w:ilvl="6" w:tplc="0B18D63A" w:tentative="1">
      <w:start w:val="1"/>
      <w:numFmt w:val="bullet"/>
      <w:lvlText w:val="•"/>
      <w:lvlJc w:val="left"/>
      <w:pPr>
        <w:tabs>
          <w:tab w:val="num" w:pos="5040"/>
        </w:tabs>
        <w:ind w:left="5040" w:hanging="360"/>
      </w:pPr>
      <w:rPr>
        <w:rFonts w:ascii="Arial" w:hAnsi="Arial" w:hint="default"/>
      </w:rPr>
    </w:lvl>
    <w:lvl w:ilvl="7" w:tplc="EE68C1F2" w:tentative="1">
      <w:start w:val="1"/>
      <w:numFmt w:val="bullet"/>
      <w:lvlText w:val="•"/>
      <w:lvlJc w:val="left"/>
      <w:pPr>
        <w:tabs>
          <w:tab w:val="num" w:pos="5760"/>
        </w:tabs>
        <w:ind w:left="5760" w:hanging="360"/>
      </w:pPr>
      <w:rPr>
        <w:rFonts w:ascii="Arial" w:hAnsi="Arial" w:hint="default"/>
      </w:rPr>
    </w:lvl>
    <w:lvl w:ilvl="8" w:tplc="F71211E2"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4FFA7F3B"/>
    <w:multiLevelType w:val="multilevel"/>
    <w:tmpl w:val="BC00C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52E10FD"/>
    <w:multiLevelType w:val="hybridMultilevel"/>
    <w:tmpl w:val="66D46394"/>
    <w:lvl w:ilvl="0" w:tplc="E2F097D6">
      <w:numFmt w:val="bullet"/>
      <w:pStyle w:val="ListParagraph"/>
      <w:lvlText w:val=""/>
      <w:lvlJc w:val="left"/>
      <w:pPr>
        <w:ind w:left="567" w:hanging="567"/>
      </w:pPr>
      <w:rPr>
        <w:rFonts w:ascii="Symbol" w:eastAsiaTheme="minorHAnsi" w:hAnsi="Symbol" w:cstheme="minorBidi" w:hint="default"/>
      </w:rPr>
    </w:lvl>
    <w:lvl w:ilvl="1" w:tplc="6606920E">
      <w:numFmt w:val="bullet"/>
      <w:lvlText w:val="-"/>
      <w:lvlJc w:val="left"/>
      <w:pPr>
        <w:ind w:left="1134" w:hanging="567"/>
      </w:pPr>
      <w:rPr>
        <w:rFonts w:ascii="Calibri" w:eastAsiaTheme="minorHAnsi" w:hAnsi="Calibri" w:hint="default"/>
      </w:rPr>
    </w:lvl>
    <w:lvl w:ilvl="2" w:tplc="75C69B6E">
      <w:start w:val="1"/>
      <w:numFmt w:val="bullet"/>
      <w:lvlText w:val=""/>
      <w:lvlJc w:val="left"/>
      <w:pPr>
        <w:ind w:left="1701" w:hanging="567"/>
      </w:pPr>
      <w:rPr>
        <w:rFonts w:ascii="Wingdings" w:hAnsi="Wingdings" w:hint="default"/>
      </w:rPr>
    </w:lvl>
    <w:lvl w:ilvl="3" w:tplc="B84A8EA2">
      <w:start w:val="1"/>
      <w:numFmt w:val="bullet"/>
      <w:lvlText w:val=""/>
      <w:lvlJc w:val="left"/>
      <w:pPr>
        <w:ind w:left="2268" w:hanging="567"/>
      </w:pPr>
      <w:rPr>
        <w:rFonts w:ascii="Symbol" w:hAnsi="Symbol" w:hint="default"/>
      </w:rPr>
    </w:lvl>
    <w:lvl w:ilvl="4" w:tplc="9E469228">
      <w:start w:val="1"/>
      <w:numFmt w:val="bullet"/>
      <w:lvlText w:val="o"/>
      <w:lvlJc w:val="left"/>
      <w:pPr>
        <w:ind w:left="2835" w:hanging="567"/>
      </w:pPr>
      <w:rPr>
        <w:rFonts w:ascii="Courier New" w:hAnsi="Courier New" w:hint="default"/>
      </w:rPr>
    </w:lvl>
    <w:lvl w:ilvl="5" w:tplc="406CF0B6">
      <w:start w:val="1"/>
      <w:numFmt w:val="bullet"/>
      <w:lvlText w:val=""/>
      <w:lvlJc w:val="left"/>
      <w:pPr>
        <w:ind w:left="3402" w:hanging="567"/>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75E78A8"/>
    <w:multiLevelType w:val="hybridMultilevel"/>
    <w:tmpl w:val="CF22F768"/>
    <w:lvl w:ilvl="0" w:tplc="0D524BF0">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 w15:restartNumberingAfterBreak="0">
    <w:nsid w:val="603D5236"/>
    <w:multiLevelType w:val="multilevel"/>
    <w:tmpl w:val="4CF85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55074E5"/>
    <w:multiLevelType w:val="hybridMultilevel"/>
    <w:tmpl w:val="15CA3E48"/>
    <w:lvl w:ilvl="0" w:tplc="93BAD356">
      <w:start w:val="1"/>
      <w:numFmt w:val="decimal"/>
      <w:lvlText w:val="%1."/>
      <w:lvlJc w:val="left"/>
      <w:pPr>
        <w:ind w:left="567" w:hanging="567"/>
      </w:pPr>
      <w:rPr>
        <w:rFonts w:hint="default"/>
      </w:rPr>
    </w:lvl>
    <w:lvl w:ilvl="1" w:tplc="D2E408C2">
      <w:start w:val="1"/>
      <w:numFmt w:val="lowerLetter"/>
      <w:lvlText w:val="%2."/>
      <w:lvlJc w:val="left"/>
      <w:pPr>
        <w:ind w:left="1134" w:hanging="567"/>
      </w:pPr>
      <w:rPr>
        <w:rFonts w:hint="default"/>
      </w:rPr>
    </w:lvl>
    <w:lvl w:ilvl="2" w:tplc="528088D0">
      <w:start w:val="1"/>
      <w:numFmt w:val="lowerRoman"/>
      <w:lvlText w:val="%3."/>
      <w:lvlJc w:val="right"/>
      <w:pPr>
        <w:ind w:left="1701" w:hanging="567"/>
      </w:pPr>
      <w:rPr>
        <w:rFonts w:hint="default"/>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422605387">
    <w:abstractNumId w:val="13"/>
  </w:num>
  <w:num w:numId="2" w16cid:durableId="648444589">
    <w:abstractNumId w:val="16"/>
  </w:num>
  <w:num w:numId="3" w16cid:durableId="1474374502">
    <w:abstractNumId w:val="2"/>
  </w:num>
  <w:num w:numId="4" w16cid:durableId="660547498">
    <w:abstractNumId w:val="1"/>
  </w:num>
  <w:num w:numId="5" w16cid:durableId="1405948882">
    <w:abstractNumId w:val="0"/>
  </w:num>
  <w:num w:numId="6" w16cid:durableId="1770931210">
    <w:abstractNumId w:val="3"/>
  </w:num>
  <w:num w:numId="7" w16cid:durableId="1514956900">
    <w:abstractNumId w:val="4"/>
  </w:num>
  <w:num w:numId="8" w16cid:durableId="1928151220">
    <w:abstractNumId w:val="14"/>
  </w:num>
  <w:num w:numId="9" w16cid:durableId="1919442051">
    <w:abstractNumId w:val="9"/>
  </w:num>
  <w:num w:numId="10" w16cid:durableId="1203635149">
    <w:abstractNumId w:val="11"/>
  </w:num>
  <w:num w:numId="11" w16cid:durableId="359823407">
    <w:abstractNumId w:val="10"/>
  </w:num>
  <w:num w:numId="12" w16cid:durableId="94207277">
    <w:abstractNumId w:val="6"/>
  </w:num>
  <w:num w:numId="13" w16cid:durableId="1553231315">
    <w:abstractNumId w:val="8"/>
  </w:num>
  <w:num w:numId="14" w16cid:durableId="244152555">
    <w:abstractNumId w:val="5"/>
  </w:num>
  <w:num w:numId="15" w16cid:durableId="1187252860">
    <w:abstractNumId w:val="12"/>
  </w:num>
  <w:num w:numId="16" w16cid:durableId="1069689425">
    <w:abstractNumId w:val="15"/>
  </w:num>
  <w:num w:numId="17" w16cid:durableId="1927762587">
    <w:abstractNumId w:val="7"/>
  </w:num>
  <w:num w:numId="18" w16cid:durableId="1753040383">
    <w:abstractNumId w:val="13"/>
  </w:num>
  <w:num w:numId="19" w16cid:durableId="1032389058">
    <w:abstractNumId w:val="13"/>
  </w:num>
  <w:num w:numId="20" w16cid:durableId="1226603080">
    <w:abstractNumId w:val="13"/>
  </w:num>
  <w:num w:numId="21" w16cid:durableId="1125656448">
    <w:abstractNumId w:val="13"/>
  </w:num>
  <w:num w:numId="22" w16cid:durableId="514612590">
    <w:abstractNumId w:val="13"/>
  </w:num>
  <w:num w:numId="23" w16cid:durableId="1731995876">
    <w:abstractNumId w:val="13"/>
  </w:num>
  <w:num w:numId="24" w16cid:durableId="940914014">
    <w:abstractNumId w:val="13"/>
  </w:num>
  <w:num w:numId="25" w16cid:durableId="552042294">
    <w:abstractNumId w:val="13"/>
  </w:num>
  <w:num w:numId="26" w16cid:durableId="1507162777">
    <w:abstractNumId w:val="13"/>
  </w:num>
  <w:num w:numId="27" w16cid:durableId="552423845">
    <w:abstractNumId w:val="13"/>
  </w:num>
  <w:num w:numId="28" w16cid:durableId="352222914">
    <w:abstractNumId w:val="13"/>
  </w:num>
  <w:num w:numId="29" w16cid:durableId="268591795">
    <w:abstractNumId w:val="13"/>
  </w:num>
  <w:num w:numId="30" w16cid:durableId="452672296">
    <w:abstractNumId w:val="13"/>
  </w:num>
  <w:num w:numId="31" w16cid:durableId="634872263">
    <w:abstractNumId w:val="13"/>
  </w:num>
  <w:num w:numId="32" w16cid:durableId="397284291">
    <w:abstractNumId w:val="13"/>
  </w:num>
  <w:num w:numId="33" w16cid:durableId="1953895065">
    <w:abstractNumId w:val="1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629"/>
    <w:rsid w:val="00003766"/>
    <w:rsid w:val="00006CBE"/>
    <w:rsid w:val="00007C82"/>
    <w:rsid w:val="00014132"/>
    <w:rsid w:val="00022543"/>
    <w:rsid w:val="0003052E"/>
    <w:rsid w:val="000327C0"/>
    <w:rsid w:val="00032995"/>
    <w:rsid w:val="00034235"/>
    <w:rsid w:val="00034867"/>
    <w:rsid w:val="000437D6"/>
    <w:rsid w:val="00043CF8"/>
    <w:rsid w:val="00043F36"/>
    <w:rsid w:val="00045EC1"/>
    <w:rsid w:val="00051FEF"/>
    <w:rsid w:val="0005272C"/>
    <w:rsid w:val="00054C2D"/>
    <w:rsid w:val="000552B3"/>
    <w:rsid w:val="00055599"/>
    <w:rsid w:val="000616D1"/>
    <w:rsid w:val="0006282D"/>
    <w:rsid w:val="0006644F"/>
    <w:rsid w:val="0006762A"/>
    <w:rsid w:val="0007067B"/>
    <w:rsid w:val="00074CAE"/>
    <w:rsid w:val="00075A9C"/>
    <w:rsid w:val="0007664F"/>
    <w:rsid w:val="00076A7C"/>
    <w:rsid w:val="00080667"/>
    <w:rsid w:val="0008167B"/>
    <w:rsid w:val="00081B94"/>
    <w:rsid w:val="00081D07"/>
    <w:rsid w:val="000840B1"/>
    <w:rsid w:val="000874A3"/>
    <w:rsid w:val="0009080F"/>
    <w:rsid w:val="00090DDB"/>
    <w:rsid w:val="00093EB5"/>
    <w:rsid w:val="00097A35"/>
    <w:rsid w:val="000A58C5"/>
    <w:rsid w:val="000A6AA6"/>
    <w:rsid w:val="000A707B"/>
    <w:rsid w:val="000A75CB"/>
    <w:rsid w:val="000B0A79"/>
    <w:rsid w:val="000B3902"/>
    <w:rsid w:val="000B6C60"/>
    <w:rsid w:val="000C3494"/>
    <w:rsid w:val="000C3D25"/>
    <w:rsid w:val="000C3EA4"/>
    <w:rsid w:val="000C6258"/>
    <w:rsid w:val="000D00EC"/>
    <w:rsid w:val="000D6E9D"/>
    <w:rsid w:val="000E0F53"/>
    <w:rsid w:val="000E2F54"/>
    <w:rsid w:val="000E599A"/>
    <w:rsid w:val="000E5C60"/>
    <w:rsid w:val="000E7A84"/>
    <w:rsid w:val="000F0D4D"/>
    <w:rsid w:val="000F2564"/>
    <w:rsid w:val="000F2F13"/>
    <w:rsid w:val="000F716B"/>
    <w:rsid w:val="00106CC2"/>
    <w:rsid w:val="00112768"/>
    <w:rsid w:val="001165CE"/>
    <w:rsid w:val="0012210D"/>
    <w:rsid w:val="00122A03"/>
    <w:rsid w:val="0013454A"/>
    <w:rsid w:val="001346AF"/>
    <w:rsid w:val="00137FBE"/>
    <w:rsid w:val="00142037"/>
    <w:rsid w:val="0014253D"/>
    <w:rsid w:val="00144FD9"/>
    <w:rsid w:val="00147118"/>
    <w:rsid w:val="00151C2B"/>
    <w:rsid w:val="00153C15"/>
    <w:rsid w:val="001550D4"/>
    <w:rsid w:val="001562CB"/>
    <w:rsid w:val="001572AE"/>
    <w:rsid w:val="00170079"/>
    <w:rsid w:val="00171757"/>
    <w:rsid w:val="00173ACF"/>
    <w:rsid w:val="00176A02"/>
    <w:rsid w:val="00176D67"/>
    <w:rsid w:val="0018359D"/>
    <w:rsid w:val="0018753C"/>
    <w:rsid w:val="00187D1D"/>
    <w:rsid w:val="00191ADA"/>
    <w:rsid w:val="00191E1A"/>
    <w:rsid w:val="001923D6"/>
    <w:rsid w:val="00193F92"/>
    <w:rsid w:val="00194586"/>
    <w:rsid w:val="0019581B"/>
    <w:rsid w:val="001A128A"/>
    <w:rsid w:val="001A38CC"/>
    <w:rsid w:val="001A475B"/>
    <w:rsid w:val="001A7B24"/>
    <w:rsid w:val="001B0C16"/>
    <w:rsid w:val="001B2348"/>
    <w:rsid w:val="001B2BD2"/>
    <w:rsid w:val="001B314C"/>
    <w:rsid w:val="001B5F16"/>
    <w:rsid w:val="001B6FBF"/>
    <w:rsid w:val="001B795F"/>
    <w:rsid w:val="001C02E9"/>
    <w:rsid w:val="001C059F"/>
    <w:rsid w:val="001C32A2"/>
    <w:rsid w:val="001C6BB5"/>
    <w:rsid w:val="001D216A"/>
    <w:rsid w:val="001D2E82"/>
    <w:rsid w:val="001D51DA"/>
    <w:rsid w:val="001E224C"/>
    <w:rsid w:val="001E278F"/>
    <w:rsid w:val="001E34F1"/>
    <w:rsid w:val="001F5AB1"/>
    <w:rsid w:val="00200E1E"/>
    <w:rsid w:val="002023E5"/>
    <w:rsid w:val="00205DF3"/>
    <w:rsid w:val="00211401"/>
    <w:rsid w:val="00213847"/>
    <w:rsid w:val="0022083E"/>
    <w:rsid w:val="002219A3"/>
    <w:rsid w:val="00222D0B"/>
    <w:rsid w:val="002272A2"/>
    <w:rsid w:val="0023347B"/>
    <w:rsid w:val="0023751B"/>
    <w:rsid w:val="00241D3D"/>
    <w:rsid w:val="00246AE0"/>
    <w:rsid w:val="002512CD"/>
    <w:rsid w:val="00254DA8"/>
    <w:rsid w:val="002561BF"/>
    <w:rsid w:val="00257BDB"/>
    <w:rsid w:val="00261D1C"/>
    <w:rsid w:val="00263033"/>
    <w:rsid w:val="002631BB"/>
    <w:rsid w:val="00263421"/>
    <w:rsid w:val="00264268"/>
    <w:rsid w:val="0026464A"/>
    <w:rsid w:val="00266F7C"/>
    <w:rsid w:val="00267CD7"/>
    <w:rsid w:val="00270AD4"/>
    <w:rsid w:val="0027272C"/>
    <w:rsid w:val="00272B04"/>
    <w:rsid w:val="0027324B"/>
    <w:rsid w:val="00274C94"/>
    <w:rsid w:val="00275AD0"/>
    <w:rsid w:val="00282ED3"/>
    <w:rsid w:val="0028768C"/>
    <w:rsid w:val="002A101F"/>
    <w:rsid w:val="002A1A46"/>
    <w:rsid w:val="002A4761"/>
    <w:rsid w:val="002B1510"/>
    <w:rsid w:val="002B1B75"/>
    <w:rsid w:val="002B2500"/>
    <w:rsid w:val="002B3A3A"/>
    <w:rsid w:val="002B44D3"/>
    <w:rsid w:val="002B48A5"/>
    <w:rsid w:val="002B4C07"/>
    <w:rsid w:val="002B5C69"/>
    <w:rsid w:val="002C1ED0"/>
    <w:rsid w:val="002C2274"/>
    <w:rsid w:val="002C2CE6"/>
    <w:rsid w:val="002C315A"/>
    <w:rsid w:val="002C3B61"/>
    <w:rsid w:val="002C4C6F"/>
    <w:rsid w:val="002C7552"/>
    <w:rsid w:val="002D230B"/>
    <w:rsid w:val="002D78E9"/>
    <w:rsid w:val="002E11D6"/>
    <w:rsid w:val="002F1CE8"/>
    <w:rsid w:val="002F256C"/>
    <w:rsid w:val="002F60C0"/>
    <w:rsid w:val="00306806"/>
    <w:rsid w:val="0030791A"/>
    <w:rsid w:val="00307C63"/>
    <w:rsid w:val="0031048E"/>
    <w:rsid w:val="00312A6D"/>
    <w:rsid w:val="003131AF"/>
    <w:rsid w:val="0031654A"/>
    <w:rsid w:val="003174B5"/>
    <w:rsid w:val="003302E0"/>
    <w:rsid w:val="00330C0B"/>
    <w:rsid w:val="00335C23"/>
    <w:rsid w:val="003369D2"/>
    <w:rsid w:val="0034465A"/>
    <w:rsid w:val="0035140F"/>
    <w:rsid w:val="00351E48"/>
    <w:rsid w:val="003539FB"/>
    <w:rsid w:val="00357259"/>
    <w:rsid w:val="00361D74"/>
    <w:rsid w:val="00363D39"/>
    <w:rsid w:val="00363D92"/>
    <w:rsid w:val="00364967"/>
    <w:rsid w:val="003658AA"/>
    <w:rsid w:val="00367EFB"/>
    <w:rsid w:val="003776D2"/>
    <w:rsid w:val="0038121F"/>
    <w:rsid w:val="0038706F"/>
    <w:rsid w:val="00393784"/>
    <w:rsid w:val="003A0E7F"/>
    <w:rsid w:val="003A1C8D"/>
    <w:rsid w:val="003A3B4D"/>
    <w:rsid w:val="003B716A"/>
    <w:rsid w:val="003B73CD"/>
    <w:rsid w:val="003C1B0A"/>
    <w:rsid w:val="003C5427"/>
    <w:rsid w:val="003C5524"/>
    <w:rsid w:val="003C7BB9"/>
    <w:rsid w:val="003D38ED"/>
    <w:rsid w:val="003D6330"/>
    <w:rsid w:val="003D6C14"/>
    <w:rsid w:val="003D73F2"/>
    <w:rsid w:val="003D747D"/>
    <w:rsid w:val="003E15F8"/>
    <w:rsid w:val="003E6AE6"/>
    <w:rsid w:val="003F06CF"/>
    <w:rsid w:val="003F2538"/>
    <w:rsid w:val="003F3E78"/>
    <w:rsid w:val="004010B4"/>
    <w:rsid w:val="0040259E"/>
    <w:rsid w:val="0040346F"/>
    <w:rsid w:val="00404F45"/>
    <w:rsid w:val="00405B55"/>
    <w:rsid w:val="00406032"/>
    <w:rsid w:val="0040644D"/>
    <w:rsid w:val="0041559C"/>
    <w:rsid w:val="004168E6"/>
    <w:rsid w:val="00420437"/>
    <w:rsid w:val="00423B2E"/>
    <w:rsid w:val="00423D13"/>
    <w:rsid w:val="00423E1E"/>
    <w:rsid w:val="0042737F"/>
    <w:rsid w:val="00427FCF"/>
    <w:rsid w:val="0043720A"/>
    <w:rsid w:val="00437D29"/>
    <w:rsid w:val="00441E08"/>
    <w:rsid w:val="00445687"/>
    <w:rsid w:val="0044571C"/>
    <w:rsid w:val="00447718"/>
    <w:rsid w:val="0045045C"/>
    <w:rsid w:val="004632E9"/>
    <w:rsid w:val="00463560"/>
    <w:rsid w:val="0046678C"/>
    <w:rsid w:val="00474FB2"/>
    <w:rsid w:val="00481672"/>
    <w:rsid w:val="0048236F"/>
    <w:rsid w:val="00490968"/>
    <w:rsid w:val="004948B4"/>
    <w:rsid w:val="004A2018"/>
    <w:rsid w:val="004A44F5"/>
    <w:rsid w:val="004A5E5A"/>
    <w:rsid w:val="004A7856"/>
    <w:rsid w:val="004B1E3B"/>
    <w:rsid w:val="004B255D"/>
    <w:rsid w:val="004B32D9"/>
    <w:rsid w:val="004B4254"/>
    <w:rsid w:val="004B48F1"/>
    <w:rsid w:val="004C1470"/>
    <w:rsid w:val="004C1A0F"/>
    <w:rsid w:val="004C2E44"/>
    <w:rsid w:val="004C6DC7"/>
    <w:rsid w:val="004D31F7"/>
    <w:rsid w:val="004D3458"/>
    <w:rsid w:val="004D3B0F"/>
    <w:rsid w:val="004D4F05"/>
    <w:rsid w:val="004D5547"/>
    <w:rsid w:val="004D565C"/>
    <w:rsid w:val="004D5F16"/>
    <w:rsid w:val="004E23A9"/>
    <w:rsid w:val="004E5181"/>
    <w:rsid w:val="004E75D2"/>
    <w:rsid w:val="004F5BB1"/>
    <w:rsid w:val="005008A7"/>
    <w:rsid w:val="005104C8"/>
    <w:rsid w:val="00512647"/>
    <w:rsid w:val="00515E02"/>
    <w:rsid w:val="00516B0E"/>
    <w:rsid w:val="00516D15"/>
    <w:rsid w:val="0051707E"/>
    <w:rsid w:val="00517D55"/>
    <w:rsid w:val="00527381"/>
    <w:rsid w:val="00530FDF"/>
    <w:rsid w:val="00531B37"/>
    <w:rsid w:val="005419C2"/>
    <w:rsid w:val="005427DE"/>
    <w:rsid w:val="005428F4"/>
    <w:rsid w:val="00544D0D"/>
    <w:rsid w:val="00546D86"/>
    <w:rsid w:val="00547DA5"/>
    <w:rsid w:val="005522BD"/>
    <w:rsid w:val="00552F99"/>
    <w:rsid w:val="0055419E"/>
    <w:rsid w:val="00555AE3"/>
    <w:rsid w:val="00556354"/>
    <w:rsid w:val="00560A0C"/>
    <w:rsid w:val="00567A0F"/>
    <w:rsid w:val="005706FD"/>
    <w:rsid w:val="00571829"/>
    <w:rsid w:val="00572521"/>
    <w:rsid w:val="005777BC"/>
    <w:rsid w:val="00582623"/>
    <w:rsid w:val="005845C5"/>
    <w:rsid w:val="00584B74"/>
    <w:rsid w:val="005870DA"/>
    <w:rsid w:val="00587446"/>
    <w:rsid w:val="00591E71"/>
    <w:rsid w:val="00592978"/>
    <w:rsid w:val="00594F03"/>
    <w:rsid w:val="00596B24"/>
    <w:rsid w:val="005973B3"/>
    <w:rsid w:val="005A1B5C"/>
    <w:rsid w:val="005A3149"/>
    <w:rsid w:val="005A3829"/>
    <w:rsid w:val="005A58FC"/>
    <w:rsid w:val="005A608A"/>
    <w:rsid w:val="005C1FF9"/>
    <w:rsid w:val="005C26C5"/>
    <w:rsid w:val="005C5CF2"/>
    <w:rsid w:val="005D27F7"/>
    <w:rsid w:val="005D317C"/>
    <w:rsid w:val="005E5F5F"/>
    <w:rsid w:val="005E735A"/>
    <w:rsid w:val="005F201A"/>
    <w:rsid w:val="005F2529"/>
    <w:rsid w:val="005F4C66"/>
    <w:rsid w:val="005F7CF6"/>
    <w:rsid w:val="005F7F0C"/>
    <w:rsid w:val="005F7F1E"/>
    <w:rsid w:val="00603DDF"/>
    <w:rsid w:val="00605471"/>
    <w:rsid w:val="006056BB"/>
    <w:rsid w:val="00606AB2"/>
    <w:rsid w:val="00607188"/>
    <w:rsid w:val="00610060"/>
    <w:rsid w:val="006227A7"/>
    <w:rsid w:val="0062586B"/>
    <w:rsid w:val="0062686A"/>
    <w:rsid w:val="00630978"/>
    <w:rsid w:val="006337C7"/>
    <w:rsid w:val="00636E5C"/>
    <w:rsid w:val="00646126"/>
    <w:rsid w:val="006469A4"/>
    <w:rsid w:val="00647A98"/>
    <w:rsid w:val="0065211C"/>
    <w:rsid w:val="00654535"/>
    <w:rsid w:val="00660C3A"/>
    <w:rsid w:val="00666211"/>
    <w:rsid w:val="00667762"/>
    <w:rsid w:val="00667918"/>
    <w:rsid w:val="00671D1D"/>
    <w:rsid w:val="00671FC8"/>
    <w:rsid w:val="00675683"/>
    <w:rsid w:val="0068286F"/>
    <w:rsid w:val="00683057"/>
    <w:rsid w:val="00683CC3"/>
    <w:rsid w:val="006873B1"/>
    <w:rsid w:val="00687975"/>
    <w:rsid w:val="00690FA3"/>
    <w:rsid w:val="006948A0"/>
    <w:rsid w:val="00694B3C"/>
    <w:rsid w:val="006951BA"/>
    <w:rsid w:val="00695B12"/>
    <w:rsid w:val="00697567"/>
    <w:rsid w:val="00697570"/>
    <w:rsid w:val="00697C73"/>
    <w:rsid w:val="006A092C"/>
    <w:rsid w:val="006A160C"/>
    <w:rsid w:val="006A4C8D"/>
    <w:rsid w:val="006A5992"/>
    <w:rsid w:val="006B3FF4"/>
    <w:rsid w:val="006B57CA"/>
    <w:rsid w:val="006C4C9C"/>
    <w:rsid w:val="006C63C9"/>
    <w:rsid w:val="006D1250"/>
    <w:rsid w:val="006D2221"/>
    <w:rsid w:val="006D3056"/>
    <w:rsid w:val="006E1636"/>
    <w:rsid w:val="006E1E6A"/>
    <w:rsid w:val="006E3BC3"/>
    <w:rsid w:val="006E4001"/>
    <w:rsid w:val="006E42E9"/>
    <w:rsid w:val="006E623B"/>
    <w:rsid w:val="006F0631"/>
    <w:rsid w:val="006F23E9"/>
    <w:rsid w:val="006F58A5"/>
    <w:rsid w:val="006F765D"/>
    <w:rsid w:val="00703734"/>
    <w:rsid w:val="0070444D"/>
    <w:rsid w:val="00711349"/>
    <w:rsid w:val="00716455"/>
    <w:rsid w:val="00716544"/>
    <w:rsid w:val="00723C5D"/>
    <w:rsid w:val="00726255"/>
    <w:rsid w:val="007262BD"/>
    <w:rsid w:val="00731D73"/>
    <w:rsid w:val="0073362E"/>
    <w:rsid w:val="0074298E"/>
    <w:rsid w:val="007450D5"/>
    <w:rsid w:val="0074557F"/>
    <w:rsid w:val="00752442"/>
    <w:rsid w:val="00752A84"/>
    <w:rsid w:val="007550C5"/>
    <w:rsid w:val="00756C61"/>
    <w:rsid w:val="00757CC8"/>
    <w:rsid w:val="00762717"/>
    <w:rsid w:val="007741CC"/>
    <w:rsid w:val="007833EE"/>
    <w:rsid w:val="00793B07"/>
    <w:rsid w:val="00796527"/>
    <w:rsid w:val="00797CDD"/>
    <w:rsid w:val="007A184A"/>
    <w:rsid w:val="007A2D77"/>
    <w:rsid w:val="007A3E7F"/>
    <w:rsid w:val="007B553F"/>
    <w:rsid w:val="007B5C31"/>
    <w:rsid w:val="007B7D07"/>
    <w:rsid w:val="007C2AAA"/>
    <w:rsid w:val="007D5188"/>
    <w:rsid w:val="007D5D75"/>
    <w:rsid w:val="007E1713"/>
    <w:rsid w:val="007E1D7B"/>
    <w:rsid w:val="007F2FDA"/>
    <w:rsid w:val="008046B5"/>
    <w:rsid w:val="008053D0"/>
    <w:rsid w:val="00806473"/>
    <w:rsid w:val="00806F5E"/>
    <w:rsid w:val="00811B36"/>
    <w:rsid w:val="00813754"/>
    <w:rsid w:val="00816A2D"/>
    <w:rsid w:val="00817884"/>
    <w:rsid w:val="00821C4C"/>
    <w:rsid w:val="00823F1A"/>
    <w:rsid w:val="00826293"/>
    <w:rsid w:val="0082744F"/>
    <w:rsid w:val="00832CF8"/>
    <w:rsid w:val="00832E64"/>
    <w:rsid w:val="00834E1D"/>
    <w:rsid w:val="00835621"/>
    <w:rsid w:val="00845944"/>
    <w:rsid w:val="00853253"/>
    <w:rsid w:val="00853A7A"/>
    <w:rsid w:val="00857B1D"/>
    <w:rsid w:val="008653E9"/>
    <w:rsid w:val="00872DFF"/>
    <w:rsid w:val="0087690D"/>
    <w:rsid w:val="0088126A"/>
    <w:rsid w:val="0089053F"/>
    <w:rsid w:val="00892B6E"/>
    <w:rsid w:val="008953CB"/>
    <w:rsid w:val="00895ED9"/>
    <w:rsid w:val="0089703A"/>
    <w:rsid w:val="008A39A3"/>
    <w:rsid w:val="008A499D"/>
    <w:rsid w:val="008B6A3D"/>
    <w:rsid w:val="008B7B1E"/>
    <w:rsid w:val="008C2718"/>
    <w:rsid w:val="008C367B"/>
    <w:rsid w:val="008C3B21"/>
    <w:rsid w:val="008C4061"/>
    <w:rsid w:val="008C47C6"/>
    <w:rsid w:val="008C4F39"/>
    <w:rsid w:val="008D170A"/>
    <w:rsid w:val="008D244C"/>
    <w:rsid w:val="008E36F2"/>
    <w:rsid w:val="008E3C31"/>
    <w:rsid w:val="008E490A"/>
    <w:rsid w:val="008E5E4B"/>
    <w:rsid w:val="008E6191"/>
    <w:rsid w:val="008F0C34"/>
    <w:rsid w:val="00900E48"/>
    <w:rsid w:val="009059E9"/>
    <w:rsid w:val="009076D7"/>
    <w:rsid w:val="00907E3E"/>
    <w:rsid w:val="0091556D"/>
    <w:rsid w:val="00915584"/>
    <w:rsid w:val="0091567F"/>
    <w:rsid w:val="00917329"/>
    <w:rsid w:val="009261CC"/>
    <w:rsid w:val="00927336"/>
    <w:rsid w:val="00927BDE"/>
    <w:rsid w:val="00927D4D"/>
    <w:rsid w:val="00932B09"/>
    <w:rsid w:val="0093472E"/>
    <w:rsid w:val="00934AAF"/>
    <w:rsid w:val="00944C78"/>
    <w:rsid w:val="00945AFA"/>
    <w:rsid w:val="0094721C"/>
    <w:rsid w:val="009474EC"/>
    <w:rsid w:val="00950920"/>
    <w:rsid w:val="00950E0D"/>
    <w:rsid w:val="009523A1"/>
    <w:rsid w:val="00960D98"/>
    <w:rsid w:val="00963F64"/>
    <w:rsid w:val="009677B6"/>
    <w:rsid w:val="009803A8"/>
    <w:rsid w:val="00982AE8"/>
    <w:rsid w:val="009830D1"/>
    <w:rsid w:val="0098328D"/>
    <w:rsid w:val="00983D69"/>
    <w:rsid w:val="00984107"/>
    <w:rsid w:val="0098470A"/>
    <w:rsid w:val="00984C35"/>
    <w:rsid w:val="00985929"/>
    <w:rsid w:val="009A310A"/>
    <w:rsid w:val="009A3293"/>
    <w:rsid w:val="009A549D"/>
    <w:rsid w:val="009A64AF"/>
    <w:rsid w:val="009B018C"/>
    <w:rsid w:val="009B6A61"/>
    <w:rsid w:val="009C32E1"/>
    <w:rsid w:val="009C4FF3"/>
    <w:rsid w:val="009C5447"/>
    <w:rsid w:val="009C60B9"/>
    <w:rsid w:val="009C6763"/>
    <w:rsid w:val="009C680E"/>
    <w:rsid w:val="009C6C78"/>
    <w:rsid w:val="009D14F1"/>
    <w:rsid w:val="009D2329"/>
    <w:rsid w:val="009D4643"/>
    <w:rsid w:val="009D63D8"/>
    <w:rsid w:val="009E24D5"/>
    <w:rsid w:val="009E39E6"/>
    <w:rsid w:val="009E64DA"/>
    <w:rsid w:val="009E6BC2"/>
    <w:rsid w:val="009E7AB7"/>
    <w:rsid w:val="009F20BD"/>
    <w:rsid w:val="009F23EB"/>
    <w:rsid w:val="009F2F7D"/>
    <w:rsid w:val="009F3FED"/>
    <w:rsid w:val="009F4446"/>
    <w:rsid w:val="009F6F8A"/>
    <w:rsid w:val="00A06E90"/>
    <w:rsid w:val="00A14D2E"/>
    <w:rsid w:val="00A16092"/>
    <w:rsid w:val="00A2498C"/>
    <w:rsid w:val="00A37F53"/>
    <w:rsid w:val="00A4103B"/>
    <w:rsid w:val="00A443B0"/>
    <w:rsid w:val="00A44A4C"/>
    <w:rsid w:val="00A458A1"/>
    <w:rsid w:val="00A469D7"/>
    <w:rsid w:val="00A50AB6"/>
    <w:rsid w:val="00A50CD4"/>
    <w:rsid w:val="00A52F3D"/>
    <w:rsid w:val="00A607CC"/>
    <w:rsid w:val="00A60A88"/>
    <w:rsid w:val="00A61699"/>
    <w:rsid w:val="00A62064"/>
    <w:rsid w:val="00A6365B"/>
    <w:rsid w:val="00A67629"/>
    <w:rsid w:val="00A70D0C"/>
    <w:rsid w:val="00A72091"/>
    <w:rsid w:val="00A731BB"/>
    <w:rsid w:val="00A87FCD"/>
    <w:rsid w:val="00A9013B"/>
    <w:rsid w:val="00A96B6F"/>
    <w:rsid w:val="00AA35DD"/>
    <w:rsid w:val="00AA469B"/>
    <w:rsid w:val="00AA6DC6"/>
    <w:rsid w:val="00AA740C"/>
    <w:rsid w:val="00AB0286"/>
    <w:rsid w:val="00AB56B9"/>
    <w:rsid w:val="00AB7357"/>
    <w:rsid w:val="00AC0124"/>
    <w:rsid w:val="00AC030F"/>
    <w:rsid w:val="00AC10FF"/>
    <w:rsid w:val="00AC4E7B"/>
    <w:rsid w:val="00AD12E5"/>
    <w:rsid w:val="00AD22BA"/>
    <w:rsid w:val="00AD2BAB"/>
    <w:rsid w:val="00AF0BFE"/>
    <w:rsid w:val="00AF1477"/>
    <w:rsid w:val="00AF1970"/>
    <w:rsid w:val="00AF3C63"/>
    <w:rsid w:val="00AF4CE5"/>
    <w:rsid w:val="00AF61F2"/>
    <w:rsid w:val="00AF69FD"/>
    <w:rsid w:val="00AF6D20"/>
    <w:rsid w:val="00B007F1"/>
    <w:rsid w:val="00B01900"/>
    <w:rsid w:val="00B02293"/>
    <w:rsid w:val="00B038C5"/>
    <w:rsid w:val="00B04144"/>
    <w:rsid w:val="00B04923"/>
    <w:rsid w:val="00B04D17"/>
    <w:rsid w:val="00B15C01"/>
    <w:rsid w:val="00B17B99"/>
    <w:rsid w:val="00B2031D"/>
    <w:rsid w:val="00B236B2"/>
    <w:rsid w:val="00B251DB"/>
    <w:rsid w:val="00B26C25"/>
    <w:rsid w:val="00B31BF5"/>
    <w:rsid w:val="00B35C0C"/>
    <w:rsid w:val="00B372F4"/>
    <w:rsid w:val="00B40A60"/>
    <w:rsid w:val="00B42986"/>
    <w:rsid w:val="00B45B98"/>
    <w:rsid w:val="00B45DE5"/>
    <w:rsid w:val="00B46FE8"/>
    <w:rsid w:val="00B50C60"/>
    <w:rsid w:val="00B532EC"/>
    <w:rsid w:val="00B61849"/>
    <w:rsid w:val="00B62ACA"/>
    <w:rsid w:val="00B64A29"/>
    <w:rsid w:val="00B67E90"/>
    <w:rsid w:val="00B71496"/>
    <w:rsid w:val="00B73BFA"/>
    <w:rsid w:val="00B809D1"/>
    <w:rsid w:val="00B80F22"/>
    <w:rsid w:val="00B81A8D"/>
    <w:rsid w:val="00B91A56"/>
    <w:rsid w:val="00B9231A"/>
    <w:rsid w:val="00B9344A"/>
    <w:rsid w:val="00B95404"/>
    <w:rsid w:val="00B96035"/>
    <w:rsid w:val="00B967F3"/>
    <w:rsid w:val="00BA146D"/>
    <w:rsid w:val="00BA4108"/>
    <w:rsid w:val="00BB1417"/>
    <w:rsid w:val="00BB350F"/>
    <w:rsid w:val="00BC7310"/>
    <w:rsid w:val="00BD0F8A"/>
    <w:rsid w:val="00BD5778"/>
    <w:rsid w:val="00BD6B74"/>
    <w:rsid w:val="00BD6EDC"/>
    <w:rsid w:val="00BE1CB4"/>
    <w:rsid w:val="00BE53C7"/>
    <w:rsid w:val="00BE6EEA"/>
    <w:rsid w:val="00BE6FA8"/>
    <w:rsid w:val="00BF2804"/>
    <w:rsid w:val="00BF2DF2"/>
    <w:rsid w:val="00BF6466"/>
    <w:rsid w:val="00BF6930"/>
    <w:rsid w:val="00C001B3"/>
    <w:rsid w:val="00C029F7"/>
    <w:rsid w:val="00C032EE"/>
    <w:rsid w:val="00C03365"/>
    <w:rsid w:val="00C13FE5"/>
    <w:rsid w:val="00C146E4"/>
    <w:rsid w:val="00C23530"/>
    <w:rsid w:val="00C2580B"/>
    <w:rsid w:val="00C26AF4"/>
    <w:rsid w:val="00C26BE1"/>
    <w:rsid w:val="00C27CB3"/>
    <w:rsid w:val="00C31E2D"/>
    <w:rsid w:val="00C31EE2"/>
    <w:rsid w:val="00C3228D"/>
    <w:rsid w:val="00C3603F"/>
    <w:rsid w:val="00C4125F"/>
    <w:rsid w:val="00C42F09"/>
    <w:rsid w:val="00C43D48"/>
    <w:rsid w:val="00C4411C"/>
    <w:rsid w:val="00C50A9A"/>
    <w:rsid w:val="00C52620"/>
    <w:rsid w:val="00C53461"/>
    <w:rsid w:val="00C54067"/>
    <w:rsid w:val="00C5655E"/>
    <w:rsid w:val="00C641CE"/>
    <w:rsid w:val="00C65E4E"/>
    <w:rsid w:val="00C66071"/>
    <w:rsid w:val="00C70E4C"/>
    <w:rsid w:val="00C73C22"/>
    <w:rsid w:val="00C76586"/>
    <w:rsid w:val="00C80E10"/>
    <w:rsid w:val="00C833C2"/>
    <w:rsid w:val="00C846C6"/>
    <w:rsid w:val="00C91E67"/>
    <w:rsid w:val="00C951E1"/>
    <w:rsid w:val="00C952DF"/>
    <w:rsid w:val="00CA28C5"/>
    <w:rsid w:val="00CA7CF3"/>
    <w:rsid w:val="00CB1D91"/>
    <w:rsid w:val="00CB2DE1"/>
    <w:rsid w:val="00CB73CB"/>
    <w:rsid w:val="00CB7499"/>
    <w:rsid w:val="00CC21F2"/>
    <w:rsid w:val="00CC2A08"/>
    <w:rsid w:val="00CC2E6F"/>
    <w:rsid w:val="00CC705B"/>
    <w:rsid w:val="00CD0279"/>
    <w:rsid w:val="00CD36CB"/>
    <w:rsid w:val="00CD406E"/>
    <w:rsid w:val="00CD4874"/>
    <w:rsid w:val="00CD58B5"/>
    <w:rsid w:val="00CD5B2D"/>
    <w:rsid w:val="00CD7E34"/>
    <w:rsid w:val="00CE4789"/>
    <w:rsid w:val="00CE6BBD"/>
    <w:rsid w:val="00CE7F17"/>
    <w:rsid w:val="00CF0996"/>
    <w:rsid w:val="00CF198E"/>
    <w:rsid w:val="00CF353B"/>
    <w:rsid w:val="00CF5293"/>
    <w:rsid w:val="00CF5DC0"/>
    <w:rsid w:val="00D01438"/>
    <w:rsid w:val="00D06FFD"/>
    <w:rsid w:val="00D07363"/>
    <w:rsid w:val="00D149AD"/>
    <w:rsid w:val="00D168F3"/>
    <w:rsid w:val="00D16B2B"/>
    <w:rsid w:val="00D17F36"/>
    <w:rsid w:val="00D202E1"/>
    <w:rsid w:val="00D21DEF"/>
    <w:rsid w:val="00D220CF"/>
    <w:rsid w:val="00D2581A"/>
    <w:rsid w:val="00D27828"/>
    <w:rsid w:val="00D27B99"/>
    <w:rsid w:val="00D316E2"/>
    <w:rsid w:val="00D34D1C"/>
    <w:rsid w:val="00D403D1"/>
    <w:rsid w:val="00D41DCA"/>
    <w:rsid w:val="00D4300E"/>
    <w:rsid w:val="00D43B23"/>
    <w:rsid w:val="00D43B44"/>
    <w:rsid w:val="00D44A59"/>
    <w:rsid w:val="00D53321"/>
    <w:rsid w:val="00D5477E"/>
    <w:rsid w:val="00D6223C"/>
    <w:rsid w:val="00D64BFA"/>
    <w:rsid w:val="00D70B62"/>
    <w:rsid w:val="00D8151A"/>
    <w:rsid w:val="00D81D4C"/>
    <w:rsid w:val="00D82CC2"/>
    <w:rsid w:val="00D841E9"/>
    <w:rsid w:val="00D85ACC"/>
    <w:rsid w:val="00D9122B"/>
    <w:rsid w:val="00D94BA5"/>
    <w:rsid w:val="00D95FC4"/>
    <w:rsid w:val="00DA7F3E"/>
    <w:rsid w:val="00DB018F"/>
    <w:rsid w:val="00DB26FD"/>
    <w:rsid w:val="00DB45FA"/>
    <w:rsid w:val="00DB4D65"/>
    <w:rsid w:val="00DB630D"/>
    <w:rsid w:val="00DB7CD2"/>
    <w:rsid w:val="00DC4C34"/>
    <w:rsid w:val="00DD35EF"/>
    <w:rsid w:val="00DD4D45"/>
    <w:rsid w:val="00DD657E"/>
    <w:rsid w:val="00DD6D6B"/>
    <w:rsid w:val="00DE04A8"/>
    <w:rsid w:val="00DE1060"/>
    <w:rsid w:val="00DE1A0C"/>
    <w:rsid w:val="00DF25C8"/>
    <w:rsid w:val="00DF7374"/>
    <w:rsid w:val="00E01D7D"/>
    <w:rsid w:val="00E02B95"/>
    <w:rsid w:val="00E040D7"/>
    <w:rsid w:val="00E04DA0"/>
    <w:rsid w:val="00E06412"/>
    <w:rsid w:val="00E10516"/>
    <w:rsid w:val="00E11B00"/>
    <w:rsid w:val="00E12153"/>
    <w:rsid w:val="00E26F4D"/>
    <w:rsid w:val="00E3027E"/>
    <w:rsid w:val="00E33390"/>
    <w:rsid w:val="00E37443"/>
    <w:rsid w:val="00E46ED1"/>
    <w:rsid w:val="00E51EC0"/>
    <w:rsid w:val="00E51EC5"/>
    <w:rsid w:val="00E526D8"/>
    <w:rsid w:val="00E555AB"/>
    <w:rsid w:val="00E558A3"/>
    <w:rsid w:val="00E6435A"/>
    <w:rsid w:val="00E66884"/>
    <w:rsid w:val="00E67AF8"/>
    <w:rsid w:val="00E7190A"/>
    <w:rsid w:val="00E71A03"/>
    <w:rsid w:val="00E77682"/>
    <w:rsid w:val="00E77CF2"/>
    <w:rsid w:val="00E8268A"/>
    <w:rsid w:val="00E95372"/>
    <w:rsid w:val="00E96D03"/>
    <w:rsid w:val="00EA0739"/>
    <w:rsid w:val="00EA256A"/>
    <w:rsid w:val="00EA68AE"/>
    <w:rsid w:val="00EA74F7"/>
    <w:rsid w:val="00EB2A69"/>
    <w:rsid w:val="00ED173E"/>
    <w:rsid w:val="00ED69AE"/>
    <w:rsid w:val="00EE1594"/>
    <w:rsid w:val="00EE1F4B"/>
    <w:rsid w:val="00EE20AD"/>
    <w:rsid w:val="00EE33D2"/>
    <w:rsid w:val="00EE3F45"/>
    <w:rsid w:val="00EE7DCE"/>
    <w:rsid w:val="00EF160E"/>
    <w:rsid w:val="00F0695C"/>
    <w:rsid w:val="00F1441E"/>
    <w:rsid w:val="00F14525"/>
    <w:rsid w:val="00F16FE0"/>
    <w:rsid w:val="00F22BB9"/>
    <w:rsid w:val="00F260D7"/>
    <w:rsid w:val="00F264E1"/>
    <w:rsid w:val="00F27F4F"/>
    <w:rsid w:val="00F3025E"/>
    <w:rsid w:val="00F32757"/>
    <w:rsid w:val="00F338D9"/>
    <w:rsid w:val="00F3409A"/>
    <w:rsid w:val="00F40794"/>
    <w:rsid w:val="00F409C9"/>
    <w:rsid w:val="00F40C30"/>
    <w:rsid w:val="00F4279F"/>
    <w:rsid w:val="00F50FA6"/>
    <w:rsid w:val="00F524BB"/>
    <w:rsid w:val="00F5471F"/>
    <w:rsid w:val="00F56CD3"/>
    <w:rsid w:val="00F602BB"/>
    <w:rsid w:val="00F60925"/>
    <w:rsid w:val="00F62B4E"/>
    <w:rsid w:val="00F64B90"/>
    <w:rsid w:val="00F65564"/>
    <w:rsid w:val="00F6601D"/>
    <w:rsid w:val="00F669E4"/>
    <w:rsid w:val="00F66A4B"/>
    <w:rsid w:val="00F83A47"/>
    <w:rsid w:val="00F84F3F"/>
    <w:rsid w:val="00F93AEE"/>
    <w:rsid w:val="00F95110"/>
    <w:rsid w:val="00F9766F"/>
    <w:rsid w:val="00FA2434"/>
    <w:rsid w:val="00FA2EFC"/>
    <w:rsid w:val="00FA4307"/>
    <w:rsid w:val="00FA4A4E"/>
    <w:rsid w:val="00FB6584"/>
    <w:rsid w:val="00FB6F70"/>
    <w:rsid w:val="00FB7F70"/>
    <w:rsid w:val="00FC2781"/>
    <w:rsid w:val="00FC3527"/>
    <w:rsid w:val="00FC5C24"/>
    <w:rsid w:val="00FC5E38"/>
    <w:rsid w:val="00FC6B99"/>
    <w:rsid w:val="00FD0342"/>
    <w:rsid w:val="00FD06C9"/>
    <w:rsid w:val="00FE4569"/>
    <w:rsid w:val="00FE6026"/>
    <w:rsid w:val="00FE6C96"/>
    <w:rsid w:val="00FE7DB2"/>
    <w:rsid w:val="00FF5411"/>
    <w:rsid w:val="00FF54CA"/>
    <w:rsid w:val="00FF71BA"/>
    <w:rsid w:val="00FF7339"/>
    <w:rsid w:val="0101D276"/>
    <w:rsid w:val="022BD7AA"/>
    <w:rsid w:val="05CFAF24"/>
    <w:rsid w:val="062202B8"/>
    <w:rsid w:val="095DC256"/>
    <w:rsid w:val="0A090166"/>
    <w:rsid w:val="0E880D7C"/>
    <w:rsid w:val="0ECFF16B"/>
    <w:rsid w:val="10247ED5"/>
    <w:rsid w:val="11143484"/>
    <w:rsid w:val="1278ACA7"/>
    <w:rsid w:val="13CFE8C4"/>
    <w:rsid w:val="15ADAEFC"/>
    <w:rsid w:val="18435B40"/>
    <w:rsid w:val="1A5E7203"/>
    <w:rsid w:val="1C7DB60B"/>
    <w:rsid w:val="1CBB79E4"/>
    <w:rsid w:val="1DD15CB5"/>
    <w:rsid w:val="1E8951BB"/>
    <w:rsid w:val="236423DC"/>
    <w:rsid w:val="2664B39C"/>
    <w:rsid w:val="2B526AE1"/>
    <w:rsid w:val="2C1A23B3"/>
    <w:rsid w:val="2E425864"/>
    <w:rsid w:val="40C24439"/>
    <w:rsid w:val="4153B3D1"/>
    <w:rsid w:val="45C0A798"/>
    <w:rsid w:val="47FB1617"/>
    <w:rsid w:val="487A27A9"/>
    <w:rsid w:val="4BADE41F"/>
    <w:rsid w:val="4C761901"/>
    <w:rsid w:val="4F12CC14"/>
    <w:rsid w:val="50D9067C"/>
    <w:rsid w:val="52702748"/>
    <w:rsid w:val="52C993CD"/>
    <w:rsid w:val="5DA67178"/>
    <w:rsid w:val="5F392BA9"/>
    <w:rsid w:val="5F9D5CF9"/>
    <w:rsid w:val="60840CCE"/>
    <w:rsid w:val="627B353D"/>
    <w:rsid w:val="6594D9BA"/>
    <w:rsid w:val="68A6D580"/>
    <w:rsid w:val="6BC0E225"/>
    <w:rsid w:val="6D85CC6C"/>
    <w:rsid w:val="6EDA7BCF"/>
    <w:rsid w:val="739F787A"/>
    <w:rsid w:val="74CC47A0"/>
    <w:rsid w:val="761192F1"/>
    <w:rsid w:val="7726E7F6"/>
    <w:rsid w:val="7CF43628"/>
    <w:rsid w:val="7EB0CD3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291C6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68AE"/>
    <w:pPr>
      <w:spacing w:before="120" w:after="120" w:line="240" w:lineRule="auto"/>
    </w:pPr>
    <w:rPr>
      <w:sz w:val="24"/>
    </w:rPr>
  </w:style>
  <w:style w:type="paragraph" w:styleId="Heading1">
    <w:name w:val="heading 1"/>
    <w:basedOn w:val="Normal"/>
    <w:next w:val="Normal"/>
    <w:link w:val="Heading1Char"/>
    <w:uiPriority w:val="9"/>
    <w:qFormat/>
    <w:rsid w:val="000874A3"/>
    <w:pPr>
      <w:keepNext/>
      <w:keepLines/>
      <w:spacing w:before="600"/>
      <w:contextualSpacing/>
      <w:outlineLvl w:val="0"/>
    </w:pPr>
    <w:rPr>
      <w:rFonts w:asciiTheme="majorHAnsi" w:eastAsiaTheme="majorEastAsia" w:hAnsiTheme="majorHAnsi" w:cstheme="majorBidi"/>
      <w:color w:val="237AAB" w:themeColor="accent1"/>
      <w:sz w:val="72"/>
      <w:szCs w:val="32"/>
    </w:rPr>
  </w:style>
  <w:style w:type="paragraph" w:styleId="Heading2">
    <w:name w:val="heading 2"/>
    <w:basedOn w:val="Normal"/>
    <w:next w:val="Normal"/>
    <w:link w:val="Heading2Char"/>
    <w:uiPriority w:val="9"/>
    <w:qFormat/>
    <w:rsid w:val="00821C4C"/>
    <w:pPr>
      <w:keepNext/>
      <w:keepLines/>
      <w:spacing w:before="360"/>
      <w:outlineLvl w:val="1"/>
    </w:pPr>
    <w:rPr>
      <w:rFonts w:asciiTheme="majorHAnsi" w:eastAsiaTheme="majorEastAsia" w:hAnsiTheme="majorHAnsi" w:cstheme="majorBidi"/>
      <w:color w:val="0E202D" w:themeColor="text2" w:themeShade="80"/>
      <w:sz w:val="48"/>
      <w:szCs w:val="48"/>
    </w:rPr>
  </w:style>
  <w:style w:type="paragraph" w:styleId="Heading3">
    <w:name w:val="heading 3"/>
    <w:basedOn w:val="Normal"/>
    <w:next w:val="Normal"/>
    <w:link w:val="Heading3Char"/>
    <w:uiPriority w:val="9"/>
    <w:qFormat/>
    <w:rsid w:val="00BD5778"/>
    <w:pPr>
      <w:keepNext/>
      <w:keepLines/>
      <w:spacing w:before="240"/>
      <w:outlineLvl w:val="2"/>
    </w:pPr>
    <w:rPr>
      <w:rFonts w:asciiTheme="majorHAnsi" w:eastAsiaTheme="majorEastAsia" w:hAnsiTheme="majorHAnsi" w:cstheme="majorBidi"/>
      <w:color w:val="237AAB" w:themeColor="accent1"/>
      <w:sz w:val="40"/>
      <w:szCs w:val="40"/>
    </w:rPr>
  </w:style>
  <w:style w:type="paragraph" w:styleId="Heading4">
    <w:name w:val="heading 4"/>
    <w:basedOn w:val="Normal"/>
    <w:next w:val="Normal"/>
    <w:link w:val="Heading4Char"/>
    <w:uiPriority w:val="9"/>
    <w:qFormat/>
    <w:rsid w:val="00821C4C"/>
    <w:pPr>
      <w:keepNext/>
      <w:keepLines/>
      <w:spacing w:before="240"/>
      <w:outlineLvl w:val="3"/>
    </w:pPr>
    <w:rPr>
      <w:rFonts w:asciiTheme="majorHAnsi" w:eastAsiaTheme="majorEastAsia" w:hAnsiTheme="majorHAnsi" w:cstheme="majorBidi"/>
      <w:iCs/>
      <w:color w:val="1D405A" w:themeColor="text2"/>
      <w:sz w:val="32"/>
      <w:szCs w:val="28"/>
    </w:rPr>
  </w:style>
  <w:style w:type="paragraph" w:styleId="Heading5">
    <w:name w:val="heading 5"/>
    <w:basedOn w:val="Normal"/>
    <w:next w:val="Normal"/>
    <w:link w:val="Heading5Char"/>
    <w:uiPriority w:val="9"/>
    <w:unhideWhenUsed/>
    <w:qFormat/>
    <w:rsid w:val="00900E48"/>
    <w:pPr>
      <w:keepNext/>
      <w:keepLines/>
      <w:spacing w:before="240"/>
      <w:outlineLvl w:val="4"/>
    </w:pPr>
    <w:rPr>
      <w:rFonts w:asciiTheme="majorHAnsi" w:eastAsiaTheme="majorEastAsia" w:hAnsiTheme="majorHAnsi" w:cstheme="majorBidi"/>
      <w:color w:val="237AAB" w:themeColor="accent1"/>
      <w:sz w:val="26"/>
      <w:szCs w:val="26"/>
    </w:rPr>
  </w:style>
  <w:style w:type="paragraph" w:styleId="Heading6">
    <w:name w:val="heading 6"/>
    <w:basedOn w:val="Normal"/>
    <w:next w:val="Normal"/>
    <w:link w:val="Heading6Char"/>
    <w:uiPriority w:val="9"/>
    <w:unhideWhenUsed/>
    <w:rsid w:val="00C50A9A"/>
    <w:pPr>
      <w:keepNext/>
      <w:keepLines/>
      <w:spacing w:before="240"/>
      <w:outlineLvl w:val="5"/>
    </w:pPr>
    <w:rPr>
      <w:rFonts w:asciiTheme="majorHAnsi" w:eastAsiaTheme="majorEastAsia" w:hAnsiTheme="majorHAnsi" w:cstheme="majorBidi"/>
      <w:color w:val="000000" w:themeColor="text1"/>
    </w:rPr>
  </w:style>
  <w:style w:type="paragraph" w:styleId="Heading7">
    <w:name w:val="heading 7"/>
    <w:basedOn w:val="Normal"/>
    <w:next w:val="Normal"/>
    <w:link w:val="Heading7Char"/>
    <w:uiPriority w:val="9"/>
    <w:unhideWhenUsed/>
    <w:rsid w:val="00C50A9A"/>
    <w:pPr>
      <w:keepNext/>
      <w:keepLines/>
      <w:spacing w:before="240"/>
      <w:outlineLvl w:val="6"/>
    </w:pPr>
    <w:rPr>
      <w:rFonts w:asciiTheme="majorHAnsi" w:eastAsiaTheme="majorEastAsia" w:hAnsiTheme="majorHAnsi" w:cstheme="majorBidi"/>
      <w:b/>
      <w:iCs/>
      <w:color w:val="237AAB" w:themeColor="accent1"/>
    </w:rPr>
  </w:style>
  <w:style w:type="paragraph" w:styleId="Heading8">
    <w:name w:val="heading 8"/>
    <w:basedOn w:val="Normal"/>
    <w:next w:val="Normal"/>
    <w:link w:val="Heading8Char"/>
    <w:uiPriority w:val="9"/>
    <w:unhideWhenUsed/>
    <w:rsid w:val="00C50A9A"/>
    <w:pPr>
      <w:keepNext/>
      <w:keepLines/>
      <w:spacing w:before="2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semiHidden/>
    <w:unhideWhenUsed/>
    <w:rsid w:val="00E8268A"/>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A6DC6"/>
    <w:pPr>
      <w:tabs>
        <w:tab w:val="center" w:pos="4513"/>
        <w:tab w:val="right" w:pos="9026"/>
      </w:tabs>
      <w:spacing w:after="0"/>
    </w:pPr>
    <w:rPr>
      <w:sz w:val="20"/>
    </w:rPr>
  </w:style>
  <w:style w:type="character" w:customStyle="1" w:styleId="HeaderChar">
    <w:name w:val="Header Char"/>
    <w:basedOn w:val="DefaultParagraphFont"/>
    <w:link w:val="Header"/>
    <w:uiPriority w:val="99"/>
    <w:rsid w:val="00AA6DC6"/>
    <w:rPr>
      <w:sz w:val="20"/>
    </w:rPr>
  </w:style>
  <w:style w:type="paragraph" w:styleId="Footer">
    <w:name w:val="footer"/>
    <w:basedOn w:val="Normal"/>
    <w:link w:val="FooterChar"/>
    <w:uiPriority w:val="99"/>
    <w:rsid w:val="00F95110"/>
    <w:pPr>
      <w:tabs>
        <w:tab w:val="right" w:pos="14090"/>
      </w:tabs>
      <w:spacing w:after="0"/>
    </w:pPr>
    <w:rPr>
      <w:color w:val="1D405A" w:themeColor="text2"/>
      <w:sz w:val="20"/>
    </w:rPr>
  </w:style>
  <w:style w:type="character" w:customStyle="1" w:styleId="FooterChar">
    <w:name w:val="Footer Char"/>
    <w:basedOn w:val="DefaultParagraphFont"/>
    <w:link w:val="Footer"/>
    <w:uiPriority w:val="99"/>
    <w:rsid w:val="00F95110"/>
    <w:rPr>
      <w:color w:val="1D405A" w:themeColor="text2"/>
      <w:sz w:val="20"/>
    </w:rPr>
  </w:style>
  <w:style w:type="character" w:customStyle="1" w:styleId="Heading1Char">
    <w:name w:val="Heading 1 Char"/>
    <w:basedOn w:val="DefaultParagraphFont"/>
    <w:link w:val="Heading1"/>
    <w:uiPriority w:val="9"/>
    <w:rsid w:val="000874A3"/>
    <w:rPr>
      <w:rFonts w:asciiTheme="majorHAnsi" w:eastAsiaTheme="majorEastAsia" w:hAnsiTheme="majorHAnsi" w:cstheme="majorBidi"/>
      <w:color w:val="237AAB" w:themeColor="accent1"/>
      <w:sz w:val="72"/>
      <w:szCs w:val="32"/>
    </w:rPr>
  </w:style>
  <w:style w:type="table" w:customStyle="1" w:styleId="Verticaltable">
    <w:name w:val="Vertical table"/>
    <w:basedOn w:val="TableNormal"/>
    <w:uiPriority w:val="99"/>
    <w:rsid w:val="00AA6DC6"/>
    <w:pPr>
      <w:spacing w:after="0" w:line="240" w:lineRule="auto"/>
    </w:pPr>
    <w:tblPr>
      <w:tblBorders>
        <w:top w:val="single" w:sz="4" w:space="0" w:color="237AAB" w:themeColor="accent1"/>
        <w:left w:val="single" w:sz="4" w:space="0" w:color="237AAB" w:themeColor="accent1"/>
        <w:bottom w:val="single" w:sz="4" w:space="0" w:color="237AAB" w:themeColor="accent1"/>
        <w:right w:val="single" w:sz="4" w:space="0" w:color="237AAB" w:themeColor="accent1"/>
        <w:insideH w:val="single" w:sz="4" w:space="0" w:color="237AAB" w:themeColor="accent1"/>
        <w:insideV w:val="single" w:sz="4" w:space="0" w:color="237AAB" w:themeColor="accent1"/>
      </w:tblBorders>
    </w:tblPr>
    <w:tblStylePr w:type="lastRow">
      <w:rPr>
        <w:b w:val="0"/>
      </w:rPr>
    </w:tblStylePr>
    <w:tblStylePr w:type="firstCol">
      <w:rPr>
        <w:b/>
        <w:color w:val="FFFFFF" w:themeColor="background1"/>
      </w:rPr>
      <w:tblPr/>
      <w:tcPr>
        <w:tcBorders>
          <w:insideH w:val="single" w:sz="4" w:space="0" w:color="FFFFFF" w:themeColor="background1"/>
        </w:tcBorders>
        <w:shd w:val="clear" w:color="auto" w:fill="237AAB" w:themeFill="accent1"/>
      </w:tcPr>
    </w:tblStylePr>
  </w:style>
  <w:style w:type="character" w:styleId="FollowedHyperlink">
    <w:name w:val="FollowedHyperlink"/>
    <w:basedOn w:val="DefaultParagraphFont"/>
    <w:uiPriority w:val="99"/>
    <w:semiHidden/>
    <w:unhideWhenUsed/>
    <w:rsid w:val="00872DFF"/>
    <w:rPr>
      <w:color w:val="1D405A" w:themeColor="followedHyperlink"/>
      <w:u w:val="single"/>
    </w:rPr>
  </w:style>
  <w:style w:type="paragraph" w:styleId="Subtitle">
    <w:name w:val="Subtitle"/>
    <w:basedOn w:val="Normal"/>
    <w:next w:val="Normal"/>
    <w:link w:val="SubtitleChar"/>
    <w:uiPriority w:val="11"/>
    <w:qFormat/>
    <w:rsid w:val="006A092C"/>
    <w:pPr>
      <w:numPr>
        <w:ilvl w:val="1"/>
      </w:numPr>
    </w:pPr>
    <w:rPr>
      <w:rFonts w:eastAsiaTheme="minorEastAsia"/>
      <w:color w:val="1D405A" w:themeColor="text2"/>
      <w:sz w:val="40"/>
    </w:rPr>
  </w:style>
  <w:style w:type="character" w:customStyle="1" w:styleId="SubtitleChar">
    <w:name w:val="Subtitle Char"/>
    <w:basedOn w:val="DefaultParagraphFont"/>
    <w:link w:val="Subtitle"/>
    <w:uiPriority w:val="11"/>
    <w:rsid w:val="006A092C"/>
    <w:rPr>
      <w:rFonts w:eastAsiaTheme="minorEastAsia"/>
      <w:color w:val="1D405A" w:themeColor="text2"/>
      <w:sz w:val="40"/>
    </w:rPr>
  </w:style>
  <w:style w:type="character" w:customStyle="1" w:styleId="Heading2Char">
    <w:name w:val="Heading 2 Char"/>
    <w:basedOn w:val="DefaultParagraphFont"/>
    <w:link w:val="Heading2"/>
    <w:uiPriority w:val="9"/>
    <w:rsid w:val="00821C4C"/>
    <w:rPr>
      <w:rFonts w:asciiTheme="majorHAnsi" w:eastAsiaTheme="majorEastAsia" w:hAnsiTheme="majorHAnsi" w:cstheme="majorBidi"/>
      <w:color w:val="0E202D" w:themeColor="text2" w:themeShade="80"/>
      <w:sz w:val="48"/>
      <w:szCs w:val="48"/>
    </w:rPr>
  </w:style>
  <w:style w:type="character" w:customStyle="1" w:styleId="Heading3Char">
    <w:name w:val="Heading 3 Char"/>
    <w:basedOn w:val="DefaultParagraphFont"/>
    <w:link w:val="Heading3"/>
    <w:uiPriority w:val="9"/>
    <w:rsid w:val="00EA68AE"/>
    <w:rPr>
      <w:rFonts w:asciiTheme="majorHAnsi" w:eastAsiaTheme="majorEastAsia" w:hAnsiTheme="majorHAnsi" w:cstheme="majorBidi"/>
      <w:color w:val="237AAB" w:themeColor="accent1"/>
      <w:sz w:val="40"/>
      <w:szCs w:val="40"/>
    </w:rPr>
  </w:style>
  <w:style w:type="character" w:customStyle="1" w:styleId="Heading4Char">
    <w:name w:val="Heading 4 Char"/>
    <w:basedOn w:val="DefaultParagraphFont"/>
    <w:link w:val="Heading4"/>
    <w:uiPriority w:val="9"/>
    <w:rsid w:val="00821C4C"/>
    <w:rPr>
      <w:rFonts w:asciiTheme="majorHAnsi" w:eastAsiaTheme="majorEastAsia" w:hAnsiTheme="majorHAnsi" w:cstheme="majorBidi"/>
      <w:iCs/>
      <w:color w:val="1D405A" w:themeColor="text2"/>
      <w:sz w:val="32"/>
      <w:szCs w:val="28"/>
    </w:rPr>
  </w:style>
  <w:style w:type="character" w:customStyle="1" w:styleId="Heading5Char">
    <w:name w:val="Heading 5 Char"/>
    <w:basedOn w:val="DefaultParagraphFont"/>
    <w:link w:val="Heading5"/>
    <w:uiPriority w:val="9"/>
    <w:rsid w:val="00900E48"/>
    <w:rPr>
      <w:rFonts w:asciiTheme="majorHAnsi" w:eastAsiaTheme="majorEastAsia" w:hAnsiTheme="majorHAnsi" w:cstheme="majorBidi"/>
      <w:color w:val="237AAB" w:themeColor="accent1"/>
      <w:sz w:val="26"/>
      <w:szCs w:val="26"/>
    </w:rPr>
  </w:style>
  <w:style w:type="paragraph" w:styleId="Quote">
    <w:name w:val="Quote"/>
    <w:basedOn w:val="Normal"/>
    <w:next w:val="Normal"/>
    <w:link w:val="QuoteChar"/>
    <w:uiPriority w:val="29"/>
    <w:qFormat/>
    <w:rsid w:val="00BD5778"/>
    <w:pPr>
      <w:pBdr>
        <w:top w:val="single" w:sz="4" w:space="6" w:color="237AAB" w:themeColor="accent1"/>
        <w:bottom w:val="single" w:sz="4" w:space="6" w:color="237AAB" w:themeColor="accent1"/>
      </w:pBdr>
      <w:spacing w:before="240" w:after="240"/>
      <w:ind w:right="2835"/>
    </w:pPr>
    <w:rPr>
      <w:iCs/>
      <w:color w:val="000000" w:themeColor="text1"/>
      <w:szCs w:val="24"/>
    </w:rPr>
  </w:style>
  <w:style w:type="character" w:customStyle="1" w:styleId="QuoteChar">
    <w:name w:val="Quote Char"/>
    <w:basedOn w:val="DefaultParagraphFont"/>
    <w:link w:val="Quote"/>
    <w:uiPriority w:val="29"/>
    <w:rsid w:val="00BD5778"/>
    <w:rPr>
      <w:iCs/>
      <w:color w:val="000000" w:themeColor="text1"/>
      <w:sz w:val="24"/>
      <w:szCs w:val="24"/>
    </w:rPr>
  </w:style>
  <w:style w:type="character" w:styleId="Strong">
    <w:name w:val="Strong"/>
    <w:basedOn w:val="DefaultParagraphFont"/>
    <w:uiPriority w:val="22"/>
    <w:qFormat/>
    <w:rsid w:val="00B251DB"/>
    <w:rPr>
      <w:b/>
      <w:bCs/>
    </w:rPr>
  </w:style>
  <w:style w:type="character" w:styleId="Emphasis">
    <w:name w:val="Emphasis"/>
    <w:basedOn w:val="DefaultParagraphFont"/>
    <w:uiPriority w:val="20"/>
    <w:qFormat/>
    <w:rsid w:val="00B251DB"/>
    <w:rPr>
      <w:i/>
      <w:iCs/>
    </w:rPr>
  </w:style>
  <w:style w:type="paragraph" w:styleId="ListParagraph">
    <w:name w:val="List Paragraph"/>
    <w:aliases w:val="Recommendation,List Paragraph1,List Paragraph11,L,CV text,Table text,F5 List Paragraph,Dot pt,Bulleted Para,NFP GP Bulleted List,FooterText,numbered,Paragraphe de liste1,Bulletr List Paragraph,列出段落,列出段落1,List Paragraph2,List Paragraph21,&amp;"/>
    <w:basedOn w:val="Normal"/>
    <w:link w:val="ListParagraphChar"/>
    <w:uiPriority w:val="34"/>
    <w:qFormat/>
    <w:rsid w:val="00090DDB"/>
    <w:pPr>
      <w:numPr>
        <w:numId w:val="1"/>
      </w:numPr>
      <w:spacing w:before="0"/>
    </w:pPr>
  </w:style>
  <w:style w:type="character" w:styleId="Hyperlink">
    <w:name w:val="Hyperlink"/>
    <w:basedOn w:val="DefaultParagraphFont"/>
    <w:uiPriority w:val="99"/>
    <w:rsid w:val="00821C4C"/>
    <w:rPr>
      <w:color w:val="1D405A" w:themeColor="text2"/>
      <w:u w:val="single"/>
    </w:rPr>
  </w:style>
  <w:style w:type="table" w:styleId="TableGrid">
    <w:name w:val="Table Grid"/>
    <w:aliases w:val="DISR plain Table 1"/>
    <w:basedOn w:val="TableNormal"/>
    <w:uiPriority w:val="39"/>
    <w:rsid w:val="005777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StylePr>
  </w:style>
  <w:style w:type="table" w:styleId="PlainTable2">
    <w:name w:val="Plain Table 2"/>
    <w:basedOn w:val="TableNormal"/>
    <w:uiPriority w:val="42"/>
    <w:rsid w:val="0071134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1Light">
    <w:name w:val="Grid Table 1 Light"/>
    <w:basedOn w:val="TableNormal"/>
    <w:uiPriority w:val="46"/>
    <w:rsid w:val="0071134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Caption">
    <w:name w:val="caption"/>
    <w:basedOn w:val="Normal"/>
    <w:next w:val="Normal"/>
    <w:uiPriority w:val="35"/>
    <w:qFormat/>
    <w:rsid w:val="005777BC"/>
    <w:rPr>
      <w:b/>
      <w:iCs/>
      <w:szCs w:val="18"/>
    </w:rPr>
  </w:style>
  <w:style w:type="character" w:styleId="PlaceholderText">
    <w:name w:val="Placeholder Text"/>
    <w:basedOn w:val="DefaultParagraphFont"/>
    <w:uiPriority w:val="99"/>
    <w:semiHidden/>
    <w:rsid w:val="00BD0F8A"/>
    <w:rPr>
      <w:color w:val="808080"/>
    </w:rPr>
  </w:style>
  <w:style w:type="paragraph" w:styleId="NoSpacing">
    <w:name w:val="No Spacing"/>
    <w:link w:val="NoSpacingChar"/>
    <w:uiPriority w:val="1"/>
    <w:qFormat/>
    <w:rsid w:val="00BD5778"/>
    <w:pPr>
      <w:spacing w:after="0" w:line="240" w:lineRule="auto"/>
    </w:pPr>
    <w:rPr>
      <w:rFonts w:eastAsiaTheme="minorEastAsia"/>
      <w:sz w:val="24"/>
      <w:lang w:val="en-US"/>
    </w:rPr>
  </w:style>
  <w:style w:type="character" w:customStyle="1" w:styleId="NoSpacingChar">
    <w:name w:val="No Spacing Char"/>
    <w:basedOn w:val="DefaultParagraphFont"/>
    <w:link w:val="NoSpacing"/>
    <w:uiPriority w:val="1"/>
    <w:rsid w:val="00BD5778"/>
    <w:rPr>
      <w:rFonts w:eastAsiaTheme="minorEastAsia"/>
      <w:sz w:val="24"/>
      <w:lang w:val="en-US"/>
    </w:rPr>
  </w:style>
  <w:style w:type="paragraph" w:styleId="TOCHeading">
    <w:name w:val="TOC Heading"/>
    <w:basedOn w:val="Heading2"/>
    <w:next w:val="Normal"/>
    <w:uiPriority w:val="39"/>
    <w:unhideWhenUsed/>
    <w:rsid w:val="000F2564"/>
    <w:pPr>
      <w:spacing w:after="480"/>
      <w:outlineLvl w:val="9"/>
    </w:pPr>
    <w:rPr>
      <w:lang w:val="en-US"/>
    </w:rPr>
  </w:style>
  <w:style w:type="paragraph" w:styleId="TOC1">
    <w:name w:val="toc 1"/>
    <w:basedOn w:val="Normal"/>
    <w:next w:val="Normal"/>
    <w:autoRedefine/>
    <w:uiPriority w:val="39"/>
    <w:unhideWhenUsed/>
    <w:rsid w:val="000F2564"/>
    <w:pPr>
      <w:tabs>
        <w:tab w:val="right" w:leader="dot" w:pos="9016"/>
      </w:tabs>
      <w:spacing w:after="100"/>
    </w:pPr>
  </w:style>
  <w:style w:type="paragraph" w:styleId="TOC2">
    <w:name w:val="toc 2"/>
    <w:basedOn w:val="Normal"/>
    <w:next w:val="Normal"/>
    <w:autoRedefine/>
    <w:uiPriority w:val="39"/>
    <w:unhideWhenUsed/>
    <w:rsid w:val="0043720A"/>
    <w:pPr>
      <w:spacing w:after="100"/>
    </w:pPr>
  </w:style>
  <w:style w:type="paragraph" w:styleId="TOC3">
    <w:name w:val="toc 3"/>
    <w:basedOn w:val="Normal"/>
    <w:next w:val="Normal"/>
    <w:autoRedefine/>
    <w:uiPriority w:val="39"/>
    <w:unhideWhenUsed/>
    <w:rsid w:val="0043720A"/>
    <w:pPr>
      <w:spacing w:after="100"/>
      <w:ind w:left="221"/>
    </w:pPr>
  </w:style>
  <w:style w:type="paragraph" w:customStyle="1" w:styleId="Address">
    <w:name w:val="Address"/>
    <w:basedOn w:val="Subtitle"/>
    <w:semiHidden/>
    <w:rsid w:val="009A549D"/>
    <w:pPr>
      <w:spacing w:after="0"/>
    </w:pPr>
    <w:rPr>
      <w:sz w:val="24"/>
    </w:rPr>
  </w:style>
  <w:style w:type="paragraph" w:styleId="BalloonText">
    <w:name w:val="Balloon Text"/>
    <w:basedOn w:val="Normal"/>
    <w:link w:val="BalloonTextChar"/>
    <w:uiPriority w:val="99"/>
    <w:semiHidden/>
    <w:unhideWhenUsed/>
    <w:rsid w:val="00E3027E"/>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027E"/>
    <w:rPr>
      <w:rFonts w:ascii="Segoe UI" w:hAnsi="Segoe UI" w:cs="Segoe UI"/>
      <w:sz w:val="18"/>
      <w:szCs w:val="18"/>
    </w:rPr>
  </w:style>
  <w:style w:type="table" w:styleId="ListTable3-Accent2">
    <w:name w:val="List Table 3 Accent 2"/>
    <w:basedOn w:val="TableNormal"/>
    <w:uiPriority w:val="48"/>
    <w:rsid w:val="00153C15"/>
    <w:pPr>
      <w:spacing w:after="0" w:line="240" w:lineRule="auto"/>
    </w:pPr>
    <w:tblPr>
      <w:tblStyleRowBandSize w:val="1"/>
      <w:tblStyleColBandSize w:val="1"/>
      <w:tblBorders>
        <w:top w:val="single" w:sz="4" w:space="0" w:color="960000" w:themeColor="accent2"/>
        <w:left w:val="single" w:sz="4" w:space="0" w:color="960000" w:themeColor="accent2"/>
        <w:bottom w:val="single" w:sz="4" w:space="0" w:color="960000" w:themeColor="accent2"/>
        <w:right w:val="single" w:sz="4" w:space="0" w:color="960000" w:themeColor="accent2"/>
      </w:tblBorders>
    </w:tblPr>
    <w:tblStylePr w:type="firstRow">
      <w:rPr>
        <w:b/>
        <w:bCs/>
        <w:color w:val="FFFFFF" w:themeColor="background1"/>
      </w:rPr>
      <w:tblPr/>
      <w:tcPr>
        <w:shd w:val="clear" w:color="auto" w:fill="960000" w:themeFill="accent2"/>
      </w:tcPr>
    </w:tblStylePr>
    <w:tblStylePr w:type="lastRow">
      <w:rPr>
        <w:b/>
        <w:bCs/>
      </w:rPr>
      <w:tblPr/>
      <w:tcPr>
        <w:tcBorders>
          <w:top w:val="double" w:sz="4" w:space="0" w:color="96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0000" w:themeColor="accent2"/>
          <w:right w:val="single" w:sz="4" w:space="0" w:color="960000" w:themeColor="accent2"/>
        </w:tcBorders>
      </w:tcPr>
    </w:tblStylePr>
    <w:tblStylePr w:type="band1Horz">
      <w:tblPr/>
      <w:tcPr>
        <w:tcBorders>
          <w:top w:val="single" w:sz="4" w:space="0" w:color="960000" w:themeColor="accent2"/>
          <w:bottom w:val="single" w:sz="4" w:space="0" w:color="96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0000" w:themeColor="accent2"/>
          <w:left w:val="nil"/>
        </w:tcBorders>
      </w:tcPr>
    </w:tblStylePr>
    <w:tblStylePr w:type="swCell">
      <w:tblPr/>
      <w:tcPr>
        <w:tcBorders>
          <w:top w:val="double" w:sz="4" w:space="0" w:color="960000" w:themeColor="accent2"/>
          <w:right w:val="nil"/>
        </w:tcBorders>
      </w:tcPr>
    </w:tblStylePr>
  </w:style>
  <w:style w:type="table" w:styleId="ListTable3-Accent3">
    <w:name w:val="List Table 3 Accent 3"/>
    <w:basedOn w:val="TableNormal"/>
    <w:uiPriority w:val="48"/>
    <w:rsid w:val="00153C15"/>
    <w:pPr>
      <w:spacing w:after="0" w:line="240" w:lineRule="auto"/>
    </w:pPr>
    <w:tblPr>
      <w:tblStyleRowBandSize w:val="1"/>
      <w:tblStyleColBandSize w:val="1"/>
      <w:tblBorders>
        <w:top w:val="single" w:sz="4" w:space="0" w:color="C7EBFF" w:themeColor="accent3"/>
        <w:left w:val="single" w:sz="4" w:space="0" w:color="C7EBFF" w:themeColor="accent3"/>
        <w:bottom w:val="single" w:sz="4" w:space="0" w:color="C7EBFF" w:themeColor="accent3"/>
        <w:right w:val="single" w:sz="4" w:space="0" w:color="C7EBFF" w:themeColor="accent3"/>
      </w:tblBorders>
    </w:tblPr>
    <w:tblStylePr w:type="firstRow">
      <w:rPr>
        <w:b/>
        <w:bCs/>
        <w:color w:val="FFFFFF" w:themeColor="background1"/>
      </w:rPr>
      <w:tblPr/>
      <w:tcPr>
        <w:shd w:val="clear" w:color="auto" w:fill="C7EBFF" w:themeFill="accent3"/>
      </w:tcPr>
    </w:tblStylePr>
    <w:tblStylePr w:type="lastRow">
      <w:rPr>
        <w:b/>
        <w:bCs/>
      </w:rPr>
      <w:tblPr/>
      <w:tcPr>
        <w:tcBorders>
          <w:top w:val="double" w:sz="4" w:space="0" w:color="C7EBF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7EBFF" w:themeColor="accent3"/>
          <w:right w:val="single" w:sz="4" w:space="0" w:color="C7EBFF" w:themeColor="accent3"/>
        </w:tcBorders>
      </w:tcPr>
    </w:tblStylePr>
    <w:tblStylePr w:type="band1Horz">
      <w:tblPr/>
      <w:tcPr>
        <w:tcBorders>
          <w:top w:val="single" w:sz="4" w:space="0" w:color="C7EBFF" w:themeColor="accent3"/>
          <w:bottom w:val="single" w:sz="4" w:space="0" w:color="C7EBF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7EBFF" w:themeColor="accent3"/>
          <w:left w:val="nil"/>
        </w:tcBorders>
      </w:tcPr>
    </w:tblStylePr>
    <w:tblStylePr w:type="swCell">
      <w:tblPr/>
      <w:tcPr>
        <w:tcBorders>
          <w:top w:val="double" w:sz="4" w:space="0" w:color="C7EBFF" w:themeColor="accent3"/>
          <w:right w:val="nil"/>
        </w:tcBorders>
      </w:tcPr>
    </w:tblStylePr>
  </w:style>
  <w:style w:type="paragraph" w:styleId="IntenseQuote">
    <w:name w:val="Intense Quote"/>
    <w:basedOn w:val="Normal"/>
    <w:next w:val="Normal"/>
    <w:link w:val="IntenseQuoteChar"/>
    <w:uiPriority w:val="30"/>
    <w:rsid w:val="00CD36CB"/>
    <w:pPr>
      <w:pBdr>
        <w:top w:val="single" w:sz="4" w:space="6" w:color="237AAB" w:themeColor="accent1"/>
        <w:bottom w:val="single" w:sz="4" w:space="6" w:color="237AAB" w:themeColor="accent1"/>
      </w:pBdr>
      <w:spacing w:before="360" w:after="360"/>
      <w:ind w:right="2835"/>
    </w:pPr>
    <w:rPr>
      <w:b/>
      <w:iCs/>
    </w:rPr>
  </w:style>
  <w:style w:type="character" w:customStyle="1" w:styleId="IntenseQuoteChar">
    <w:name w:val="Intense Quote Char"/>
    <w:basedOn w:val="DefaultParagraphFont"/>
    <w:link w:val="IntenseQuote"/>
    <w:uiPriority w:val="30"/>
    <w:rsid w:val="00CD36CB"/>
    <w:rPr>
      <w:b/>
      <w:iCs/>
      <w:sz w:val="24"/>
    </w:rPr>
  </w:style>
  <w:style w:type="paragraph" w:customStyle="1" w:styleId="Calloutbox">
    <w:name w:val="Call out box"/>
    <w:basedOn w:val="Normal"/>
    <w:qFormat/>
    <w:rsid w:val="00821C4C"/>
    <w:pPr>
      <w:pBdr>
        <w:top w:val="single" w:sz="24" w:space="6" w:color="C7EBFF" w:themeColor="accent3"/>
        <w:left w:val="single" w:sz="24" w:space="4" w:color="C7EBFF" w:themeColor="accent3"/>
        <w:bottom w:val="single" w:sz="24" w:space="6" w:color="C7EBFF" w:themeColor="accent3"/>
        <w:right w:val="single" w:sz="24" w:space="4" w:color="C7EBFF" w:themeColor="accent3"/>
      </w:pBdr>
      <w:shd w:val="clear" w:color="auto" w:fill="C7EBFF" w:themeFill="accent3"/>
    </w:pPr>
  </w:style>
  <w:style w:type="character" w:customStyle="1" w:styleId="Heading6Char">
    <w:name w:val="Heading 6 Char"/>
    <w:basedOn w:val="DefaultParagraphFont"/>
    <w:link w:val="Heading6"/>
    <w:uiPriority w:val="9"/>
    <w:rsid w:val="00C50A9A"/>
    <w:rPr>
      <w:rFonts w:asciiTheme="majorHAnsi" w:eastAsiaTheme="majorEastAsia" w:hAnsiTheme="majorHAnsi" w:cstheme="majorBidi"/>
      <w:color w:val="000000" w:themeColor="text1"/>
      <w:sz w:val="24"/>
    </w:rPr>
  </w:style>
  <w:style w:type="table" w:styleId="GridTable4-Accent2">
    <w:name w:val="Grid Table 4 Accent 2"/>
    <w:basedOn w:val="TableNormal"/>
    <w:uiPriority w:val="49"/>
    <w:rsid w:val="004D3B0F"/>
    <w:pPr>
      <w:spacing w:after="0" w:line="240" w:lineRule="auto"/>
    </w:pPr>
    <w:tblPr>
      <w:tblStyleRowBandSize w:val="1"/>
      <w:tblStyleColBandSize w:val="1"/>
      <w:tblBorders>
        <w:top w:val="single" w:sz="4" w:space="0" w:color="FF2727" w:themeColor="accent2" w:themeTint="99"/>
        <w:left w:val="single" w:sz="4" w:space="0" w:color="FF2727" w:themeColor="accent2" w:themeTint="99"/>
        <w:bottom w:val="single" w:sz="4" w:space="0" w:color="FF2727" w:themeColor="accent2" w:themeTint="99"/>
        <w:right w:val="single" w:sz="4" w:space="0" w:color="FF2727" w:themeColor="accent2" w:themeTint="99"/>
        <w:insideH w:val="single" w:sz="4" w:space="0" w:color="FF2727" w:themeColor="accent2" w:themeTint="99"/>
        <w:insideV w:val="single" w:sz="4" w:space="0" w:color="FF2727" w:themeColor="accent2" w:themeTint="99"/>
      </w:tblBorders>
    </w:tblPr>
    <w:tblStylePr w:type="firstRow">
      <w:rPr>
        <w:b/>
        <w:bCs/>
        <w:color w:val="FFFFFF" w:themeColor="background1"/>
      </w:rPr>
      <w:tblPr/>
      <w:tcPr>
        <w:tcBorders>
          <w:top w:val="single" w:sz="4" w:space="0" w:color="960000" w:themeColor="accent2"/>
          <w:left w:val="single" w:sz="4" w:space="0" w:color="960000" w:themeColor="accent2"/>
          <w:bottom w:val="single" w:sz="4" w:space="0" w:color="960000" w:themeColor="accent2"/>
          <w:right w:val="single" w:sz="4" w:space="0" w:color="960000" w:themeColor="accent2"/>
          <w:insideH w:val="nil"/>
          <w:insideV w:val="nil"/>
        </w:tcBorders>
        <w:shd w:val="clear" w:color="auto" w:fill="960000" w:themeFill="accent2"/>
      </w:tcPr>
    </w:tblStylePr>
    <w:tblStylePr w:type="lastRow">
      <w:rPr>
        <w:b/>
        <w:bCs/>
      </w:rPr>
      <w:tblPr/>
      <w:tcPr>
        <w:tcBorders>
          <w:top w:val="double" w:sz="4" w:space="0" w:color="960000" w:themeColor="accent2"/>
        </w:tcBorders>
      </w:tcPr>
    </w:tblStylePr>
    <w:tblStylePr w:type="firstCol">
      <w:rPr>
        <w:b/>
        <w:bCs/>
      </w:rPr>
    </w:tblStylePr>
    <w:tblStylePr w:type="lastCol">
      <w:rPr>
        <w:b/>
        <w:bCs/>
      </w:rPr>
    </w:tblStylePr>
    <w:tblStylePr w:type="band1Vert">
      <w:tblPr/>
      <w:tcPr>
        <w:shd w:val="clear" w:color="auto" w:fill="FFB7B7" w:themeFill="accent2" w:themeFillTint="33"/>
      </w:tcPr>
    </w:tblStylePr>
    <w:tblStylePr w:type="band1Horz">
      <w:tblPr/>
      <w:tcPr>
        <w:shd w:val="clear" w:color="auto" w:fill="FFB7B7" w:themeFill="accent2" w:themeFillTint="33"/>
      </w:tcPr>
    </w:tblStylePr>
  </w:style>
  <w:style w:type="table" w:styleId="GridTable1Light-Accent2">
    <w:name w:val="Grid Table 1 Light Accent 2"/>
    <w:basedOn w:val="TableNormal"/>
    <w:uiPriority w:val="46"/>
    <w:rsid w:val="004D3B0F"/>
    <w:pPr>
      <w:spacing w:after="0" w:line="240" w:lineRule="auto"/>
    </w:pPr>
    <w:tblPr>
      <w:tblStyleRowBandSize w:val="1"/>
      <w:tblStyleColBandSize w:val="1"/>
      <w:tblBorders>
        <w:top w:val="single" w:sz="4" w:space="0" w:color="FF6F6F" w:themeColor="accent2" w:themeTint="66"/>
        <w:left w:val="single" w:sz="4" w:space="0" w:color="FF6F6F" w:themeColor="accent2" w:themeTint="66"/>
        <w:bottom w:val="single" w:sz="4" w:space="0" w:color="FF6F6F" w:themeColor="accent2" w:themeTint="66"/>
        <w:right w:val="single" w:sz="4" w:space="0" w:color="FF6F6F" w:themeColor="accent2" w:themeTint="66"/>
        <w:insideH w:val="single" w:sz="4" w:space="0" w:color="FF6F6F" w:themeColor="accent2" w:themeTint="66"/>
        <w:insideV w:val="single" w:sz="4" w:space="0" w:color="FF6F6F" w:themeColor="accent2" w:themeTint="66"/>
      </w:tblBorders>
    </w:tblPr>
    <w:tblStylePr w:type="firstRow">
      <w:rPr>
        <w:b/>
        <w:bCs/>
      </w:rPr>
      <w:tblPr/>
      <w:tcPr>
        <w:tcBorders>
          <w:bottom w:val="single" w:sz="12" w:space="0" w:color="FF2727" w:themeColor="accent2" w:themeTint="99"/>
        </w:tcBorders>
      </w:tcPr>
    </w:tblStylePr>
    <w:tblStylePr w:type="lastRow">
      <w:rPr>
        <w:b/>
        <w:bCs/>
      </w:rPr>
      <w:tblPr/>
      <w:tcPr>
        <w:tcBorders>
          <w:top w:val="double" w:sz="2" w:space="0" w:color="FF2727" w:themeColor="accent2" w:themeTint="99"/>
        </w:tcBorders>
      </w:tcPr>
    </w:tblStylePr>
    <w:tblStylePr w:type="firstCol">
      <w:rPr>
        <w:b/>
        <w:bCs/>
      </w:rPr>
    </w:tblStylePr>
    <w:tblStylePr w:type="lastCol">
      <w:rPr>
        <w:b/>
        <w:bCs/>
      </w:rPr>
    </w:tblStylePr>
  </w:style>
  <w:style w:type="table" w:styleId="GridTable5Dark-Accent1">
    <w:name w:val="Grid Table 5 Dark Accent 1"/>
    <w:basedOn w:val="TableNormal"/>
    <w:uiPriority w:val="50"/>
    <w:rsid w:val="004D3B0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E6F4"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7AAB"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7AAB"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7AAB"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7AAB" w:themeFill="accent1"/>
      </w:tcPr>
    </w:tblStylePr>
    <w:tblStylePr w:type="band1Vert">
      <w:tblPr/>
      <w:tcPr>
        <w:shd w:val="clear" w:color="auto" w:fill="9ACDEA" w:themeFill="accent1" w:themeFillTint="66"/>
      </w:tcPr>
    </w:tblStylePr>
    <w:tblStylePr w:type="band1Horz">
      <w:tblPr/>
      <w:tcPr>
        <w:shd w:val="clear" w:color="auto" w:fill="9ACDEA" w:themeFill="accent1" w:themeFillTint="66"/>
      </w:tcPr>
    </w:tblStylePr>
  </w:style>
  <w:style w:type="table" w:styleId="GridTable4-Accent1">
    <w:name w:val="Grid Table 4 Accent 1"/>
    <w:basedOn w:val="TableNormal"/>
    <w:uiPriority w:val="49"/>
    <w:rsid w:val="00F32757"/>
    <w:pPr>
      <w:spacing w:after="0" w:line="240" w:lineRule="auto"/>
    </w:pPr>
    <w:tblPr>
      <w:tblStyleRowBandSize w:val="1"/>
      <w:tblStyleColBandSize w:val="1"/>
      <w:tblBorders>
        <w:top w:val="single" w:sz="4" w:space="0" w:color="67B4E0" w:themeColor="accent1" w:themeTint="99"/>
        <w:left w:val="single" w:sz="4" w:space="0" w:color="67B4E0" w:themeColor="accent1" w:themeTint="99"/>
        <w:bottom w:val="single" w:sz="4" w:space="0" w:color="67B4E0" w:themeColor="accent1" w:themeTint="99"/>
        <w:right w:val="single" w:sz="4" w:space="0" w:color="67B4E0" w:themeColor="accent1" w:themeTint="99"/>
        <w:insideH w:val="single" w:sz="4" w:space="0" w:color="67B4E0" w:themeColor="accent1" w:themeTint="99"/>
        <w:insideV w:val="single" w:sz="4" w:space="0" w:color="67B4E0" w:themeColor="accent1" w:themeTint="99"/>
      </w:tblBorders>
    </w:tblPr>
    <w:tblStylePr w:type="firstRow">
      <w:rPr>
        <w:b/>
        <w:bCs/>
        <w:color w:val="FFFFFF" w:themeColor="background1"/>
      </w:rPr>
      <w:tblPr/>
      <w:tcPr>
        <w:shd w:val="clear" w:color="auto" w:fill="1A5B7F" w:themeFill="accent1" w:themeFillShade="BF"/>
      </w:tcPr>
    </w:tblStylePr>
    <w:tblStylePr w:type="lastRow">
      <w:rPr>
        <w:b/>
        <w:bCs/>
      </w:rPr>
      <w:tblPr/>
      <w:tcPr>
        <w:tcBorders>
          <w:top w:val="double" w:sz="4" w:space="0" w:color="237AAB" w:themeColor="accent1"/>
        </w:tcBorders>
      </w:tcPr>
    </w:tblStylePr>
    <w:tblStylePr w:type="firstCol">
      <w:rPr>
        <w:b/>
        <w:bCs/>
      </w:rPr>
    </w:tblStylePr>
    <w:tblStylePr w:type="lastCol">
      <w:rPr>
        <w:b/>
        <w:bCs/>
      </w:rPr>
    </w:tblStylePr>
    <w:tblStylePr w:type="band1Vert">
      <w:tblPr/>
      <w:tcPr>
        <w:shd w:val="clear" w:color="auto" w:fill="CCE6F4" w:themeFill="accent1" w:themeFillTint="33"/>
      </w:tcPr>
    </w:tblStylePr>
    <w:tblStylePr w:type="band1Horz">
      <w:tblPr/>
      <w:tcPr>
        <w:shd w:val="clear" w:color="auto" w:fill="CCE6F4" w:themeFill="accent1" w:themeFillTint="33"/>
      </w:tcPr>
    </w:tblStylePr>
  </w:style>
  <w:style w:type="table" w:styleId="GridTable4-Accent5">
    <w:name w:val="Grid Table 4 Accent 5"/>
    <w:basedOn w:val="TableNormal"/>
    <w:uiPriority w:val="49"/>
    <w:rsid w:val="004D3B0F"/>
    <w:pPr>
      <w:spacing w:after="0" w:line="240" w:lineRule="auto"/>
    </w:pPr>
    <w:tblPr>
      <w:tblStyleRowBandSize w:val="1"/>
      <w:tblStyleColBandSize w:val="1"/>
      <w:tblBorders>
        <w:top w:val="single" w:sz="4" w:space="0" w:color="A9A7A7" w:themeColor="accent5" w:themeTint="99"/>
        <w:left w:val="single" w:sz="4" w:space="0" w:color="A9A7A7" w:themeColor="accent5" w:themeTint="99"/>
        <w:bottom w:val="single" w:sz="4" w:space="0" w:color="A9A7A7" w:themeColor="accent5" w:themeTint="99"/>
        <w:right w:val="single" w:sz="4" w:space="0" w:color="A9A7A7" w:themeColor="accent5" w:themeTint="99"/>
        <w:insideH w:val="single" w:sz="4" w:space="0" w:color="A9A7A7" w:themeColor="accent5" w:themeTint="99"/>
        <w:insideV w:val="single" w:sz="4" w:space="0" w:color="A9A7A7" w:themeColor="accent5" w:themeTint="99"/>
      </w:tblBorders>
    </w:tblPr>
    <w:tblStylePr w:type="firstRow">
      <w:rPr>
        <w:b/>
        <w:bCs/>
        <w:color w:val="FFFFFF" w:themeColor="background1"/>
      </w:rPr>
      <w:tblPr/>
      <w:tcPr>
        <w:tcBorders>
          <w:top w:val="single" w:sz="4" w:space="0" w:color="706E6E" w:themeColor="accent5"/>
          <w:left w:val="single" w:sz="4" w:space="0" w:color="706E6E" w:themeColor="accent5"/>
          <w:bottom w:val="single" w:sz="4" w:space="0" w:color="706E6E" w:themeColor="accent5"/>
          <w:right w:val="single" w:sz="4" w:space="0" w:color="706E6E" w:themeColor="accent5"/>
          <w:insideH w:val="nil"/>
          <w:insideV w:val="nil"/>
        </w:tcBorders>
        <w:shd w:val="clear" w:color="auto" w:fill="706E6E" w:themeFill="accent5"/>
      </w:tcPr>
    </w:tblStylePr>
    <w:tblStylePr w:type="lastRow">
      <w:rPr>
        <w:b/>
        <w:bCs/>
      </w:rPr>
      <w:tblPr/>
      <w:tcPr>
        <w:tcBorders>
          <w:top w:val="double" w:sz="4" w:space="0" w:color="706E6E" w:themeColor="accent5"/>
        </w:tcBorders>
      </w:tcPr>
    </w:tblStylePr>
    <w:tblStylePr w:type="firstCol">
      <w:rPr>
        <w:b/>
        <w:bCs/>
      </w:rPr>
    </w:tblStylePr>
    <w:tblStylePr w:type="lastCol">
      <w:rPr>
        <w:b/>
        <w:bCs/>
      </w:rPr>
    </w:tblStylePr>
    <w:tblStylePr w:type="band1Vert">
      <w:tblPr/>
      <w:tcPr>
        <w:shd w:val="clear" w:color="auto" w:fill="E2E1E1" w:themeFill="accent5" w:themeFillTint="33"/>
      </w:tcPr>
    </w:tblStylePr>
    <w:tblStylePr w:type="band1Horz">
      <w:tblPr/>
      <w:tcPr>
        <w:shd w:val="clear" w:color="auto" w:fill="E2E1E1" w:themeFill="accent5" w:themeFillTint="33"/>
      </w:tcPr>
    </w:tblStylePr>
  </w:style>
  <w:style w:type="table" w:styleId="GridTable4-Accent4">
    <w:name w:val="Grid Table 4 Accent 4"/>
    <w:aliases w:val="DISR banded - Table 2"/>
    <w:basedOn w:val="TableNormal"/>
    <w:uiPriority w:val="49"/>
    <w:rsid w:val="00BF6930"/>
    <w:pPr>
      <w:spacing w:after="0" w:line="240" w:lineRule="auto"/>
    </w:pPr>
    <w:tblPr>
      <w:tblStyleRowBandSize w:val="1"/>
      <w:tblStyleColBandSize w:val="1"/>
      <w:tblBorders>
        <w:top w:val="single" w:sz="4" w:space="0" w:color="237AAB" w:themeColor="accent1"/>
        <w:left w:val="single" w:sz="4" w:space="0" w:color="237AAB" w:themeColor="accent1"/>
        <w:bottom w:val="single" w:sz="4" w:space="0" w:color="237AAB" w:themeColor="accent1"/>
        <w:right w:val="single" w:sz="4" w:space="0" w:color="237AAB" w:themeColor="accent1"/>
        <w:insideH w:val="single" w:sz="4" w:space="0" w:color="237AAB" w:themeColor="accent1"/>
        <w:insideV w:val="single" w:sz="4" w:space="0" w:color="237AAB" w:themeColor="accent1"/>
      </w:tblBorders>
    </w:tblPr>
    <w:tblStylePr w:type="firstRow">
      <w:rPr>
        <w:b/>
        <w:bCs/>
        <w:color w:val="FFFFFF" w:themeColor="background1"/>
      </w:rPr>
      <w:tblPr/>
      <w:tcPr>
        <w:shd w:val="clear" w:color="auto" w:fill="237AAB" w:themeFill="accent1"/>
      </w:tcPr>
    </w:tblStylePr>
    <w:tblStylePr w:type="lastRow">
      <w:rPr>
        <w:b/>
        <w:bCs/>
      </w:rPr>
      <w:tblPr/>
      <w:tcPr>
        <w:tcBorders>
          <w:top w:val="single" w:sz="18" w:space="0" w:color="0B474D" w:themeColor="accent4"/>
        </w:tcBorders>
      </w:tcPr>
    </w:tblStylePr>
    <w:tblStylePr w:type="firstCol">
      <w:rPr>
        <w:b/>
        <w:bCs/>
      </w:rPr>
    </w:tblStylePr>
    <w:tblStylePr w:type="lastCol">
      <w:rPr>
        <w:b/>
        <w:bCs/>
      </w:rPr>
    </w:tblStylePr>
    <w:tblStylePr w:type="band1Vert">
      <w:tblPr/>
      <w:tcPr>
        <w:shd w:val="clear" w:color="auto" w:fill="B4EEF4" w:themeFill="accent4" w:themeFillTint="33"/>
      </w:tcPr>
    </w:tblStylePr>
    <w:tblStylePr w:type="band1Horz">
      <w:tblPr/>
      <w:tcPr>
        <w:shd w:val="clear" w:color="auto" w:fill="E2E1E1" w:themeFill="accent5" w:themeFillTint="33"/>
      </w:tcPr>
    </w:tblStylePr>
  </w:style>
  <w:style w:type="table" w:styleId="GridTable4-Accent3">
    <w:name w:val="Grid Table 4 Accent 3"/>
    <w:basedOn w:val="TableNormal"/>
    <w:uiPriority w:val="49"/>
    <w:rsid w:val="004D3B0F"/>
    <w:pPr>
      <w:spacing w:after="0" w:line="240" w:lineRule="auto"/>
    </w:pPr>
    <w:tblPr>
      <w:tblStyleRowBandSize w:val="1"/>
      <w:tblStyleColBandSize w:val="1"/>
      <w:tblBorders>
        <w:top w:val="single" w:sz="4" w:space="0" w:color="DDF2FF" w:themeColor="accent3" w:themeTint="99"/>
        <w:left w:val="single" w:sz="4" w:space="0" w:color="DDF2FF" w:themeColor="accent3" w:themeTint="99"/>
        <w:bottom w:val="single" w:sz="4" w:space="0" w:color="DDF2FF" w:themeColor="accent3" w:themeTint="99"/>
        <w:right w:val="single" w:sz="4" w:space="0" w:color="DDF2FF" w:themeColor="accent3" w:themeTint="99"/>
        <w:insideH w:val="single" w:sz="4" w:space="0" w:color="DDF2FF" w:themeColor="accent3" w:themeTint="99"/>
        <w:insideV w:val="single" w:sz="4" w:space="0" w:color="DDF2FF" w:themeColor="accent3" w:themeTint="99"/>
      </w:tblBorders>
    </w:tblPr>
    <w:tblStylePr w:type="firstRow">
      <w:rPr>
        <w:b/>
        <w:bCs/>
        <w:color w:val="FFFFFF" w:themeColor="background1"/>
      </w:rPr>
      <w:tblPr/>
      <w:tcPr>
        <w:tcBorders>
          <w:top w:val="single" w:sz="4" w:space="0" w:color="C7EBFF" w:themeColor="accent3"/>
          <w:left w:val="single" w:sz="4" w:space="0" w:color="C7EBFF" w:themeColor="accent3"/>
          <w:bottom w:val="single" w:sz="4" w:space="0" w:color="C7EBFF" w:themeColor="accent3"/>
          <w:right w:val="single" w:sz="4" w:space="0" w:color="C7EBFF" w:themeColor="accent3"/>
          <w:insideH w:val="nil"/>
          <w:insideV w:val="nil"/>
        </w:tcBorders>
        <w:shd w:val="clear" w:color="auto" w:fill="C7EBFF" w:themeFill="accent3"/>
      </w:tcPr>
    </w:tblStylePr>
    <w:tblStylePr w:type="lastRow">
      <w:rPr>
        <w:b/>
        <w:bCs/>
      </w:rPr>
      <w:tblPr/>
      <w:tcPr>
        <w:tcBorders>
          <w:top w:val="double" w:sz="4" w:space="0" w:color="C7EBFF" w:themeColor="accent3"/>
        </w:tcBorders>
      </w:tcPr>
    </w:tblStylePr>
    <w:tblStylePr w:type="firstCol">
      <w:rPr>
        <w:b/>
        <w:bCs/>
      </w:rPr>
    </w:tblStylePr>
    <w:tblStylePr w:type="lastCol">
      <w:rPr>
        <w:b/>
        <w:bCs/>
      </w:rPr>
    </w:tblStylePr>
    <w:tblStylePr w:type="band1Vert">
      <w:tblPr/>
      <w:tcPr>
        <w:shd w:val="clear" w:color="auto" w:fill="F3FAFF" w:themeFill="accent3" w:themeFillTint="33"/>
      </w:tcPr>
    </w:tblStylePr>
    <w:tblStylePr w:type="band1Horz">
      <w:tblPr/>
      <w:tcPr>
        <w:shd w:val="clear" w:color="auto" w:fill="F3FAFF" w:themeFill="accent3" w:themeFillTint="33"/>
      </w:tcPr>
    </w:tblStylePr>
  </w:style>
  <w:style w:type="paragraph" w:customStyle="1" w:styleId="Authoranddate">
    <w:name w:val="Author and date"/>
    <w:basedOn w:val="Subtitle"/>
    <w:link w:val="AuthoranddateChar"/>
    <w:rsid w:val="001D51DA"/>
    <w:rPr>
      <w:szCs w:val="40"/>
    </w:rPr>
  </w:style>
  <w:style w:type="character" w:customStyle="1" w:styleId="AuthoranddateChar">
    <w:name w:val="Author and date Char"/>
    <w:basedOn w:val="SubtitleChar"/>
    <w:link w:val="Authoranddate"/>
    <w:rsid w:val="001D51DA"/>
    <w:rPr>
      <w:rFonts w:eastAsiaTheme="minorEastAsia"/>
      <w:color w:val="CE5958" w:themeColor="background2"/>
      <w:sz w:val="40"/>
      <w:szCs w:val="40"/>
    </w:rPr>
  </w:style>
  <w:style w:type="character" w:customStyle="1" w:styleId="Heading7Char">
    <w:name w:val="Heading 7 Char"/>
    <w:basedOn w:val="DefaultParagraphFont"/>
    <w:link w:val="Heading7"/>
    <w:uiPriority w:val="9"/>
    <w:rsid w:val="00C50A9A"/>
    <w:rPr>
      <w:rFonts w:asciiTheme="majorHAnsi" w:eastAsiaTheme="majorEastAsia" w:hAnsiTheme="majorHAnsi" w:cstheme="majorBidi"/>
      <w:b/>
      <w:iCs/>
      <w:color w:val="237AAB" w:themeColor="accent1"/>
    </w:rPr>
  </w:style>
  <w:style w:type="character" w:styleId="UnresolvedMention">
    <w:name w:val="Unresolved Mention"/>
    <w:basedOn w:val="DefaultParagraphFont"/>
    <w:uiPriority w:val="99"/>
    <w:semiHidden/>
    <w:unhideWhenUsed/>
    <w:rsid w:val="00282ED3"/>
    <w:rPr>
      <w:color w:val="605E5C"/>
      <w:shd w:val="clear" w:color="auto" w:fill="E1DFDD"/>
    </w:rPr>
  </w:style>
  <w:style w:type="table" w:styleId="GridTable4">
    <w:name w:val="Grid Table 4"/>
    <w:basedOn w:val="TableNormal"/>
    <w:uiPriority w:val="49"/>
    <w:rsid w:val="0040603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3-Accent4">
    <w:name w:val="List Table 3 Accent 4"/>
    <w:basedOn w:val="TableNormal"/>
    <w:uiPriority w:val="48"/>
    <w:rsid w:val="0031654A"/>
    <w:pPr>
      <w:spacing w:after="0" w:line="240" w:lineRule="auto"/>
    </w:pPr>
    <w:tblPr>
      <w:tblStyleRowBandSize w:val="1"/>
      <w:tblStyleColBandSize w:val="1"/>
      <w:tblBorders>
        <w:top w:val="single" w:sz="4" w:space="0" w:color="0B474D" w:themeColor="accent4"/>
        <w:left w:val="single" w:sz="4" w:space="0" w:color="0B474D" w:themeColor="accent4"/>
        <w:bottom w:val="single" w:sz="4" w:space="0" w:color="0B474D" w:themeColor="accent4"/>
        <w:right w:val="single" w:sz="4" w:space="0" w:color="0B474D" w:themeColor="accent4"/>
      </w:tblBorders>
    </w:tblPr>
    <w:tblStylePr w:type="firstRow">
      <w:rPr>
        <w:b/>
        <w:bCs/>
        <w:color w:val="FFFFFF" w:themeColor="background1"/>
      </w:rPr>
      <w:tblPr/>
      <w:tcPr>
        <w:shd w:val="clear" w:color="auto" w:fill="0B474D" w:themeFill="accent4"/>
      </w:tcPr>
    </w:tblStylePr>
    <w:tblStylePr w:type="lastRow">
      <w:rPr>
        <w:b/>
        <w:bCs/>
      </w:rPr>
      <w:tblPr/>
      <w:tcPr>
        <w:tcBorders>
          <w:top w:val="double" w:sz="4" w:space="0" w:color="0B474D"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B474D" w:themeColor="accent4"/>
          <w:right w:val="single" w:sz="4" w:space="0" w:color="0B474D" w:themeColor="accent4"/>
        </w:tcBorders>
      </w:tcPr>
    </w:tblStylePr>
    <w:tblStylePr w:type="band1Horz">
      <w:tblPr/>
      <w:tcPr>
        <w:tcBorders>
          <w:top w:val="single" w:sz="4" w:space="0" w:color="0B474D" w:themeColor="accent4"/>
          <w:bottom w:val="single" w:sz="4" w:space="0" w:color="0B474D"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B474D" w:themeColor="accent4"/>
          <w:left w:val="nil"/>
        </w:tcBorders>
      </w:tcPr>
    </w:tblStylePr>
    <w:tblStylePr w:type="swCell">
      <w:tblPr/>
      <w:tcPr>
        <w:tcBorders>
          <w:top w:val="double" w:sz="4" w:space="0" w:color="0B474D" w:themeColor="accent4"/>
          <w:right w:val="nil"/>
        </w:tcBorders>
      </w:tcPr>
    </w:tblStylePr>
  </w:style>
  <w:style w:type="paragraph" w:styleId="TOC4">
    <w:name w:val="toc 4"/>
    <w:basedOn w:val="Normal"/>
    <w:next w:val="Normal"/>
    <w:autoRedefine/>
    <w:uiPriority w:val="39"/>
    <w:unhideWhenUsed/>
    <w:rsid w:val="0043720A"/>
    <w:pPr>
      <w:spacing w:after="100"/>
      <w:ind w:left="442"/>
    </w:pPr>
  </w:style>
  <w:style w:type="paragraph" w:styleId="TOC5">
    <w:name w:val="toc 5"/>
    <w:basedOn w:val="Normal"/>
    <w:next w:val="Normal"/>
    <w:autoRedefine/>
    <w:uiPriority w:val="39"/>
    <w:unhideWhenUsed/>
    <w:rsid w:val="0043720A"/>
    <w:pPr>
      <w:spacing w:after="100"/>
      <w:ind w:left="601"/>
    </w:pPr>
  </w:style>
  <w:style w:type="paragraph" w:styleId="ListBullet">
    <w:name w:val="List Bullet"/>
    <w:basedOn w:val="Normal"/>
    <w:uiPriority w:val="99"/>
    <w:rsid w:val="00703734"/>
    <w:pPr>
      <w:numPr>
        <w:numId w:val="4"/>
      </w:numPr>
      <w:ind w:left="567" w:hanging="567"/>
      <w:contextualSpacing/>
    </w:pPr>
  </w:style>
  <w:style w:type="paragraph" w:styleId="ListBullet2">
    <w:name w:val="List Bullet 2"/>
    <w:basedOn w:val="Normal"/>
    <w:uiPriority w:val="99"/>
    <w:semiHidden/>
    <w:unhideWhenUsed/>
    <w:rsid w:val="00703734"/>
    <w:pPr>
      <w:numPr>
        <w:numId w:val="5"/>
      </w:numPr>
      <w:ind w:left="567" w:hanging="567"/>
      <w:contextualSpacing/>
    </w:pPr>
  </w:style>
  <w:style w:type="character" w:customStyle="1" w:styleId="Heading8Char">
    <w:name w:val="Heading 8 Char"/>
    <w:basedOn w:val="DefaultParagraphFont"/>
    <w:link w:val="Heading8"/>
    <w:uiPriority w:val="9"/>
    <w:rsid w:val="00C50A9A"/>
    <w:rPr>
      <w:rFonts w:asciiTheme="majorHAnsi" w:eastAsiaTheme="majorEastAsia" w:hAnsiTheme="majorHAnsi" w:cstheme="majorBidi"/>
      <w:color w:val="272727" w:themeColor="text1" w:themeTint="D8"/>
      <w:sz w:val="20"/>
      <w:szCs w:val="21"/>
    </w:rPr>
  </w:style>
  <w:style w:type="character" w:styleId="CommentReference">
    <w:name w:val="annotation reference"/>
    <w:basedOn w:val="DefaultParagraphFont"/>
    <w:uiPriority w:val="99"/>
    <w:semiHidden/>
    <w:unhideWhenUsed/>
    <w:rsid w:val="00FE4569"/>
    <w:rPr>
      <w:sz w:val="16"/>
      <w:szCs w:val="16"/>
    </w:rPr>
  </w:style>
  <w:style w:type="paragraph" w:styleId="CommentText">
    <w:name w:val="annotation text"/>
    <w:basedOn w:val="Normal"/>
    <w:link w:val="CommentTextChar"/>
    <w:uiPriority w:val="99"/>
    <w:semiHidden/>
    <w:rsid w:val="00FE4569"/>
    <w:rPr>
      <w:szCs w:val="20"/>
    </w:rPr>
  </w:style>
  <w:style w:type="character" w:customStyle="1" w:styleId="CommentTextChar">
    <w:name w:val="Comment Text Char"/>
    <w:basedOn w:val="DefaultParagraphFont"/>
    <w:link w:val="CommentText"/>
    <w:uiPriority w:val="99"/>
    <w:semiHidden/>
    <w:rsid w:val="00CD0279"/>
    <w:rPr>
      <w:sz w:val="20"/>
      <w:szCs w:val="20"/>
    </w:rPr>
  </w:style>
  <w:style w:type="paragraph" w:styleId="CommentSubject">
    <w:name w:val="annotation subject"/>
    <w:basedOn w:val="CommentText"/>
    <w:next w:val="CommentText"/>
    <w:link w:val="CommentSubjectChar"/>
    <w:uiPriority w:val="99"/>
    <w:semiHidden/>
    <w:unhideWhenUsed/>
    <w:rsid w:val="00FE4569"/>
    <w:rPr>
      <w:b/>
      <w:bCs/>
    </w:rPr>
  </w:style>
  <w:style w:type="character" w:customStyle="1" w:styleId="CommentSubjectChar">
    <w:name w:val="Comment Subject Char"/>
    <w:basedOn w:val="CommentTextChar"/>
    <w:link w:val="CommentSubject"/>
    <w:uiPriority w:val="99"/>
    <w:semiHidden/>
    <w:rsid w:val="00FE4569"/>
    <w:rPr>
      <w:b/>
      <w:bCs/>
      <w:sz w:val="20"/>
      <w:szCs w:val="20"/>
    </w:rPr>
  </w:style>
  <w:style w:type="table" w:styleId="ListTable3-Accent1">
    <w:name w:val="List Table 3 Accent 1"/>
    <w:basedOn w:val="TableNormal"/>
    <w:uiPriority w:val="48"/>
    <w:rsid w:val="00BF6930"/>
    <w:pPr>
      <w:spacing w:after="0" w:line="240" w:lineRule="auto"/>
    </w:pPr>
    <w:tblPr>
      <w:tblStyleRowBandSize w:val="1"/>
      <w:tblStyleColBandSize w:val="1"/>
      <w:tblBorders>
        <w:top w:val="single" w:sz="4" w:space="0" w:color="237AAB" w:themeColor="accent1"/>
        <w:left w:val="single" w:sz="4" w:space="0" w:color="237AAB" w:themeColor="accent1"/>
        <w:bottom w:val="single" w:sz="4" w:space="0" w:color="237AAB" w:themeColor="accent1"/>
        <w:right w:val="single" w:sz="4" w:space="0" w:color="237AAB" w:themeColor="accent1"/>
      </w:tblBorders>
    </w:tblPr>
    <w:tblStylePr w:type="firstRow">
      <w:rPr>
        <w:b/>
        <w:bCs/>
        <w:color w:val="FFFFFF" w:themeColor="background1"/>
      </w:rPr>
      <w:tblPr/>
      <w:tcPr>
        <w:shd w:val="clear" w:color="auto" w:fill="237AAB" w:themeFill="accent1"/>
      </w:tcPr>
    </w:tblStylePr>
    <w:tblStylePr w:type="lastRow">
      <w:rPr>
        <w:b/>
        <w:bCs/>
      </w:rPr>
      <w:tblPr/>
      <w:tcPr>
        <w:tcBorders>
          <w:top w:val="double" w:sz="4" w:space="0" w:color="237AAB"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7AAB" w:themeColor="accent1"/>
          <w:right w:val="single" w:sz="4" w:space="0" w:color="237AAB" w:themeColor="accent1"/>
        </w:tcBorders>
      </w:tcPr>
    </w:tblStylePr>
    <w:tblStylePr w:type="band1Horz">
      <w:tblPr/>
      <w:tcPr>
        <w:tcBorders>
          <w:top w:val="single" w:sz="4" w:space="0" w:color="237AAB" w:themeColor="accent1"/>
          <w:bottom w:val="single" w:sz="4" w:space="0" w:color="237AAB"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7AAB" w:themeColor="accent1"/>
          <w:left w:val="nil"/>
        </w:tcBorders>
      </w:tcPr>
    </w:tblStylePr>
    <w:tblStylePr w:type="swCell">
      <w:tblPr/>
      <w:tcPr>
        <w:tcBorders>
          <w:top w:val="double" w:sz="4" w:space="0" w:color="237AAB" w:themeColor="accent1"/>
          <w:right w:val="nil"/>
        </w:tcBorders>
      </w:tcPr>
    </w:tblStylePr>
  </w:style>
  <w:style w:type="paragraph" w:styleId="NormalWeb">
    <w:name w:val="Normal (Web)"/>
    <w:basedOn w:val="Normal"/>
    <w:uiPriority w:val="99"/>
    <w:semiHidden/>
    <w:unhideWhenUsed/>
    <w:rsid w:val="00FA2434"/>
    <w:pPr>
      <w:spacing w:before="100" w:beforeAutospacing="1" w:after="100" w:afterAutospacing="1"/>
    </w:pPr>
    <w:rPr>
      <w:rFonts w:ascii="Times New Roman" w:eastAsia="Times New Roman" w:hAnsi="Times New Roman" w:cs="Times New Roman"/>
      <w:szCs w:val="24"/>
      <w:lang w:eastAsia="en-AU"/>
    </w:rPr>
  </w:style>
  <w:style w:type="paragraph" w:customStyle="1" w:styleId="Tagline">
    <w:name w:val="Tagline"/>
    <w:basedOn w:val="Normal"/>
    <w:rsid w:val="00797CDD"/>
    <w:rPr>
      <w:bCs/>
      <w:iCs/>
      <w:color w:val="237AAB" w:themeColor="accent1"/>
      <w:kern w:val="18"/>
      <w:szCs w:val="20"/>
    </w:rPr>
  </w:style>
  <w:style w:type="paragraph" w:customStyle="1" w:styleId="URL">
    <w:name w:val="URL"/>
    <w:basedOn w:val="Normal"/>
    <w:rsid w:val="006A092C"/>
    <w:rPr>
      <w:iCs/>
      <w:color w:val="1D405A" w:themeColor="text2"/>
      <w:kern w:val="18"/>
    </w:rPr>
  </w:style>
  <w:style w:type="character" w:styleId="BookTitle">
    <w:name w:val="Book Title"/>
    <w:basedOn w:val="DefaultParagraphFont"/>
    <w:uiPriority w:val="33"/>
    <w:semiHidden/>
    <w:qFormat/>
    <w:rsid w:val="00E8268A"/>
    <w:rPr>
      <w:b/>
      <w:bCs/>
      <w:i/>
      <w:iCs/>
      <w:spacing w:val="5"/>
    </w:rPr>
  </w:style>
  <w:style w:type="character" w:customStyle="1" w:styleId="Heading9Char">
    <w:name w:val="Heading 9 Char"/>
    <w:basedOn w:val="DefaultParagraphFont"/>
    <w:link w:val="Heading9"/>
    <w:uiPriority w:val="9"/>
    <w:semiHidden/>
    <w:rsid w:val="00E8268A"/>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semiHidden/>
    <w:qFormat/>
    <w:rsid w:val="00E8268A"/>
    <w:rPr>
      <w:i/>
      <w:iCs/>
      <w:color w:val="237AAB" w:themeColor="accent1"/>
    </w:rPr>
  </w:style>
  <w:style w:type="character" w:styleId="IntenseReference">
    <w:name w:val="Intense Reference"/>
    <w:basedOn w:val="DefaultParagraphFont"/>
    <w:uiPriority w:val="32"/>
    <w:semiHidden/>
    <w:qFormat/>
    <w:rsid w:val="00E8268A"/>
    <w:rPr>
      <w:b/>
      <w:bCs/>
      <w:smallCaps/>
      <w:color w:val="237AAB" w:themeColor="accent1"/>
      <w:spacing w:val="5"/>
    </w:rPr>
  </w:style>
  <w:style w:type="character" w:styleId="SubtleEmphasis">
    <w:name w:val="Subtle Emphasis"/>
    <w:basedOn w:val="DefaultParagraphFont"/>
    <w:uiPriority w:val="19"/>
    <w:semiHidden/>
    <w:qFormat/>
    <w:rsid w:val="00E8268A"/>
    <w:rPr>
      <w:i/>
      <w:iCs/>
      <w:color w:val="404040" w:themeColor="text1" w:themeTint="BF"/>
    </w:rPr>
  </w:style>
  <w:style w:type="character" w:styleId="SubtleReference">
    <w:name w:val="Subtle Reference"/>
    <w:basedOn w:val="DefaultParagraphFont"/>
    <w:uiPriority w:val="31"/>
    <w:semiHidden/>
    <w:qFormat/>
    <w:rsid w:val="00E8268A"/>
    <w:rPr>
      <w:smallCaps/>
      <w:color w:val="5A5A5A" w:themeColor="text1" w:themeTint="A5"/>
    </w:rPr>
  </w:style>
  <w:style w:type="paragraph" w:styleId="Title">
    <w:name w:val="Title"/>
    <w:basedOn w:val="Normal"/>
    <w:next w:val="Normal"/>
    <w:link w:val="TitleChar"/>
    <w:uiPriority w:val="10"/>
    <w:semiHidden/>
    <w:qFormat/>
    <w:rsid w:val="00E8268A"/>
    <w:pPr>
      <w:spacing w:before="0"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E8268A"/>
    <w:rPr>
      <w:rFonts w:asciiTheme="majorHAnsi" w:eastAsiaTheme="majorEastAsia" w:hAnsiTheme="majorHAnsi" w:cstheme="majorBidi"/>
      <w:spacing w:val="-10"/>
      <w:kern w:val="28"/>
      <w:sz w:val="56"/>
      <w:szCs w:val="56"/>
    </w:rPr>
  </w:style>
  <w:style w:type="character" w:customStyle="1" w:styleId="ListParagraphChar">
    <w:name w:val="List Paragraph Char"/>
    <w:aliases w:val="Recommendation Char,List Paragraph1 Char,List Paragraph11 Char,L Char,CV text Char,Table text Char,F5 List Paragraph Char,Dot pt Char,Bulleted Para Char,NFP GP Bulleted List Char,FooterText Char,numbered Char,列出段落 Char,列出段落1 Char"/>
    <w:link w:val="ListParagraph"/>
    <w:uiPriority w:val="34"/>
    <w:qFormat/>
    <w:locked/>
    <w:rsid w:val="00A06E90"/>
    <w:rPr>
      <w:sz w:val="24"/>
    </w:rPr>
  </w:style>
  <w:style w:type="paragraph" w:customStyle="1" w:styleId="paragraph">
    <w:name w:val="paragraph"/>
    <w:basedOn w:val="Normal"/>
    <w:rsid w:val="00B038C5"/>
    <w:pPr>
      <w:spacing w:before="100" w:beforeAutospacing="1" w:after="100" w:afterAutospacing="1"/>
    </w:pPr>
    <w:rPr>
      <w:rFonts w:ascii="Times New Roman" w:eastAsia="Times New Roman" w:hAnsi="Times New Roman" w:cs="Times New Roman"/>
      <w:szCs w:val="24"/>
      <w:lang w:eastAsia="en-AU"/>
    </w:rPr>
  </w:style>
  <w:style w:type="character" w:customStyle="1" w:styleId="normaltextrun">
    <w:name w:val="normaltextrun"/>
    <w:basedOn w:val="DefaultParagraphFont"/>
    <w:rsid w:val="00B038C5"/>
  </w:style>
  <w:style w:type="character" w:customStyle="1" w:styleId="eop">
    <w:name w:val="eop"/>
    <w:basedOn w:val="DefaultParagraphFont"/>
    <w:rsid w:val="00B038C5"/>
  </w:style>
  <w:style w:type="paragraph" w:styleId="Revision">
    <w:name w:val="Revision"/>
    <w:hidden/>
    <w:uiPriority w:val="99"/>
    <w:semiHidden/>
    <w:rsid w:val="00C2580B"/>
    <w:pPr>
      <w:spacing w:after="0" w:line="240" w:lineRule="auto"/>
    </w:pPr>
    <w:rPr>
      <w:sz w:val="24"/>
    </w:rPr>
  </w:style>
  <w:style w:type="character" w:styleId="Mention">
    <w:name w:val="Mention"/>
    <w:basedOn w:val="DefaultParagraphFont"/>
    <w:uiPriority w:val="99"/>
    <w:unhideWhenUsed/>
    <w:rsid w:val="003E15F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2781">
      <w:bodyDiv w:val="1"/>
      <w:marLeft w:val="0"/>
      <w:marRight w:val="0"/>
      <w:marTop w:val="0"/>
      <w:marBottom w:val="0"/>
      <w:divBdr>
        <w:top w:val="none" w:sz="0" w:space="0" w:color="auto"/>
        <w:left w:val="none" w:sz="0" w:space="0" w:color="auto"/>
        <w:bottom w:val="none" w:sz="0" w:space="0" w:color="auto"/>
        <w:right w:val="none" w:sz="0" w:space="0" w:color="auto"/>
      </w:divBdr>
    </w:div>
    <w:div w:id="6953951">
      <w:bodyDiv w:val="1"/>
      <w:marLeft w:val="0"/>
      <w:marRight w:val="0"/>
      <w:marTop w:val="0"/>
      <w:marBottom w:val="0"/>
      <w:divBdr>
        <w:top w:val="none" w:sz="0" w:space="0" w:color="auto"/>
        <w:left w:val="none" w:sz="0" w:space="0" w:color="auto"/>
        <w:bottom w:val="none" w:sz="0" w:space="0" w:color="auto"/>
        <w:right w:val="none" w:sz="0" w:space="0" w:color="auto"/>
      </w:divBdr>
    </w:div>
    <w:div w:id="128204623">
      <w:marLeft w:val="0"/>
      <w:marRight w:val="0"/>
      <w:marTop w:val="0"/>
      <w:marBottom w:val="0"/>
      <w:divBdr>
        <w:top w:val="none" w:sz="0" w:space="0" w:color="auto"/>
        <w:left w:val="none" w:sz="0" w:space="0" w:color="auto"/>
        <w:bottom w:val="none" w:sz="0" w:space="0" w:color="auto"/>
        <w:right w:val="none" w:sz="0" w:space="0" w:color="auto"/>
      </w:divBdr>
    </w:div>
    <w:div w:id="129977626">
      <w:bodyDiv w:val="1"/>
      <w:marLeft w:val="0"/>
      <w:marRight w:val="0"/>
      <w:marTop w:val="0"/>
      <w:marBottom w:val="0"/>
      <w:divBdr>
        <w:top w:val="none" w:sz="0" w:space="0" w:color="auto"/>
        <w:left w:val="none" w:sz="0" w:space="0" w:color="auto"/>
        <w:bottom w:val="none" w:sz="0" w:space="0" w:color="auto"/>
        <w:right w:val="none" w:sz="0" w:space="0" w:color="auto"/>
      </w:divBdr>
    </w:div>
    <w:div w:id="146671932">
      <w:bodyDiv w:val="1"/>
      <w:marLeft w:val="0"/>
      <w:marRight w:val="0"/>
      <w:marTop w:val="0"/>
      <w:marBottom w:val="0"/>
      <w:divBdr>
        <w:top w:val="none" w:sz="0" w:space="0" w:color="auto"/>
        <w:left w:val="none" w:sz="0" w:space="0" w:color="auto"/>
        <w:bottom w:val="none" w:sz="0" w:space="0" w:color="auto"/>
        <w:right w:val="none" w:sz="0" w:space="0" w:color="auto"/>
      </w:divBdr>
    </w:div>
    <w:div w:id="182593347">
      <w:bodyDiv w:val="1"/>
      <w:marLeft w:val="0"/>
      <w:marRight w:val="0"/>
      <w:marTop w:val="0"/>
      <w:marBottom w:val="0"/>
      <w:divBdr>
        <w:top w:val="none" w:sz="0" w:space="0" w:color="auto"/>
        <w:left w:val="none" w:sz="0" w:space="0" w:color="auto"/>
        <w:bottom w:val="none" w:sz="0" w:space="0" w:color="auto"/>
        <w:right w:val="none" w:sz="0" w:space="0" w:color="auto"/>
      </w:divBdr>
    </w:div>
    <w:div w:id="241333136">
      <w:bodyDiv w:val="1"/>
      <w:marLeft w:val="0"/>
      <w:marRight w:val="0"/>
      <w:marTop w:val="0"/>
      <w:marBottom w:val="0"/>
      <w:divBdr>
        <w:top w:val="none" w:sz="0" w:space="0" w:color="auto"/>
        <w:left w:val="none" w:sz="0" w:space="0" w:color="auto"/>
        <w:bottom w:val="none" w:sz="0" w:space="0" w:color="auto"/>
        <w:right w:val="none" w:sz="0" w:space="0" w:color="auto"/>
      </w:divBdr>
    </w:div>
    <w:div w:id="278414761">
      <w:bodyDiv w:val="1"/>
      <w:marLeft w:val="0"/>
      <w:marRight w:val="0"/>
      <w:marTop w:val="0"/>
      <w:marBottom w:val="0"/>
      <w:divBdr>
        <w:top w:val="none" w:sz="0" w:space="0" w:color="auto"/>
        <w:left w:val="none" w:sz="0" w:space="0" w:color="auto"/>
        <w:bottom w:val="none" w:sz="0" w:space="0" w:color="auto"/>
        <w:right w:val="none" w:sz="0" w:space="0" w:color="auto"/>
      </w:divBdr>
    </w:div>
    <w:div w:id="365302300">
      <w:bodyDiv w:val="1"/>
      <w:marLeft w:val="0"/>
      <w:marRight w:val="0"/>
      <w:marTop w:val="0"/>
      <w:marBottom w:val="0"/>
      <w:divBdr>
        <w:top w:val="none" w:sz="0" w:space="0" w:color="auto"/>
        <w:left w:val="none" w:sz="0" w:space="0" w:color="auto"/>
        <w:bottom w:val="none" w:sz="0" w:space="0" w:color="auto"/>
        <w:right w:val="none" w:sz="0" w:space="0" w:color="auto"/>
      </w:divBdr>
    </w:div>
    <w:div w:id="399600072">
      <w:bodyDiv w:val="1"/>
      <w:marLeft w:val="0"/>
      <w:marRight w:val="0"/>
      <w:marTop w:val="0"/>
      <w:marBottom w:val="0"/>
      <w:divBdr>
        <w:top w:val="none" w:sz="0" w:space="0" w:color="auto"/>
        <w:left w:val="none" w:sz="0" w:space="0" w:color="auto"/>
        <w:bottom w:val="none" w:sz="0" w:space="0" w:color="auto"/>
        <w:right w:val="none" w:sz="0" w:space="0" w:color="auto"/>
      </w:divBdr>
    </w:div>
    <w:div w:id="429009989">
      <w:bodyDiv w:val="1"/>
      <w:marLeft w:val="0"/>
      <w:marRight w:val="0"/>
      <w:marTop w:val="0"/>
      <w:marBottom w:val="0"/>
      <w:divBdr>
        <w:top w:val="none" w:sz="0" w:space="0" w:color="auto"/>
        <w:left w:val="none" w:sz="0" w:space="0" w:color="auto"/>
        <w:bottom w:val="none" w:sz="0" w:space="0" w:color="auto"/>
        <w:right w:val="none" w:sz="0" w:space="0" w:color="auto"/>
      </w:divBdr>
    </w:div>
    <w:div w:id="510416490">
      <w:bodyDiv w:val="1"/>
      <w:marLeft w:val="0"/>
      <w:marRight w:val="0"/>
      <w:marTop w:val="0"/>
      <w:marBottom w:val="0"/>
      <w:divBdr>
        <w:top w:val="none" w:sz="0" w:space="0" w:color="auto"/>
        <w:left w:val="none" w:sz="0" w:space="0" w:color="auto"/>
        <w:bottom w:val="none" w:sz="0" w:space="0" w:color="auto"/>
        <w:right w:val="none" w:sz="0" w:space="0" w:color="auto"/>
      </w:divBdr>
      <w:divsChild>
        <w:div w:id="1850831111">
          <w:marLeft w:val="360"/>
          <w:marRight w:val="0"/>
          <w:marTop w:val="120"/>
          <w:marBottom w:val="120"/>
          <w:divBdr>
            <w:top w:val="none" w:sz="0" w:space="0" w:color="auto"/>
            <w:left w:val="none" w:sz="0" w:space="0" w:color="auto"/>
            <w:bottom w:val="none" w:sz="0" w:space="0" w:color="auto"/>
            <w:right w:val="none" w:sz="0" w:space="0" w:color="auto"/>
          </w:divBdr>
        </w:div>
        <w:div w:id="2002272641">
          <w:marLeft w:val="360"/>
          <w:marRight w:val="0"/>
          <w:marTop w:val="120"/>
          <w:marBottom w:val="120"/>
          <w:divBdr>
            <w:top w:val="none" w:sz="0" w:space="0" w:color="auto"/>
            <w:left w:val="none" w:sz="0" w:space="0" w:color="auto"/>
            <w:bottom w:val="none" w:sz="0" w:space="0" w:color="auto"/>
            <w:right w:val="none" w:sz="0" w:space="0" w:color="auto"/>
          </w:divBdr>
        </w:div>
      </w:divsChild>
    </w:div>
    <w:div w:id="540437952">
      <w:bodyDiv w:val="1"/>
      <w:marLeft w:val="0"/>
      <w:marRight w:val="0"/>
      <w:marTop w:val="0"/>
      <w:marBottom w:val="0"/>
      <w:divBdr>
        <w:top w:val="none" w:sz="0" w:space="0" w:color="auto"/>
        <w:left w:val="none" w:sz="0" w:space="0" w:color="auto"/>
        <w:bottom w:val="none" w:sz="0" w:space="0" w:color="auto"/>
        <w:right w:val="none" w:sz="0" w:space="0" w:color="auto"/>
      </w:divBdr>
    </w:div>
    <w:div w:id="600721046">
      <w:marLeft w:val="0"/>
      <w:marRight w:val="0"/>
      <w:marTop w:val="0"/>
      <w:marBottom w:val="0"/>
      <w:divBdr>
        <w:top w:val="none" w:sz="0" w:space="0" w:color="auto"/>
        <w:left w:val="none" w:sz="0" w:space="0" w:color="auto"/>
        <w:bottom w:val="none" w:sz="0" w:space="0" w:color="auto"/>
        <w:right w:val="none" w:sz="0" w:space="0" w:color="auto"/>
      </w:divBdr>
    </w:div>
    <w:div w:id="694619287">
      <w:bodyDiv w:val="1"/>
      <w:marLeft w:val="0"/>
      <w:marRight w:val="0"/>
      <w:marTop w:val="0"/>
      <w:marBottom w:val="0"/>
      <w:divBdr>
        <w:top w:val="none" w:sz="0" w:space="0" w:color="auto"/>
        <w:left w:val="none" w:sz="0" w:space="0" w:color="auto"/>
        <w:bottom w:val="none" w:sz="0" w:space="0" w:color="auto"/>
        <w:right w:val="none" w:sz="0" w:space="0" w:color="auto"/>
      </w:divBdr>
      <w:divsChild>
        <w:div w:id="241917156">
          <w:marLeft w:val="360"/>
          <w:marRight w:val="0"/>
          <w:marTop w:val="120"/>
          <w:marBottom w:val="120"/>
          <w:divBdr>
            <w:top w:val="none" w:sz="0" w:space="0" w:color="auto"/>
            <w:left w:val="none" w:sz="0" w:space="0" w:color="auto"/>
            <w:bottom w:val="none" w:sz="0" w:space="0" w:color="auto"/>
            <w:right w:val="none" w:sz="0" w:space="0" w:color="auto"/>
          </w:divBdr>
        </w:div>
        <w:div w:id="468596983">
          <w:marLeft w:val="360"/>
          <w:marRight w:val="0"/>
          <w:marTop w:val="120"/>
          <w:marBottom w:val="120"/>
          <w:divBdr>
            <w:top w:val="none" w:sz="0" w:space="0" w:color="auto"/>
            <w:left w:val="none" w:sz="0" w:space="0" w:color="auto"/>
            <w:bottom w:val="none" w:sz="0" w:space="0" w:color="auto"/>
            <w:right w:val="none" w:sz="0" w:space="0" w:color="auto"/>
          </w:divBdr>
        </w:div>
        <w:div w:id="1459378534">
          <w:marLeft w:val="360"/>
          <w:marRight w:val="0"/>
          <w:marTop w:val="120"/>
          <w:marBottom w:val="120"/>
          <w:divBdr>
            <w:top w:val="none" w:sz="0" w:space="0" w:color="auto"/>
            <w:left w:val="none" w:sz="0" w:space="0" w:color="auto"/>
            <w:bottom w:val="none" w:sz="0" w:space="0" w:color="auto"/>
            <w:right w:val="none" w:sz="0" w:space="0" w:color="auto"/>
          </w:divBdr>
        </w:div>
      </w:divsChild>
    </w:div>
    <w:div w:id="803547821">
      <w:bodyDiv w:val="1"/>
      <w:marLeft w:val="0"/>
      <w:marRight w:val="0"/>
      <w:marTop w:val="0"/>
      <w:marBottom w:val="0"/>
      <w:divBdr>
        <w:top w:val="none" w:sz="0" w:space="0" w:color="auto"/>
        <w:left w:val="none" w:sz="0" w:space="0" w:color="auto"/>
        <w:bottom w:val="none" w:sz="0" w:space="0" w:color="auto"/>
        <w:right w:val="none" w:sz="0" w:space="0" w:color="auto"/>
      </w:divBdr>
    </w:div>
    <w:div w:id="863327493">
      <w:bodyDiv w:val="1"/>
      <w:marLeft w:val="0"/>
      <w:marRight w:val="0"/>
      <w:marTop w:val="0"/>
      <w:marBottom w:val="0"/>
      <w:divBdr>
        <w:top w:val="none" w:sz="0" w:space="0" w:color="auto"/>
        <w:left w:val="none" w:sz="0" w:space="0" w:color="auto"/>
        <w:bottom w:val="none" w:sz="0" w:space="0" w:color="auto"/>
        <w:right w:val="none" w:sz="0" w:space="0" w:color="auto"/>
      </w:divBdr>
    </w:div>
    <w:div w:id="917523489">
      <w:bodyDiv w:val="1"/>
      <w:marLeft w:val="0"/>
      <w:marRight w:val="0"/>
      <w:marTop w:val="0"/>
      <w:marBottom w:val="0"/>
      <w:divBdr>
        <w:top w:val="none" w:sz="0" w:space="0" w:color="auto"/>
        <w:left w:val="none" w:sz="0" w:space="0" w:color="auto"/>
        <w:bottom w:val="none" w:sz="0" w:space="0" w:color="auto"/>
        <w:right w:val="none" w:sz="0" w:space="0" w:color="auto"/>
      </w:divBdr>
    </w:div>
    <w:div w:id="937370373">
      <w:bodyDiv w:val="1"/>
      <w:marLeft w:val="0"/>
      <w:marRight w:val="0"/>
      <w:marTop w:val="0"/>
      <w:marBottom w:val="0"/>
      <w:divBdr>
        <w:top w:val="none" w:sz="0" w:space="0" w:color="auto"/>
        <w:left w:val="none" w:sz="0" w:space="0" w:color="auto"/>
        <w:bottom w:val="none" w:sz="0" w:space="0" w:color="auto"/>
        <w:right w:val="none" w:sz="0" w:space="0" w:color="auto"/>
      </w:divBdr>
    </w:div>
    <w:div w:id="960920062">
      <w:bodyDiv w:val="1"/>
      <w:marLeft w:val="0"/>
      <w:marRight w:val="0"/>
      <w:marTop w:val="0"/>
      <w:marBottom w:val="0"/>
      <w:divBdr>
        <w:top w:val="none" w:sz="0" w:space="0" w:color="auto"/>
        <w:left w:val="none" w:sz="0" w:space="0" w:color="auto"/>
        <w:bottom w:val="none" w:sz="0" w:space="0" w:color="auto"/>
        <w:right w:val="none" w:sz="0" w:space="0" w:color="auto"/>
      </w:divBdr>
    </w:div>
    <w:div w:id="1047418297">
      <w:bodyDiv w:val="1"/>
      <w:marLeft w:val="0"/>
      <w:marRight w:val="0"/>
      <w:marTop w:val="0"/>
      <w:marBottom w:val="0"/>
      <w:divBdr>
        <w:top w:val="none" w:sz="0" w:space="0" w:color="auto"/>
        <w:left w:val="none" w:sz="0" w:space="0" w:color="auto"/>
        <w:bottom w:val="none" w:sz="0" w:space="0" w:color="auto"/>
        <w:right w:val="none" w:sz="0" w:space="0" w:color="auto"/>
      </w:divBdr>
    </w:div>
    <w:div w:id="1136027059">
      <w:bodyDiv w:val="1"/>
      <w:marLeft w:val="0"/>
      <w:marRight w:val="0"/>
      <w:marTop w:val="0"/>
      <w:marBottom w:val="0"/>
      <w:divBdr>
        <w:top w:val="none" w:sz="0" w:space="0" w:color="auto"/>
        <w:left w:val="none" w:sz="0" w:space="0" w:color="auto"/>
        <w:bottom w:val="none" w:sz="0" w:space="0" w:color="auto"/>
        <w:right w:val="none" w:sz="0" w:space="0" w:color="auto"/>
      </w:divBdr>
    </w:div>
    <w:div w:id="1217740835">
      <w:marLeft w:val="0"/>
      <w:marRight w:val="0"/>
      <w:marTop w:val="0"/>
      <w:marBottom w:val="0"/>
      <w:divBdr>
        <w:top w:val="none" w:sz="0" w:space="0" w:color="auto"/>
        <w:left w:val="none" w:sz="0" w:space="0" w:color="auto"/>
        <w:bottom w:val="none" w:sz="0" w:space="0" w:color="auto"/>
        <w:right w:val="none" w:sz="0" w:space="0" w:color="auto"/>
      </w:divBdr>
      <w:divsChild>
        <w:div w:id="1475560118">
          <w:marLeft w:val="0"/>
          <w:marRight w:val="0"/>
          <w:marTop w:val="0"/>
          <w:marBottom w:val="0"/>
          <w:divBdr>
            <w:top w:val="none" w:sz="0" w:space="0" w:color="auto"/>
            <w:left w:val="none" w:sz="0" w:space="0" w:color="auto"/>
            <w:bottom w:val="none" w:sz="0" w:space="0" w:color="auto"/>
            <w:right w:val="none" w:sz="0" w:space="0" w:color="auto"/>
          </w:divBdr>
        </w:div>
      </w:divsChild>
    </w:div>
    <w:div w:id="1360007305">
      <w:marLeft w:val="0"/>
      <w:marRight w:val="0"/>
      <w:marTop w:val="0"/>
      <w:marBottom w:val="0"/>
      <w:divBdr>
        <w:top w:val="none" w:sz="0" w:space="0" w:color="auto"/>
        <w:left w:val="none" w:sz="0" w:space="0" w:color="auto"/>
        <w:bottom w:val="none" w:sz="0" w:space="0" w:color="auto"/>
        <w:right w:val="none" w:sz="0" w:space="0" w:color="auto"/>
      </w:divBdr>
    </w:div>
    <w:div w:id="1422603160">
      <w:bodyDiv w:val="1"/>
      <w:marLeft w:val="0"/>
      <w:marRight w:val="0"/>
      <w:marTop w:val="0"/>
      <w:marBottom w:val="0"/>
      <w:divBdr>
        <w:top w:val="none" w:sz="0" w:space="0" w:color="auto"/>
        <w:left w:val="none" w:sz="0" w:space="0" w:color="auto"/>
        <w:bottom w:val="none" w:sz="0" w:space="0" w:color="auto"/>
        <w:right w:val="none" w:sz="0" w:space="0" w:color="auto"/>
      </w:divBdr>
    </w:div>
    <w:div w:id="1439063441">
      <w:bodyDiv w:val="1"/>
      <w:marLeft w:val="0"/>
      <w:marRight w:val="0"/>
      <w:marTop w:val="0"/>
      <w:marBottom w:val="0"/>
      <w:divBdr>
        <w:top w:val="none" w:sz="0" w:space="0" w:color="auto"/>
        <w:left w:val="none" w:sz="0" w:space="0" w:color="auto"/>
        <w:bottom w:val="none" w:sz="0" w:space="0" w:color="auto"/>
        <w:right w:val="none" w:sz="0" w:space="0" w:color="auto"/>
      </w:divBdr>
    </w:div>
    <w:div w:id="1461534661">
      <w:bodyDiv w:val="1"/>
      <w:marLeft w:val="0"/>
      <w:marRight w:val="0"/>
      <w:marTop w:val="0"/>
      <w:marBottom w:val="0"/>
      <w:divBdr>
        <w:top w:val="none" w:sz="0" w:space="0" w:color="auto"/>
        <w:left w:val="none" w:sz="0" w:space="0" w:color="auto"/>
        <w:bottom w:val="none" w:sz="0" w:space="0" w:color="auto"/>
        <w:right w:val="none" w:sz="0" w:space="0" w:color="auto"/>
      </w:divBdr>
    </w:div>
    <w:div w:id="1501189896">
      <w:bodyDiv w:val="1"/>
      <w:marLeft w:val="0"/>
      <w:marRight w:val="0"/>
      <w:marTop w:val="0"/>
      <w:marBottom w:val="0"/>
      <w:divBdr>
        <w:top w:val="none" w:sz="0" w:space="0" w:color="auto"/>
        <w:left w:val="none" w:sz="0" w:space="0" w:color="auto"/>
        <w:bottom w:val="none" w:sz="0" w:space="0" w:color="auto"/>
        <w:right w:val="none" w:sz="0" w:space="0" w:color="auto"/>
      </w:divBdr>
    </w:div>
    <w:div w:id="1611426220">
      <w:bodyDiv w:val="1"/>
      <w:marLeft w:val="0"/>
      <w:marRight w:val="0"/>
      <w:marTop w:val="0"/>
      <w:marBottom w:val="0"/>
      <w:divBdr>
        <w:top w:val="none" w:sz="0" w:space="0" w:color="auto"/>
        <w:left w:val="none" w:sz="0" w:space="0" w:color="auto"/>
        <w:bottom w:val="none" w:sz="0" w:space="0" w:color="auto"/>
        <w:right w:val="none" w:sz="0" w:space="0" w:color="auto"/>
      </w:divBdr>
    </w:div>
    <w:div w:id="1786582538">
      <w:bodyDiv w:val="1"/>
      <w:marLeft w:val="0"/>
      <w:marRight w:val="0"/>
      <w:marTop w:val="0"/>
      <w:marBottom w:val="0"/>
      <w:divBdr>
        <w:top w:val="none" w:sz="0" w:space="0" w:color="auto"/>
        <w:left w:val="none" w:sz="0" w:space="0" w:color="auto"/>
        <w:bottom w:val="none" w:sz="0" w:space="0" w:color="auto"/>
        <w:right w:val="none" w:sz="0" w:space="0" w:color="auto"/>
      </w:divBdr>
    </w:div>
    <w:div w:id="1801072375">
      <w:bodyDiv w:val="1"/>
      <w:marLeft w:val="0"/>
      <w:marRight w:val="0"/>
      <w:marTop w:val="0"/>
      <w:marBottom w:val="0"/>
      <w:divBdr>
        <w:top w:val="none" w:sz="0" w:space="0" w:color="auto"/>
        <w:left w:val="none" w:sz="0" w:space="0" w:color="auto"/>
        <w:bottom w:val="none" w:sz="0" w:space="0" w:color="auto"/>
        <w:right w:val="none" w:sz="0" w:space="0" w:color="auto"/>
      </w:divBdr>
    </w:div>
    <w:div w:id="1836529095">
      <w:bodyDiv w:val="1"/>
      <w:marLeft w:val="0"/>
      <w:marRight w:val="0"/>
      <w:marTop w:val="0"/>
      <w:marBottom w:val="0"/>
      <w:divBdr>
        <w:top w:val="none" w:sz="0" w:space="0" w:color="auto"/>
        <w:left w:val="none" w:sz="0" w:space="0" w:color="auto"/>
        <w:bottom w:val="none" w:sz="0" w:space="0" w:color="auto"/>
        <w:right w:val="none" w:sz="0" w:space="0" w:color="auto"/>
      </w:divBdr>
    </w:div>
    <w:div w:id="1899054828">
      <w:bodyDiv w:val="1"/>
      <w:marLeft w:val="0"/>
      <w:marRight w:val="0"/>
      <w:marTop w:val="0"/>
      <w:marBottom w:val="0"/>
      <w:divBdr>
        <w:top w:val="none" w:sz="0" w:space="0" w:color="auto"/>
        <w:left w:val="none" w:sz="0" w:space="0" w:color="auto"/>
        <w:bottom w:val="none" w:sz="0" w:space="0" w:color="auto"/>
        <w:right w:val="none" w:sz="0" w:space="0" w:color="auto"/>
      </w:divBdr>
    </w:div>
    <w:div w:id="1919243797">
      <w:marLeft w:val="0"/>
      <w:marRight w:val="0"/>
      <w:marTop w:val="0"/>
      <w:marBottom w:val="0"/>
      <w:divBdr>
        <w:top w:val="none" w:sz="0" w:space="0" w:color="auto"/>
        <w:left w:val="none" w:sz="0" w:space="0" w:color="auto"/>
        <w:bottom w:val="none" w:sz="0" w:space="0" w:color="auto"/>
        <w:right w:val="none" w:sz="0" w:space="0" w:color="auto"/>
      </w:divBdr>
    </w:div>
    <w:div w:id="1949777513">
      <w:marLeft w:val="0"/>
      <w:marRight w:val="0"/>
      <w:marTop w:val="0"/>
      <w:marBottom w:val="0"/>
      <w:divBdr>
        <w:top w:val="none" w:sz="0" w:space="0" w:color="auto"/>
        <w:left w:val="none" w:sz="0" w:space="0" w:color="auto"/>
        <w:bottom w:val="none" w:sz="0" w:space="0" w:color="auto"/>
        <w:right w:val="none" w:sz="0" w:space="0" w:color="auto"/>
      </w:divBdr>
    </w:div>
    <w:div w:id="1982692475">
      <w:bodyDiv w:val="1"/>
      <w:marLeft w:val="0"/>
      <w:marRight w:val="0"/>
      <w:marTop w:val="0"/>
      <w:marBottom w:val="0"/>
      <w:divBdr>
        <w:top w:val="none" w:sz="0" w:space="0" w:color="auto"/>
        <w:left w:val="none" w:sz="0" w:space="0" w:color="auto"/>
        <w:bottom w:val="none" w:sz="0" w:space="0" w:color="auto"/>
        <w:right w:val="none" w:sz="0" w:space="0" w:color="auto"/>
      </w:divBdr>
    </w:div>
    <w:div w:id="2001813306">
      <w:bodyDiv w:val="1"/>
      <w:marLeft w:val="0"/>
      <w:marRight w:val="0"/>
      <w:marTop w:val="0"/>
      <w:marBottom w:val="0"/>
      <w:divBdr>
        <w:top w:val="none" w:sz="0" w:space="0" w:color="auto"/>
        <w:left w:val="none" w:sz="0" w:space="0" w:color="auto"/>
        <w:bottom w:val="none" w:sz="0" w:space="0" w:color="auto"/>
        <w:right w:val="none" w:sz="0" w:space="0" w:color="auto"/>
      </w:divBdr>
    </w:div>
    <w:div w:id="2016107219">
      <w:marLeft w:val="0"/>
      <w:marRight w:val="0"/>
      <w:marTop w:val="0"/>
      <w:marBottom w:val="0"/>
      <w:divBdr>
        <w:top w:val="none" w:sz="0" w:space="0" w:color="auto"/>
        <w:left w:val="none" w:sz="0" w:space="0" w:color="auto"/>
        <w:bottom w:val="none" w:sz="0" w:space="0" w:color="auto"/>
        <w:right w:val="none" w:sz="0" w:space="0" w:color="auto"/>
      </w:divBdr>
    </w:div>
    <w:div w:id="2030183697">
      <w:bodyDiv w:val="1"/>
      <w:marLeft w:val="0"/>
      <w:marRight w:val="0"/>
      <w:marTop w:val="0"/>
      <w:marBottom w:val="0"/>
      <w:divBdr>
        <w:top w:val="none" w:sz="0" w:space="0" w:color="auto"/>
        <w:left w:val="none" w:sz="0" w:space="0" w:color="auto"/>
        <w:bottom w:val="none" w:sz="0" w:space="0" w:color="auto"/>
        <w:right w:val="none" w:sz="0" w:space="0" w:color="auto"/>
      </w:divBdr>
    </w:div>
    <w:div w:id="2066679720">
      <w:bodyDiv w:val="1"/>
      <w:marLeft w:val="0"/>
      <w:marRight w:val="0"/>
      <w:marTop w:val="0"/>
      <w:marBottom w:val="0"/>
      <w:divBdr>
        <w:top w:val="none" w:sz="0" w:space="0" w:color="auto"/>
        <w:left w:val="none" w:sz="0" w:space="0" w:color="auto"/>
        <w:bottom w:val="none" w:sz="0" w:space="0" w:color="auto"/>
        <w:right w:val="none" w:sz="0" w:space="0" w:color="auto"/>
      </w:divBdr>
    </w:div>
    <w:div w:id="2107384619">
      <w:marLeft w:val="0"/>
      <w:marRight w:val="0"/>
      <w:marTop w:val="0"/>
      <w:marBottom w:val="0"/>
      <w:divBdr>
        <w:top w:val="none" w:sz="0" w:space="0" w:color="auto"/>
        <w:left w:val="none" w:sz="0" w:space="0" w:color="auto"/>
        <w:bottom w:val="none" w:sz="0" w:space="0" w:color="auto"/>
        <w:right w:val="none" w:sz="0" w:space="0" w:color="auto"/>
      </w:divBdr>
      <w:divsChild>
        <w:div w:id="662657883">
          <w:marLeft w:val="0"/>
          <w:marRight w:val="0"/>
          <w:marTop w:val="0"/>
          <w:marBottom w:val="0"/>
          <w:divBdr>
            <w:top w:val="none" w:sz="0" w:space="0" w:color="auto"/>
            <w:left w:val="none" w:sz="0" w:space="0" w:color="auto"/>
            <w:bottom w:val="none" w:sz="0" w:space="0" w:color="auto"/>
            <w:right w:val="none" w:sz="0" w:space="0" w:color="auto"/>
          </w:divBdr>
        </w:div>
      </w:divsChild>
    </w:div>
    <w:div w:id="2144351089">
      <w:marLeft w:val="0"/>
      <w:marRight w:val="0"/>
      <w:marTop w:val="0"/>
      <w:marBottom w:val="0"/>
      <w:divBdr>
        <w:top w:val="none" w:sz="0" w:space="0" w:color="auto"/>
        <w:left w:val="none" w:sz="0" w:space="0" w:color="auto"/>
        <w:bottom w:val="none" w:sz="0" w:space="0" w:color="auto"/>
        <w:right w:val="none" w:sz="0" w:space="0" w:color="auto"/>
      </w:divBdr>
      <w:divsChild>
        <w:div w:id="17854948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ATRC - Australian Trade Remedies Commission">
      <a:dk1>
        <a:sysClr val="windowText" lastClr="000000"/>
      </a:dk1>
      <a:lt1>
        <a:sysClr val="window" lastClr="FFFFFF"/>
      </a:lt1>
      <a:dk2>
        <a:srgbClr val="1D405A"/>
      </a:dk2>
      <a:lt2>
        <a:srgbClr val="CE5958"/>
      </a:lt2>
      <a:accent1>
        <a:srgbClr val="237AAB"/>
      </a:accent1>
      <a:accent2>
        <a:srgbClr val="960000"/>
      </a:accent2>
      <a:accent3>
        <a:srgbClr val="C7EBFF"/>
      </a:accent3>
      <a:accent4>
        <a:srgbClr val="0B474D"/>
      </a:accent4>
      <a:accent5>
        <a:srgbClr val="706E6E"/>
      </a:accent5>
      <a:accent6>
        <a:srgbClr val="61008E"/>
      </a:accent6>
      <a:hlink>
        <a:srgbClr val="237AAB"/>
      </a:hlink>
      <a:folHlink>
        <a:srgbClr val="1D405A"/>
      </a:folHlink>
    </a:clrScheme>
    <a:fontScheme name="DISR Aptos 2023 v2">
      <a:majorFont>
        <a:latin typeface="Aptos SemiBold"/>
        <a:ea typeface=""/>
        <a:cs typeface=""/>
      </a:majorFont>
      <a:minorFont>
        <a:latin typeface="Apto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18A426-2293-4A07-8069-76989BF31193}">
  <ds:schemaRefs>
    <ds:schemaRef ds:uri="http://schemas.openxmlformats.org/officeDocument/2006/bibliography"/>
  </ds:schemaRefs>
</ds:datastoreItem>
</file>

<file path=docMetadata/LabelInfo.xml><?xml version="1.0" encoding="utf-8"?>
<clbl:labelList xmlns:clbl="http://schemas.microsoft.com/office/2020/mipLabelMetadata">
  <clbl:label id="{f788632b-1377-4314-aac5-af7281e8e760}" enabled="1" method="Privileged" siteId="{8f73f427-32e5-4a3b-8d42-b369b956a96b}" contentBits="3"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5</Pages>
  <Words>1024</Words>
  <Characters>5840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2026-10-27T04:05:00Z</dcterms:created>
  <dcterms:modified xsi:type="dcterms:W3CDTF">2026-10-27T04:05:00Z</dcterms:modified>
</cp:coreProperties>
</file>