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C3BE" w14:textId="5AB52434" w:rsidR="002F60C0" w:rsidRDefault="00960D98" w:rsidP="004A7856">
      <w:pPr>
        <w:spacing w:after="240"/>
      </w:pPr>
      <w:bookmarkStart w:id="0" w:name="_Toc19289801"/>
      <w:r>
        <w:rPr>
          <w:noProof/>
        </w:rPr>
        <w:drawing>
          <wp:inline distT="0" distB="0" distL="0" distR="0" wp14:anchorId="1BD458A8" wp14:editId="66826764">
            <wp:extent cx="2228400" cy="651600"/>
            <wp:effectExtent l="0" t="0" r="635" b="0"/>
            <wp:docPr id="3" name="Picture 3" descr="Australian Government | Department of Industry, Science and Resour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ustralian Government | Department of Industry, Science and Resource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400" cy="65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F60C0" w:rsidRPr="002F60C0">
        <w:t xml:space="preserve"> </w:t>
      </w:r>
    </w:p>
    <w:bookmarkStart w:id="1" w:name="_Toc144911604" w:displacedByCustomXml="next"/>
    <w:bookmarkEnd w:id="1" w:displacedByCustomXml="next"/>
    <w:bookmarkStart w:id="2" w:name="_Toc155176735" w:displacedByCustomXml="next"/>
    <w:bookmarkEnd w:id="2" w:displacedByCustomXml="next"/>
    <w:bookmarkEnd w:id="0" w:displacedByCustomXml="next"/>
    <w:sdt>
      <w:sdtPr>
        <w:rPr>
          <w:rFonts w:asciiTheme="minorHAnsi" w:eastAsiaTheme="minorEastAsia" w:hAnsiTheme="minorHAnsi" w:cstheme="minorBidi"/>
          <w:iCs/>
          <w:color w:val="auto"/>
          <w:kern w:val="18"/>
          <w:sz w:val="22"/>
          <w:szCs w:val="22"/>
        </w:rPr>
        <w:id w:val="-2088995269"/>
        <w:docPartObj>
          <w:docPartGallery w:val="Cover Pages"/>
          <w:docPartUnique/>
        </w:docPartObj>
      </w:sdtPr>
      <w:sdtEndPr>
        <w:rPr>
          <w:color w:val="001B35" w:themeColor="text2"/>
          <w:sz w:val="24"/>
          <w:szCs w:val="24"/>
        </w:rPr>
      </w:sdtEndPr>
      <w:sdtContent>
        <w:sdt>
          <w:sdtPr>
            <w:alias w:val="Title"/>
            <w:tag w:val=""/>
            <w:id w:val="-856345196"/>
            <w:placeholder>
              <w:docPart w:val="7C978D00DE954317A38746FAA17D08F3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F2A2778" w14:textId="25039E43" w:rsidR="0068286F" w:rsidRDefault="005D5D71" w:rsidP="000874A3">
              <w:pPr>
                <w:pStyle w:val="Heading1"/>
              </w:pPr>
              <w:r>
                <w:t>Offshore environmental management review</w:t>
              </w:r>
            </w:p>
          </w:sdtContent>
        </w:sdt>
        <w:p w14:paraId="5F38D918" w14:textId="004FBEF4" w:rsidR="00090DDB" w:rsidRDefault="00177759" w:rsidP="008653E9">
          <w:pPr>
            <w:pStyle w:val="Subtitle"/>
            <w:spacing w:after="480"/>
          </w:pPr>
          <w:r w:rsidRPr="00177759">
            <w:t>Key</w:t>
          </w:r>
          <w:r w:rsidR="0047496C">
            <w:t xml:space="preserve"> </w:t>
          </w:r>
          <w:r w:rsidR="00DA4BE0">
            <w:t>f</w:t>
          </w:r>
          <w:r w:rsidRPr="00177759">
            <w:t xml:space="preserve">indings and </w:t>
          </w:r>
          <w:r w:rsidR="00DA4BE0">
            <w:t>n</w:t>
          </w:r>
          <w:r w:rsidRPr="00177759">
            <w:t xml:space="preserve">ext </w:t>
          </w:r>
          <w:r w:rsidR="00DA4BE0">
            <w:t>s</w:t>
          </w:r>
          <w:r w:rsidRPr="00177759">
            <w:t>teps</w:t>
          </w:r>
        </w:p>
        <w:p w14:paraId="22ED57E5" w14:textId="36C660F2" w:rsidR="002F60C0" w:rsidRPr="00090DDB" w:rsidRDefault="00612D25" w:rsidP="00CD36CB">
          <w:pPr>
            <w:pStyle w:val="URL"/>
          </w:pPr>
        </w:p>
      </w:sdtContent>
    </w:sdt>
    <w:p w14:paraId="2B25A82F" w14:textId="77777777" w:rsidR="009F4608" w:rsidRDefault="009F4608">
      <w:pPr>
        <w:spacing w:before="0" w:after="160" w:line="259" w:lineRule="auto"/>
        <w:rPr>
          <w:rFonts w:asciiTheme="majorHAnsi" w:eastAsiaTheme="majorEastAsia" w:hAnsiTheme="majorHAnsi" w:cstheme="majorBidi"/>
          <w:color w:val="0766A5" w:themeColor="accent1"/>
          <w:sz w:val="48"/>
          <w:szCs w:val="48"/>
        </w:rPr>
      </w:pPr>
      <w:bookmarkStart w:id="3" w:name="_Toc144911608"/>
      <w:bookmarkStart w:id="4" w:name="_Toc155176736"/>
      <w:bookmarkStart w:id="5" w:name="_Toc19023741"/>
      <w:bookmarkStart w:id="6" w:name="_Hlk155189889"/>
      <w:r>
        <w:br w:type="page"/>
      </w:r>
    </w:p>
    <w:p w14:paraId="0651AE6F" w14:textId="6DB746D7" w:rsidR="00C27CB3" w:rsidRPr="00BD5778" w:rsidRDefault="004C10C3" w:rsidP="00BD5778">
      <w:pPr>
        <w:pStyle w:val="Heading2"/>
      </w:pPr>
      <w:r>
        <w:lastRenderedPageBreak/>
        <w:t>Summary</w:t>
      </w:r>
    </w:p>
    <w:p w14:paraId="30E165EE" w14:textId="1C577518" w:rsidR="00177759" w:rsidRPr="00177759" w:rsidRDefault="00177759" w:rsidP="00510BD0">
      <w:bookmarkStart w:id="7" w:name="_Hlk155193689"/>
      <w:r w:rsidRPr="00177759">
        <w:t xml:space="preserve">This paper summarises the key findings of a review of the regulatory framework for </w:t>
      </w:r>
      <w:r w:rsidR="00563936">
        <w:t xml:space="preserve">the </w:t>
      </w:r>
      <w:r w:rsidR="00B416F3">
        <w:t>en</w:t>
      </w:r>
      <w:r w:rsidR="00FD2D63">
        <w:t>vironment</w:t>
      </w:r>
      <w:r w:rsidR="002D194F">
        <w:t>al</w:t>
      </w:r>
      <w:r w:rsidRPr="00177759">
        <w:t xml:space="preserve"> </w:t>
      </w:r>
      <w:r w:rsidR="00B416F3">
        <w:t>m</w:t>
      </w:r>
      <w:r w:rsidR="00B641F5">
        <w:t xml:space="preserve">anagement </w:t>
      </w:r>
      <w:r w:rsidR="00563936">
        <w:t xml:space="preserve">of </w:t>
      </w:r>
      <w:r w:rsidR="00BA20B4">
        <w:t>offshore petroleum and greenhouse gas storage activities</w:t>
      </w:r>
      <w:r w:rsidR="00B641F5">
        <w:t xml:space="preserve"> </w:t>
      </w:r>
      <w:r w:rsidRPr="00177759">
        <w:t xml:space="preserve">under the </w:t>
      </w:r>
      <w:r w:rsidRPr="00177759">
        <w:rPr>
          <w:i/>
          <w:iCs/>
        </w:rPr>
        <w:t xml:space="preserve">Offshore Petroleum and Greenhouse Gas Storage Act 2006 </w:t>
      </w:r>
      <w:r w:rsidRPr="00177759">
        <w:t>(OPGGS</w:t>
      </w:r>
      <w:r w:rsidR="00571530">
        <w:t xml:space="preserve"> </w:t>
      </w:r>
      <w:r w:rsidRPr="00177759">
        <w:t>A</w:t>
      </w:r>
      <w:r w:rsidR="00571530">
        <w:t>ct</w:t>
      </w:r>
      <w:r w:rsidRPr="00177759">
        <w:t>)</w:t>
      </w:r>
      <w:r w:rsidR="00E656CE">
        <w:t xml:space="preserve"> and associated </w:t>
      </w:r>
      <w:r w:rsidR="00117687">
        <w:t>r</w:t>
      </w:r>
      <w:r w:rsidR="00E656CE">
        <w:t>egulations</w:t>
      </w:r>
      <w:r w:rsidRPr="00177759">
        <w:t xml:space="preserve">. </w:t>
      </w:r>
    </w:p>
    <w:p w14:paraId="5019D6E2" w14:textId="70F7581E" w:rsidR="00C27CB3" w:rsidRDefault="00177759" w:rsidP="00510BD0">
      <w:r w:rsidRPr="00177759">
        <w:t xml:space="preserve">The review was guided by the terms of reference approved by the Minister for </w:t>
      </w:r>
      <w:r w:rsidR="006D27F6">
        <w:t>R</w:t>
      </w:r>
      <w:r w:rsidRPr="00177759">
        <w:t xml:space="preserve">esources on </w:t>
      </w:r>
      <w:r w:rsidR="00361EA5">
        <w:t>9</w:t>
      </w:r>
      <w:r w:rsidR="00361EA5" w:rsidRPr="00177759">
        <w:t xml:space="preserve"> </w:t>
      </w:r>
      <w:r w:rsidR="00097148">
        <w:t>February 2024</w:t>
      </w:r>
      <w:r w:rsidR="00F14846">
        <w:t>. It</w:t>
      </w:r>
      <w:r w:rsidRPr="00177759">
        <w:t xml:space="preserve"> </w:t>
      </w:r>
      <w:r w:rsidR="00317613">
        <w:t xml:space="preserve">included </w:t>
      </w:r>
      <w:r w:rsidRPr="00177759">
        <w:t xml:space="preserve">engagement with </w:t>
      </w:r>
      <w:r w:rsidR="001E0647">
        <w:t xml:space="preserve">a range of stakeholders, including First Nations representatives, fishing industry, oil and gas </w:t>
      </w:r>
      <w:r w:rsidRPr="00177759">
        <w:t>industry</w:t>
      </w:r>
      <w:r w:rsidR="00B57C68">
        <w:t xml:space="preserve">, </w:t>
      </w:r>
      <w:r w:rsidR="007C5359">
        <w:t xml:space="preserve">environmental groups, local, state and </w:t>
      </w:r>
      <w:r w:rsidR="00B57C68">
        <w:t>Commonwealth agencies</w:t>
      </w:r>
      <w:r w:rsidR="007C5359">
        <w:t xml:space="preserve"> and the offshore </w:t>
      </w:r>
      <w:r w:rsidR="00317613">
        <w:t>petroleum and greenhouse gas storage regulator</w:t>
      </w:r>
      <w:r w:rsidR="003F0F13">
        <w:t xml:space="preserve"> (NOSPEMA)</w:t>
      </w:r>
      <w:r w:rsidRPr="00177759">
        <w:t>.</w:t>
      </w:r>
      <w:r w:rsidR="005C2B63">
        <w:t xml:space="preserve"> Valuable feedback was also received from the public during public consultation in early 2024.</w:t>
      </w:r>
    </w:p>
    <w:p w14:paraId="66BAB0FE" w14:textId="6D46E1B4" w:rsidR="006B09F0" w:rsidRPr="005C6A5F" w:rsidRDefault="005C2B63" w:rsidP="006B09F0">
      <w:r>
        <w:t>The review</w:t>
      </w:r>
      <w:r w:rsidR="006B09F0" w:rsidRPr="005C6A5F">
        <w:t xml:space="preserve"> initially focused on</w:t>
      </w:r>
      <w:r w:rsidR="008B7684">
        <w:t xml:space="preserve"> the</w:t>
      </w:r>
      <w:r w:rsidR="006B09F0" w:rsidRPr="005C6A5F">
        <w:t xml:space="preserve"> consultation requirements for regulatory approvals under the Offshore Petroleum and Greenhouse Gas (Environment) Regulations 2023</w:t>
      </w:r>
      <w:r w:rsidR="00117687">
        <w:t xml:space="preserve"> (Environment Regulations)</w:t>
      </w:r>
      <w:r w:rsidR="006B09F0" w:rsidRPr="005C6A5F">
        <w:t xml:space="preserve">. This work identified a need to improve clarity, consistency and transparency in consultation processes, informed by stakeholder feedback and recent court decisions. </w:t>
      </w:r>
    </w:p>
    <w:p w14:paraId="2324DBB0" w14:textId="5D15AB75" w:rsidR="006B09F0" w:rsidRPr="005C6A5F" w:rsidRDefault="005C6A5F" w:rsidP="006B09F0">
      <w:r w:rsidRPr="005C6A5F">
        <w:t xml:space="preserve">It </w:t>
      </w:r>
      <w:r w:rsidR="006B09F0" w:rsidRPr="005C6A5F">
        <w:t>further identified improvements to future</w:t>
      </w:r>
      <w:r w:rsidR="006B09F0" w:rsidRPr="005C6A5F">
        <w:noBreakHyphen/>
        <w:t xml:space="preserve">proof the regulatory framework, including strengthening regulatory clarity, enhancing transparency and accountability, and aligning the regime with broader </w:t>
      </w:r>
      <w:r w:rsidRPr="005C6A5F">
        <w:t>national</w:t>
      </w:r>
      <w:r w:rsidR="006B09F0" w:rsidRPr="005C6A5F">
        <w:t xml:space="preserve"> environmental reforms. </w:t>
      </w:r>
    </w:p>
    <w:p w14:paraId="580CB97D" w14:textId="3607FDBA" w:rsidR="006B09F0" w:rsidRPr="005C6A5F" w:rsidRDefault="006B09F0" w:rsidP="006B09F0">
      <w:r w:rsidRPr="005C6A5F">
        <w:t xml:space="preserve">These reforms are intended to support a more effective, transparent and consistent environmental management regime while maintaining strong environmental protections. </w:t>
      </w:r>
    </w:p>
    <w:p w14:paraId="7B34E658" w14:textId="527B1A3C" w:rsidR="006B09F0" w:rsidRPr="005C6A5F" w:rsidRDefault="008B7684" w:rsidP="006B09F0">
      <w:r>
        <w:t>Finally, t</w:t>
      </w:r>
      <w:r w:rsidR="006B09F0" w:rsidRPr="005C6A5F">
        <w:t xml:space="preserve">he review considered interaction with broader reforms, including changes to national environmental law under the </w:t>
      </w:r>
      <w:r w:rsidR="003F0F13">
        <w:rPr>
          <w:i/>
          <w:iCs/>
        </w:rPr>
        <w:t xml:space="preserve">Environment Protection and Biodiversity Conservation Act </w:t>
      </w:r>
      <w:r w:rsidR="003F0F13" w:rsidRPr="003F0F13">
        <w:t>1999</w:t>
      </w:r>
      <w:r w:rsidR="003F0F13">
        <w:t xml:space="preserve"> (</w:t>
      </w:r>
      <w:r w:rsidR="006B09F0" w:rsidRPr="003F0F13">
        <w:t>EPBC</w:t>
      </w:r>
      <w:r w:rsidR="006B09F0" w:rsidRPr="005C6A5F">
        <w:t xml:space="preserve"> Act</w:t>
      </w:r>
      <w:r w:rsidR="008B7CB4">
        <w:t>)</w:t>
      </w:r>
      <w:r w:rsidR="006B09F0" w:rsidRPr="005C6A5F">
        <w:t xml:space="preserve"> and arrangements supporting streamlined approvals through NOPSEMA. </w:t>
      </w:r>
    </w:p>
    <w:p w14:paraId="58685D02" w14:textId="77777777" w:rsidR="00864758" w:rsidRDefault="00864758" w:rsidP="00510BD0"/>
    <w:p w14:paraId="1957DE4D" w14:textId="77777777" w:rsidR="009C17E2" w:rsidRDefault="009C17E2" w:rsidP="00510BD0"/>
    <w:p w14:paraId="6890FDB0" w14:textId="5EB1D323" w:rsidR="00A564FC" w:rsidRDefault="00A564FC" w:rsidP="009C17E2">
      <w:r>
        <w:br w:type="page"/>
      </w:r>
    </w:p>
    <w:p w14:paraId="3087BF90" w14:textId="0E5D4579" w:rsidR="001D6792" w:rsidRDefault="00A9654E" w:rsidP="00510BD0">
      <w:pPr>
        <w:pStyle w:val="Heading2"/>
      </w:pPr>
      <w:r>
        <w:lastRenderedPageBreak/>
        <w:t>Context</w:t>
      </w:r>
      <w:r w:rsidR="00AE22BA">
        <w:t xml:space="preserve"> of the </w:t>
      </w:r>
      <w:r w:rsidR="005C4668">
        <w:t>r</w:t>
      </w:r>
      <w:r w:rsidR="00AE22BA">
        <w:t>eview</w:t>
      </w:r>
    </w:p>
    <w:p w14:paraId="05A4E368" w14:textId="2B3EFA97" w:rsidR="00D00421" w:rsidRPr="00D00421" w:rsidRDefault="00D00421" w:rsidP="00D00421">
      <w:r w:rsidRPr="00D00421">
        <w:t xml:space="preserve">The Australian Government commenced a </w:t>
      </w:r>
      <w:r w:rsidR="005C4668">
        <w:t>3</w:t>
      </w:r>
      <w:r w:rsidR="00B16332">
        <w:t>-year</w:t>
      </w:r>
      <w:r w:rsidRPr="00D00421">
        <w:t xml:space="preserve"> review of the offshore environmental management regime in 2023 to ensure it remains fit for purpose and supports a productive</w:t>
      </w:r>
      <w:r w:rsidR="00E575B3">
        <w:t xml:space="preserve"> and</w:t>
      </w:r>
      <w:r w:rsidRPr="00D00421">
        <w:t xml:space="preserve"> </w:t>
      </w:r>
      <w:r w:rsidR="00117687">
        <w:t xml:space="preserve">environmentally </w:t>
      </w:r>
      <w:r w:rsidRPr="00D00421">
        <w:t>sustainable offshore resources industry</w:t>
      </w:r>
      <w:r w:rsidR="00010C83">
        <w:t>.</w:t>
      </w:r>
    </w:p>
    <w:p w14:paraId="21B4CA99" w14:textId="02310063" w:rsidR="00D00421" w:rsidRPr="00D00421" w:rsidRDefault="00D00421" w:rsidP="00D00421">
      <w:r w:rsidRPr="00D00421">
        <w:t xml:space="preserve">The regime applies to petroleum and greenhouse gas storage activities in Commonwealth waters </w:t>
      </w:r>
      <w:r w:rsidR="008475BA">
        <w:t>(‘offshore activities’)</w:t>
      </w:r>
      <w:r w:rsidR="005C2B63">
        <w:t>. It</w:t>
      </w:r>
      <w:r w:rsidRPr="00D00421">
        <w:t xml:space="preserve"> is primarily administered under the </w:t>
      </w:r>
      <w:r w:rsidR="008776D4">
        <w:t>OPGGS</w:t>
      </w:r>
      <w:r w:rsidR="00A33291" w:rsidRPr="00A33291">
        <w:t xml:space="preserve"> Act</w:t>
      </w:r>
      <w:r w:rsidR="008776D4">
        <w:t xml:space="preserve"> </w:t>
      </w:r>
      <w:r w:rsidRPr="00D00421">
        <w:t>and</w:t>
      </w:r>
      <w:r w:rsidR="00F207D9">
        <w:t xml:space="preserve"> the</w:t>
      </w:r>
      <w:r w:rsidRPr="00D00421">
        <w:t xml:space="preserve"> </w:t>
      </w:r>
      <w:r w:rsidR="00FB3B3E">
        <w:t>Environment Regulations</w:t>
      </w:r>
      <w:r w:rsidR="008776D4">
        <w:t>.</w:t>
      </w:r>
    </w:p>
    <w:p w14:paraId="2FCD23CE" w14:textId="24503B6B" w:rsidR="00D00421" w:rsidRPr="00D00421" w:rsidRDefault="00D00421" w:rsidP="00D00421">
      <w:r w:rsidRPr="00D00421">
        <w:t xml:space="preserve">The initial </w:t>
      </w:r>
      <w:r w:rsidR="008776D4">
        <w:t>focus was</w:t>
      </w:r>
      <w:r w:rsidRPr="00D00421">
        <w:t xml:space="preserve"> on </w:t>
      </w:r>
      <w:r w:rsidR="00C27561">
        <w:t>the</w:t>
      </w:r>
      <w:r w:rsidRPr="00D00421">
        <w:t xml:space="preserve"> consultation requirements for </w:t>
      </w:r>
      <w:r w:rsidR="009F29AD">
        <w:t xml:space="preserve">offshore petroleum and greenhouse gas storage </w:t>
      </w:r>
      <w:r w:rsidRPr="00D00421">
        <w:t xml:space="preserve">regulatory approvals, responding to </w:t>
      </w:r>
      <w:r w:rsidR="00506A9A">
        <w:t>emerging</w:t>
      </w:r>
      <w:r w:rsidRPr="00D00421">
        <w:t xml:space="preserve"> stakeholder concerns about unclear obligations, inconsistent practices and ineffective consultation outcomes. </w:t>
      </w:r>
    </w:p>
    <w:p w14:paraId="6BE34F9A" w14:textId="031B8EA5" w:rsidR="00D00421" w:rsidRPr="00D00421" w:rsidRDefault="004360BD" w:rsidP="00D00421">
      <w:r>
        <w:t>B</w:t>
      </w:r>
      <w:r w:rsidR="00D00421" w:rsidRPr="00D00421">
        <w:t>roader aspects of the environmental management regime</w:t>
      </w:r>
      <w:r w:rsidR="00183E08">
        <w:t xml:space="preserve"> were </w:t>
      </w:r>
      <w:r>
        <w:t>subsequently</w:t>
      </w:r>
      <w:r w:rsidR="00183E08">
        <w:t xml:space="preserve"> examined</w:t>
      </w:r>
      <w:r w:rsidR="005C2B63">
        <w:t>. This</w:t>
      </w:r>
      <w:r w:rsidR="00D00421" w:rsidRPr="00D00421">
        <w:t xml:space="preserve"> includ</w:t>
      </w:r>
      <w:r w:rsidR="005C2B63">
        <w:t>ed</w:t>
      </w:r>
      <w:r w:rsidR="00D00421" w:rsidRPr="00D00421">
        <w:t xml:space="preserve"> regulatory clarity, transparency, compliance, and alignment with other Commonwealth environmental and cultural heritage frameworks. </w:t>
      </w:r>
    </w:p>
    <w:p w14:paraId="0A71C8E0" w14:textId="12DB4F97" w:rsidR="00D00421" w:rsidRPr="00D00421" w:rsidRDefault="00D00421" w:rsidP="00D00421">
      <w:r w:rsidRPr="00D00421">
        <w:t xml:space="preserve">Engagement with industry, regulators and </w:t>
      </w:r>
      <w:r w:rsidR="00183E08">
        <w:t xml:space="preserve">other </w:t>
      </w:r>
      <w:r w:rsidRPr="00D00421">
        <w:t xml:space="preserve">stakeholders has highlighted key challenges, including complexity in regulatory requirements, overlapping processes and administrative burden during approvals. </w:t>
      </w:r>
    </w:p>
    <w:p w14:paraId="4A33EBA7" w14:textId="77777777" w:rsidR="00D00421" w:rsidRPr="00D00421" w:rsidRDefault="00D00421" w:rsidP="00D00421">
      <w:r w:rsidRPr="00D00421">
        <w:t>The review aims to ensure the regime effectively manages environmental risks across the lifecycle of offshore activities, while reducing duplication, improving efficiency, and supporting consistent, transparent decision</w:t>
      </w:r>
      <w:r w:rsidRPr="00D00421">
        <w:noBreakHyphen/>
        <w:t>making.</w:t>
      </w:r>
    </w:p>
    <w:p w14:paraId="68429ED4" w14:textId="77777777" w:rsidR="00D00421" w:rsidRPr="00D00421" w:rsidRDefault="00D00421" w:rsidP="00D00421"/>
    <w:bookmarkEnd w:id="7"/>
    <w:p w14:paraId="3987986A" w14:textId="6C387ECD" w:rsidR="00D57BF1" w:rsidRDefault="00D57BF1" w:rsidP="00A71439">
      <w:pPr>
        <w:pStyle w:val="ListParagraph"/>
        <w:numPr>
          <w:ilvl w:val="0"/>
          <w:numId w:val="4"/>
        </w:numPr>
      </w:pPr>
      <w:r>
        <w:br w:type="page"/>
      </w:r>
    </w:p>
    <w:p w14:paraId="05A7DF2D" w14:textId="17913AC0" w:rsidR="005A4EDE" w:rsidRDefault="005A4EDE" w:rsidP="00AC49DD">
      <w:pPr>
        <w:pStyle w:val="Heading2"/>
      </w:pPr>
      <w:r w:rsidRPr="00177759">
        <w:lastRenderedPageBreak/>
        <w:t xml:space="preserve">Key </w:t>
      </w:r>
      <w:r w:rsidRPr="00AC49DD">
        <w:t>findings</w:t>
      </w:r>
    </w:p>
    <w:p w14:paraId="432947AC" w14:textId="1104C34C" w:rsidR="00390889" w:rsidRPr="00AC49DD" w:rsidRDefault="00390889" w:rsidP="00A26946">
      <w:pPr>
        <w:pStyle w:val="Heading3"/>
      </w:pPr>
      <w:r w:rsidRPr="00AC49DD">
        <w:t>Consultation requirements</w:t>
      </w:r>
    </w:p>
    <w:p w14:paraId="5735962C" w14:textId="3CF3B902" w:rsidR="00B04463" w:rsidRPr="00B04463" w:rsidRDefault="00B04463" w:rsidP="00B04463">
      <w:r w:rsidRPr="00B04463">
        <w:t xml:space="preserve">The review found that </w:t>
      </w:r>
      <w:r w:rsidR="00BA5039">
        <w:t>the</w:t>
      </w:r>
      <w:r w:rsidRPr="00B04463">
        <w:t xml:space="preserve"> consultation requirements </w:t>
      </w:r>
      <w:r w:rsidR="00BA5039">
        <w:t>for offshore activities</w:t>
      </w:r>
      <w:r w:rsidRPr="00B04463">
        <w:t xml:space="preserve"> lack clarity, resulting in inconsistent practices and, in some cases, ineffective consultation outcomes. Stakeholders reported uncertainty regarding who must be consulted, how consultation should occur, and the level of information </w:t>
      </w:r>
      <w:r w:rsidR="00E178DC">
        <w:t>that needs to be shared as part of the consultation process</w:t>
      </w:r>
      <w:r w:rsidRPr="00B04463">
        <w:t xml:space="preserve">. </w:t>
      </w:r>
    </w:p>
    <w:p w14:paraId="3DCEE748" w14:textId="77777777" w:rsidR="00B04463" w:rsidRPr="00B04463" w:rsidRDefault="00B04463" w:rsidP="00B04463">
      <w:r w:rsidRPr="00B04463">
        <w:t>Key issues identified include:</w:t>
      </w:r>
    </w:p>
    <w:p w14:paraId="458B9211" w14:textId="344CE0D6" w:rsidR="00B04463" w:rsidRPr="00B04463" w:rsidRDefault="00B04463" w:rsidP="00A71439">
      <w:pPr>
        <w:numPr>
          <w:ilvl w:val="0"/>
          <w:numId w:val="6"/>
        </w:numPr>
      </w:pPr>
      <w:r w:rsidRPr="00B04463">
        <w:t xml:space="preserve">unclear definitions (e.g. </w:t>
      </w:r>
      <w:r w:rsidR="00415B13">
        <w:t>‘</w:t>
      </w:r>
      <w:r w:rsidRPr="00B04463">
        <w:t>relevant person</w:t>
      </w:r>
      <w:r w:rsidR="00415B13">
        <w:t>’</w:t>
      </w:r>
      <w:r w:rsidRPr="00B04463">
        <w:t>) leading to inconsistent interpretation</w:t>
      </w:r>
      <w:r w:rsidR="00A82614">
        <w:t xml:space="preserve"> and differing expectations</w:t>
      </w:r>
    </w:p>
    <w:p w14:paraId="166F7902" w14:textId="77777777" w:rsidR="00B04463" w:rsidRPr="00B04463" w:rsidRDefault="00B04463" w:rsidP="00A71439">
      <w:pPr>
        <w:numPr>
          <w:ilvl w:val="0"/>
          <w:numId w:val="6"/>
        </w:numPr>
      </w:pPr>
      <w:r w:rsidRPr="00B04463">
        <w:t>poor targeting and accessibility of information</w:t>
      </w:r>
    </w:p>
    <w:p w14:paraId="4D820B9B" w14:textId="77777777" w:rsidR="00B04463" w:rsidRPr="00B04463" w:rsidRDefault="00B04463" w:rsidP="00A71439">
      <w:pPr>
        <w:numPr>
          <w:ilvl w:val="0"/>
          <w:numId w:val="6"/>
        </w:numPr>
      </w:pPr>
      <w:r w:rsidRPr="00B04463">
        <w:t>variability in consultation timeframes and processes</w:t>
      </w:r>
    </w:p>
    <w:p w14:paraId="110416E6" w14:textId="29633F71" w:rsidR="00B04463" w:rsidRPr="00B04463" w:rsidRDefault="00B04463" w:rsidP="00A71439">
      <w:pPr>
        <w:numPr>
          <w:ilvl w:val="0"/>
          <w:numId w:val="6"/>
        </w:numPr>
      </w:pPr>
      <w:r w:rsidRPr="00B04463">
        <w:t xml:space="preserve">limited transparency in how stakeholder input is considered. </w:t>
      </w:r>
    </w:p>
    <w:p w14:paraId="317327B1" w14:textId="2CE89894" w:rsidR="005C2B63" w:rsidRPr="00B04463" w:rsidRDefault="00B04463" w:rsidP="00B04463">
      <w:r w:rsidRPr="00B04463">
        <w:t>To address these issues, the review identified opportunities to introduce clearer and more prescriptive consultation requirements</w:t>
      </w:r>
      <w:r w:rsidR="00DF6449">
        <w:t>.</w:t>
      </w:r>
      <w:r w:rsidR="00B7242F">
        <w:t xml:space="preserve"> </w:t>
      </w:r>
      <w:r w:rsidR="005C2B63">
        <w:t>Further consultation is expected to occur in due course to support the development of legislation.</w:t>
      </w:r>
      <w:r w:rsidR="00583896">
        <w:t xml:space="preserve"> </w:t>
      </w:r>
    </w:p>
    <w:p w14:paraId="1BC146DD" w14:textId="539F9026" w:rsidR="00796C25" w:rsidRPr="00AC49DD" w:rsidRDefault="00796C25" w:rsidP="00A26946">
      <w:pPr>
        <w:pStyle w:val="Heading3"/>
      </w:pPr>
      <w:r w:rsidRPr="00AC49DD">
        <w:t>EPBC Act reforms</w:t>
      </w:r>
    </w:p>
    <w:p w14:paraId="1E52D874" w14:textId="77777777" w:rsidR="00245EB8" w:rsidRDefault="003C5F1B" w:rsidP="00612A9B">
      <w:r>
        <w:t xml:space="preserve">The EPBC Act </w:t>
      </w:r>
      <w:r w:rsidR="00245EB8">
        <w:t>reforms were passed in Parliament in November 2025.</w:t>
      </w:r>
    </w:p>
    <w:p w14:paraId="5CEF4D9F" w14:textId="289E8F9E" w:rsidR="00612A9B" w:rsidRDefault="00E112F9" w:rsidP="00612A9B">
      <w:r>
        <w:t>T</w:t>
      </w:r>
      <w:r w:rsidR="00245EB8">
        <w:t xml:space="preserve">he reforms </w:t>
      </w:r>
      <w:r>
        <w:t>included</w:t>
      </w:r>
      <w:r w:rsidR="00245EB8">
        <w:t xml:space="preserve"> a new power for the Minister for the Environment to be able to declare that a</w:t>
      </w:r>
      <w:r w:rsidR="004729D3">
        <w:t>ctions approved by NOPSEMA under the OPGGS Act do not require a separate approval under the EPBC Act, subject to conditions being me</w:t>
      </w:r>
      <w:r w:rsidR="00612A9B" w:rsidRPr="00612A9B">
        <w:t>.</w:t>
      </w:r>
    </w:p>
    <w:p w14:paraId="55EF1F08" w14:textId="13E4F437" w:rsidR="00E112F9" w:rsidRDefault="004729D3" w:rsidP="00612A9B">
      <w:r>
        <w:t>Th</w:t>
      </w:r>
      <w:r w:rsidR="00B7242F">
        <w:t>ese reforms</w:t>
      </w:r>
      <w:r>
        <w:t xml:space="preserve"> </w:t>
      </w:r>
      <w:r w:rsidR="00407184">
        <w:t xml:space="preserve">address a longstanding issue which effectively froze the existing streamlining arrangements. This meant that the regulation of offshore </w:t>
      </w:r>
      <w:r w:rsidR="00407184" w:rsidRPr="00407184">
        <w:t xml:space="preserve">environmental management </w:t>
      </w:r>
      <w:r w:rsidR="00407184">
        <w:t xml:space="preserve">under the OPGGS Act could not be improved or significantly altered without breaking streamlined approvals under the EPBC Act. </w:t>
      </w:r>
      <w:r w:rsidR="00117687">
        <w:t>It</w:t>
      </w:r>
      <w:r w:rsidR="00407184">
        <w:t xml:space="preserve"> included not being able to make changes based on the findings of this review.</w:t>
      </w:r>
    </w:p>
    <w:p w14:paraId="607D6C4D" w14:textId="689B230E" w:rsidR="00407184" w:rsidRDefault="00117687" w:rsidP="00612A9B">
      <w:r>
        <w:t xml:space="preserve">As </w:t>
      </w:r>
      <w:proofErr w:type="gramStart"/>
      <w:r>
        <w:t>a first priority</w:t>
      </w:r>
      <w:proofErr w:type="gramEnd"/>
      <w:r>
        <w:t>, t</w:t>
      </w:r>
      <w:r w:rsidR="00407184">
        <w:t>he department will continue to work to achieve a declaration from the Minister for the Environment</w:t>
      </w:r>
      <w:r w:rsidR="00B7242F">
        <w:t xml:space="preserve"> that actions approved by NOPSEMA do not require separate approval under the EPBC Act. </w:t>
      </w:r>
      <w:r>
        <w:t>F</w:t>
      </w:r>
      <w:r w:rsidR="00B7242F">
        <w:t xml:space="preserve">urther work to implement the findings of the review </w:t>
      </w:r>
      <w:r>
        <w:t>will then</w:t>
      </w:r>
      <w:r w:rsidR="00B7242F">
        <w:t xml:space="preserve"> be undertaken.</w:t>
      </w:r>
    </w:p>
    <w:p w14:paraId="09FB2BAA" w14:textId="77777777" w:rsidR="00242732" w:rsidRPr="00AC49DD" w:rsidRDefault="00242732" w:rsidP="00A26946">
      <w:pPr>
        <w:pStyle w:val="Heading3"/>
      </w:pPr>
      <w:r w:rsidRPr="00AC49DD">
        <w:t>Other opportunities identified</w:t>
      </w:r>
    </w:p>
    <w:p w14:paraId="02842CD5" w14:textId="48AD0FCB" w:rsidR="00C27CB3" w:rsidRPr="00AC49DD" w:rsidRDefault="00390889" w:rsidP="00A26946">
      <w:pPr>
        <w:pStyle w:val="Heading4"/>
      </w:pPr>
      <w:r w:rsidRPr="00AC49DD">
        <w:t>Theme</w:t>
      </w:r>
      <w:r w:rsidR="00755AF7" w:rsidRPr="00AC49DD">
        <w:t xml:space="preserve"> 1</w:t>
      </w:r>
      <w:r w:rsidR="00E112F9" w:rsidRPr="00AC49DD">
        <w:t xml:space="preserve"> – </w:t>
      </w:r>
      <w:r w:rsidR="00A430EB" w:rsidRPr="00AC49DD">
        <w:t>Improving environmental outcomes and efficiencies</w:t>
      </w:r>
    </w:p>
    <w:p w14:paraId="39BBBCBF" w14:textId="3F44846D" w:rsidR="00E112F9" w:rsidRDefault="000236BA" w:rsidP="000236BA">
      <w:r>
        <w:t xml:space="preserve">The current regime is objective-based, requiring </w:t>
      </w:r>
      <w:r w:rsidR="00117687">
        <w:t xml:space="preserve">companies that hold offshore oil and gas titles (known as </w:t>
      </w:r>
      <w:r>
        <w:t>titleholders</w:t>
      </w:r>
      <w:r w:rsidR="00117687">
        <w:t>)</w:t>
      </w:r>
      <w:r>
        <w:t xml:space="preserve"> to demonstrate that environmental impacts and risks are reduced to as low as reasonably practicable </w:t>
      </w:r>
      <w:r w:rsidR="00D62669">
        <w:t xml:space="preserve">(ALARP) </w:t>
      </w:r>
      <w:r>
        <w:t xml:space="preserve">and to acceptable levels. This </w:t>
      </w:r>
      <w:r>
        <w:lastRenderedPageBreak/>
        <w:t xml:space="preserve">provides flexibility for diverse offshore activities but can create ambiguity and inconsistent interpretation. </w:t>
      </w:r>
    </w:p>
    <w:p w14:paraId="6F232168" w14:textId="77777777" w:rsidR="00E112F9" w:rsidRDefault="000236BA" w:rsidP="000236BA">
      <w:r>
        <w:t>Issues identified include</w:t>
      </w:r>
      <w:r w:rsidR="00E112F9">
        <w:t>:</w:t>
      </w:r>
    </w:p>
    <w:p w14:paraId="65E5E400" w14:textId="19D704DB" w:rsidR="00E112F9" w:rsidRPr="00F66816" w:rsidRDefault="000236BA" w:rsidP="00F66816">
      <w:pPr>
        <w:pStyle w:val="ListParagraph"/>
        <w:numPr>
          <w:ilvl w:val="0"/>
          <w:numId w:val="8"/>
        </w:numPr>
      </w:pPr>
      <w:r>
        <w:t>application of ALARP</w:t>
      </w:r>
    </w:p>
    <w:p w14:paraId="351110CF" w14:textId="68E1FF53" w:rsidR="00E112F9" w:rsidRPr="00F66816" w:rsidRDefault="000236BA" w:rsidP="00F66816">
      <w:pPr>
        <w:pStyle w:val="ListParagraph"/>
        <w:numPr>
          <w:ilvl w:val="0"/>
          <w:numId w:val="8"/>
        </w:numPr>
      </w:pPr>
      <w:r>
        <w:t>consideration of ecologically sustainable development principles</w:t>
      </w:r>
    </w:p>
    <w:p w14:paraId="2E40DEA4" w14:textId="410D1514" w:rsidR="00E112F9" w:rsidRPr="00F66816" w:rsidRDefault="000236BA" w:rsidP="00F66816">
      <w:pPr>
        <w:pStyle w:val="ListParagraph"/>
        <w:numPr>
          <w:ilvl w:val="0"/>
          <w:numId w:val="8"/>
        </w:numPr>
      </w:pPr>
      <w:r>
        <w:t>absence of a broad environmental duty</w:t>
      </w:r>
    </w:p>
    <w:p w14:paraId="12C0D6D8" w14:textId="2DEE78C2" w:rsidR="00E112F9" w:rsidRPr="00F66816" w:rsidRDefault="000236BA" w:rsidP="00F66816">
      <w:pPr>
        <w:pStyle w:val="ListParagraph"/>
        <w:numPr>
          <w:ilvl w:val="0"/>
          <w:numId w:val="8"/>
        </w:numPr>
      </w:pPr>
      <w:r>
        <w:t>clarity of Offshore Project Proposal and environment plan requirements</w:t>
      </w:r>
    </w:p>
    <w:p w14:paraId="69566CE0" w14:textId="381E127A" w:rsidR="00E112F9" w:rsidRPr="00F66816" w:rsidRDefault="00E112F9" w:rsidP="00F66816">
      <w:pPr>
        <w:pStyle w:val="ListParagraph"/>
        <w:numPr>
          <w:ilvl w:val="0"/>
          <w:numId w:val="8"/>
        </w:numPr>
      </w:pPr>
      <w:r>
        <w:t xml:space="preserve">clarity of </w:t>
      </w:r>
      <w:r w:rsidR="000236BA">
        <w:t>management of change processes</w:t>
      </w:r>
      <w:r>
        <w:t xml:space="preserve"> and</w:t>
      </w:r>
      <w:r w:rsidR="000236BA">
        <w:t xml:space="preserve"> oil pollution emergency planning</w:t>
      </w:r>
      <w:r>
        <w:t xml:space="preserve"> requirements</w:t>
      </w:r>
    </w:p>
    <w:p w14:paraId="25F933A2" w14:textId="74B7B719" w:rsidR="000236BA" w:rsidRPr="00E112F9" w:rsidRDefault="000236BA" w:rsidP="00F66816">
      <w:pPr>
        <w:pStyle w:val="ListParagraph"/>
        <w:numPr>
          <w:ilvl w:val="0"/>
          <w:numId w:val="8"/>
        </w:numPr>
        <w:rPr>
          <w:kern w:val="2"/>
          <w:lang w:eastAsia="en-AU"/>
          <w14:ligatures w14:val="standardContextual"/>
        </w:rPr>
      </w:pPr>
      <w:r>
        <w:t>potential duplication in publishing environment plan summaries.</w:t>
      </w:r>
    </w:p>
    <w:p w14:paraId="5AE37BB7" w14:textId="0F57F9A2" w:rsidR="00C27CB3" w:rsidRPr="00AC49DD" w:rsidRDefault="003B50F4" w:rsidP="00A26946">
      <w:pPr>
        <w:pStyle w:val="Heading4"/>
      </w:pPr>
      <w:r w:rsidRPr="00AC49DD">
        <w:t>Theme</w:t>
      </w:r>
      <w:r w:rsidR="00755AF7" w:rsidRPr="00AC49DD">
        <w:t xml:space="preserve"> 2</w:t>
      </w:r>
      <w:r w:rsidR="00E112F9" w:rsidRPr="00AC49DD">
        <w:t xml:space="preserve"> – Improved transparency, compliance &amp; enforcement</w:t>
      </w:r>
    </w:p>
    <w:p w14:paraId="4DD18175" w14:textId="77777777" w:rsidR="00E112F9" w:rsidRDefault="001B4CFC" w:rsidP="001B4CFC">
      <w:r>
        <w:t xml:space="preserve">The </w:t>
      </w:r>
      <w:r w:rsidR="00685675">
        <w:t>review</w:t>
      </w:r>
      <w:r>
        <w:t xml:space="preserve"> identifie</w:t>
      </w:r>
      <w:r w:rsidR="00685675">
        <w:t>d</w:t>
      </w:r>
      <w:r>
        <w:t xml:space="preserve"> opportunities to strengthen transparency, compliance and public confidence. While the regime already includes public comment on </w:t>
      </w:r>
      <w:r w:rsidR="006410FE">
        <w:t>o</w:t>
      </w:r>
      <w:r>
        <w:t xml:space="preserve">ffshore </w:t>
      </w:r>
      <w:r w:rsidR="006410FE">
        <w:t>p</w:t>
      </w:r>
      <w:r>
        <w:t xml:space="preserve">roject </w:t>
      </w:r>
      <w:r w:rsidR="006410FE">
        <w:t>p</w:t>
      </w:r>
      <w:r>
        <w:t xml:space="preserve">roposals, consultation on environment plans and publication of accepted environment plans, several areas may benefit from clearer requirements. </w:t>
      </w:r>
    </w:p>
    <w:p w14:paraId="27FE8616" w14:textId="77777777" w:rsidR="00E112F9" w:rsidRDefault="00E112F9" w:rsidP="00E112F9">
      <w:r>
        <w:t>Issues identified include:</w:t>
      </w:r>
    </w:p>
    <w:p w14:paraId="06237DAC" w14:textId="4F945E01" w:rsidR="00E112F9" w:rsidRPr="00F66816" w:rsidRDefault="001B4CFC" w:rsidP="00F66816">
      <w:pPr>
        <w:pStyle w:val="ListParagraph"/>
        <w:numPr>
          <w:ilvl w:val="0"/>
          <w:numId w:val="8"/>
        </w:numPr>
      </w:pPr>
      <w:r>
        <w:t>titleholder monitoring obligations</w:t>
      </w:r>
    </w:p>
    <w:p w14:paraId="2B81C95D" w14:textId="09E72F0C" w:rsidR="00E112F9" w:rsidRPr="00F66816" w:rsidRDefault="001B4CFC" w:rsidP="00F66816">
      <w:pPr>
        <w:pStyle w:val="ListParagraph"/>
        <w:numPr>
          <w:ilvl w:val="0"/>
          <w:numId w:val="8"/>
        </w:numPr>
      </w:pPr>
      <w:r>
        <w:t>content and timing of environmental performance reports</w:t>
      </w:r>
    </w:p>
    <w:p w14:paraId="4E209678" w14:textId="1CC6BECD" w:rsidR="00E112F9" w:rsidRPr="00F66816" w:rsidRDefault="001B4CFC" w:rsidP="00F66816">
      <w:pPr>
        <w:pStyle w:val="ListParagraph"/>
        <w:numPr>
          <w:ilvl w:val="0"/>
          <w:numId w:val="8"/>
        </w:numPr>
      </w:pPr>
      <w:r>
        <w:t>publication of environmental performance and incident information</w:t>
      </w:r>
    </w:p>
    <w:p w14:paraId="74F9A4B9" w14:textId="77777777" w:rsidR="00E112F9" w:rsidRPr="00F66816" w:rsidRDefault="001B4CFC" w:rsidP="00F66816">
      <w:pPr>
        <w:pStyle w:val="ListParagraph"/>
        <w:numPr>
          <w:ilvl w:val="0"/>
          <w:numId w:val="8"/>
        </w:numPr>
      </w:pPr>
      <w:r>
        <w:t>clearer enforcement tools</w:t>
      </w:r>
    </w:p>
    <w:p w14:paraId="7B609BD0" w14:textId="0F92928C" w:rsidR="001B4CFC" w:rsidRPr="00B7242F" w:rsidRDefault="001B4CFC" w:rsidP="00F66816">
      <w:pPr>
        <w:pStyle w:val="ListParagraph"/>
        <w:numPr>
          <w:ilvl w:val="0"/>
          <w:numId w:val="8"/>
        </w:numPr>
        <w:rPr>
          <w:kern w:val="2"/>
          <w:lang w:eastAsia="en-AU"/>
          <w14:ligatures w14:val="standardContextual"/>
        </w:rPr>
      </w:pPr>
      <w:r>
        <w:t>whether penalties under the offshore regime remain appropriate compared with equivalent environmental law settings.</w:t>
      </w:r>
    </w:p>
    <w:p w14:paraId="290B7A12" w14:textId="7CC9D843" w:rsidR="001B4CFC" w:rsidRPr="00AC49DD" w:rsidRDefault="003B50F4" w:rsidP="00A26946">
      <w:pPr>
        <w:pStyle w:val="Heading4"/>
      </w:pPr>
      <w:r w:rsidRPr="00AC49DD">
        <w:t>Theme</w:t>
      </w:r>
      <w:r w:rsidR="00755AF7" w:rsidRPr="00AC49DD">
        <w:t xml:space="preserve"> 3</w:t>
      </w:r>
      <w:r w:rsidR="00E112F9" w:rsidRPr="00AC49DD">
        <w:t xml:space="preserve"> – Alignment with national environmental reforms</w:t>
      </w:r>
    </w:p>
    <w:p w14:paraId="785561C2" w14:textId="77777777" w:rsidR="00E112F9" w:rsidRDefault="00A84760" w:rsidP="00A84760">
      <w:r>
        <w:t xml:space="preserve">The review </w:t>
      </w:r>
      <w:r w:rsidR="00685675">
        <w:t>considered</w:t>
      </w:r>
      <w:r>
        <w:t xml:space="preserve"> how the offshore environmental management regime should align with reforms to </w:t>
      </w:r>
      <w:r w:rsidR="006410FE">
        <w:t>the national</w:t>
      </w:r>
      <w:r>
        <w:t xml:space="preserve"> environmental law, cultural heritage protection and underwater cultural heritage arrangements. </w:t>
      </w:r>
    </w:p>
    <w:p w14:paraId="26F2CB3A" w14:textId="4E8B99AB" w:rsidR="0016608E" w:rsidRDefault="00117687" w:rsidP="00AC49DD">
      <w:r>
        <w:t>It</w:t>
      </w:r>
      <w:r w:rsidR="00A84760">
        <w:t xml:space="preserve"> include</w:t>
      </w:r>
      <w:r>
        <w:t>d</w:t>
      </w:r>
      <w:r w:rsidR="00A84760">
        <w:t xml:space="preserve"> considering whether offshore regulatory settings remain consistent with broader government expectations for environmental protection, accountability, transparency and emissions-related management.</w:t>
      </w:r>
    </w:p>
    <w:p w14:paraId="2C63F08A" w14:textId="1A9B8A1D" w:rsidR="00DA5833" w:rsidRDefault="00DA5833" w:rsidP="00AC49DD">
      <w:pPr>
        <w:pStyle w:val="Heading2"/>
      </w:pPr>
      <w:bookmarkStart w:id="8" w:name="_Toc155191318"/>
      <w:r w:rsidRPr="00FE27C5">
        <w:t>Next steps</w:t>
      </w:r>
    </w:p>
    <w:p w14:paraId="56236F7F" w14:textId="045A42D2" w:rsidR="000A7F83" w:rsidRDefault="000A7F83" w:rsidP="000609A2">
      <w:r>
        <w:t xml:space="preserve">The government has allocated funding </w:t>
      </w:r>
      <w:r w:rsidR="00D2072F">
        <w:t>for the 2026</w:t>
      </w:r>
      <w:r w:rsidR="007F669A">
        <w:t>–</w:t>
      </w:r>
      <w:r w:rsidR="00D2072F">
        <w:t>27 financial year to progress the reform work</w:t>
      </w:r>
      <w:r w:rsidR="00117687">
        <w:t>, including</w:t>
      </w:r>
      <w:r w:rsidR="00D2072F">
        <w:t>:</w:t>
      </w:r>
    </w:p>
    <w:p w14:paraId="6182C2CB" w14:textId="15C213EF" w:rsidR="00D2072F" w:rsidRDefault="007F669A" w:rsidP="009B2E18">
      <w:pPr>
        <w:pStyle w:val="ListParagraph"/>
        <w:numPr>
          <w:ilvl w:val="0"/>
          <w:numId w:val="8"/>
        </w:numPr>
      </w:pPr>
      <w:r>
        <w:t>p</w:t>
      </w:r>
      <w:r w:rsidR="00D2072F">
        <w:t>rogression of amendments to the consultation requirements for offshore petroleum and greenhouse gas storage</w:t>
      </w:r>
      <w:r w:rsidR="004D11E2">
        <w:t xml:space="preserve"> while ensuring alignment with the national environmental law reforms as they are</w:t>
      </w:r>
      <w:r w:rsidR="00670D89">
        <w:t xml:space="preserve"> implemented</w:t>
      </w:r>
    </w:p>
    <w:p w14:paraId="2270F4EA" w14:textId="518380A7" w:rsidR="00DA5833" w:rsidRPr="00DA5833" w:rsidRDefault="007F669A" w:rsidP="00AC49DD">
      <w:pPr>
        <w:pStyle w:val="ListParagraph"/>
        <w:numPr>
          <w:ilvl w:val="0"/>
          <w:numId w:val="8"/>
        </w:numPr>
        <w:sectPr w:rsidR="00DA5833" w:rsidRPr="00DA5833" w:rsidSect="007741CC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276" w:right="1440" w:bottom="1440" w:left="1440" w:header="851" w:footer="708" w:gutter="0"/>
          <w:cols w:space="708"/>
          <w:titlePg/>
          <w:docGrid w:linePitch="360"/>
        </w:sectPr>
      </w:pPr>
      <w:r>
        <w:lastRenderedPageBreak/>
        <w:t>p</w:t>
      </w:r>
      <w:r w:rsidR="00670D89">
        <w:t>rogression of the opportunities identified in the themes (</w:t>
      </w:r>
      <w:r w:rsidR="006C227C">
        <w:t>as presented in Table 1).</w:t>
      </w:r>
    </w:p>
    <w:p w14:paraId="79A038E2" w14:textId="5E9606BE" w:rsidR="00C27CB3" w:rsidRPr="00017287" w:rsidRDefault="00C278A8" w:rsidP="00A26946">
      <w:pPr>
        <w:pStyle w:val="Heading2"/>
      </w:pPr>
      <w:r>
        <w:lastRenderedPageBreak/>
        <w:t xml:space="preserve">Table 1: </w:t>
      </w:r>
      <w:r w:rsidR="00177759" w:rsidRPr="00177759">
        <w:t>Reform opportunities and pathways</w:t>
      </w:r>
      <w:r w:rsidR="00C27CB3" w:rsidRPr="00017287">
        <w:t xml:space="preserve"> </w:t>
      </w:r>
      <w:bookmarkEnd w:id="8"/>
    </w:p>
    <w:bookmarkEnd w:id="3"/>
    <w:bookmarkEnd w:id="4"/>
    <w:bookmarkEnd w:id="5"/>
    <w:bookmarkEnd w:id="6"/>
    <w:p w14:paraId="1C2EFCE6" w14:textId="271734F6" w:rsidR="00D338CD" w:rsidRPr="00D338CD" w:rsidRDefault="00D338CD" w:rsidP="00D338CD">
      <w:pPr>
        <w:tabs>
          <w:tab w:val="left" w:pos="7117"/>
        </w:tabs>
        <w:rPr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7"/>
        <w:gridCol w:w="5669"/>
        <w:gridCol w:w="5450"/>
      </w:tblGrid>
      <w:tr w:rsidR="00D338CD" w:rsidRPr="00D338CD" w14:paraId="473FEA6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A8D2FA" w14:textId="77777777" w:rsidR="00D338CD" w:rsidRPr="00D338CD" w:rsidRDefault="00D338CD" w:rsidP="00D338CD">
            <w:pPr>
              <w:tabs>
                <w:tab w:val="left" w:pos="7117"/>
              </w:tabs>
              <w:rPr>
                <w:b/>
                <w:bCs/>
              </w:rPr>
            </w:pPr>
            <w:r w:rsidRPr="00D338CD">
              <w:rPr>
                <w:b/>
                <w:bCs/>
              </w:rPr>
              <w:t>Opportunity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4B2AF57" w14:textId="77777777" w:rsidR="00D338CD" w:rsidRPr="00D338CD" w:rsidRDefault="00D338CD" w:rsidP="00D338CD">
            <w:pPr>
              <w:tabs>
                <w:tab w:val="left" w:pos="7117"/>
              </w:tabs>
              <w:rPr>
                <w:b/>
                <w:bCs/>
              </w:rPr>
            </w:pPr>
            <w:r w:rsidRPr="00D338CD">
              <w:rPr>
                <w:b/>
                <w:bCs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5FD735F" w14:textId="77777777" w:rsidR="00D338CD" w:rsidRPr="00D338CD" w:rsidRDefault="00D338CD" w:rsidP="00D338CD">
            <w:pPr>
              <w:tabs>
                <w:tab w:val="left" w:pos="7117"/>
              </w:tabs>
              <w:rPr>
                <w:b/>
                <w:bCs/>
              </w:rPr>
            </w:pPr>
            <w:r w:rsidRPr="00D338CD">
              <w:rPr>
                <w:b/>
                <w:bCs/>
              </w:rPr>
              <w:t>Outcomes</w:t>
            </w:r>
          </w:p>
        </w:tc>
      </w:tr>
      <w:tr w:rsidR="00D338CD" w:rsidRPr="00D338CD" w14:paraId="471C7D4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0FC0DC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Clarify consultation requirements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66C383" w14:textId="6F87F780" w:rsidR="00D338CD" w:rsidRPr="00D338CD" w:rsidRDefault="00AF03A4" w:rsidP="00D338CD">
            <w:pPr>
              <w:tabs>
                <w:tab w:val="left" w:pos="7117"/>
              </w:tabs>
            </w:pPr>
            <w:r>
              <w:t>Introduce</w:t>
            </w:r>
            <w:r w:rsidR="00D338CD" w:rsidRPr="00D338CD">
              <w:t xml:space="preserve"> </w:t>
            </w:r>
            <w:r w:rsidR="00B7242F">
              <w:t>draft</w:t>
            </w:r>
            <w:r w:rsidR="006C227C">
              <w:t xml:space="preserve"> consultation </w:t>
            </w:r>
            <w:r>
              <w:t>reforms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6761B8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Improved consistency, more effective consultation, and better identification of environmental risks</w:t>
            </w:r>
          </w:p>
        </w:tc>
      </w:tr>
      <w:tr w:rsidR="00D338CD" w:rsidRPr="00D338CD" w14:paraId="469B2FB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7D7134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Strengthen regulatory clarity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76CD3F9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Improve clarity of key regulatory concepts (e.g. ALARP, ESD, environmental duties, plan requirements)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0CC981" w14:textId="7ED3E858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 xml:space="preserve">Reduced ambiguity and </w:t>
            </w:r>
            <w:r w:rsidR="00E06FF9">
              <w:t xml:space="preserve">support </w:t>
            </w:r>
            <w:r w:rsidRPr="00D338CD">
              <w:t>more consistent decision</w:t>
            </w:r>
            <w:r w:rsidRPr="00D338CD">
              <w:noBreakHyphen/>
              <w:t>making</w:t>
            </w:r>
          </w:p>
        </w:tc>
      </w:tr>
      <w:tr w:rsidR="00D338CD" w:rsidRPr="00D338CD" w14:paraId="080A5A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82F8EB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Improve reporting and transparency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941D00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Strengthen environmental performance reporting and consider publication of information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29435E" w14:textId="3CEB75CA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Increased regulator</w:t>
            </w:r>
            <w:r w:rsidR="00DD3DA7">
              <w:t>s</w:t>
            </w:r>
            <w:r w:rsidR="00E903FD">
              <w:t>’</w:t>
            </w:r>
            <w:r w:rsidRPr="00D338CD">
              <w:t xml:space="preserve"> oversight </w:t>
            </w:r>
            <w:r w:rsidR="00E06FF9">
              <w:t xml:space="preserve">to support improved </w:t>
            </w:r>
            <w:r w:rsidRPr="00D338CD">
              <w:t>public confidence</w:t>
            </w:r>
          </w:p>
        </w:tc>
      </w:tr>
      <w:tr w:rsidR="00D338CD" w:rsidRPr="00D338CD" w14:paraId="039E956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F289B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Align with national environmental frameworks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358CA2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Ensure consistency with EPBC Act reforms, cultural heritage frameworks and broader environmental policy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D612A40" w14:textId="77777777" w:rsidR="00D338CD" w:rsidRPr="00D338CD" w:rsidRDefault="00D338CD" w:rsidP="00D338CD">
            <w:pPr>
              <w:tabs>
                <w:tab w:val="left" w:pos="7117"/>
              </w:tabs>
            </w:pPr>
            <w:r w:rsidRPr="00D338CD">
              <w:t>Coherent, future</w:t>
            </w:r>
            <w:r w:rsidRPr="00D338CD">
              <w:noBreakHyphen/>
              <w:t>aligned regulatory framework</w:t>
            </w:r>
          </w:p>
        </w:tc>
      </w:tr>
    </w:tbl>
    <w:p w14:paraId="3D577D47" w14:textId="3BFD285C" w:rsidR="00C27CB3" w:rsidRDefault="00C27CB3" w:rsidP="005C129C">
      <w:pPr>
        <w:tabs>
          <w:tab w:val="left" w:pos="7117"/>
        </w:tabs>
      </w:pPr>
    </w:p>
    <w:sectPr w:rsidR="00C27CB3" w:rsidSect="00621190">
      <w:pgSz w:w="16838" w:h="11906" w:orient="landscape" w:code="9"/>
      <w:pgMar w:top="1440" w:right="1276" w:bottom="1440" w:left="1440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B18A7" w14:textId="77777777" w:rsidR="00612D25" w:rsidRDefault="00612D25" w:rsidP="00B251DB">
      <w:pPr>
        <w:spacing w:after="0"/>
      </w:pPr>
      <w:r>
        <w:separator/>
      </w:r>
    </w:p>
  </w:endnote>
  <w:endnote w:type="continuationSeparator" w:id="0">
    <w:p w14:paraId="728648F7" w14:textId="77777777" w:rsidR="00612D25" w:rsidRDefault="00612D25" w:rsidP="00B251D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FBCC" w14:textId="77777777" w:rsidR="00335C23" w:rsidRDefault="006A092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82AB57C" wp14:editId="39811D2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52755"/>
              <wp:effectExtent l="0" t="0" r="635" b="0"/>
              <wp:wrapNone/>
              <wp:docPr id="38695223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2406D1" w14:textId="77777777" w:rsidR="006A092C" w:rsidRPr="006A092C" w:rsidRDefault="006A092C" w:rsidP="006A092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Cs w:val="24"/>
                            </w:rPr>
                          </w:pPr>
                          <w:r w:rsidRPr="006A092C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2AB57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5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" filled="f" stroked="f">
              <v:textbox style="mso-fit-shape-to-text:t" inset="0,0,0,15pt">
                <w:txbxContent>
                  <w:p w14:paraId="682406D1" w14:textId="77777777" w:rsidR="006A092C" w:rsidRPr="006A092C" w:rsidRDefault="006A092C" w:rsidP="006A092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Cs w:val="24"/>
                      </w:rPr>
                    </w:pPr>
                    <w:r w:rsidRPr="006A092C">
                      <w:rPr>
                        <w:rFonts w:ascii="Calibri" w:eastAsia="Calibri" w:hAnsi="Calibri" w:cs="Calibri"/>
                        <w:noProof/>
                        <w:color w:val="C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FC95F" w14:textId="70DA1082" w:rsidR="00CD36CB" w:rsidRPr="00F277D1" w:rsidRDefault="00612D25" w:rsidP="009D2329">
    <w:pPr>
      <w:pStyle w:val="Footer"/>
    </w:pPr>
    <w:sdt>
      <w:sdtPr>
        <w:alias w:val="Title"/>
        <w:tag w:val=""/>
        <w:id w:val="-100512090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D5D71">
          <w:t>Offshore environmental management review</w:t>
        </w:r>
      </w:sdtContent>
    </w:sdt>
  </w:p>
  <w:p w14:paraId="355CEBD9" w14:textId="0A454B3A" w:rsidR="00194586" w:rsidRPr="00CD36CB" w:rsidRDefault="00CD36CB" w:rsidP="00CD36CB">
    <w:pPr>
      <w:pStyle w:val="Footer"/>
    </w:pPr>
    <w:r w:rsidRPr="00F277D1">
      <w:rPr>
        <w:b/>
        <w:bCs/>
        <w:color w:val="0766A5" w:themeColor="accent1"/>
      </w:rPr>
      <w:t xml:space="preserve">| </w:t>
    </w:r>
    <w:r w:rsidRPr="00F277D1">
      <w:rPr>
        <w:b/>
        <w:bCs/>
      </w:rPr>
      <w:t>industry</w:t>
    </w:r>
    <w:r w:rsidRPr="007741CC">
      <w:t>.</w:t>
    </w:r>
    <w:r w:rsidRPr="00F277D1">
      <w:t>gov.au/</w:t>
    </w:r>
    <w:r w:rsidRPr="00F277D1">
      <w:tab/>
    </w:r>
    <w:r>
      <w:tab/>
    </w:r>
    <w:sdt>
      <w:sdtPr>
        <w:id w:val="-1044901746"/>
        <w:docPartObj>
          <w:docPartGallery w:val="Page Numbers (Bottom of Page)"/>
          <w:docPartUnique/>
        </w:docPartObj>
      </w:sdtPr>
      <w:sdtEndPr/>
      <w:sdtContent>
        <w:r w:rsidRPr="00F277D1">
          <w:fldChar w:fldCharType="begin"/>
        </w:r>
        <w:r w:rsidRPr="00F277D1">
          <w:instrText xml:space="preserve"> PAGE   \* MERGEFORMAT </w:instrText>
        </w:r>
        <w:r w:rsidRPr="00F277D1">
          <w:fldChar w:fldCharType="separate"/>
        </w:r>
        <w:r>
          <w:t>ii</w:t>
        </w:r>
        <w:r w:rsidRPr="00F277D1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793B" w14:textId="4EF3A693" w:rsidR="004A7856" w:rsidRPr="006A092C" w:rsidRDefault="00612D25" w:rsidP="006A092C">
    <w:pPr>
      <w:pStyle w:val="Footer"/>
    </w:pPr>
    <w:sdt>
      <w:sdtPr>
        <w:alias w:val="Title"/>
        <w:tag w:val=""/>
        <w:id w:val="209088471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D5D71">
          <w:t>Offshore environmental management review</w:t>
        </w:r>
      </w:sdtContent>
    </w:sdt>
  </w:p>
  <w:p w14:paraId="488EACA4" w14:textId="1AEBED2B" w:rsidR="00194586" w:rsidRPr="006A092C" w:rsidRDefault="004A7856" w:rsidP="006A092C">
    <w:pPr>
      <w:pStyle w:val="Footer"/>
    </w:pPr>
    <w:r w:rsidRPr="00BF6930">
      <w:rPr>
        <w:b/>
        <w:bCs/>
        <w:color w:val="0766A5" w:themeColor="accent1"/>
      </w:rPr>
      <w:t xml:space="preserve">| </w:t>
    </w:r>
    <w:r w:rsidRPr="006A092C">
      <w:rPr>
        <w:rStyle w:val="Strong"/>
      </w:rPr>
      <w:t>industry</w:t>
    </w:r>
    <w:r w:rsidRPr="006A092C">
      <w:t>.gov.au/</w:t>
    </w:r>
    <w:r w:rsidRPr="006A092C">
      <w:tab/>
    </w:r>
    <w:r w:rsidR="00CD36CB" w:rsidRPr="006A092C">
      <w:tab/>
    </w:r>
    <w:sdt>
      <w:sdtPr>
        <w:id w:val="1655647692"/>
        <w:docPartObj>
          <w:docPartGallery w:val="Page Numbers (Bottom of Page)"/>
          <w:docPartUnique/>
        </w:docPartObj>
      </w:sdtPr>
      <w:sdtEndPr/>
      <w:sdtContent>
        <w:r w:rsidRPr="006A092C">
          <w:fldChar w:fldCharType="begin"/>
        </w:r>
        <w:r w:rsidRPr="006A092C">
          <w:instrText xml:space="preserve"> PAGE   \* MERGEFORMAT </w:instrText>
        </w:r>
        <w:r w:rsidRPr="006A092C">
          <w:fldChar w:fldCharType="separate"/>
        </w:r>
        <w:r w:rsidRPr="006A092C">
          <w:t>1</w:t>
        </w:r>
        <w:r w:rsidRPr="006A092C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8CCE" w14:textId="77777777" w:rsidR="00612D25" w:rsidRDefault="00612D25" w:rsidP="00B251DB">
      <w:pPr>
        <w:spacing w:after="0"/>
      </w:pPr>
      <w:r>
        <w:separator/>
      </w:r>
    </w:p>
  </w:footnote>
  <w:footnote w:type="continuationSeparator" w:id="0">
    <w:p w14:paraId="40897707" w14:textId="77777777" w:rsidR="00612D25" w:rsidRDefault="00612D25" w:rsidP="00B251D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ECD3A" w14:textId="77777777" w:rsidR="00335C23" w:rsidRDefault="006A09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EE5CC34" wp14:editId="70D7BA3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52755"/>
              <wp:effectExtent l="0" t="0" r="635" b="4445"/>
              <wp:wrapNone/>
              <wp:docPr id="180522813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52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5D09DD" w14:textId="77777777" w:rsidR="006A092C" w:rsidRPr="006A092C" w:rsidRDefault="006A092C" w:rsidP="006A092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Cs w:val="24"/>
                            </w:rPr>
                          </w:pPr>
                          <w:r w:rsidRPr="006A092C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5CC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5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" filled="f" stroked="f">
              <v:textbox style="mso-fit-shape-to-text:t" inset="0,15pt,0,0">
                <w:txbxContent>
                  <w:p w14:paraId="435D09DD" w14:textId="77777777" w:rsidR="006A092C" w:rsidRPr="006A092C" w:rsidRDefault="006A092C" w:rsidP="006A092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C00000"/>
                        <w:szCs w:val="24"/>
                      </w:rPr>
                    </w:pPr>
                    <w:r w:rsidRPr="006A092C">
                      <w:rPr>
                        <w:rFonts w:ascii="Calibri" w:eastAsia="Calibri" w:hAnsi="Calibri" w:cs="Calibri"/>
                        <w:noProof/>
                        <w:color w:val="C0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439DC" w14:textId="1CB33FFB" w:rsidR="00194586" w:rsidRPr="00CD36CB" w:rsidRDefault="00CD36CB" w:rsidP="00CD36CB">
    <w:pPr>
      <w:pStyle w:val="Header"/>
      <w:rPr>
        <w:noProof/>
      </w:rPr>
    </w:pPr>
    <w:r w:rsidRPr="00F277D1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8CA78B" wp14:editId="23AA465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962000" cy="284400"/>
              <wp:effectExtent l="0" t="0" r="635" b="1905"/>
              <wp:wrapNone/>
              <wp:docPr id="7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62000" cy="284400"/>
                      </a:xfrm>
                      <a:custGeom>
                        <a:avLst/>
                        <a:gdLst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332168 w 2332168"/>
                          <a:gd name="connsiteY2" fmla="*/ 336570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  <a:gd name="connsiteX0" fmla="*/ 0 w 2332168"/>
                          <a:gd name="connsiteY0" fmla="*/ 0 h 336570"/>
                          <a:gd name="connsiteX1" fmla="*/ 2332168 w 2332168"/>
                          <a:gd name="connsiteY1" fmla="*/ 0 h 336570"/>
                          <a:gd name="connsiteX2" fmla="*/ 2266641 w 2332168"/>
                          <a:gd name="connsiteY2" fmla="*/ 196581 h 336570"/>
                          <a:gd name="connsiteX3" fmla="*/ 0 w 2332168"/>
                          <a:gd name="connsiteY3" fmla="*/ 336570 h 336570"/>
                          <a:gd name="connsiteX4" fmla="*/ 0 w 2332168"/>
                          <a:gd name="connsiteY4" fmla="*/ 0 h 33657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332168" h="336570">
                            <a:moveTo>
                              <a:pt x="0" y="0"/>
                            </a:moveTo>
                            <a:lnTo>
                              <a:pt x="2332168" y="0"/>
                            </a:lnTo>
                            <a:lnTo>
                              <a:pt x="2266641" y="196581"/>
                            </a:lnTo>
                            <a:lnTo>
                              <a:pt x="0" y="33657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CE02D4" id="Rectangle 12" o:spid="_x0000_s1026" alt="&quot;&quot;" style="position:absolute;margin-left:0;margin-top:0;width:154.5pt;height:22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332168,336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" path="m,l2332168,r-65527,196581l,336570,,xe" fillcolor="#0766a5 [3204]" stroked="f" strokeweight="1pt">
              <v:stroke joinstyle="miter"/>
              <v:path arrowok="t" o:connecttype="custom" o:connectlocs="0,0;1962000,0;1906874,166110;0,284400;0,0" o:connectangles="0,0,0,0,0"/>
              <w10:wrap anchorx="page" anchory="page"/>
            </v:shape>
          </w:pict>
        </mc:Fallback>
      </mc:AlternateContent>
    </w:r>
    <w:r w:rsidRPr="00F277D1">
      <w:rPr>
        <w:noProof/>
      </w:rPr>
      <w:drawing>
        <wp:anchor distT="0" distB="0" distL="114300" distR="114300" simplePos="0" relativeHeight="251658241" behindDoc="1" locked="0" layoutInCell="1" allowOverlap="1" wp14:anchorId="6E814953" wp14:editId="70E6E099">
          <wp:simplePos x="0" y="0"/>
          <wp:positionH relativeFrom="page">
            <wp:posOffset>3669030</wp:posOffset>
          </wp:positionH>
          <wp:positionV relativeFrom="page">
            <wp:posOffset>0</wp:posOffset>
          </wp:positionV>
          <wp:extent cx="3891600" cy="1843200"/>
          <wp:effectExtent l="0" t="0" r="0" b="5080"/>
          <wp:wrapNone/>
          <wp:docPr id="1488576900" name="Graphic 1488576900">
            <a:extLst xmlns:a="http://schemas.openxmlformats.org/drawingml/2006/main">
              <a:ext uri="{FF2B5EF4-FFF2-40B4-BE49-F238E27FC236}">
                <a16:creationId xmlns:a16="http://schemas.microsoft.com/office/drawing/2014/main" id="{F0273C98-FF5B-EEDD-4D61-610D3AF7E608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phic 9">
                    <a:extLst>
                      <a:ext uri="{FF2B5EF4-FFF2-40B4-BE49-F238E27FC236}">
                        <a16:creationId xmlns:a16="http://schemas.microsoft.com/office/drawing/2014/main" id="{F0273C98-FF5B-EEDD-4D61-610D3AF7E608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63"/>
                  <a:stretch/>
                </pic:blipFill>
                <pic:spPr>
                  <a:xfrm>
                    <a:off x="0" y="0"/>
                    <a:ext cx="3891600" cy="184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83E0FBE"/>
    <w:lvl w:ilvl="0">
      <w:start w:val="1"/>
      <w:numFmt w:val="bullet"/>
      <w:pStyle w:val="ListBullet2"/>
      <w:lvlText w:val=""/>
      <w:lvlJc w:val="left"/>
      <w:pPr>
        <w:tabs>
          <w:tab w:val="num" w:pos="850"/>
        </w:tabs>
        <w:ind w:left="85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00CCF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5957B84"/>
    <w:multiLevelType w:val="hybridMultilevel"/>
    <w:tmpl w:val="6F661754"/>
    <w:lvl w:ilvl="0" w:tplc="0C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3" w15:restartNumberingAfterBreak="0">
    <w:nsid w:val="2C28253E"/>
    <w:multiLevelType w:val="hybridMultilevel"/>
    <w:tmpl w:val="FF089C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793351"/>
    <w:multiLevelType w:val="multilevel"/>
    <w:tmpl w:val="CDA241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85BF5"/>
    <w:multiLevelType w:val="hybridMultilevel"/>
    <w:tmpl w:val="39A28D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2E10FD"/>
    <w:multiLevelType w:val="hybridMultilevel"/>
    <w:tmpl w:val="66D46394"/>
    <w:lvl w:ilvl="0" w:tplc="E2F097D6">
      <w:numFmt w:val="bullet"/>
      <w:pStyle w:val="ListParagraph"/>
      <w:lvlText w:val=""/>
      <w:lvlJc w:val="left"/>
      <w:pPr>
        <w:ind w:left="567" w:hanging="567"/>
      </w:pPr>
      <w:rPr>
        <w:rFonts w:ascii="Symbol" w:eastAsiaTheme="minorHAnsi" w:hAnsi="Symbol" w:cstheme="minorBidi" w:hint="default"/>
      </w:rPr>
    </w:lvl>
    <w:lvl w:ilvl="1" w:tplc="6606920E">
      <w:numFmt w:val="bullet"/>
      <w:lvlText w:val="-"/>
      <w:lvlJc w:val="left"/>
      <w:pPr>
        <w:ind w:left="1134" w:hanging="567"/>
      </w:pPr>
      <w:rPr>
        <w:rFonts w:ascii="Calibri" w:eastAsiaTheme="minorHAnsi" w:hAnsi="Calibri" w:hint="default"/>
      </w:rPr>
    </w:lvl>
    <w:lvl w:ilvl="2" w:tplc="75C69B6E">
      <w:start w:val="1"/>
      <w:numFmt w:val="bullet"/>
      <w:lvlText w:val=""/>
      <w:lvlJc w:val="left"/>
      <w:pPr>
        <w:ind w:left="1701" w:hanging="567"/>
      </w:pPr>
      <w:rPr>
        <w:rFonts w:ascii="Wingdings" w:hAnsi="Wingdings" w:hint="default"/>
      </w:rPr>
    </w:lvl>
    <w:lvl w:ilvl="3" w:tplc="B84A8EA2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 w:tplc="9E469228">
      <w:start w:val="1"/>
      <w:numFmt w:val="bullet"/>
      <w:lvlText w:val="o"/>
      <w:lvlJc w:val="left"/>
      <w:pPr>
        <w:ind w:left="2835" w:hanging="567"/>
      </w:pPr>
      <w:rPr>
        <w:rFonts w:ascii="Courier New" w:hAnsi="Courier New" w:hint="default"/>
      </w:rPr>
    </w:lvl>
    <w:lvl w:ilvl="5" w:tplc="406CF0B6">
      <w:start w:val="1"/>
      <w:numFmt w:val="bullet"/>
      <w:lvlText w:val=""/>
      <w:lvlJc w:val="left"/>
      <w:pPr>
        <w:ind w:left="3402" w:hanging="567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04577"/>
    <w:multiLevelType w:val="multilevel"/>
    <w:tmpl w:val="617E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456429"/>
    <w:multiLevelType w:val="multilevel"/>
    <w:tmpl w:val="62689C5E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hint="default"/>
        <w:color w:val="000000" w:themeColor="text1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hint="default"/>
        <w:color w:val="auto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hint="default"/>
      </w:rPr>
    </w:lvl>
  </w:abstractNum>
  <w:abstractNum w:abstractNumId="9" w15:restartNumberingAfterBreak="0">
    <w:nsid w:val="6EA87610"/>
    <w:multiLevelType w:val="hybridMultilevel"/>
    <w:tmpl w:val="42225D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605387">
    <w:abstractNumId w:val="6"/>
  </w:num>
  <w:num w:numId="2" w16cid:durableId="660547498">
    <w:abstractNumId w:val="1"/>
  </w:num>
  <w:num w:numId="3" w16cid:durableId="1405948882">
    <w:abstractNumId w:val="0"/>
  </w:num>
  <w:num w:numId="4" w16cid:durableId="1570459285">
    <w:abstractNumId w:val="9"/>
  </w:num>
  <w:num w:numId="5" w16cid:durableId="297684816">
    <w:abstractNumId w:val="8"/>
  </w:num>
  <w:num w:numId="6" w16cid:durableId="109709561">
    <w:abstractNumId w:val="4"/>
  </w:num>
  <w:num w:numId="7" w16cid:durableId="662006443">
    <w:abstractNumId w:val="7"/>
  </w:num>
  <w:num w:numId="8" w16cid:durableId="405806749">
    <w:abstractNumId w:val="3"/>
  </w:num>
  <w:num w:numId="9" w16cid:durableId="1139961560">
    <w:abstractNumId w:val="2"/>
  </w:num>
  <w:num w:numId="10" w16cid:durableId="258374395">
    <w:abstractNumId w:val="5"/>
  </w:num>
  <w:num w:numId="11" w16cid:durableId="1975597801">
    <w:abstractNumId w:val="6"/>
  </w:num>
  <w:num w:numId="12" w16cid:durableId="1773895085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759"/>
    <w:rsid w:val="000004A7"/>
    <w:rsid w:val="000006A8"/>
    <w:rsid w:val="00000B94"/>
    <w:rsid w:val="000012EA"/>
    <w:rsid w:val="00002982"/>
    <w:rsid w:val="0000358F"/>
    <w:rsid w:val="00003624"/>
    <w:rsid w:val="00003766"/>
    <w:rsid w:val="00003F50"/>
    <w:rsid w:val="00004E7C"/>
    <w:rsid w:val="000060F8"/>
    <w:rsid w:val="00007078"/>
    <w:rsid w:val="00007F29"/>
    <w:rsid w:val="00010600"/>
    <w:rsid w:val="00010AA2"/>
    <w:rsid w:val="00010C2A"/>
    <w:rsid w:val="00010C83"/>
    <w:rsid w:val="00011312"/>
    <w:rsid w:val="00012875"/>
    <w:rsid w:val="00012CC3"/>
    <w:rsid w:val="00013AB6"/>
    <w:rsid w:val="00013BF5"/>
    <w:rsid w:val="00013FCA"/>
    <w:rsid w:val="000140A5"/>
    <w:rsid w:val="00014A7C"/>
    <w:rsid w:val="00015164"/>
    <w:rsid w:val="000153EE"/>
    <w:rsid w:val="0001583C"/>
    <w:rsid w:val="00015E22"/>
    <w:rsid w:val="00016EC1"/>
    <w:rsid w:val="0001757E"/>
    <w:rsid w:val="00017E3A"/>
    <w:rsid w:val="00020247"/>
    <w:rsid w:val="000212DF"/>
    <w:rsid w:val="00022CEB"/>
    <w:rsid w:val="00022F52"/>
    <w:rsid w:val="000233E6"/>
    <w:rsid w:val="000236BA"/>
    <w:rsid w:val="000238A2"/>
    <w:rsid w:val="000239F7"/>
    <w:rsid w:val="00024AB1"/>
    <w:rsid w:val="000260DF"/>
    <w:rsid w:val="00026354"/>
    <w:rsid w:val="00026476"/>
    <w:rsid w:val="000271B9"/>
    <w:rsid w:val="00027A03"/>
    <w:rsid w:val="00030033"/>
    <w:rsid w:val="00030D07"/>
    <w:rsid w:val="00030DF9"/>
    <w:rsid w:val="00031069"/>
    <w:rsid w:val="0003108C"/>
    <w:rsid w:val="000319B8"/>
    <w:rsid w:val="00031DEC"/>
    <w:rsid w:val="0003201F"/>
    <w:rsid w:val="00032995"/>
    <w:rsid w:val="00032BF4"/>
    <w:rsid w:val="00032DFA"/>
    <w:rsid w:val="00032F15"/>
    <w:rsid w:val="000333C7"/>
    <w:rsid w:val="000335F7"/>
    <w:rsid w:val="000338D5"/>
    <w:rsid w:val="00034494"/>
    <w:rsid w:val="0003468B"/>
    <w:rsid w:val="000346D5"/>
    <w:rsid w:val="00034867"/>
    <w:rsid w:val="00035E4A"/>
    <w:rsid w:val="00036E0C"/>
    <w:rsid w:val="00040293"/>
    <w:rsid w:val="00040319"/>
    <w:rsid w:val="00040CC0"/>
    <w:rsid w:val="00041B91"/>
    <w:rsid w:val="00042BA5"/>
    <w:rsid w:val="00043293"/>
    <w:rsid w:val="00043F36"/>
    <w:rsid w:val="00044D0A"/>
    <w:rsid w:val="00044EC7"/>
    <w:rsid w:val="0004519F"/>
    <w:rsid w:val="00045354"/>
    <w:rsid w:val="000455A1"/>
    <w:rsid w:val="00045AE9"/>
    <w:rsid w:val="00046C37"/>
    <w:rsid w:val="00046C86"/>
    <w:rsid w:val="00046DF3"/>
    <w:rsid w:val="00050848"/>
    <w:rsid w:val="00051258"/>
    <w:rsid w:val="000512A0"/>
    <w:rsid w:val="00051389"/>
    <w:rsid w:val="00051FAD"/>
    <w:rsid w:val="000522A7"/>
    <w:rsid w:val="00053E1D"/>
    <w:rsid w:val="000552B3"/>
    <w:rsid w:val="0005553A"/>
    <w:rsid w:val="000560D2"/>
    <w:rsid w:val="00056CFB"/>
    <w:rsid w:val="000573C7"/>
    <w:rsid w:val="00057659"/>
    <w:rsid w:val="000609A2"/>
    <w:rsid w:val="000616A7"/>
    <w:rsid w:val="00062FB8"/>
    <w:rsid w:val="0006300D"/>
    <w:rsid w:val="0006450D"/>
    <w:rsid w:val="000656F8"/>
    <w:rsid w:val="00066743"/>
    <w:rsid w:val="00066E1E"/>
    <w:rsid w:val="00067086"/>
    <w:rsid w:val="00067D8E"/>
    <w:rsid w:val="0007067B"/>
    <w:rsid w:val="000708FF"/>
    <w:rsid w:val="00071019"/>
    <w:rsid w:val="0007261D"/>
    <w:rsid w:val="00072BB8"/>
    <w:rsid w:val="00072C63"/>
    <w:rsid w:val="00073861"/>
    <w:rsid w:val="0007390B"/>
    <w:rsid w:val="00073FEF"/>
    <w:rsid w:val="00074A5E"/>
    <w:rsid w:val="00075A6C"/>
    <w:rsid w:val="00075CED"/>
    <w:rsid w:val="00076454"/>
    <w:rsid w:val="000768D7"/>
    <w:rsid w:val="00076D34"/>
    <w:rsid w:val="00077A2D"/>
    <w:rsid w:val="00077C93"/>
    <w:rsid w:val="000805B0"/>
    <w:rsid w:val="0008063F"/>
    <w:rsid w:val="00080CDC"/>
    <w:rsid w:val="00080E18"/>
    <w:rsid w:val="00081674"/>
    <w:rsid w:val="0008167B"/>
    <w:rsid w:val="00081934"/>
    <w:rsid w:val="00081D07"/>
    <w:rsid w:val="00082B64"/>
    <w:rsid w:val="0008305A"/>
    <w:rsid w:val="00083703"/>
    <w:rsid w:val="0008382A"/>
    <w:rsid w:val="00084A65"/>
    <w:rsid w:val="00087273"/>
    <w:rsid w:val="000874A3"/>
    <w:rsid w:val="00090D17"/>
    <w:rsid w:val="00090DDB"/>
    <w:rsid w:val="00091533"/>
    <w:rsid w:val="00091857"/>
    <w:rsid w:val="00091A3C"/>
    <w:rsid w:val="00091B62"/>
    <w:rsid w:val="00091B6A"/>
    <w:rsid w:val="000935F3"/>
    <w:rsid w:val="00096379"/>
    <w:rsid w:val="00097148"/>
    <w:rsid w:val="00097F75"/>
    <w:rsid w:val="000A0865"/>
    <w:rsid w:val="000A0868"/>
    <w:rsid w:val="000A2356"/>
    <w:rsid w:val="000A291B"/>
    <w:rsid w:val="000A2A34"/>
    <w:rsid w:val="000A2BF7"/>
    <w:rsid w:val="000A3255"/>
    <w:rsid w:val="000A393B"/>
    <w:rsid w:val="000A40BF"/>
    <w:rsid w:val="000A4DEF"/>
    <w:rsid w:val="000A4E30"/>
    <w:rsid w:val="000A5076"/>
    <w:rsid w:val="000A53D5"/>
    <w:rsid w:val="000A542A"/>
    <w:rsid w:val="000A6C0C"/>
    <w:rsid w:val="000A75CB"/>
    <w:rsid w:val="000A7DF2"/>
    <w:rsid w:val="000A7E06"/>
    <w:rsid w:val="000A7F83"/>
    <w:rsid w:val="000B06AA"/>
    <w:rsid w:val="000B10CA"/>
    <w:rsid w:val="000B1121"/>
    <w:rsid w:val="000B142E"/>
    <w:rsid w:val="000B206E"/>
    <w:rsid w:val="000B2C96"/>
    <w:rsid w:val="000B2EA8"/>
    <w:rsid w:val="000B325D"/>
    <w:rsid w:val="000B3706"/>
    <w:rsid w:val="000B3774"/>
    <w:rsid w:val="000B3813"/>
    <w:rsid w:val="000B39E2"/>
    <w:rsid w:val="000B4699"/>
    <w:rsid w:val="000B544D"/>
    <w:rsid w:val="000B55EF"/>
    <w:rsid w:val="000B6C60"/>
    <w:rsid w:val="000B71D4"/>
    <w:rsid w:val="000B73F6"/>
    <w:rsid w:val="000B7C35"/>
    <w:rsid w:val="000B7F74"/>
    <w:rsid w:val="000C0172"/>
    <w:rsid w:val="000C05B9"/>
    <w:rsid w:val="000C06AD"/>
    <w:rsid w:val="000C0BB9"/>
    <w:rsid w:val="000C0C05"/>
    <w:rsid w:val="000C0F40"/>
    <w:rsid w:val="000C148B"/>
    <w:rsid w:val="000C28AC"/>
    <w:rsid w:val="000C3494"/>
    <w:rsid w:val="000C3D25"/>
    <w:rsid w:val="000C4CDE"/>
    <w:rsid w:val="000C503B"/>
    <w:rsid w:val="000C5076"/>
    <w:rsid w:val="000C551A"/>
    <w:rsid w:val="000C654D"/>
    <w:rsid w:val="000C7D71"/>
    <w:rsid w:val="000D0A2C"/>
    <w:rsid w:val="000D1FD7"/>
    <w:rsid w:val="000D223D"/>
    <w:rsid w:val="000D3F77"/>
    <w:rsid w:val="000D434E"/>
    <w:rsid w:val="000D4AEB"/>
    <w:rsid w:val="000D5151"/>
    <w:rsid w:val="000D5A9F"/>
    <w:rsid w:val="000D5DB6"/>
    <w:rsid w:val="000D6EDA"/>
    <w:rsid w:val="000D724E"/>
    <w:rsid w:val="000D7A7E"/>
    <w:rsid w:val="000E0EA5"/>
    <w:rsid w:val="000E0F53"/>
    <w:rsid w:val="000E0F8E"/>
    <w:rsid w:val="000E1F44"/>
    <w:rsid w:val="000E2142"/>
    <w:rsid w:val="000E27EA"/>
    <w:rsid w:val="000E2AE5"/>
    <w:rsid w:val="000E2F54"/>
    <w:rsid w:val="000E304B"/>
    <w:rsid w:val="000E4089"/>
    <w:rsid w:val="000E5010"/>
    <w:rsid w:val="000E511F"/>
    <w:rsid w:val="000E544C"/>
    <w:rsid w:val="000E599A"/>
    <w:rsid w:val="000E5A15"/>
    <w:rsid w:val="000E5B02"/>
    <w:rsid w:val="000E5C60"/>
    <w:rsid w:val="000E5D4C"/>
    <w:rsid w:val="000E7BBB"/>
    <w:rsid w:val="000F0A10"/>
    <w:rsid w:val="000F0B00"/>
    <w:rsid w:val="000F1872"/>
    <w:rsid w:val="000F1B0D"/>
    <w:rsid w:val="000F1B10"/>
    <w:rsid w:val="000F1C66"/>
    <w:rsid w:val="000F2564"/>
    <w:rsid w:val="000F2853"/>
    <w:rsid w:val="000F2A4C"/>
    <w:rsid w:val="000F30DC"/>
    <w:rsid w:val="000F314B"/>
    <w:rsid w:val="000F3966"/>
    <w:rsid w:val="000F535B"/>
    <w:rsid w:val="000F5575"/>
    <w:rsid w:val="000F56FE"/>
    <w:rsid w:val="000F5ACB"/>
    <w:rsid w:val="000F6365"/>
    <w:rsid w:val="000F6590"/>
    <w:rsid w:val="000F666D"/>
    <w:rsid w:val="000F675D"/>
    <w:rsid w:val="000F6E38"/>
    <w:rsid w:val="000F74A7"/>
    <w:rsid w:val="000F77F7"/>
    <w:rsid w:val="000F799D"/>
    <w:rsid w:val="00100370"/>
    <w:rsid w:val="0010095F"/>
    <w:rsid w:val="001014AB"/>
    <w:rsid w:val="001018D3"/>
    <w:rsid w:val="001019EF"/>
    <w:rsid w:val="00101AD0"/>
    <w:rsid w:val="00101B08"/>
    <w:rsid w:val="0010414B"/>
    <w:rsid w:val="001044C8"/>
    <w:rsid w:val="00104545"/>
    <w:rsid w:val="001045EC"/>
    <w:rsid w:val="00105822"/>
    <w:rsid w:val="00105F25"/>
    <w:rsid w:val="001067CA"/>
    <w:rsid w:val="00106F27"/>
    <w:rsid w:val="0010797F"/>
    <w:rsid w:val="00110F2C"/>
    <w:rsid w:val="00111014"/>
    <w:rsid w:val="001114BC"/>
    <w:rsid w:val="0011185D"/>
    <w:rsid w:val="00112057"/>
    <w:rsid w:val="0011263F"/>
    <w:rsid w:val="00112AD4"/>
    <w:rsid w:val="00112C68"/>
    <w:rsid w:val="00112F2C"/>
    <w:rsid w:val="001133E6"/>
    <w:rsid w:val="00113A37"/>
    <w:rsid w:val="00114F0F"/>
    <w:rsid w:val="00115924"/>
    <w:rsid w:val="001163A3"/>
    <w:rsid w:val="00116B0B"/>
    <w:rsid w:val="00116F32"/>
    <w:rsid w:val="00117687"/>
    <w:rsid w:val="00117F1B"/>
    <w:rsid w:val="00120197"/>
    <w:rsid w:val="0012108C"/>
    <w:rsid w:val="001218F6"/>
    <w:rsid w:val="00121A80"/>
    <w:rsid w:val="00122817"/>
    <w:rsid w:val="00122C00"/>
    <w:rsid w:val="00122D77"/>
    <w:rsid w:val="00122E34"/>
    <w:rsid w:val="00123C84"/>
    <w:rsid w:val="00124BAB"/>
    <w:rsid w:val="00125087"/>
    <w:rsid w:val="00125879"/>
    <w:rsid w:val="00125E0C"/>
    <w:rsid w:val="00126258"/>
    <w:rsid w:val="0012699F"/>
    <w:rsid w:val="00127391"/>
    <w:rsid w:val="00130553"/>
    <w:rsid w:val="001305D0"/>
    <w:rsid w:val="001307FD"/>
    <w:rsid w:val="00131673"/>
    <w:rsid w:val="00131C0C"/>
    <w:rsid w:val="001326B7"/>
    <w:rsid w:val="00132948"/>
    <w:rsid w:val="0013461F"/>
    <w:rsid w:val="00134A4A"/>
    <w:rsid w:val="00134BFA"/>
    <w:rsid w:val="00135456"/>
    <w:rsid w:val="00136117"/>
    <w:rsid w:val="001365D0"/>
    <w:rsid w:val="001366E6"/>
    <w:rsid w:val="0013691C"/>
    <w:rsid w:val="0013695D"/>
    <w:rsid w:val="00136D96"/>
    <w:rsid w:val="00136F80"/>
    <w:rsid w:val="001374E7"/>
    <w:rsid w:val="00137609"/>
    <w:rsid w:val="00137619"/>
    <w:rsid w:val="00137766"/>
    <w:rsid w:val="00140278"/>
    <w:rsid w:val="00140B9B"/>
    <w:rsid w:val="001415B5"/>
    <w:rsid w:val="001417F9"/>
    <w:rsid w:val="00141E5A"/>
    <w:rsid w:val="00142DB0"/>
    <w:rsid w:val="0014333B"/>
    <w:rsid w:val="0014363C"/>
    <w:rsid w:val="00143822"/>
    <w:rsid w:val="00143E8C"/>
    <w:rsid w:val="00144305"/>
    <w:rsid w:val="0014491D"/>
    <w:rsid w:val="00144C3E"/>
    <w:rsid w:val="00144CE6"/>
    <w:rsid w:val="0014523D"/>
    <w:rsid w:val="0014574D"/>
    <w:rsid w:val="001458EF"/>
    <w:rsid w:val="001462F0"/>
    <w:rsid w:val="001473DC"/>
    <w:rsid w:val="00147442"/>
    <w:rsid w:val="00147939"/>
    <w:rsid w:val="00147F4C"/>
    <w:rsid w:val="0015023A"/>
    <w:rsid w:val="00150663"/>
    <w:rsid w:val="0015263F"/>
    <w:rsid w:val="00153073"/>
    <w:rsid w:val="0015309F"/>
    <w:rsid w:val="0015369B"/>
    <w:rsid w:val="00153C15"/>
    <w:rsid w:val="00153EB9"/>
    <w:rsid w:val="00153F76"/>
    <w:rsid w:val="00155506"/>
    <w:rsid w:val="00156DC4"/>
    <w:rsid w:val="00156F02"/>
    <w:rsid w:val="00157ED6"/>
    <w:rsid w:val="001602D6"/>
    <w:rsid w:val="0016070F"/>
    <w:rsid w:val="001609C8"/>
    <w:rsid w:val="00160E24"/>
    <w:rsid w:val="001616FF"/>
    <w:rsid w:val="00161834"/>
    <w:rsid w:val="001619F8"/>
    <w:rsid w:val="00161DCC"/>
    <w:rsid w:val="00162DDA"/>
    <w:rsid w:val="001632F3"/>
    <w:rsid w:val="0016362A"/>
    <w:rsid w:val="001638FE"/>
    <w:rsid w:val="00164E5F"/>
    <w:rsid w:val="0016502B"/>
    <w:rsid w:val="00165958"/>
    <w:rsid w:val="0016608E"/>
    <w:rsid w:val="0016716D"/>
    <w:rsid w:val="001677EA"/>
    <w:rsid w:val="00167CCF"/>
    <w:rsid w:val="00167F8D"/>
    <w:rsid w:val="001706F3"/>
    <w:rsid w:val="001707E6"/>
    <w:rsid w:val="00170DE1"/>
    <w:rsid w:val="0017148C"/>
    <w:rsid w:val="00171757"/>
    <w:rsid w:val="00172110"/>
    <w:rsid w:val="00173657"/>
    <w:rsid w:val="00173A0F"/>
    <w:rsid w:val="00173C73"/>
    <w:rsid w:val="00174893"/>
    <w:rsid w:val="001754E7"/>
    <w:rsid w:val="00175987"/>
    <w:rsid w:val="00175C0C"/>
    <w:rsid w:val="001762B0"/>
    <w:rsid w:val="00176DD4"/>
    <w:rsid w:val="00177759"/>
    <w:rsid w:val="00180187"/>
    <w:rsid w:val="00180B3B"/>
    <w:rsid w:val="00180D6A"/>
    <w:rsid w:val="00180F25"/>
    <w:rsid w:val="00182B86"/>
    <w:rsid w:val="00182D89"/>
    <w:rsid w:val="001837A8"/>
    <w:rsid w:val="00183E08"/>
    <w:rsid w:val="00184109"/>
    <w:rsid w:val="00184256"/>
    <w:rsid w:val="00185415"/>
    <w:rsid w:val="001860EB"/>
    <w:rsid w:val="00186712"/>
    <w:rsid w:val="0018676B"/>
    <w:rsid w:val="00187243"/>
    <w:rsid w:val="001873EA"/>
    <w:rsid w:val="00187507"/>
    <w:rsid w:val="0018753C"/>
    <w:rsid w:val="00187755"/>
    <w:rsid w:val="00187843"/>
    <w:rsid w:val="00187D79"/>
    <w:rsid w:val="0019030B"/>
    <w:rsid w:val="001916C7"/>
    <w:rsid w:val="0019170C"/>
    <w:rsid w:val="00191E1A"/>
    <w:rsid w:val="00192E29"/>
    <w:rsid w:val="00193F00"/>
    <w:rsid w:val="00193F92"/>
    <w:rsid w:val="00194040"/>
    <w:rsid w:val="00194586"/>
    <w:rsid w:val="001951AD"/>
    <w:rsid w:val="001956A2"/>
    <w:rsid w:val="001961DC"/>
    <w:rsid w:val="001964C2"/>
    <w:rsid w:val="00196585"/>
    <w:rsid w:val="00196767"/>
    <w:rsid w:val="00196E20"/>
    <w:rsid w:val="00196FF6"/>
    <w:rsid w:val="0019749C"/>
    <w:rsid w:val="00197BF6"/>
    <w:rsid w:val="001A0308"/>
    <w:rsid w:val="001A05B3"/>
    <w:rsid w:val="001A088D"/>
    <w:rsid w:val="001A093F"/>
    <w:rsid w:val="001A14E2"/>
    <w:rsid w:val="001A1B91"/>
    <w:rsid w:val="001A269B"/>
    <w:rsid w:val="001A28C2"/>
    <w:rsid w:val="001A2B3A"/>
    <w:rsid w:val="001A2EA3"/>
    <w:rsid w:val="001A2FB3"/>
    <w:rsid w:val="001A38CC"/>
    <w:rsid w:val="001A3AD1"/>
    <w:rsid w:val="001A4044"/>
    <w:rsid w:val="001A4FF8"/>
    <w:rsid w:val="001A5385"/>
    <w:rsid w:val="001A5432"/>
    <w:rsid w:val="001A5448"/>
    <w:rsid w:val="001A5FCE"/>
    <w:rsid w:val="001A6352"/>
    <w:rsid w:val="001A665B"/>
    <w:rsid w:val="001A6F54"/>
    <w:rsid w:val="001A7513"/>
    <w:rsid w:val="001A7A8F"/>
    <w:rsid w:val="001B0586"/>
    <w:rsid w:val="001B0848"/>
    <w:rsid w:val="001B08EB"/>
    <w:rsid w:val="001B0954"/>
    <w:rsid w:val="001B0D58"/>
    <w:rsid w:val="001B220C"/>
    <w:rsid w:val="001B26F8"/>
    <w:rsid w:val="001B281C"/>
    <w:rsid w:val="001B313F"/>
    <w:rsid w:val="001B3147"/>
    <w:rsid w:val="001B314C"/>
    <w:rsid w:val="001B4CFC"/>
    <w:rsid w:val="001B5181"/>
    <w:rsid w:val="001B5679"/>
    <w:rsid w:val="001B6003"/>
    <w:rsid w:val="001B6CD5"/>
    <w:rsid w:val="001B711F"/>
    <w:rsid w:val="001B7529"/>
    <w:rsid w:val="001B75F4"/>
    <w:rsid w:val="001B7C49"/>
    <w:rsid w:val="001C142E"/>
    <w:rsid w:val="001C203E"/>
    <w:rsid w:val="001C2147"/>
    <w:rsid w:val="001C226C"/>
    <w:rsid w:val="001C2EC4"/>
    <w:rsid w:val="001C3842"/>
    <w:rsid w:val="001C3EFB"/>
    <w:rsid w:val="001C41A6"/>
    <w:rsid w:val="001C446C"/>
    <w:rsid w:val="001C4B38"/>
    <w:rsid w:val="001C6658"/>
    <w:rsid w:val="001D00BE"/>
    <w:rsid w:val="001D216A"/>
    <w:rsid w:val="001D2571"/>
    <w:rsid w:val="001D2E82"/>
    <w:rsid w:val="001D32F2"/>
    <w:rsid w:val="001D3722"/>
    <w:rsid w:val="001D4614"/>
    <w:rsid w:val="001D5067"/>
    <w:rsid w:val="001D51DA"/>
    <w:rsid w:val="001D6182"/>
    <w:rsid w:val="001D6792"/>
    <w:rsid w:val="001D69C7"/>
    <w:rsid w:val="001D7E63"/>
    <w:rsid w:val="001D7F65"/>
    <w:rsid w:val="001E041C"/>
    <w:rsid w:val="001E04F6"/>
    <w:rsid w:val="001E0647"/>
    <w:rsid w:val="001E1413"/>
    <w:rsid w:val="001E16FD"/>
    <w:rsid w:val="001E1B6C"/>
    <w:rsid w:val="001E3355"/>
    <w:rsid w:val="001E379B"/>
    <w:rsid w:val="001E38E1"/>
    <w:rsid w:val="001E3B04"/>
    <w:rsid w:val="001E4F8C"/>
    <w:rsid w:val="001E52ED"/>
    <w:rsid w:val="001E585F"/>
    <w:rsid w:val="001E59B1"/>
    <w:rsid w:val="001F04BC"/>
    <w:rsid w:val="001F0730"/>
    <w:rsid w:val="001F15EE"/>
    <w:rsid w:val="001F1633"/>
    <w:rsid w:val="001F28EF"/>
    <w:rsid w:val="001F2F98"/>
    <w:rsid w:val="001F328A"/>
    <w:rsid w:val="001F330E"/>
    <w:rsid w:val="001F5AB1"/>
    <w:rsid w:val="001F67D7"/>
    <w:rsid w:val="001F7750"/>
    <w:rsid w:val="001F7CF5"/>
    <w:rsid w:val="001F7F0C"/>
    <w:rsid w:val="002003B6"/>
    <w:rsid w:val="002006E5"/>
    <w:rsid w:val="002006E6"/>
    <w:rsid w:val="00201254"/>
    <w:rsid w:val="002013A9"/>
    <w:rsid w:val="002017D3"/>
    <w:rsid w:val="00203055"/>
    <w:rsid w:val="0020391A"/>
    <w:rsid w:val="00203E94"/>
    <w:rsid w:val="0020430A"/>
    <w:rsid w:val="00205C52"/>
    <w:rsid w:val="00205DF3"/>
    <w:rsid w:val="0020676B"/>
    <w:rsid w:val="002068AA"/>
    <w:rsid w:val="002068B6"/>
    <w:rsid w:val="00207166"/>
    <w:rsid w:val="002102AC"/>
    <w:rsid w:val="002102C6"/>
    <w:rsid w:val="002108E9"/>
    <w:rsid w:val="00210CD7"/>
    <w:rsid w:val="0021153D"/>
    <w:rsid w:val="00211910"/>
    <w:rsid w:val="00211CCE"/>
    <w:rsid w:val="0021286C"/>
    <w:rsid w:val="00212A9D"/>
    <w:rsid w:val="00212DC7"/>
    <w:rsid w:val="0021432E"/>
    <w:rsid w:val="0021437B"/>
    <w:rsid w:val="002143B4"/>
    <w:rsid w:val="00214511"/>
    <w:rsid w:val="00214BEE"/>
    <w:rsid w:val="0021535B"/>
    <w:rsid w:val="0021628D"/>
    <w:rsid w:val="00216AA4"/>
    <w:rsid w:val="002176D7"/>
    <w:rsid w:val="0022083E"/>
    <w:rsid w:val="0022086A"/>
    <w:rsid w:val="00220BF2"/>
    <w:rsid w:val="00221AF0"/>
    <w:rsid w:val="00221EF5"/>
    <w:rsid w:val="002229E3"/>
    <w:rsid w:val="00222D05"/>
    <w:rsid w:val="00222D0B"/>
    <w:rsid w:val="00222D21"/>
    <w:rsid w:val="002231E7"/>
    <w:rsid w:val="00223B98"/>
    <w:rsid w:val="00223F6A"/>
    <w:rsid w:val="00224BED"/>
    <w:rsid w:val="00224C55"/>
    <w:rsid w:val="002252EC"/>
    <w:rsid w:val="0022660E"/>
    <w:rsid w:val="0022686B"/>
    <w:rsid w:val="00226A1E"/>
    <w:rsid w:val="00226DB1"/>
    <w:rsid w:val="0022713E"/>
    <w:rsid w:val="00227E41"/>
    <w:rsid w:val="002306B7"/>
    <w:rsid w:val="00230775"/>
    <w:rsid w:val="002307FF"/>
    <w:rsid w:val="00230AE9"/>
    <w:rsid w:val="002311BE"/>
    <w:rsid w:val="002316A3"/>
    <w:rsid w:val="002320BE"/>
    <w:rsid w:val="0023281D"/>
    <w:rsid w:val="00232ED9"/>
    <w:rsid w:val="002348FA"/>
    <w:rsid w:val="0023664B"/>
    <w:rsid w:val="00236D21"/>
    <w:rsid w:val="002401E4"/>
    <w:rsid w:val="00241210"/>
    <w:rsid w:val="00241D3D"/>
    <w:rsid w:val="00242732"/>
    <w:rsid w:val="0024280C"/>
    <w:rsid w:val="00243DBD"/>
    <w:rsid w:val="002442E9"/>
    <w:rsid w:val="00245EB8"/>
    <w:rsid w:val="00251B64"/>
    <w:rsid w:val="00251B76"/>
    <w:rsid w:val="00251B91"/>
    <w:rsid w:val="00252079"/>
    <w:rsid w:val="0025247B"/>
    <w:rsid w:val="00252FFE"/>
    <w:rsid w:val="002531F4"/>
    <w:rsid w:val="002537A4"/>
    <w:rsid w:val="002537B8"/>
    <w:rsid w:val="00253C24"/>
    <w:rsid w:val="00253D75"/>
    <w:rsid w:val="00254385"/>
    <w:rsid w:val="00254DA8"/>
    <w:rsid w:val="00255C26"/>
    <w:rsid w:val="00255D2C"/>
    <w:rsid w:val="00255E48"/>
    <w:rsid w:val="0025686F"/>
    <w:rsid w:val="00256C53"/>
    <w:rsid w:val="0025724B"/>
    <w:rsid w:val="00257436"/>
    <w:rsid w:val="002575FE"/>
    <w:rsid w:val="00260AAC"/>
    <w:rsid w:val="002618BC"/>
    <w:rsid w:val="00261A3E"/>
    <w:rsid w:val="00261E87"/>
    <w:rsid w:val="00262C77"/>
    <w:rsid w:val="0026370C"/>
    <w:rsid w:val="002637D9"/>
    <w:rsid w:val="00264E0D"/>
    <w:rsid w:val="002651C8"/>
    <w:rsid w:val="00265504"/>
    <w:rsid w:val="00265C9E"/>
    <w:rsid w:val="00265E22"/>
    <w:rsid w:val="00266246"/>
    <w:rsid w:val="00266ABC"/>
    <w:rsid w:val="00266F28"/>
    <w:rsid w:val="00266F7C"/>
    <w:rsid w:val="00267745"/>
    <w:rsid w:val="00267C9E"/>
    <w:rsid w:val="00267E39"/>
    <w:rsid w:val="00271870"/>
    <w:rsid w:val="0027190E"/>
    <w:rsid w:val="0027204C"/>
    <w:rsid w:val="0027246D"/>
    <w:rsid w:val="00272602"/>
    <w:rsid w:val="00272B04"/>
    <w:rsid w:val="00273056"/>
    <w:rsid w:val="0027324B"/>
    <w:rsid w:val="002739B7"/>
    <w:rsid w:val="00274C94"/>
    <w:rsid w:val="00275850"/>
    <w:rsid w:val="0027673C"/>
    <w:rsid w:val="00276AE7"/>
    <w:rsid w:val="00276B7A"/>
    <w:rsid w:val="00277669"/>
    <w:rsid w:val="00281022"/>
    <w:rsid w:val="002813FB"/>
    <w:rsid w:val="00281C2B"/>
    <w:rsid w:val="00282C14"/>
    <w:rsid w:val="00282ED3"/>
    <w:rsid w:val="0028322F"/>
    <w:rsid w:val="00285449"/>
    <w:rsid w:val="00285CF7"/>
    <w:rsid w:val="00285F86"/>
    <w:rsid w:val="002867C7"/>
    <w:rsid w:val="002867F1"/>
    <w:rsid w:val="002871B1"/>
    <w:rsid w:val="002873B4"/>
    <w:rsid w:val="002875C8"/>
    <w:rsid w:val="00287CD0"/>
    <w:rsid w:val="00287D54"/>
    <w:rsid w:val="002909D5"/>
    <w:rsid w:val="00290F90"/>
    <w:rsid w:val="002912B7"/>
    <w:rsid w:val="00291B10"/>
    <w:rsid w:val="00292856"/>
    <w:rsid w:val="00292861"/>
    <w:rsid w:val="00293B16"/>
    <w:rsid w:val="00293C2F"/>
    <w:rsid w:val="00294872"/>
    <w:rsid w:val="00295378"/>
    <w:rsid w:val="0029571C"/>
    <w:rsid w:val="00296ED8"/>
    <w:rsid w:val="00297114"/>
    <w:rsid w:val="0029762B"/>
    <w:rsid w:val="0029789A"/>
    <w:rsid w:val="00297C6D"/>
    <w:rsid w:val="002A0939"/>
    <w:rsid w:val="002A101F"/>
    <w:rsid w:val="002A15AB"/>
    <w:rsid w:val="002A2647"/>
    <w:rsid w:val="002A388E"/>
    <w:rsid w:val="002A419D"/>
    <w:rsid w:val="002A4D6A"/>
    <w:rsid w:val="002A56C0"/>
    <w:rsid w:val="002A5993"/>
    <w:rsid w:val="002A6BD4"/>
    <w:rsid w:val="002A6BFF"/>
    <w:rsid w:val="002A6DF5"/>
    <w:rsid w:val="002A708F"/>
    <w:rsid w:val="002A7AFF"/>
    <w:rsid w:val="002A7D76"/>
    <w:rsid w:val="002B02AA"/>
    <w:rsid w:val="002B0F0A"/>
    <w:rsid w:val="002B22A3"/>
    <w:rsid w:val="002B3265"/>
    <w:rsid w:val="002B3A3A"/>
    <w:rsid w:val="002B3ADB"/>
    <w:rsid w:val="002B3FD1"/>
    <w:rsid w:val="002B4862"/>
    <w:rsid w:val="002B4D7B"/>
    <w:rsid w:val="002B529D"/>
    <w:rsid w:val="002B53EF"/>
    <w:rsid w:val="002B5C69"/>
    <w:rsid w:val="002B6319"/>
    <w:rsid w:val="002B684E"/>
    <w:rsid w:val="002B777C"/>
    <w:rsid w:val="002B784E"/>
    <w:rsid w:val="002B7F3A"/>
    <w:rsid w:val="002C12D4"/>
    <w:rsid w:val="002C20C8"/>
    <w:rsid w:val="002C2773"/>
    <w:rsid w:val="002C3470"/>
    <w:rsid w:val="002C350A"/>
    <w:rsid w:val="002C41D3"/>
    <w:rsid w:val="002C4B7A"/>
    <w:rsid w:val="002C4FD2"/>
    <w:rsid w:val="002C654A"/>
    <w:rsid w:val="002C6E86"/>
    <w:rsid w:val="002C7C3B"/>
    <w:rsid w:val="002C7C82"/>
    <w:rsid w:val="002C7DBB"/>
    <w:rsid w:val="002D0794"/>
    <w:rsid w:val="002D142E"/>
    <w:rsid w:val="002D1602"/>
    <w:rsid w:val="002D194F"/>
    <w:rsid w:val="002D230B"/>
    <w:rsid w:val="002D295C"/>
    <w:rsid w:val="002D29A3"/>
    <w:rsid w:val="002D3561"/>
    <w:rsid w:val="002D4A07"/>
    <w:rsid w:val="002D4D37"/>
    <w:rsid w:val="002D5230"/>
    <w:rsid w:val="002D53DC"/>
    <w:rsid w:val="002D56C8"/>
    <w:rsid w:val="002D5B3B"/>
    <w:rsid w:val="002D5D9B"/>
    <w:rsid w:val="002D64AB"/>
    <w:rsid w:val="002D7125"/>
    <w:rsid w:val="002D77E7"/>
    <w:rsid w:val="002E0A5D"/>
    <w:rsid w:val="002E0CBA"/>
    <w:rsid w:val="002E102A"/>
    <w:rsid w:val="002E1A40"/>
    <w:rsid w:val="002E1B01"/>
    <w:rsid w:val="002E2242"/>
    <w:rsid w:val="002E2433"/>
    <w:rsid w:val="002E2C13"/>
    <w:rsid w:val="002E2EB0"/>
    <w:rsid w:val="002E3630"/>
    <w:rsid w:val="002E37A4"/>
    <w:rsid w:val="002E53B8"/>
    <w:rsid w:val="002E58E7"/>
    <w:rsid w:val="002E5F2C"/>
    <w:rsid w:val="002E710A"/>
    <w:rsid w:val="002E7336"/>
    <w:rsid w:val="002F03F6"/>
    <w:rsid w:val="002F06B1"/>
    <w:rsid w:val="002F06E5"/>
    <w:rsid w:val="002F0B1F"/>
    <w:rsid w:val="002F217B"/>
    <w:rsid w:val="002F2971"/>
    <w:rsid w:val="002F3A0C"/>
    <w:rsid w:val="002F43EE"/>
    <w:rsid w:val="002F47EF"/>
    <w:rsid w:val="002F4908"/>
    <w:rsid w:val="002F4BBE"/>
    <w:rsid w:val="002F4C66"/>
    <w:rsid w:val="002F4C97"/>
    <w:rsid w:val="002F4F25"/>
    <w:rsid w:val="002F5464"/>
    <w:rsid w:val="002F60C0"/>
    <w:rsid w:val="002F6C60"/>
    <w:rsid w:val="002F74F3"/>
    <w:rsid w:val="002F7CEF"/>
    <w:rsid w:val="00300CAB"/>
    <w:rsid w:val="00301126"/>
    <w:rsid w:val="00301924"/>
    <w:rsid w:val="003022BA"/>
    <w:rsid w:val="00302A8A"/>
    <w:rsid w:val="0030317B"/>
    <w:rsid w:val="003033FF"/>
    <w:rsid w:val="003058D5"/>
    <w:rsid w:val="00305FF6"/>
    <w:rsid w:val="00306AEF"/>
    <w:rsid w:val="00306E85"/>
    <w:rsid w:val="0030753E"/>
    <w:rsid w:val="00310080"/>
    <w:rsid w:val="003102FA"/>
    <w:rsid w:val="0031048E"/>
    <w:rsid w:val="003105AB"/>
    <w:rsid w:val="003110D4"/>
    <w:rsid w:val="00311E20"/>
    <w:rsid w:val="00311F57"/>
    <w:rsid w:val="00312208"/>
    <w:rsid w:val="0031254E"/>
    <w:rsid w:val="003126A6"/>
    <w:rsid w:val="003129FC"/>
    <w:rsid w:val="00313F7A"/>
    <w:rsid w:val="0031492F"/>
    <w:rsid w:val="00314BC7"/>
    <w:rsid w:val="00314DC9"/>
    <w:rsid w:val="00314F6A"/>
    <w:rsid w:val="00315876"/>
    <w:rsid w:val="00315F10"/>
    <w:rsid w:val="0031611B"/>
    <w:rsid w:val="0031654A"/>
    <w:rsid w:val="00317613"/>
    <w:rsid w:val="00317FA2"/>
    <w:rsid w:val="00320025"/>
    <w:rsid w:val="0032135C"/>
    <w:rsid w:val="00321FA1"/>
    <w:rsid w:val="003222BB"/>
    <w:rsid w:val="003223EC"/>
    <w:rsid w:val="0032250E"/>
    <w:rsid w:val="00322E4C"/>
    <w:rsid w:val="00323215"/>
    <w:rsid w:val="00323472"/>
    <w:rsid w:val="0032397B"/>
    <w:rsid w:val="00324753"/>
    <w:rsid w:val="00324B0C"/>
    <w:rsid w:val="00325F70"/>
    <w:rsid w:val="00326479"/>
    <w:rsid w:val="003264CF"/>
    <w:rsid w:val="00326800"/>
    <w:rsid w:val="003270F9"/>
    <w:rsid w:val="00327688"/>
    <w:rsid w:val="00327F6B"/>
    <w:rsid w:val="00330C0B"/>
    <w:rsid w:val="003327A0"/>
    <w:rsid w:val="00332817"/>
    <w:rsid w:val="00335555"/>
    <w:rsid w:val="00335C23"/>
    <w:rsid w:val="00336662"/>
    <w:rsid w:val="00337228"/>
    <w:rsid w:val="003419E2"/>
    <w:rsid w:val="00341DAE"/>
    <w:rsid w:val="00342235"/>
    <w:rsid w:val="003436B4"/>
    <w:rsid w:val="00343945"/>
    <w:rsid w:val="00343CAD"/>
    <w:rsid w:val="003447A1"/>
    <w:rsid w:val="00344F47"/>
    <w:rsid w:val="0034521A"/>
    <w:rsid w:val="003454DD"/>
    <w:rsid w:val="003457AB"/>
    <w:rsid w:val="00345DDB"/>
    <w:rsid w:val="00346D20"/>
    <w:rsid w:val="003479EE"/>
    <w:rsid w:val="00350290"/>
    <w:rsid w:val="0035140F"/>
    <w:rsid w:val="00351A0C"/>
    <w:rsid w:val="00351F4A"/>
    <w:rsid w:val="00353458"/>
    <w:rsid w:val="00353F4A"/>
    <w:rsid w:val="00354301"/>
    <w:rsid w:val="003557AF"/>
    <w:rsid w:val="00355B42"/>
    <w:rsid w:val="00355B85"/>
    <w:rsid w:val="0035661D"/>
    <w:rsid w:val="00356A94"/>
    <w:rsid w:val="00356AFB"/>
    <w:rsid w:val="003571C5"/>
    <w:rsid w:val="00360A36"/>
    <w:rsid w:val="00361D74"/>
    <w:rsid w:val="00361EA5"/>
    <w:rsid w:val="00363BD2"/>
    <w:rsid w:val="00363DBE"/>
    <w:rsid w:val="00364240"/>
    <w:rsid w:val="003642F2"/>
    <w:rsid w:val="003645D8"/>
    <w:rsid w:val="003650A3"/>
    <w:rsid w:val="0036538D"/>
    <w:rsid w:val="003653EB"/>
    <w:rsid w:val="00365E65"/>
    <w:rsid w:val="0036620E"/>
    <w:rsid w:val="00367B88"/>
    <w:rsid w:val="0037061F"/>
    <w:rsid w:val="00370765"/>
    <w:rsid w:val="00370F4F"/>
    <w:rsid w:val="00371BF0"/>
    <w:rsid w:val="0037293A"/>
    <w:rsid w:val="003731D4"/>
    <w:rsid w:val="00373383"/>
    <w:rsid w:val="00373438"/>
    <w:rsid w:val="00375998"/>
    <w:rsid w:val="00376184"/>
    <w:rsid w:val="003766BA"/>
    <w:rsid w:val="00376724"/>
    <w:rsid w:val="00376A4B"/>
    <w:rsid w:val="00376B30"/>
    <w:rsid w:val="00376D6A"/>
    <w:rsid w:val="003777E4"/>
    <w:rsid w:val="003779A4"/>
    <w:rsid w:val="00377C17"/>
    <w:rsid w:val="0038190B"/>
    <w:rsid w:val="0038204B"/>
    <w:rsid w:val="003827BD"/>
    <w:rsid w:val="00382FB8"/>
    <w:rsid w:val="00383D90"/>
    <w:rsid w:val="00384B2D"/>
    <w:rsid w:val="0038567C"/>
    <w:rsid w:val="003858DA"/>
    <w:rsid w:val="00385990"/>
    <w:rsid w:val="00385E00"/>
    <w:rsid w:val="0038603E"/>
    <w:rsid w:val="00387637"/>
    <w:rsid w:val="00387817"/>
    <w:rsid w:val="00390889"/>
    <w:rsid w:val="00390A38"/>
    <w:rsid w:val="00390D23"/>
    <w:rsid w:val="00390E14"/>
    <w:rsid w:val="00391184"/>
    <w:rsid w:val="003911E3"/>
    <w:rsid w:val="00391DB3"/>
    <w:rsid w:val="003924E5"/>
    <w:rsid w:val="00393784"/>
    <w:rsid w:val="00393D2B"/>
    <w:rsid w:val="003940BB"/>
    <w:rsid w:val="00395129"/>
    <w:rsid w:val="00395323"/>
    <w:rsid w:val="0039565A"/>
    <w:rsid w:val="0039682A"/>
    <w:rsid w:val="00396CCC"/>
    <w:rsid w:val="003A0E7F"/>
    <w:rsid w:val="003A1BE6"/>
    <w:rsid w:val="003A3180"/>
    <w:rsid w:val="003A378C"/>
    <w:rsid w:val="003A5248"/>
    <w:rsid w:val="003A56C8"/>
    <w:rsid w:val="003A6B30"/>
    <w:rsid w:val="003A74A0"/>
    <w:rsid w:val="003A7543"/>
    <w:rsid w:val="003A77BF"/>
    <w:rsid w:val="003B0AFB"/>
    <w:rsid w:val="003B14F9"/>
    <w:rsid w:val="003B180F"/>
    <w:rsid w:val="003B1E67"/>
    <w:rsid w:val="003B1F5A"/>
    <w:rsid w:val="003B348B"/>
    <w:rsid w:val="003B3785"/>
    <w:rsid w:val="003B49FD"/>
    <w:rsid w:val="003B4A87"/>
    <w:rsid w:val="003B4C2C"/>
    <w:rsid w:val="003B4CFE"/>
    <w:rsid w:val="003B50F4"/>
    <w:rsid w:val="003B5D14"/>
    <w:rsid w:val="003B68FE"/>
    <w:rsid w:val="003B6F8A"/>
    <w:rsid w:val="003B6FC4"/>
    <w:rsid w:val="003C027A"/>
    <w:rsid w:val="003C08E2"/>
    <w:rsid w:val="003C13E0"/>
    <w:rsid w:val="003C1CE2"/>
    <w:rsid w:val="003C3091"/>
    <w:rsid w:val="003C3486"/>
    <w:rsid w:val="003C3A49"/>
    <w:rsid w:val="003C4438"/>
    <w:rsid w:val="003C4659"/>
    <w:rsid w:val="003C5009"/>
    <w:rsid w:val="003C53A8"/>
    <w:rsid w:val="003C5AB5"/>
    <w:rsid w:val="003C5B93"/>
    <w:rsid w:val="003C5F0C"/>
    <w:rsid w:val="003C5F1B"/>
    <w:rsid w:val="003C64FB"/>
    <w:rsid w:val="003C6545"/>
    <w:rsid w:val="003C65B7"/>
    <w:rsid w:val="003C6AFB"/>
    <w:rsid w:val="003C6FB5"/>
    <w:rsid w:val="003C71E1"/>
    <w:rsid w:val="003C7B11"/>
    <w:rsid w:val="003C7B88"/>
    <w:rsid w:val="003D0583"/>
    <w:rsid w:val="003D06A7"/>
    <w:rsid w:val="003D0A29"/>
    <w:rsid w:val="003D1992"/>
    <w:rsid w:val="003D2105"/>
    <w:rsid w:val="003D23E2"/>
    <w:rsid w:val="003D2584"/>
    <w:rsid w:val="003D2A70"/>
    <w:rsid w:val="003D38ED"/>
    <w:rsid w:val="003D3939"/>
    <w:rsid w:val="003D400C"/>
    <w:rsid w:val="003D4325"/>
    <w:rsid w:val="003D47CB"/>
    <w:rsid w:val="003D4A0A"/>
    <w:rsid w:val="003D5010"/>
    <w:rsid w:val="003D561E"/>
    <w:rsid w:val="003D5A9A"/>
    <w:rsid w:val="003D6B92"/>
    <w:rsid w:val="003D6FEF"/>
    <w:rsid w:val="003D71E7"/>
    <w:rsid w:val="003D747D"/>
    <w:rsid w:val="003E01F0"/>
    <w:rsid w:val="003E0635"/>
    <w:rsid w:val="003E0A1F"/>
    <w:rsid w:val="003E0C76"/>
    <w:rsid w:val="003E1D12"/>
    <w:rsid w:val="003E2D42"/>
    <w:rsid w:val="003E2EC7"/>
    <w:rsid w:val="003E514D"/>
    <w:rsid w:val="003E54DC"/>
    <w:rsid w:val="003E57B8"/>
    <w:rsid w:val="003E57F5"/>
    <w:rsid w:val="003E5925"/>
    <w:rsid w:val="003E759E"/>
    <w:rsid w:val="003E7D1A"/>
    <w:rsid w:val="003F0294"/>
    <w:rsid w:val="003F03A2"/>
    <w:rsid w:val="003F0F13"/>
    <w:rsid w:val="003F196C"/>
    <w:rsid w:val="003F22CE"/>
    <w:rsid w:val="003F2C0A"/>
    <w:rsid w:val="003F36A8"/>
    <w:rsid w:val="003F3B19"/>
    <w:rsid w:val="003F47D9"/>
    <w:rsid w:val="003F49E7"/>
    <w:rsid w:val="003F57E3"/>
    <w:rsid w:val="003F7B7E"/>
    <w:rsid w:val="004004BE"/>
    <w:rsid w:val="00400F4D"/>
    <w:rsid w:val="00401285"/>
    <w:rsid w:val="004016F7"/>
    <w:rsid w:val="00401DE6"/>
    <w:rsid w:val="00402F19"/>
    <w:rsid w:val="00403564"/>
    <w:rsid w:val="0040458E"/>
    <w:rsid w:val="00404B36"/>
    <w:rsid w:val="00406032"/>
    <w:rsid w:val="004062CE"/>
    <w:rsid w:val="004063EB"/>
    <w:rsid w:val="00406520"/>
    <w:rsid w:val="00406947"/>
    <w:rsid w:val="00406A9F"/>
    <w:rsid w:val="00407184"/>
    <w:rsid w:val="00407210"/>
    <w:rsid w:val="00407415"/>
    <w:rsid w:val="00407944"/>
    <w:rsid w:val="004113F2"/>
    <w:rsid w:val="004126C2"/>
    <w:rsid w:val="00412F04"/>
    <w:rsid w:val="0041342F"/>
    <w:rsid w:val="00413F54"/>
    <w:rsid w:val="00414DF1"/>
    <w:rsid w:val="004155E2"/>
    <w:rsid w:val="00415724"/>
    <w:rsid w:val="00415B13"/>
    <w:rsid w:val="00416561"/>
    <w:rsid w:val="004171BB"/>
    <w:rsid w:val="004179CB"/>
    <w:rsid w:val="00417C3A"/>
    <w:rsid w:val="00422388"/>
    <w:rsid w:val="004228F9"/>
    <w:rsid w:val="004238ED"/>
    <w:rsid w:val="00423B2E"/>
    <w:rsid w:val="00423D13"/>
    <w:rsid w:val="00424134"/>
    <w:rsid w:val="004241A0"/>
    <w:rsid w:val="004245B3"/>
    <w:rsid w:val="00425252"/>
    <w:rsid w:val="00426BA2"/>
    <w:rsid w:val="0042770A"/>
    <w:rsid w:val="00427CFB"/>
    <w:rsid w:val="00430A78"/>
    <w:rsid w:val="004318B4"/>
    <w:rsid w:val="00431CFA"/>
    <w:rsid w:val="0043276C"/>
    <w:rsid w:val="00432E10"/>
    <w:rsid w:val="00433CE2"/>
    <w:rsid w:val="00435649"/>
    <w:rsid w:val="004356F3"/>
    <w:rsid w:val="004360BD"/>
    <w:rsid w:val="0043673E"/>
    <w:rsid w:val="00436753"/>
    <w:rsid w:val="00436DDD"/>
    <w:rsid w:val="0043705D"/>
    <w:rsid w:val="0043720A"/>
    <w:rsid w:val="004400FA"/>
    <w:rsid w:val="004410C5"/>
    <w:rsid w:val="004411C8"/>
    <w:rsid w:val="00441E6E"/>
    <w:rsid w:val="00442909"/>
    <w:rsid w:val="00442992"/>
    <w:rsid w:val="00443495"/>
    <w:rsid w:val="00443548"/>
    <w:rsid w:val="0044388D"/>
    <w:rsid w:val="004444F5"/>
    <w:rsid w:val="00444852"/>
    <w:rsid w:val="00444C58"/>
    <w:rsid w:val="00445723"/>
    <w:rsid w:val="00447044"/>
    <w:rsid w:val="00447407"/>
    <w:rsid w:val="00447AC4"/>
    <w:rsid w:val="00451948"/>
    <w:rsid w:val="00452135"/>
    <w:rsid w:val="004522AE"/>
    <w:rsid w:val="00452B27"/>
    <w:rsid w:val="00454256"/>
    <w:rsid w:val="00455237"/>
    <w:rsid w:val="00455BF0"/>
    <w:rsid w:val="004560A5"/>
    <w:rsid w:val="0045623F"/>
    <w:rsid w:val="00456608"/>
    <w:rsid w:val="00460354"/>
    <w:rsid w:val="0046054A"/>
    <w:rsid w:val="00460F75"/>
    <w:rsid w:val="00461068"/>
    <w:rsid w:val="00462B98"/>
    <w:rsid w:val="00462F5D"/>
    <w:rsid w:val="0046326A"/>
    <w:rsid w:val="004632E9"/>
    <w:rsid w:val="00463696"/>
    <w:rsid w:val="00463E6C"/>
    <w:rsid w:val="00463FE4"/>
    <w:rsid w:val="00464BB5"/>
    <w:rsid w:val="00464CC1"/>
    <w:rsid w:val="00465813"/>
    <w:rsid w:val="0046678C"/>
    <w:rsid w:val="00466A0C"/>
    <w:rsid w:val="00467E00"/>
    <w:rsid w:val="0047150B"/>
    <w:rsid w:val="0047157E"/>
    <w:rsid w:val="0047182A"/>
    <w:rsid w:val="0047236F"/>
    <w:rsid w:val="004729D3"/>
    <w:rsid w:val="004729E6"/>
    <w:rsid w:val="00474096"/>
    <w:rsid w:val="0047496C"/>
    <w:rsid w:val="00474CE0"/>
    <w:rsid w:val="004763E9"/>
    <w:rsid w:val="004765C9"/>
    <w:rsid w:val="0047672B"/>
    <w:rsid w:val="0047681E"/>
    <w:rsid w:val="004768A9"/>
    <w:rsid w:val="00477242"/>
    <w:rsid w:val="004809FE"/>
    <w:rsid w:val="00480D1B"/>
    <w:rsid w:val="004810ED"/>
    <w:rsid w:val="00481574"/>
    <w:rsid w:val="00481613"/>
    <w:rsid w:val="00481BC5"/>
    <w:rsid w:val="00481BF7"/>
    <w:rsid w:val="00481C03"/>
    <w:rsid w:val="00481E87"/>
    <w:rsid w:val="00482201"/>
    <w:rsid w:val="0048236F"/>
    <w:rsid w:val="00482DED"/>
    <w:rsid w:val="004837C5"/>
    <w:rsid w:val="00483845"/>
    <w:rsid w:val="0048408B"/>
    <w:rsid w:val="004845E5"/>
    <w:rsid w:val="00484C60"/>
    <w:rsid w:val="00484E44"/>
    <w:rsid w:val="004850FB"/>
    <w:rsid w:val="00485779"/>
    <w:rsid w:val="00485F89"/>
    <w:rsid w:val="00486F60"/>
    <w:rsid w:val="00490106"/>
    <w:rsid w:val="00490136"/>
    <w:rsid w:val="004901D7"/>
    <w:rsid w:val="00490C9B"/>
    <w:rsid w:val="00490CC3"/>
    <w:rsid w:val="004918A2"/>
    <w:rsid w:val="00492CFD"/>
    <w:rsid w:val="00492EBB"/>
    <w:rsid w:val="0049323F"/>
    <w:rsid w:val="00493355"/>
    <w:rsid w:val="004941B1"/>
    <w:rsid w:val="004949E2"/>
    <w:rsid w:val="00494C68"/>
    <w:rsid w:val="00495580"/>
    <w:rsid w:val="004A0DC9"/>
    <w:rsid w:val="004A1126"/>
    <w:rsid w:val="004A1265"/>
    <w:rsid w:val="004A2C6D"/>
    <w:rsid w:val="004A2D2C"/>
    <w:rsid w:val="004A2F4D"/>
    <w:rsid w:val="004A32B9"/>
    <w:rsid w:val="004A41D8"/>
    <w:rsid w:val="004A5067"/>
    <w:rsid w:val="004A70BA"/>
    <w:rsid w:val="004A7856"/>
    <w:rsid w:val="004A7A15"/>
    <w:rsid w:val="004A7E88"/>
    <w:rsid w:val="004A7FF9"/>
    <w:rsid w:val="004B0A7B"/>
    <w:rsid w:val="004B10F4"/>
    <w:rsid w:val="004B1262"/>
    <w:rsid w:val="004B1B00"/>
    <w:rsid w:val="004B2CAB"/>
    <w:rsid w:val="004B34AF"/>
    <w:rsid w:val="004B34B2"/>
    <w:rsid w:val="004B354A"/>
    <w:rsid w:val="004B38AB"/>
    <w:rsid w:val="004B3927"/>
    <w:rsid w:val="004B4254"/>
    <w:rsid w:val="004B4FDA"/>
    <w:rsid w:val="004B514E"/>
    <w:rsid w:val="004B5559"/>
    <w:rsid w:val="004B6140"/>
    <w:rsid w:val="004B7460"/>
    <w:rsid w:val="004B7E2D"/>
    <w:rsid w:val="004C0097"/>
    <w:rsid w:val="004C10C3"/>
    <w:rsid w:val="004C1424"/>
    <w:rsid w:val="004C1467"/>
    <w:rsid w:val="004C3946"/>
    <w:rsid w:val="004C3B5F"/>
    <w:rsid w:val="004C3C30"/>
    <w:rsid w:val="004C3F0D"/>
    <w:rsid w:val="004C4E12"/>
    <w:rsid w:val="004C4FBA"/>
    <w:rsid w:val="004C5187"/>
    <w:rsid w:val="004C5853"/>
    <w:rsid w:val="004C63DA"/>
    <w:rsid w:val="004C7329"/>
    <w:rsid w:val="004C78E4"/>
    <w:rsid w:val="004D0152"/>
    <w:rsid w:val="004D02C8"/>
    <w:rsid w:val="004D031D"/>
    <w:rsid w:val="004D11E2"/>
    <w:rsid w:val="004D28B0"/>
    <w:rsid w:val="004D2A58"/>
    <w:rsid w:val="004D3B0F"/>
    <w:rsid w:val="004D3BA0"/>
    <w:rsid w:val="004D4691"/>
    <w:rsid w:val="004D4692"/>
    <w:rsid w:val="004D4D68"/>
    <w:rsid w:val="004D5ACE"/>
    <w:rsid w:val="004D5D9D"/>
    <w:rsid w:val="004D67C0"/>
    <w:rsid w:val="004D6CF1"/>
    <w:rsid w:val="004D799A"/>
    <w:rsid w:val="004D7AFA"/>
    <w:rsid w:val="004E23A9"/>
    <w:rsid w:val="004E2A8A"/>
    <w:rsid w:val="004E373A"/>
    <w:rsid w:val="004E3B04"/>
    <w:rsid w:val="004E3D80"/>
    <w:rsid w:val="004E46BD"/>
    <w:rsid w:val="004E50CE"/>
    <w:rsid w:val="004E5181"/>
    <w:rsid w:val="004E52B7"/>
    <w:rsid w:val="004E6258"/>
    <w:rsid w:val="004E75D2"/>
    <w:rsid w:val="004E7B70"/>
    <w:rsid w:val="004E7C3B"/>
    <w:rsid w:val="004E7E6E"/>
    <w:rsid w:val="004E7F77"/>
    <w:rsid w:val="004F010E"/>
    <w:rsid w:val="004F07C2"/>
    <w:rsid w:val="004F0AFD"/>
    <w:rsid w:val="004F197A"/>
    <w:rsid w:val="004F279A"/>
    <w:rsid w:val="004F2900"/>
    <w:rsid w:val="004F294D"/>
    <w:rsid w:val="004F4E8F"/>
    <w:rsid w:val="004F5BB1"/>
    <w:rsid w:val="004F606D"/>
    <w:rsid w:val="004F6197"/>
    <w:rsid w:val="004F644A"/>
    <w:rsid w:val="004F718E"/>
    <w:rsid w:val="0050082C"/>
    <w:rsid w:val="00500B30"/>
    <w:rsid w:val="00502285"/>
    <w:rsid w:val="00502958"/>
    <w:rsid w:val="0050368D"/>
    <w:rsid w:val="00503F29"/>
    <w:rsid w:val="0050625E"/>
    <w:rsid w:val="00506349"/>
    <w:rsid w:val="00506A9A"/>
    <w:rsid w:val="00506EAB"/>
    <w:rsid w:val="005076A9"/>
    <w:rsid w:val="005079CA"/>
    <w:rsid w:val="00507AEE"/>
    <w:rsid w:val="00507C0F"/>
    <w:rsid w:val="00510009"/>
    <w:rsid w:val="005102C8"/>
    <w:rsid w:val="00510654"/>
    <w:rsid w:val="0051094B"/>
    <w:rsid w:val="00510BD0"/>
    <w:rsid w:val="00510D32"/>
    <w:rsid w:val="00511827"/>
    <w:rsid w:val="005125A0"/>
    <w:rsid w:val="00512647"/>
    <w:rsid w:val="005129D4"/>
    <w:rsid w:val="00512B42"/>
    <w:rsid w:val="00512E53"/>
    <w:rsid w:val="00513371"/>
    <w:rsid w:val="005133CC"/>
    <w:rsid w:val="00513CE6"/>
    <w:rsid w:val="00513D9B"/>
    <w:rsid w:val="00514494"/>
    <w:rsid w:val="0051488E"/>
    <w:rsid w:val="00515A7E"/>
    <w:rsid w:val="00516A15"/>
    <w:rsid w:val="00516B0E"/>
    <w:rsid w:val="005170F1"/>
    <w:rsid w:val="0052039C"/>
    <w:rsid w:val="0052376D"/>
    <w:rsid w:val="005242ED"/>
    <w:rsid w:val="00524DA9"/>
    <w:rsid w:val="00524DF4"/>
    <w:rsid w:val="00524F8D"/>
    <w:rsid w:val="00525018"/>
    <w:rsid w:val="0052501C"/>
    <w:rsid w:val="0052559C"/>
    <w:rsid w:val="00525AFB"/>
    <w:rsid w:val="0052645A"/>
    <w:rsid w:val="00526962"/>
    <w:rsid w:val="00527381"/>
    <w:rsid w:val="005309D6"/>
    <w:rsid w:val="00531C93"/>
    <w:rsid w:val="00531CAD"/>
    <w:rsid w:val="00531ED7"/>
    <w:rsid w:val="0053387B"/>
    <w:rsid w:val="005344AE"/>
    <w:rsid w:val="00534D64"/>
    <w:rsid w:val="00535317"/>
    <w:rsid w:val="00536993"/>
    <w:rsid w:val="005371A9"/>
    <w:rsid w:val="005400A0"/>
    <w:rsid w:val="005408D1"/>
    <w:rsid w:val="005417AE"/>
    <w:rsid w:val="005418A4"/>
    <w:rsid w:val="005419C2"/>
    <w:rsid w:val="005429B8"/>
    <w:rsid w:val="00542A1B"/>
    <w:rsid w:val="00542BD7"/>
    <w:rsid w:val="005430EB"/>
    <w:rsid w:val="0054326A"/>
    <w:rsid w:val="005448D6"/>
    <w:rsid w:val="0054573C"/>
    <w:rsid w:val="005457FD"/>
    <w:rsid w:val="00545FEB"/>
    <w:rsid w:val="00547F9C"/>
    <w:rsid w:val="00550233"/>
    <w:rsid w:val="00550AB1"/>
    <w:rsid w:val="00550BB7"/>
    <w:rsid w:val="00550D6D"/>
    <w:rsid w:val="00551536"/>
    <w:rsid w:val="005517DD"/>
    <w:rsid w:val="005526A3"/>
    <w:rsid w:val="00552D17"/>
    <w:rsid w:val="00553CC7"/>
    <w:rsid w:val="00553E9F"/>
    <w:rsid w:val="0055419E"/>
    <w:rsid w:val="00554718"/>
    <w:rsid w:val="00554B7D"/>
    <w:rsid w:val="00554E94"/>
    <w:rsid w:val="00555032"/>
    <w:rsid w:val="00555DF8"/>
    <w:rsid w:val="005564C4"/>
    <w:rsid w:val="00556DD0"/>
    <w:rsid w:val="005574C8"/>
    <w:rsid w:val="00557BF8"/>
    <w:rsid w:val="00557C00"/>
    <w:rsid w:val="005610B7"/>
    <w:rsid w:val="00561110"/>
    <w:rsid w:val="00561AB5"/>
    <w:rsid w:val="00561DD7"/>
    <w:rsid w:val="00561E3E"/>
    <w:rsid w:val="00562021"/>
    <w:rsid w:val="00563936"/>
    <w:rsid w:val="00564B79"/>
    <w:rsid w:val="00564C23"/>
    <w:rsid w:val="00566621"/>
    <w:rsid w:val="00566731"/>
    <w:rsid w:val="00566BBE"/>
    <w:rsid w:val="00567D42"/>
    <w:rsid w:val="00567EDC"/>
    <w:rsid w:val="00570274"/>
    <w:rsid w:val="00570639"/>
    <w:rsid w:val="005706FD"/>
    <w:rsid w:val="00571530"/>
    <w:rsid w:val="00571FA6"/>
    <w:rsid w:val="00572521"/>
    <w:rsid w:val="00572A8C"/>
    <w:rsid w:val="005734F3"/>
    <w:rsid w:val="00573ABF"/>
    <w:rsid w:val="00574C10"/>
    <w:rsid w:val="00574E8A"/>
    <w:rsid w:val="00575D00"/>
    <w:rsid w:val="00576085"/>
    <w:rsid w:val="00576884"/>
    <w:rsid w:val="0057706B"/>
    <w:rsid w:val="005777BC"/>
    <w:rsid w:val="0058039C"/>
    <w:rsid w:val="00581179"/>
    <w:rsid w:val="0058125B"/>
    <w:rsid w:val="005829B4"/>
    <w:rsid w:val="00582A2E"/>
    <w:rsid w:val="00582E1E"/>
    <w:rsid w:val="00583896"/>
    <w:rsid w:val="00583955"/>
    <w:rsid w:val="00584873"/>
    <w:rsid w:val="005848BC"/>
    <w:rsid w:val="00584B74"/>
    <w:rsid w:val="00585756"/>
    <w:rsid w:val="005863AE"/>
    <w:rsid w:val="00586430"/>
    <w:rsid w:val="00586C31"/>
    <w:rsid w:val="005871F7"/>
    <w:rsid w:val="00587290"/>
    <w:rsid w:val="00587938"/>
    <w:rsid w:val="0059060B"/>
    <w:rsid w:val="0059158A"/>
    <w:rsid w:val="0059197D"/>
    <w:rsid w:val="00592A15"/>
    <w:rsid w:val="005942F1"/>
    <w:rsid w:val="005953B3"/>
    <w:rsid w:val="00595825"/>
    <w:rsid w:val="00596B24"/>
    <w:rsid w:val="005973F3"/>
    <w:rsid w:val="00597617"/>
    <w:rsid w:val="005A0C87"/>
    <w:rsid w:val="005A1B5C"/>
    <w:rsid w:val="005A2121"/>
    <w:rsid w:val="005A2189"/>
    <w:rsid w:val="005A223A"/>
    <w:rsid w:val="005A254B"/>
    <w:rsid w:val="005A2EBD"/>
    <w:rsid w:val="005A37F9"/>
    <w:rsid w:val="005A3D57"/>
    <w:rsid w:val="005A4131"/>
    <w:rsid w:val="005A417A"/>
    <w:rsid w:val="005A4BAC"/>
    <w:rsid w:val="005A4EDE"/>
    <w:rsid w:val="005A4F98"/>
    <w:rsid w:val="005A5A39"/>
    <w:rsid w:val="005A5CBD"/>
    <w:rsid w:val="005A6224"/>
    <w:rsid w:val="005A687D"/>
    <w:rsid w:val="005A71EA"/>
    <w:rsid w:val="005A7A6C"/>
    <w:rsid w:val="005A7B69"/>
    <w:rsid w:val="005B045B"/>
    <w:rsid w:val="005B0772"/>
    <w:rsid w:val="005B0786"/>
    <w:rsid w:val="005B0BF4"/>
    <w:rsid w:val="005B0EE3"/>
    <w:rsid w:val="005B0F64"/>
    <w:rsid w:val="005B3C48"/>
    <w:rsid w:val="005B44A9"/>
    <w:rsid w:val="005B52B0"/>
    <w:rsid w:val="005B53AE"/>
    <w:rsid w:val="005B53DB"/>
    <w:rsid w:val="005B5918"/>
    <w:rsid w:val="005B5B19"/>
    <w:rsid w:val="005B5B1F"/>
    <w:rsid w:val="005B659F"/>
    <w:rsid w:val="005B6CAA"/>
    <w:rsid w:val="005B7AC6"/>
    <w:rsid w:val="005B7E48"/>
    <w:rsid w:val="005C0BAC"/>
    <w:rsid w:val="005C0BD6"/>
    <w:rsid w:val="005C0DF4"/>
    <w:rsid w:val="005C129C"/>
    <w:rsid w:val="005C21E7"/>
    <w:rsid w:val="005C2B63"/>
    <w:rsid w:val="005C2DE0"/>
    <w:rsid w:val="005C34D7"/>
    <w:rsid w:val="005C3668"/>
    <w:rsid w:val="005C4076"/>
    <w:rsid w:val="005C4668"/>
    <w:rsid w:val="005C4BB5"/>
    <w:rsid w:val="005C5D08"/>
    <w:rsid w:val="005C6326"/>
    <w:rsid w:val="005C6A5F"/>
    <w:rsid w:val="005C7248"/>
    <w:rsid w:val="005C73AB"/>
    <w:rsid w:val="005C7561"/>
    <w:rsid w:val="005C7D46"/>
    <w:rsid w:val="005C7D7E"/>
    <w:rsid w:val="005D0DCB"/>
    <w:rsid w:val="005D1F55"/>
    <w:rsid w:val="005D27F7"/>
    <w:rsid w:val="005D2935"/>
    <w:rsid w:val="005D2DFC"/>
    <w:rsid w:val="005D3460"/>
    <w:rsid w:val="005D3897"/>
    <w:rsid w:val="005D42BA"/>
    <w:rsid w:val="005D4AE2"/>
    <w:rsid w:val="005D4E1E"/>
    <w:rsid w:val="005D4E8E"/>
    <w:rsid w:val="005D5A6B"/>
    <w:rsid w:val="005D5CF6"/>
    <w:rsid w:val="005D5D71"/>
    <w:rsid w:val="005D7D6F"/>
    <w:rsid w:val="005E054C"/>
    <w:rsid w:val="005E0BB2"/>
    <w:rsid w:val="005E1193"/>
    <w:rsid w:val="005E1777"/>
    <w:rsid w:val="005E1D63"/>
    <w:rsid w:val="005E1ED2"/>
    <w:rsid w:val="005E1F8F"/>
    <w:rsid w:val="005E22C0"/>
    <w:rsid w:val="005E2533"/>
    <w:rsid w:val="005E25DA"/>
    <w:rsid w:val="005E26D0"/>
    <w:rsid w:val="005E2C2E"/>
    <w:rsid w:val="005E37E9"/>
    <w:rsid w:val="005E530C"/>
    <w:rsid w:val="005E5566"/>
    <w:rsid w:val="005E5954"/>
    <w:rsid w:val="005E5DBC"/>
    <w:rsid w:val="005E5F5F"/>
    <w:rsid w:val="005E687E"/>
    <w:rsid w:val="005E70C8"/>
    <w:rsid w:val="005F02A2"/>
    <w:rsid w:val="005F056C"/>
    <w:rsid w:val="005F0593"/>
    <w:rsid w:val="005F05E4"/>
    <w:rsid w:val="005F114B"/>
    <w:rsid w:val="005F1D43"/>
    <w:rsid w:val="005F2EDC"/>
    <w:rsid w:val="005F3D80"/>
    <w:rsid w:val="005F405B"/>
    <w:rsid w:val="005F442B"/>
    <w:rsid w:val="005F551E"/>
    <w:rsid w:val="005F5B98"/>
    <w:rsid w:val="005F5C59"/>
    <w:rsid w:val="005F62B1"/>
    <w:rsid w:val="005F64C9"/>
    <w:rsid w:val="005F64FF"/>
    <w:rsid w:val="005F70E7"/>
    <w:rsid w:val="005F7F38"/>
    <w:rsid w:val="005F7FAE"/>
    <w:rsid w:val="00600556"/>
    <w:rsid w:val="00601077"/>
    <w:rsid w:val="006011D1"/>
    <w:rsid w:val="006013CC"/>
    <w:rsid w:val="00602369"/>
    <w:rsid w:val="0060284F"/>
    <w:rsid w:val="00603A87"/>
    <w:rsid w:val="00603C85"/>
    <w:rsid w:val="00603DDF"/>
    <w:rsid w:val="006049C0"/>
    <w:rsid w:val="0060530F"/>
    <w:rsid w:val="00605382"/>
    <w:rsid w:val="00605F17"/>
    <w:rsid w:val="00606D22"/>
    <w:rsid w:val="00607188"/>
    <w:rsid w:val="00607A3B"/>
    <w:rsid w:val="00607CEB"/>
    <w:rsid w:val="00610B39"/>
    <w:rsid w:val="00611DFF"/>
    <w:rsid w:val="0061220D"/>
    <w:rsid w:val="006122DF"/>
    <w:rsid w:val="00612569"/>
    <w:rsid w:val="00612A9B"/>
    <w:rsid w:val="00612AD8"/>
    <w:rsid w:val="00612D25"/>
    <w:rsid w:val="006141D0"/>
    <w:rsid w:val="00614611"/>
    <w:rsid w:val="00615074"/>
    <w:rsid w:val="00615414"/>
    <w:rsid w:val="0061549B"/>
    <w:rsid w:val="00616280"/>
    <w:rsid w:val="0061644C"/>
    <w:rsid w:val="00617478"/>
    <w:rsid w:val="00617B6A"/>
    <w:rsid w:val="006206D0"/>
    <w:rsid w:val="00621190"/>
    <w:rsid w:val="00621A7F"/>
    <w:rsid w:val="00621BCF"/>
    <w:rsid w:val="00622464"/>
    <w:rsid w:val="006229EE"/>
    <w:rsid w:val="00622CAA"/>
    <w:rsid w:val="00623204"/>
    <w:rsid w:val="00624184"/>
    <w:rsid w:val="006249A3"/>
    <w:rsid w:val="0062528C"/>
    <w:rsid w:val="0062550F"/>
    <w:rsid w:val="0062561C"/>
    <w:rsid w:val="00625659"/>
    <w:rsid w:val="00625C9F"/>
    <w:rsid w:val="00626A59"/>
    <w:rsid w:val="00626EFF"/>
    <w:rsid w:val="00626FF2"/>
    <w:rsid w:val="006271AD"/>
    <w:rsid w:val="0062720A"/>
    <w:rsid w:val="00627B8C"/>
    <w:rsid w:val="00627BF9"/>
    <w:rsid w:val="00627E8C"/>
    <w:rsid w:val="00627F1B"/>
    <w:rsid w:val="00630299"/>
    <w:rsid w:val="00630AE2"/>
    <w:rsid w:val="00631AE5"/>
    <w:rsid w:val="00632C9F"/>
    <w:rsid w:val="006337C7"/>
    <w:rsid w:val="006339BF"/>
    <w:rsid w:val="00633DA0"/>
    <w:rsid w:val="006340F9"/>
    <w:rsid w:val="00635C39"/>
    <w:rsid w:val="00635D7F"/>
    <w:rsid w:val="00635EA5"/>
    <w:rsid w:val="0063643A"/>
    <w:rsid w:val="0063729A"/>
    <w:rsid w:val="00637511"/>
    <w:rsid w:val="00637CBB"/>
    <w:rsid w:val="006400EE"/>
    <w:rsid w:val="00640482"/>
    <w:rsid w:val="006410FE"/>
    <w:rsid w:val="00641796"/>
    <w:rsid w:val="0064204E"/>
    <w:rsid w:val="00642216"/>
    <w:rsid w:val="00642D85"/>
    <w:rsid w:val="00643D43"/>
    <w:rsid w:val="006446BB"/>
    <w:rsid w:val="006454BB"/>
    <w:rsid w:val="00645668"/>
    <w:rsid w:val="0064602D"/>
    <w:rsid w:val="00646200"/>
    <w:rsid w:val="0064751B"/>
    <w:rsid w:val="006478B8"/>
    <w:rsid w:val="00647CA6"/>
    <w:rsid w:val="00647D39"/>
    <w:rsid w:val="0065064F"/>
    <w:rsid w:val="00650953"/>
    <w:rsid w:val="00650BF1"/>
    <w:rsid w:val="00651081"/>
    <w:rsid w:val="006510CB"/>
    <w:rsid w:val="0065112A"/>
    <w:rsid w:val="00651BB5"/>
    <w:rsid w:val="0065224D"/>
    <w:rsid w:val="00652814"/>
    <w:rsid w:val="0065325E"/>
    <w:rsid w:val="006536FC"/>
    <w:rsid w:val="00655A4D"/>
    <w:rsid w:val="006577AE"/>
    <w:rsid w:val="00657A72"/>
    <w:rsid w:val="00660413"/>
    <w:rsid w:val="0066051E"/>
    <w:rsid w:val="006605AA"/>
    <w:rsid w:val="00660ECC"/>
    <w:rsid w:val="0066151E"/>
    <w:rsid w:val="0066159A"/>
    <w:rsid w:val="006626AF"/>
    <w:rsid w:val="00662E93"/>
    <w:rsid w:val="00663685"/>
    <w:rsid w:val="0066420F"/>
    <w:rsid w:val="00664D0F"/>
    <w:rsid w:val="00665306"/>
    <w:rsid w:val="00665CDC"/>
    <w:rsid w:val="00666240"/>
    <w:rsid w:val="006668FE"/>
    <w:rsid w:val="006673EA"/>
    <w:rsid w:val="00667448"/>
    <w:rsid w:val="00667762"/>
    <w:rsid w:val="00670162"/>
    <w:rsid w:val="00670315"/>
    <w:rsid w:val="00670AF7"/>
    <w:rsid w:val="00670C8E"/>
    <w:rsid w:val="00670D89"/>
    <w:rsid w:val="00671705"/>
    <w:rsid w:val="00671D1D"/>
    <w:rsid w:val="00671F7F"/>
    <w:rsid w:val="00671FC8"/>
    <w:rsid w:val="006728ED"/>
    <w:rsid w:val="00673679"/>
    <w:rsid w:val="0067430D"/>
    <w:rsid w:val="006748F7"/>
    <w:rsid w:val="00674B55"/>
    <w:rsid w:val="00675680"/>
    <w:rsid w:val="00675A4E"/>
    <w:rsid w:val="00676228"/>
    <w:rsid w:val="00676899"/>
    <w:rsid w:val="00676BFB"/>
    <w:rsid w:val="006775D6"/>
    <w:rsid w:val="006776CB"/>
    <w:rsid w:val="00677C47"/>
    <w:rsid w:val="00680A0E"/>
    <w:rsid w:val="00680C5B"/>
    <w:rsid w:val="00682221"/>
    <w:rsid w:val="00682377"/>
    <w:rsid w:val="0068244D"/>
    <w:rsid w:val="006826F6"/>
    <w:rsid w:val="0068271A"/>
    <w:rsid w:val="0068286F"/>
    <w:rsid w:val="00682CF1"/>
    <w:rsid w:val="00682EE3"/>
    <w:rsid w:val="00683B9A"/>
    <w:rsid w:val="00684580"/>
    <w:rsid w:val="006849F2"/>
    <w:rsid w:val="00685675"/>
    <w:rsid w:val="00685FC4"/>
    <w:rsid w:val="006860DB"/>
    <w:rsid w:val="0068676F"/>
    <w:rsid w:val="00687E5E"/>
    <w:rsid w:val="00687FC7"/>
    <w:rsid w:val="00690402"/>
    <w:rsid w:val="0069155D"/>
    <w:rsid w:val="0069244D"/>
    <w:rsid w:val="0069399A"/>
    <w:rsid w:val="00693A37"/>
    <w:rsid w:val="00694A0E"/>
    <w:rsid w:val="00694BAF"/>
    <w:rsid w:val="00695125"/>
    <w:rsid w:val="00695806"/>
    <w:rsid w:val="00695B12"/>
    <w:rsid w:val="0069679C"/>
    <w:rsid w:val="0069703E"/>
    <w:rsid w:val="00697567"/>
    <w:rsid w:val="00697B2E"/>
    <w:rsid w:val="00697C73"/>
    <w:rsid w:val="006A02EA"/>
    <w:rsid w:val="006A092C"/>
    <w:rsid w:val="006A11DD"/>
    <w:rsid w:val="006A160C"/>
    <w:rsid w:val="006A1731"/>
    <w:rsid w:val="006A18AB"/>
    <w:rsid w:val="006A19E0"/>
    <w:rsid w:val="006A2EFD"/>
    <w:rsid w:val="006A36DF"/>
    <w:rsid w:val="006A393D"/>
    <w:rsid w:val="006A3B1E"/>
    <w:rsid w:val="006A5C13"/>
    <w:rsid w:val="006A630E"/>
    <w:rsid w:val="006A6AD6"/>
    <w:rsid w:val="006A7499"/>
    <w:rsid w:val="006A76C4"/>
    <w:rsid w:val="006B01C8"/>
    <w:rsid w:val="006B02F8"/>
    <w:rsid w:val="006B09F0"/>
    <w:rsid w:val="006B0B6A"/>
    <w:rsid w:val="006B0FA1"/>
    <w:rsid w:val="006B16EC"/>
    <w:rsid w:val="006B1F9E"/>
    <w:rsid w:val="006B22A6"/>
    <w:rsid w:val="006B23F0"/>
    <w:rsid w:val="006B3C8C"/>
    <w:rsid w:val="006B48EA"/>
    <w:rsid w:val="006B5E38"/>
    <w:rsid w:val="006B65A2"/>
    <w:rsid w:val="006B6A87"/>
    <w:rsid w:val="006B6CE2"/>
    <w:rsid w:val="006B7879"/>
    <w:rsid w:val="006C00CC"/>
    <w:rsid w:val="006C227C"/>
    <w:rsid w:val="006C24AA"/>
    <w:rsid w:val="006C3B61"/>
    <w:rsid w:val="006C3E26"/>
    <w:rsid w:val="006C4C9C"/>
    <w:rsid w:val="006C5851"/>
    <w:rsid w:val="006C6AB1"/>
    <w:rsid w:val="006C72ED"/>
    <w:rsid w:val="006C7800"/>
    <w:rsid w:val="006C7860"/>
    <w:rsid w:val="006D0011"/>
    <w:rsid w:val="006D0195"/>
    <w:rsid w:val="006D07AB"/>
    <w:rsid w:val="006D117F"/>
    <w:rsid w:val="006D2221"/>
    <w:rsid w:val="006D22E2"/>
    <w:rsid w:val="006D275D"/>
    <w:rsid w:val="006D27F6"/>
    <w:rsid w:val="006D39A9"/>
    <w:rsid w:val="006D5786"/>
    <w:rsid w:val="006D5A75"/>
    <w:rsid w:val="006D6627"/>
    <w:rsid w:val="006D6752"/>
    <w:rsid w:val="006D67CE"/>
    <w:rsid w:val="006D732A"/>
    <w:rsid w:val="006D7DA3"/>
    <w:rsid w:val="006E003A"/>
    <w:rsid w:val="006E03C9"/>
    <w:rsid w:val="006E0D9F"/>
    <w:rsid w:val="006E1636"/>
    <w:rsid w:val="006E1AB1"/>
    <w:rsid w:val="006E1E6A"/>
    <w:rsid w:val="006E28B3"/>
    <w:rsid w:val="006E3E73"/>
    <w:rsid w:val="006E4001"/>
    <w:rsid w:val="006E468A"/>
    <w:rsid w:val="006E46F6"/>
    <w:rsid w:val="006E48B5"/>
    <w:rsid w:val="006E501D"/>
    <w:rsid w:val="006E7363"/>
    <w:rsid w:val="006E769A"/>
    <w:rsid w:val="006E79D2"/>
    <w:rsid w:val="006F05D9"/>
    <w:rsid w:val="006F09FC"/>
    <w:rsid w:val="006F1D1D"/>
    <w:rsid w:val="006F3265"/>
    <w:rsid w:val="006F3A0C"/>
    <w:rsid w:val="006F4C7E"/>
    <w:rsid w:val="006F58A5"/>
    <w:rsid w:val="006F68EB"/>
    <w:rsid w:val="006F6A70"/>
    <w:rsid w:val="006F6B7A"/>
    <w:rsid w:val="006F7654"/>
    <w:rsid w:val="006F7791"/>
    <w:rsid w:val="00700A4D"/>
    <w:rsid w:val="00700CE0"/>
    <w:rsid w:val="007014A4"/>
    <w:rsid w:val="00701F93"/>
    <w:rsid w:val="00702FC0"/>
    <w:rsid w:val="0070307A"/>
    <w:rsid w:val="00703425"/>
    <w:rsid w:val="00703734"/>
    <w:rsid w:val="00703795"/>
    <w:rsid w:val="00703E79"/>
    <w:rsid w:val="00704AAE"/>
    <w:rsid w:val="00705237"/>
    <w:rsid w:val="007058C7"/>
    <w:rsid w:val="00705C3B"/>
    <w:rsid w:val="00706835"/>
    <w:rsid w:val="00706AF5"/>
    <w:rsid w:val="00706AFE"/>
    <w:rsid w:val="00707ACE"/>
    <w:rsid w:val="00707F6B"/>
    <w:rsid w:val="007106A2"/>
    <w:rsid w:val="007106D3"/>
    <w:rsid w:val="007107F8"/>
    <w:rsid w:val="007108FA"/>
    <w:rsid w:val="00710F49"/>
    <w:rsid w:val="00711349"/>
    <w:rsid w:val="00711AE8"/>
    <w:rsid w:val="00712DFE"/>
    <w:rsid w:val="00713795"/>
    <w:rsid w:val="00713C08"/>
    <w:rsid w:val="00713FF8"/>
    <w:rsid w:val="007144FC"/>
    <w:rsid w:val="0071573E"/>
    <w:rsid w:val="007159B0"/>
    <w:rsid w:val="00715A6F"/>
    <w:rsid w:val="00715E85"/>
    <w:rsid w:val="007161A4"/>
    <w:rsid w:val="00716CC3"/>
    <w:rsid w:val="00717415"/>
    <w:rsid w:val="007177E8"/>
    <w:rsid w:val="007205BA"/>
    <w:rsid w:val="00720874"/>
    <w:rsid w:val="007209A1"/>
    <w:rsid w:val="0072257B"/>
    <w:rsid w:val="00722AFB"/>
    <w:rsid w:val="00722D2A"/>
    <w:rsid w:val="00723124"/>
    <w:rsid w:val="0072362A"/>
    <w:rsid w:val="00723C5D"/>
    <w:rsid w:val="007248DD"/>
    <w:rsid w:val="00725A90"/>
    <w:rsid w:val="007262A1"/>
    <w:rsid w:val="007265E9"/>
    <w:rsid w:val="00726A65"/>
    <w:rsid w:val="00726C58"/>
    <w:rsid w:val="00727364"/>
    <w:rsid w:val="00730322"/>
    <w:rsid w:val="00730B0F"/>
    <w:rsid w:val="00730EE1"/>
    <w:rsid w:val="00730FC1"/>
    <w:rsid w:val="00731637"/>
    <w:rsid w:val="00731B8F"/>
    <w:rsid w:val="00731DD7"/>
    <w:rsid w:val="00731FB6"/>
    <w:rsid w:val="007321FD"/>
    <w:rsid w:val="0073221C"/>
    <w:rsid w:val="00732F89"/>
    <w:rsid w:val="0073362E"/>
    <w:rsid w:val="007341ED"/>
    <w:rsid w:val="00734570"/>
    <w:rsid w:val="007348E0"/>
    <w:rsid w:val="00735191"/>
    <w:rsid w:val="0073583F"/>
    <w:rsid w:val="007362CA"/>
    <w:rsid w:val="00736341"/>
    <w:rsid w:val="007366EC"/>
    <w:rsid w:val="007367F5"/>
    <w:rsid w:val="00736B3D"/>
    <w:rsid w:val="00737144"/>
    <w:rsid w:val="00737201"/>
    <w:rsid w:val="00737F98"/>
    <w:rsid w:val="0074021C"/>
    <w:rsid w:val="00740969"/>
    <w:rsid w:val="00740E0F"/>
    <w:rsid w:val="0074228C"/>
    <w:rsid w:val="00742490"/>
    <w:rsid w:val="00742A7C"/>
    <w:rsid w:val="00744C45"/>
    <w:rsid w:val="00746A23"/>
    <w:rsid w:val="007471BE"/>
    <w:rsid w:val="0074768D"/>
    <w:rsid w:val="00750991"/>
    <w:rsid w:val="007510D9"/>
    <w:rsid w:val="00751875"/>
    <w:rsid w:val="0075194F"/>
    <w:rsid w:val="007527F3"/>
    <w:rsid w:val="007534B1"/>
    <w:rsid w:val="007534C2"/>
    <w:rsid w:val="0075376A"/>
    <w:rsid w:val="00753AD3"/>
    <w:rsid w:val="00754304"/>
    <w:rsid w:val="0075488E"/>
    <w:rsid w:val="00754DDF"/>
    <w:rsid w:val="0075582B"/>
    <w:rsid w:val="00755AF7"/>
    <w:rsid w:val="00755D79"/>
    <w:rsid w:val="007565C2"/>
    <w:rsid w:val="00756D84"/>
    <w:rsid w:val="00757729"/>
    <w:rsid w:val="007578A1"/>
    <w:rsid w:val="0075798E"/>
    <w:rsid w:val="0076071D"/>
    <w:rsid w:val="00760F63"/>
    <w:rsid w:val="00761878"/>
    <w:rsid w:val="007619D5"/>
    <w:rsid w:val="00761DDB"/>
    <w:rsid w:val="00764031"/>
    <w:rsid w:val="007640F0"/>
    <w:rsid w:val="007644F0"/>
    <w:rsid w:val="0076652F"/>
    <w:rsid w:val="00766FD5"/>
    <w:rsid w:val="007679AE"/>
    <w:rsid w:val="00767FF0"/>
    <w:rsid w:val="00771F3B"/>
    <w:rsid w:val="007725FA"/>
    <w:rsid w:val="00773D50"/>
    <w:rsid w:val="00773E76"/>
    <w:rsid w:val="007741CC"/>
    <w:rsid w:val="00774A20"/>
    <w:rsid w:val="00774C97"/>
    <w:rsid w:val="0077564E"/>
    <w:rsid w:val="00775A64"/>
    <w:rsid w:val="00775DBD"/>
    <w:rsid w:val="00776048"/>
    <w:rsid w:val="00776918"/>
    <w:rsid w:val="007779E7"/>
    <w:rsid w:val="0078035D"/>
    <w:rsid w:val="00781D9C"/>
    <w:rsid w:val="00782526"/>
    <w:rsid w:val="00782777"/>
    <w:rsid w:val="0078283E"/>
    <w:rsid w:val="00782EC4"/>
    <w:rsid w:val="00782F98"/>
    <w:rsid w:val="007833EE"/>
    <w:rsid w:val="007848BA"/>
    <w:rsid w:val="00784D88"/>
    <w:rsid w:val="00786936"/>
    <w:rsid w:val="0078750D"/>
    <w:rsid w:val="00787754"/>
    <w:rsid w:val="00787A02"/>
    <w:rsid w:val="00787F28"/>
    <w:rsid w:val="00790F05"/>
    <w:rsid w:val="0079129E"/>
    <w:rsid w:val="007917E2"/>
    <w:rsid w:val="007930D6"/>
    <w:rsid w:val="00793553"/>
    <w:rsid w:val="00794EAE"/>
    <w:rsid w:val="00795561"/>
    <w:rsid w:val="007958EB"/>
    <w:rsid w:val="00795A7E"/>
    <w:rsid w:val="0079602C"/>
    <w:rsid w:val="00796854"/>
    <w:rsid w:val="00796C25"/>
    <w:rsid w:val="00796EDA"/>
    <w:rsid w:val="007978B3"/>
    <w:rsid w:val="00797B2C"/>
    <w:rsid w:val="00797CDD"/>
    <w:rsid w:val="007A020C"/>
    <w:rsid w:val="007A0869"/>
    <w:rsid w:val="007A22BC"/>
    <w:rsid w:val="007A22F8"/>
    <w:rsid w:val="007A2302"/>
    <w:rsid w:val="007A32E0"/>
    <w:rsid w:val="007A3C14"/>
    <w:rsid w:val="007A3F80"/>
    <w:rsid w:val="007A401F"/>
    <w:rsid w:val="007A43B7"/>
    <w:rsid w:val="007A47DB"/>
    <w:rsid w:val="007A4824"/>
    <w:rsid w:val="007A50FE"/>
    <w:rsid w:val="007A5DAF"/>
    <w:rsid w:val="007A6284"/>
    <w:rsid w:val="007A7421"/>
    <w:rsid w:val="007A772C"/>
    <w:rsid w:val="007B016B"/>
    <w:rsid w:val="007B049B"/>
    <w:rsid w:val="007B1D1B"/>
    <w:rsid w:val="007B2975"/>
    <w:rsid w:val="007B2A51"/>
    <w:rsid w:val="007B3F8F"/>
    <w:rsid w:val="007B5287"/>
    <w:rsid w:val="007B553F"/>
    <w:rsid w:val="007B6146"/>
    <w:rsid w:val="007B6D67"/>
    <w:rsid w:val="007C0309"/>
    <w:rsid w:val="007C0462"/>
    <w:rsid w:val="007C06E1"/>
    <w:rsid w:val="007C0740"/>
    <w:rsid w:val="007C0E6B"/>
    <w:rsid w:val="007C1F95"/>
    <w:rsid w:val="007C250D"/>
    <w:rsid w:val="007C2890"/>
    <w:rsid w:val="007C3022"/>
    <w:rsid w:val="007C3FC7"/>
    <w:rsid w:val="007C4479"/>
    <w:rsid w:val="007C5359"/>
    <w:rsid w:val="007C5A53"/>
    <w:rsid w:val="007C60CF"/>
    <w:rsid w:val="007C64EC"/>
    <w:rsid w:val="007C6691"/>
    <w:rsid w:val="007C6889"/>
    <w:rsid w:val="007C69CE"/>
    <w:rsid w:val="007C70D4"/>
    <w:rsid w:val="007C7883"/>
    <w:rsid w:val="007C7DDC"/>
    <w:rsid w:val="007C7E47"/>
    <w:rsid w:val="007D0E0B"/>
    <w:rsid w:val="007D0F29"/>
    <w:rsid w:val="007D161C"/>
    <w:rsid w:val="007D1E52"/>
    <w:rsid w:val="007D2642"/>
    <w:rsid w:val="007D28DA"/>
    <w:rsid w:val="007D31CE"/>
    <w:rsid w:val="007D3E06"/>
    <w:rsid w:val="007D4065"/>
    <w:rsid w:val="007D5673"/>
    <w:rsid w:val="007D571B"/>
    <w:rsid w:val="007D5729"/>
    <w:rsid w:val="007D700B"/>
    <w:rsid w:val="007E0670"/>
    <w:rsid w:val="007E0A60"/>
    <w:rsid w:val="007E0D1E"/>
    <w:rsid w:val="007E1FF9"/>
    <w:rsid w:val="007E2280"/>
    <w:rsid w:val="007E228A"/>
    <w:rsid w:val="007E36DA"/>
    <w:rsid w:val="007E38F5"/>
    <w:rsid w:val="007E3908"/>
    <w:rsid w:val="007E49D1"/>
    <w:rsid w:val="007E6BCB"/>
    <w:rsid w:val="007F0741"/>
    <w:rsid w:val="007F170D"/>
    <w:rsid w:val="007F3544"/>
    <w:rsid w:val="007F4BFB"/>
    <w:rsid w:val="007F5F8F"/>
    <w:rsid w:val="007F669A"/>
    <w:rsid w:val="007F66C8"/>
    <w:rsid w:val="007F70F3"/>
    <w:rsid w:val="007F7584"/>
    <w:rsid w:val="00800437"/>
    <w:rsid w:val="008011F2"/>
    <w:rsid w:val="00801488"/>
    <w:rsid w:val="00801BD1"/>
    <w:rsid w:val="008024A9"/>
    <w:rsid w:val="00802ABF"/>
    <w:rsid w:val="00802F23"/>
    <w:rsid w:val="0080357A"/>
    <w:rsid w:val="00804334"/>
    <w:rsid w:val="00804DBB"/>
    <w:rsid w:val="00805A76"/>
    <w:rsid w:val="00805B24"/>
    <w:rsid w:val="00805D3E"/>
    <w:rsid w:val="00806473"/>
    <w:rsid w:val="008065F3"/>
    <w:rsid w:val="0080705D"/>
    <w:rsid w:val="00807336"/>
    <w:rsid w:val="00810503"/>
    <w:rsid w:val="0081055D"/>
    <w:rsid w:val="00812620"/>
    <w:rsid w:val="00812903"/>
    <w:rsid w:val="0081294A"/>
    <w:rsid w:val="00813268"/>
    <w:rsid w:val="008139CB"/>
    <w:rsid w:val="00814220"/>
    <w:rsid w:val="008150DF"/>
    <w:rsid w:val="00815301"/>
    <w:rsid w:val="00815640"/>
    <w:rsid w:val="0081631A"/>
    <w:rsid w:val="00817C95"/>
    <w:rsid w:val="0082030C"/>
    <w:rsid w:val="0082091C"/>
    <w:rsid w:val="00820FDA"/>
    <w:rsid w:val="008214C0"/>
    <w:rsid w:val="0082162F"/>
    <w:rsid w:val="0082189B"/>
    <w:rsid w:val="00821A44"/>
    <w:rsid w:val="008221CF"/>
    <w:rsid w:val="00822E01"/>
    <w:rsid w:val="008239DB"/>
    <w:rsid w:val="00824279"/>
    <w:rsid w:val="00824435"/>
    <w:rsid w:val="00825EC5"/>
    <w:rsid w:val="00826293"/>
    <w:rsid w:val="008266F8"/>
    <w:rsid w:val="00826CDB"/>
    <w:rsid w:val="008273F0"/>
    <w:rsid w:val="00827566"/>
    <w:rsid w:val="0082758C"/>
    <w:rsid w:val="00831415"/>
    <w:rsid w:val="008318E2"/>
    <w:rsid w:val="00831EB9"/>
    <w:rsid w:val="0083407A"/>
    <w:rsid w:val="0083513B"/>
    <w:rsid w:val="008354BF"/>
    <w:rsid w:val="00835A6C"/>
    <w:rsid w:val="0083682E"/>
    <w:rsid w:val="00837823"/>
    <w:rsid w:val="00841469"/>
    <w:rsid w:val="00843FB6"/>
    <w:rsid w:val="00844F4A"/>
    <w:rsid w:val="00845A55"/>
    <w:rsid w:val="008463AB"/>
    <w:rsid w:val="00846861"/>
    <w:rsid w:val="00846BDB"/>
    <w:rsid w:val="008475BA"/>
    <w:rsid w:val="00850A95"/>
    <w:rsid w:val="008522C5"/>
    <w:rsid w:val="00852601"/>
    <w:rsid w:val="0085352B"/>
    <w:rsid w:val="008539E7"/>
    <w:rsid w:val="00853A7A"/>
    <w:rsid w:val="00853B40"/>
    <w:rsid w:val="008548E3"/>
    <w:rsid w:val="00855790"/>
    <w:rsid w:val="00855855"/>
    <w:rsid w:val="00856F34"/>
    <w:rsid w:val="008614B6"/>
    <w:rsid w:val="008618E5"/>
    <w:rsid w:val="00862799"/>
    <w:rsid w:val="008630CD"/>
    <w:rsid w:val="00864093"/>
    <w:rsid w:val="0086429A"/>
    <w:rsid w:val="008646E7"/>
    <w:rsid w:val="00864758"/>
    <w:rsid w:val="00865342"/>
    <w:rsid w:val="008653E9"/>
    <w:rsid w:val="0086542A"/>
    <w:rsid w:val="00866DAE"/>
    <w:rsid w:val="00866F33"/>
    <w:rsid w:val="00867680"/>
    <w:rsid w:val="008703C6"/>
    <w:rsid w:val="00871B89"/>
    <w:rsid w:val="00872DFF"/>
    <w:rsid w:val="008730AC"/>
    <w:rsid w:val="0087314C"/>
    <w:rsid w:val="0087353F"/>
    <w:rsid w:val="00874A24"/>
    <w:rsid w:val="00874CEF"/>
    <w:rsid w:val="008757FE"/>
    <w:rsid w:val="0087581A"/>
    <w:rsid w:val="00875E70"/>
    <w:rsid w:val="008768BB"/>
    <w:rsid w:val="008768DE"/>
    <w:rsid w:val="0087690D"/>
    <w:rsid w:val="00876CB8"/>
    <w:rsid w:val="00876FC9"/>
    <w:rsid w:val="008776D4"/>
    <w:rsid w:val="008779D5"/>
    <w:rsid w:val="00881699"/>
    <w:rsid w:val="00881E04"/>
    <w:rsid w:val="008823DE"/>
    <w:rsid w:val="0088351E"/>
    <w:rsid w:val="00884AC4"/>
    <w:rsid w:val="008864D3"/>
    <w:rsid w:val="00886CD0"/>
    <w:rsid w:val="00887951"/>
    <w:rsid w:val="008900D4"/>
    <w:rsid w:val="008902AF"/>
    <w:rsid w:val="00890410"/>
    <w:rsid w:val="00890F07"/>
    <w:rsid w:val="00891162"/>
    <w:rsid w:val="00891299"/>
    <w:rsid w:val="008914A5"/>
    <w:rsid w:val="00891DAA"/>
    <w:rsid w:val="0089254F"/>
    <w:rsid w:val="00892B6E"/>
    <w:rsid w:val="00893097"/>
    <w:rsid w:val="0089332D"/>
    <w:rsid w:val="00893617"/>
    <w:rsid w:val="00893A47"/>
    <w:rsid w:val="00893FDD"/>
    <w:rsid w:val="00894169"/>
    <w:rsid w:val="00894C32"/>
    <w:rsid w:val="008965DD"/>
    <w:rsid w:val="00896EA6"/>
    <w:rsid w:val="0089706C"/>
    <w:rsid w:val="00897485"/>
    <w:rsid w:val="008978C7"/>
    <w:rsid w:val="00897BB0"/>
    <w:rsid w:val="008A0F97"/>
    <w:rsid w:val="008A105E"/>
    <w:rsid w:val="008A12CB"/>
    <w:rsid w:val="008A13B4"/>
    <w:rsid w:val="008A1D60"/>
    <w:rsid w:val="008A1F54"/>
    <w:rsid w:val="008A2366"/>
    <w:rsid w:val="008A2B89"/>
    <w:rsid w:val="008A2BC7"/>
    <w:rsid w:val="008A3267"/>
    <w:rsid w:val="008A40F2"/>
    <w:rsid w:val="008A5A91"/>
    <w:rsid w:val="008A5E6E"/>
    <w:rsid w:val="008A6156"/>
    <w:rsid w:val="008A69FC"/>
    <w:rsid w:val="008A78FF"/>
    <w:rsid w:val="008B0862"/>
    <w:rsid w:val="008B0ACB"/>
    <w:rsid w:val="008B143A"/>
    <w:rsid w:val="008B21EF"/>
    <w:rsid w:val="008B26F6"/>
    <w:rsid w:val="008B2BB6"/>
    <w:rsid w:val="008B3B58"/>
    <w:rsid w:val="008B48FB"/>
    <w:rsid w:val="008B55CE"/>
    <w:rsid w:val="008B64AA"/>
    <w:rsid w:val="008B6995"/>
    <w:rsid w:val="008B70F5"/>
    <w:rsid w:val="008B7684"/>
    <w:rsid w:val="008B7B1E"/>
    <w:rsid w:val="008B7CB4"/>
    <w:rsid w:val="008C05C4"/>
    <w:rsid w:val="008C12B7"/>
    <w:rsid w:val="008C1369"/>
    <w:rsid w:val="008C24CE"/>
    <w:rsid w:val="008C2718"/>
    <w:rsid w:val="008C2741"/>
    <w:rsid w:val="008C2E44"/>
    <w:rsid w:val="008C399E"/>
    <w:rsid w:val="008C3B21"/>
    <w:rsid w:val="008C3B60"/>
    <w:rsid w:val="008C405C"/>
    <w:rsid w:val="008C4DA2"/>
    <w:rsid w:val="008C52B7"/>
    <w:rsid w:val="008C559E"/>
    <w:rsid w:val="008C6577"/>
    <w:rsid w:val="008C6BBF"/>
    <w:rsid w:val="008C7C8D"/>
    <w:rsid w:val="008D02C6"/>
    <w:rsid w:val="008D0503"/>
    <w:rsid w:val="008D071E"/>
    <w:rsid w:val="008D07C4"/>
    <w:rsid w:val="008D15E9"/>
    <w:rsid w:val="008D170A"/>
    <w:rsid w:val="008D1B07"/>
    <w:rsid w:val="008D2334"/>
    <w:rsid w:val="008D233C"/>
    <w:rsid w:val="008D244C"/>
    <w:rsid w:val="008D31C0"/>
    <w:rsid w:val="008D32CD"/>
    <w:rsid w:val="008D3BFE"/>
    <w:rsid w:val="008D3D57"/>
    <w:rsid w:val="008D4327"/>
    <w:rsid w:val="008D4387"/>
    <w:rsid w:val="008D5AB8"/>
    <w:rsid w:val="008D6B6F"/>
    <w:rsid w:val="008D6C61"/>
    <w:rsid w:val="008D7040"/>
    <w:rsid w:val="008D75B4"/>
    <w:rsid w:val="008D7F7A"/>
    <w:rsid w:val="008E0AA7"/>
    <w:rsid w:val="008E0BF5"/>
    <w:rsid w:val="008E1FCA"/>
    <w:rsid w:val="008E2255"/>
    <w:rsid w:val="008E2C99"/>
    <w:rsid w:val="008E30B5"/>
    <w:rsid w:val="008E345B"/>
    <w:rsid w:val="008E3C31"/>
    <w:rsid w:val="008E44D2"/>
    <w:rsid w:val="008E5E4B"/>
    <w:rsid w:val="008E6342"/>
    <w:rsid w:val="008E66F3"/>
    <w:rsid w:val="008E6D4D"/>
    <w:rsid w:val="008E7472"/>
    <w:rsid w:val="008E77EF"/>
    <w:rsid w:val="008E7DE5"/>
    <w:rsid w:val="008F0A70"/>
    <w:rsid w:val="008F0AD5"/>
    <w:rsid w:val="008F0C4C"/>
    <w:rsid w:val="008F1B9C"/>
    <w:rsid w:val="008F1DD5"/>
    <w:rsid w:val="008F2A25"/>
    <w:rsid w:val="008F34A4"/>
    <w:rsid w:val="008F3638"/>
    <w:rsid w:val="008F470C"/>
    <w:rsid w:val="008F5087"/>
    <w:rsid w:val="008F508D"/>
    <w:rsid w:val="008F53B0"/>
    <w:rsid w:val="008F62E8"/>
    <w:rsid w:val="008F6B71"/>
    <w:rsid w:val="008F6B9C"/>
    <w:rsid w:val="008F6CFD"/>
    <w:rsid w:val="008F7943"/>
    <w:rsid w:val="009005BD"/>
    <w:rsid w:val="0090086A"/>
    <w:rsid w:val="00900E48"/>
    <w:rsid w:val="009012B9"/>
    <w:rsid w:val="009013E9"/>
    <w:rsid w:val="00901A68"/>
    <w:rsid w:val="00901BBB"/>
    <w:rsid w:val="009020F5"/>
    <w:rsid w:val="009044BA"/>
    <w:rsid w:val="0090498B"/>
    <w:rsid w:val="009056D7"/>
    <w:rsid w:val="009059E9"/>
    <w:rsid w:val="00905D74"/>
    <w:rsid w:val="00905EA4"/>
    <w:rsid w:val="00906064"/>
    <w:rsid w:val="009060AB"/>
    <w:rsid w:val="00907142"/>
    <w:rsid w:val="00910466"/>
    <w:rsid w:val="009120FE"/>
    <w:rsid w:val="0091327D"/>
    <w:rsid w:val="009140CD"/>
    <w:rsid w:val="0091411D"/>
    <w:rsid w:val="00914E83"/>
    <w:rsid w:val="00915240"/>
    <w:rsid w:val="0091556D"/>
    <w:rsid w:val="00915578"/>
    <w:rsid w:val="00915B04"/>
    <w:rsid w:val="00915E9F"/>
    <w:rsid w:val="00916290"/>
    <w:rsid w:val="0091679C"/>
    <w:rsid w:val="00916FC3"/>
    <w:rsid w:val="00917329"/>
    <w:rsid w:val="009202CE"/>
    <w:rsid w:val="00920622"/>
    <w:rsid w:val="00920B28"/>
    <w:rsid w:val="00921A12"/>
    <w:rsid w:val="009224A9"/>
    <w:rsid w:val="0092404D"/>
    <w:rsid w:val="0092515E"/>
    <w:rsid w:val="00925287"/>
    <w:rsid w:val="00925C77"/>
    <w:rsid w:val="009265CB"/>
    <w:rsid w:val="00926DB1"/>
    <w:rsid w:val="00930240"/>
    <w:rsid w:val="00930E91"/>
    <w:rsid w:val="00930EB0"/>
    <w:rsid w:val="00931610"/>
    <w:rsid w:val="00931DD8"/>
    <w:rsid w:val="0093270B"/>
    <w:rsid w:val="00932849"/>
    <w:rsid w:val="00932A35"/>
    <w:rsid w:val="00932C23"/>
    <w:rsid w:val="00932C44"/>
    <w:rsid w:val="009330AE"/>
    <w:rsid w:val="00933294"/>
    <w:rsid w:val="00933645"/>
    <w:rsid w:val="009340D1"/>
    <w:rsid w:val="0093450D"/>
    <w:rsid w:val="00934D4C"/>
    <w:rsid w:val="00935B0F"/>
    <w:rsid w:val="00935B29"/>
    <w:rsid w:val="00936018"/>
    <w:rsid w:val="0093678E"/>
    <w:rsid w:val="009369BD"/>
    <w:rsid w:val="00936DAB"/>
    <w:rsid w:val="009370D0"/>
    <w:rsid w:val="009371AF"/>
    <w:rsid w:val="0093751F"/>
    <w:rsid w:val="00937C39"/>
    <w:rsid w:val="0094022B"/>
    <w:rsid w:val="0094023E"/>
    <w:rsid w:val="009403BA"/>
    <w:rsid w:val="00940721"/>
    <w:rsid w:val="009407E6"/>
    <w:rsid w:val="00940E84"/>
    <w:rsid w:val="009418CD"/>
    <w:rsid w:val="00941D84"/>
    <w:rsid w:val="0094238B"/>
    <w:rsid w:val="00942513"/>
    <w:rsid w:val="009425F5"/>
    <w:rsid w:val="00943694"/>
    <w:rsid w:val="00943E46"/>
    <w:rsid w:val="00943FF0"/>
    <w:rsid w:val="00944A3D"/>
    <w:rsid w:val="0094642D"/>
    <w:rsid w:val="009467A0"/>
    <w:rsid w:val="009467E6"/>
    <w:rsid w:val="00947029"/>
    <w:rsid w:val="00950ACC"/>
    <w:rsid w:val="00951642"/>
    <w:rsid w:val="009516B0"/>
    <w:rsid w:val="0095175E"/>
    <w:rsid w:val="00952C50"/>
    <w:rsid w:val="0095355A"/>
    <w:rsid w:val="00953823"/>
    <w:rsid w:val="00953EA3"/>
    <w:rsid w:val="00954851"/>
    <w:rsid w:val="00955388"/>
    <w:rsid w:val="00955A92"/>
    <w:rsid w:val="00955AE8"/>
    <w:rsid w:val="00956C45"/>
    <w:rsid w:val="00956CB2"/>
    <w:rsid w:val="00956ECC"/>
    <w:rsid w:val="00957433"/>
    <w:rsid w:val="00957618"/>
    <w:rsid w:val="00960BE3"/>
    <w:rsid w:val="00960CB5"/>
    <w:rsid w:val="00960D98"/>
    <w:rsid w:val="0096168E"/>
    <w:rsid w:val="00962A61"/>
    <w:rsid w:val="00962B8E"/>
    <w:rsid w:val="0096339C"/>
    <w:rsid w:val="00964668"/>
    <w:rsid w:val="0096476A"/>
    <w:rsid w:val="00964E14"/>
    <w:rsid w:val="00965F3C"/>
    <w:rsid w:val="00966DA3"/>
    <w:rsid w:val="009670CA"/>
    <w:rsid w:val="00967253"/>
    <w:rsid w:val="0096776E"/>
    <w:rsid w:val="0097031B"/>
    <w:rsid w:val="00970D2B"/>
    <w:rsid w:val="00971814"/>
    <w:rsid w:val="00971AC2"/>
    <w:rsid w:val="00972010"/>
    <w:rsid w:val="009727FA"/>
    <w:rsid w:val="00972A18"/>
    <w:rsid w:val="00972A39"/>
    <w:rsid w:val="00972EDA"/>
    <w:rsid w:val="0097404A"/>
    <w:rsid w:val="0097484C"/>
    <w:rsid w:val="00975DAE"/>
    <w:rsid w:val="00977642"/>
    <w:rsid w:val="0098291E"/>
    <w:rsid w:val="009830D1"/>
    <w:rsid w:val="00983D79"/>
    <w:rsid w:val="00983FC3"/>
    <w:rsid w:val="0098445B"/>
    <w:rsid w:val="009846BB"/>
    <w:rsid w:val="00984C6C"/>
    <w:rsid w:val="0098777B"/>
    <w:rsid w:val="009929A9"/>
    <w:rsid w:val="0099313D"/>
    <w:rsid w:val="00993985"/>
    <w:rsid w:val="009939C1"/>
    <w:rsid w:val="00994225"/>
    <w:rsid w:val="0099431A"/>
    <w:rsid w:val="00994A21"/>
    <w:rsid w:val="0099648D"/>
    <w:rsid w:val="00996982"/>
    <w:rsid w:val="009969C6"/>
    <w:rsid w:val="009969EF"/>
    <w:rsid w:val="00996CF7"/>
    <w:rsid w:val="0099708B"/>
    <w:rsid w:val="009977B2"/>
    <w:rsid w:val="00997840"/>
    <w:rsid w:val="009A02C4"/>
    <w:rsid w:val="009A0563"/>
    <w:rsid w:val="009A0FE9"/>
    <w:rsid w:val="009A11FF"/>
    <w:rsid w:val="009A1362"/>
    <w:rsid w:val="009A1ECE"/>
    <w:rsid w:val="009A1F62"/>
    <w:rsid w:val="009A2551"/>
    <w:rsid w:val="009A368F"/>
    <w:rsid w:val="009A4115"/>
    <w:rsid w:val="009A4539"/>
    <w:rsid w:val="009A46A9"/>
    <w:rsid w:val="009A4B60"/>
    <w:rsid w:val="009A549D"/>
    <w:rsid w:val="009A64AF"/>
    <w:rsid w:val="009A65BF"/>
    <w:rsid w:val="009A669E"/>
    <w:rsid w:val="009A69BA"/>
    <w:rsid w:val="009A7B5B"/>
    <w:rsid w:val="009A7B74"/>
    <w:rsid w:val="009B027D"/>
    <w:rsid w:val="009B0711"/>
    <w:rsid w:val="009B0989"/>
    <w:rsid w:val="009B1069"/>
    <w:rsid w:val="009B1195"/>
    <w:rsid w:val="009B2B90"/>
    <w:rsid w:val="009B2BFE"/>
    <w:rsid w:val="009B2E18"/>
    <w:rsid w:val="009B39FE"/>
    <w:rsid w:val="009B3BAC"/>
    <w:rsid w:val="009B45DE"/>
    <w:rsid w:val="009B48CB"/>
    <w:rsid w:val="009B48DF"/>
    <w:rsid w:val="009B4E71"/>
    <w:rsid w:val="009B530A"/>
    <w:rsid w:val="009B5758"/>
    <w:rsid w:val="009B5B08"/>
    <w:rsid w:val="009B5FE7"/>
    <w:rsid w:val="009B68FE"/>
    <w:rsid w:val="009C09D0"/>
    <w:rsid w:val="009C0B6E"/>
    <w:rsid w:val="009C0FCB"/>
    <w:rsid w:val="009C112E"/>
    <w:rsid w:val="009C17E2"/>
    <w:rsid w:val="009C195C"/>
    <w:rsid w:val="009C1C94"/>
    <w:rsid w:val="009C1D01"/>
    <w:rsid w:val="009C24B3"/>
    <w:rsid w:val="009C2670"/>
    <w:rsid w:val="009C4CF7"/>
    <w:rsid w:val="009C5946"/>
    <w:rsid w:val="009C5BF3"/>
    <w:rsid w:val="009C5C34"/>
    <w:rsid w:val="009C5CA1"/>
    <w:rsid w:val="009C60B9"/>
    <w:rsid w:val="009C63E3"/>
    <w:rsid w:val="009C7014"/>
    <w:rsid w:val="009D08A4"/>
    <w:rsid w:val="009D16CF"/>
    <w:rsid w:val="009D2329"/>
    <w:rsid w:val="009D2625"/>
    <w:rsid w:val="009D2657"/>
    <w:rsid w:val="009D286D"/>
    <w:rsid w:val="009D3753"/>
    <w:rsid w:val="009D3917"/>
    <w:rsid w:val="009D3F97"/>
    <w:rsid w:val="009D4386"/>
    <w:rsid w:val="009D440E"/>
    <w:rsid w:val="009D4C1E"/>
    <w:rsid w:val="009D50EF"/>
    <w:rsid w:val="009D6B2E"/>
    <w:rsid w:val="009D7615"/>
    <w:rsid w:val="009E1570"/>
    <w:rsid w:val="009E18ED"/>
    <w:rsid w:val="009E1DE3"/>
    <w:rsid w:val="009E1E8D"/>
    <w:rsid w:val="009E2083"/>
    <w:rsid w:val="009E2B04"/>
    <w:rsid w:val="009E2F5A"/>
    <w:rsid w:val="009E39E6"/>
    <w:rsid w:val="009E3A4A"/>
    <w:rsid w:val="009E3A75"/>
    <w:rsid w:val="009E472B"/>
    <w:rsid w:val="009E4815"/>
    <w:rsid w:val="009E49FA"/>
    <w:rsid w:val="009E4C57"/>
    <w:rsid w:val="009E5B9E"/>
    <w:rsid w:val="009E7D29"/>
    <w:rsid w:val="009F1255"/>
    <w:rsid w:val="009F139C"/>
    <w:rsid w:val="009F24B9"/>
    <w:rsid w:val="009F27E2"/>
    <w:rsid w:val="009F29AD"/>
    <w:rsid w:val="009F2B87"/>
    <w:rsid w:val="009F2DD5"/>
    <w:rsid w:val="009F3506"/>
    <w:rsid w:val="009F4608"/>
    <w:rsid w:val="009F4C62"/>
    <w:rsid w:val="009F6558"/>
    <w:rsid w:val="009F76EA"/>
    <w:rsid w:val="009F7D95"/>
    <w:rsid w:val="009F7F74"/>
    <w:rsid w:val="00A00676"/>
    <w:rsid w:val="00A00C52"/>
    <w:rsid w:val="00A00DEE"/>
    <w:rsid w:val="00A00E82"/>
    <w:rsid w:val="00A01317"/>
    <w:rsid w:val="00A01692"/>
    <w:rsid w:val="00A01856"/>
    <w:rsid w:val="00A0393C"/>
    <w:rsid w:val="00A03A99"/>
    <w:rsid w:val="00A040F2"/>
    <w:rsid w:val="00A0422B"/>
    <w:rsid w:val="00A04735"/>
    <w:rsid w:val="00A051A9"/>
    <w:rsid w:val="00A05501"/>
    <w:rsid w:val="00A05E5A"/>
    <w:rsid w:val="00A06FF5"/>
    <w:rsid w:val="00A074D5"/>
    <w:rsid w:val="00A0766F"/>
    <w:rsid w:val="00A077FD"/>
    <w:rsid w:val="00A07C19"/>
    <w:rsid w:val="00A07C1B"/>
    <w:rsid w:val="00A07C69"/>
    <w:rsid w:val="00A07CC1"/>
    <w:rsid w:val="00A07E0F"/>
    <w:rsid w:val="00A1002D"/>
    <w:rsid w:val="00A107F9"/>
    <w:rsid w:val="00A10A10"/>
    <w:rsid w:val="00A11303"/>
    <w:rsid w:val="00A11BEF"/>
    <w:rsid w:val="00A135A1"/>
    <w:rsid w:val="00A14300"/>
    <w:rsid w:val="00A14415"/>
    <w:rsid w:val="00A14AAA"/>
    <w:rsid w:val="00A14EBC"/>
    <w:rsid w:val="00A174D3"/>
    <w:rsid w:val="00A17C0F"/>
    <w:rsid w:val="00A17CFE"/>
    <w:rsid w:val="00A20687"/>
    <w:rsid w:val="00A21612"/>
    <w:rsid w:val="00A2164A"/>
    <w:rsid w:val="00A21AC6"/>
    <w:rsid w:val="00A221B9"/>
    <w:rsid w:val="00A22B20"/>
    <w:rsid w:val="00A23D41"/>
    <w:rsid w:val="00A23FEC"/>
    <w:rsid w:val="00A242F1"/>
    <w:rsid w:val="00A24595"/>
    <w:rsid w:val="00A25282"/>
    <w:rsid w:val="00A25446"/>
    <w:rsid w:val="00A26946"/>
    <w:rsid w:val="00A2794C"/>
    <w:rsid w:val="00A279F9"/>
    <w:rsid w:val="00A27B23"/>
    <w:rsid w:val="00A301F2"/>
    <w:rsid w:val="00A306E2"/>
    <w:rsid w:val="00A30AF1"/>
    <w:rsid w:val="00A31A4A"/>
    <w:rsid w:val="00A32C7A"/>
    <w:rsid w:val="00A33291"/>
    <w:rsid w:val="00A334AE"/>
    <w:rsid w:val="00A35D92"/>
    <w:rsid w:val="00A36A2D"/>
    <w:rsid w:val="00A37027"/>
    <w:rsid w:val="00A3720F"/>
    <w:rsid w:val="00A410FB"/>
    <w:rsid w:val="00A42091"/>
    <w:rsid w:val="00A430EB"/>
    <w:rsid w:val="00A430EE"/>
    <w:rsid w:val="00A43E54"/>
    <w:rsid w:val="00A443B8"/>
    <w:rsid w:val="00A452C8"/>
    <w:rsid w:val="00A45A20"/>
    <w:rsid w:val="00A45F23"/>
    <w:rsid w:val="00A47177"/>
    <w:rsid w:val="00A47679"/>
    <w:rsid w:val="00A5014B"/>
    <w:rsid w:val="00A50211"/>
    <w:rsid w:val="00A5027C"/>
    <w:rsid w:val="00A50E98"/>
    <w:rsid w:val="00A512A6"/>
    <w:rsid w:val="00A512CA"/>
    <w:rsid w:val="00A5234C"/>
    <w:rsid w:val="00A52AF4"/>
    <w:rsid w:val="00A52F3D"/>
    <w:rsid w:val="00A5393F"/>
    <w:rsid w:val="00A53D1F"/>
    <w:rsid w:val="00A5418A"/>
    <w:rsid w:val="00A54490"/>
    <w:rsid w:val="00A548CC"/>
    <w:rsid w:val="00A55BAE"/>
    <w:rsid w:val="00A55E16"/>
    <w:rsid w:val="00A564FC"/>
    <w:rsid w:val="00A56FFE"/>
    <w:rsid w:val="00A57099"/>
    <w:rsid w:val="00A57478"/>
    <w:rsid w:val="00A57480"/>
    <w:rsid w:val="00A57D7E"/>
    <w:rsid w:val="00A6034D"/>
    <w:rsid w:val="00A60E99"/>
    <w:rsid w:val="00A61699"/>
    <w:rsid w:val="00A61D6C"/>
    <w:rsid w:val="00A6365B"/>
    <w:rsid w:val="00A63D8E"/>
    <w:rsid w:val="00A640E1"/>
    <w:rsid w:val="00A64972"/>
    <w:rsid w:val="00A65873"/>
    <w:rsid w:val="00A6735D"/>
    <w:rsid w:val="00A67395"/>
    <w:rsid w:val="00A67644"/>
    <w:rsid w:val="00A67C85"/>
    <w:rsid w:val="00A67F08"/>
    <w:rsid w:val="00A702F8"/>
    <w:rsid w:val="00A70AB7"/>
    <w:rsid w:val="00A70EC2"/>
    <w:rsid w:val="00A7121D"/>
    <w:rsid w:val="00A712D2"/>
    <w:rsid w:val="00A713B2"/>
    <w:rsid w:val="00A71439"/>
    <w:rsid w:val="00A7176F"/>
    <w:rsid w:val="00A731BB"/>
    <w:rsid w:val="00A73945"/>
    <w:rsid w:val="00A73A6D"/>
    <w:rsid w:val="00A73AE4"/>
    <w:rsid w:val="00A744AD"/>
    <w:rsid w:val="00A74D3D"/>
    <w:rsid w:val="00A74DB2"/>
    <w:rsid w:val="00A74FB7"/>
    <w:rsid w:val="00A760CF"/>
    <w:rsid w:val="00A762D5"/>
    <w:rsid w:val="00A76609"/>
    <w:rsid w:val="00A768B6"/>
    <w:rsid w:val="00A772D0"/>
    <w:rsid w:val="00A80AF0"/>
    <w:rsid w:val="00A813E8"/>
    <w:rsid w:val="00A82081"/>
    <w:rsid w:val="00A82614"/>
    <w:rsid w:val="00A8268D"/>
    <w:rsid w:val="00A826C2"/>
    <w:rsid w:val="00A82B13"/>
    <w:rsid w:val="00A82B94"/>
    <w:rsid w:val="00A83132"/>
    <w:rsid w:val="00A83E29"/>
    <w:rsid w:val="00A84760"/>
    <w:rsid w:val="00A85386"/>
    <w:rsid w:val="00A85BBA"/>
    <w:rsid w:val="00A85D55"/>
    <w:rsid w:val="00A8615C"/>
    <w:rsid w:val="00A8760D"/>
    <w:rsid w:val="00A8787B"/>
    <w:rsid w:val="00A90CE5"/>
    <w:rsid w:val="00A913EC"/>
    <w:rsid w:val="00A91797"/>
    <w:rsid w:val="00A91844"/>
    <w:rsid w:val="00A91D7C"/>
    <w:rsid w:val="00A92BF8"/>
    <w:rsid w:val="00A92CCE"/>
    <w:rsid w:val="00A92D99"/>
    <w:rsid w:val="00A92DF8"/>
    <w:rsid w:val="00A937B0"/>
    <w:rsid w:val="00A93F16"/>
    <w:rsid w:val="00A9401D"/>
    <w:rsid w:val="00A94946"/>
    <w:rsid w:val="00A95D23"/>
    <w:rsid w:val="00A961E5"/>
    <w:rsid w:val="00A9654E"/>
    <w:rsid w:val="00A979C6"/>
    <w:rsid w:val="00A97C05"/>
    <w:rsid w:val="00A97CD1"/>
    <w:rsid w:val="00AA083D"/>
    <w:rsid w:val="00AA1713"/>
    <w:rsid w:val="00AA287A"/>
    <w:rsid w:val="00AA2F78"/>
    <w:rsid w:val="00AA37CB"/>
    <w:rsid w:val="00AA4096"/>
    <w:rsid w:val="00AA4361"/>
    <w:rsid w:val="00AA4FD0"/>
    <w:rsid w:val="00AA5DA5"/>
    <w:rsid w:val="00AA61D8"/>
    <w:rsid w:val="00AA6473"/>
    <w:rsid w:val="00AA6A08"/>
    <w:rsid w:val="00AA6C1B"/>
    <w:rsid w:val="00AA6D9B"/>
    <w:rsid w:val="00AA6DC6"/>
    <w:rsid w:val="00AA6E33"/>
    <w:rsid w:val="00AA740C"/>
    <w:rsid w:val="00AA7510"/>
    <w:rsid w:val="00AA7CC8"/>
    <w:rsid w:val="00AB0F04"/>
    <w:rsid w:val="00AB106A"/>
    <w:rsid w:val="00AB1095"/>
    <w:rsid w:val="00AB1AB4"/>
    <w:rsid w:val="00AB2247"/>
    <w:rsid w:val="00AB245E"/>
    <w:rsid w:val="00AB2EB5"/>
    <w:rsid w:val="00AB304F"/>
    <w:rsid w:val="00AB4943"/>
    <w:rsid w:val="00AB4B65"/>
    <w:rsid w:val="00AB4D86"/>
    <w:rsid w:val="00AB5C08"/>
    <w:rsid w:val="00AB6095"/>
    <w:rsid w:val="00AB6776"/>
    <w:rsid w:val="00AB6801"/>
    <w:rsid w:val="00AB6F58"/>
    <w:rsid w:val="00AC0715"/>
    <w:rsid w:val="00AC110A"/>
    <w:rsid w:val="00AC1FB4"/>
    <w:rsid w:val="00AC2C79"/>
    <w:rsid w:val="00AC2E90"/>
    <w:rsid w:val="00AC48A8"/>
    <w:rsid w:val="00AC49DD"/>
    <w:rsid w:val="00AC5302"/>
    <w:rsid w:val="00AC540C"/>
    <w:rsid w:val="00AC5639"/>
    <w:rsid w:val="00AC5D29"/>
    <w:rsid w:val="00AC640A"/>
    <w:rsid w:val="00AC65EB"/>
    <w:rsid w:val="00AC660A"/>
    <w:rsid w:val="00AC6D62"/>
    <w:rsid w:val="00AC76C2"/>
    <w:rsid w:val="00AD06B9"/>
    <w:rsid w:val="00AD1A47"/>
    <w:rsid w:val="00AD2105"/>
    <w:rsid w:val="00AD22BA"/>
    <w:rsid w:val="00AD24B6"/>
    <w:rsid w:val="00AD26F2"/>
    <w:rsid w:val="00AD5740"/>
    <w:rsid w:val="00AD5FEF"/>
    <w:rsid w:val="00AD6020"/>
    <w:rsid w:val="00AD62CC"/>
    <w:rsid w:val="00AD6DE1"/>
    <w:rsid w:val="00AD76B5"/>
    <w:rsid w:val="00AE1608"/>
    <w:rsid w:val="00AE1F6F"/>
    <w:rsid w:val="00AE22BA"/>
    <w:rsid w:val="00AE3094"/>
    <w:rsid w:val="00AE4E40"/>
    <w:rsid w:val="00AE5376"/>
    <w:rsid w:val="00AE6258"/>
    <w:rsid w:val="00AE6AB1"/>
    <w:rsid w:val="00AE6B4C"/>
    <w:rsid w:val="00AE6BF6"/>
    <w:rsid w:val="00AE7BF2"/>
    <w:rsid w:val="00AF0146"/>
    <w:rsid w:val="00AF03A4"/>
    <w:rsid w:val="00AF18F7"/>
    <w:rsid w:val="00AF1D58"/>
    <w:rsid w:val="00AF2337"/>
    <w:rsid w:val="00AF30EB"/>
    <w:rsid w:val="00AF3748"/>
    <w:rsid w:val="00AF4268"/>
    <w:rsid w:val="00AF4862"/>
    <w:rsid w:val="00AF4D23"/>
    <w:rsid w:val="00AF51E1"/>
    <w:rsid w:val="00AF58BD"/>
    <w:rsid w:val="00AF6832"/>
    <w:rsid w:val="00AF6893"/>
    <w:rsid w:val="00AF6DD3"/>
    <w:rsid w:val="00AF6E02"/>
    <w:rsid w:val="00AF6E79"/>
    <w:rsid w:val="00AF6F8F"/>
    <w:rsid w:val="00AF7FF2"/>
    <w:rsid w:val="00B0042F"/>
    <w:rsid w:val="00B01119"/>
    <w:rsid w:val="00B02547"/>
    <w:rsid w:val="00B02C7B"/>
    <w:rsid w:val="00B03134"/>
    <w:rsid w:val="00B03306"/>
    <w:rsid w:val="00B035A7"/>
    <w:rsid w:val="00B03FAD"/>
    <w:rsid w:val="00B04463"/>
    <w:rsid w:val="00B045CC"/>
    <w:rsid w:val="00B049D2"/>
    <w:rsid w:val="00B05744"/>
    <w:rsid w:val="00B05796"/>
    <w:rsid w:val="00B06FD0"/>
    <w:rsid w:val="00B072C5"/>
    <w:rsid w:val="00B0758F"/>
    <w:rsid w:val="00B07A02"/>
    <w:rsid w:val="00B07C7B"/>
    <w:rsid w:val="00B123DE"/>
    <w:rsid w:val="00B12A1C"/>
    <w:rsid w:val="00B13E25"/>
    <w:rsid w:val="00B14162"/>
    <w:rsid w:val="00B15148"/>
    <w:rsid w:val="00B15868"/>
    <w:rsid w:val="00B15C01"/>
    <w:rsid w:val="00B160E1"/>
    <w:rsid w:val="00B16332"/>
    <w:rsid w:val="00B17B99"/>
    <w:rsid w:val="00B17FF6"/>
    <w:rsid w:val="00B20027"/>
    <w:rsid w:val="00B209EF"/>
    <w:rsid w:val="00B20BE7"/>
    <w:rsid w:val="00B219D9"/>
    <w:rsid w:val="00B22245"/>
    <w:rsid w:val="00B22F86"/>
    <w:rsid w:val="00B23C30"/>
    <w:rsid w:val="00B23D89"/>
    <w:rsid w:val="00B23DDA"/>
    <w:rsid w:val="00B24017"/>
    <w:rsid w:val="00B242CD"/>
    <w:rsid w:val="00B251DB"/>
    <w:rsid w:val="00B259B7"/>
    <w:rsid w:val="00B25E73"/>
    <w:rsid w:val="00B26880"/>
    <w:rsid w:val="00B26C25"/>
    <w:rsid w:val="00B26E41"/>
    <w:rsid w:val="00B270E6"/>
    <w:rsid w:val="00B3066F"/>
    <w:rsid w:val="00B313A8"/>
    <w:rsid w:val="00B31977"/>
    <w:rsid w:val="00B320B4"/>
    <w:rsid w:val="00B3325C"/>
    <w:rsid w:val="00B33740"/>
    <w:rsid w:val="00B35680"/>
    <w:rsid w:val="00B358E7"/>
    <w:rsid w:val="00B35C0C"/>
    <w:rsid w:val="00B3647F"/>
    <w:rsid w:val="00B368B0"/>
    <w:rsid w:val="00B36D57"/>
    <w:rsid w:val="00B37046"/>
    <w:rsid w:val="00B378CF"/>
    <w:rsid w:val="00B40273"/>
    <w:rsid w:val="00B4045F"/>
    <w:rsid w:val="00B408EE"/>
    <w:rsid w:val="00B409BB"/>
    <w:rsid w:val="00B40A60"/>
    <w:rsid w:val="00B40B73"/>
    <w:rsid w:val="00B414B3"/>
    <w:rsid w:val="00B416F3"/>
    <w:rsid w:val="00B41879"/>
    <w:rsid w:val="00B42103"/>
    <w:rsid w:val="00B4210F"/>
    <w:rsid w:val="00B43497"/>
    <w:rsid w:val="00B43EE0"/>
    <w:rsid w:val="00B446A6"/>
    <w:rsid w:val="00B449DD"/>
    <w:rsid w:val="00B451AA"/>
    <w:rsid w:val="00B45B98"/>
    <w:rsid w:val="00B45E7F"/>
    <w:rsid w:val="00B45F52"/>
    <w:rsid w:val="00B46558"/>
    <w:rsid w:val="00B46BA3"/>
    <w:rsid w:val="00B47258"/>
    <w:rsid w:val="00B473B6"/>
    <w:rsid w:val="00B502D3"/>
    <w:rsid w:val="00B507D9"/>
    <w:rsid w:val="00B510FF"/>
    <w:rsid w:val="00B5330C"/>
    <w:rsid w:val="00B538B9"/>
    <w:rsid w:val="00B53EE9"/>
    <w:rsid w:val="00B54387"/>
    <w:rsid w:val="00B54A0C"/>
    <w:rsid w:val="00B54B2C"/>
    <w:rsid w:val="00B54E17"/>
    <w:rsid w:val="00B55458"/>
    <w:rsid w:val="00B55DB5"/>
    <w:rsid w:val="00B57C68"/>
    <w:rsid w:val="00B6182C"/>
    <w:rsid w:val="00B619AD"/>
    <w:rsid w:val="00B61A60"/>
    <w:rsid w:val="00B61B31"/>
    <w:rsid w:val="00B622CB"/>
    <w:rsid w:val="00B62342"/>
    <w:rsid w:val="00B62DEE"/>
    <w:rsid w:val="00B63FEE"/>
    <w:rsid w:val="00B641F5"/>
    <w:rsid w:val="00B64358"/>
    <w:rsid w:val="00B64628"/>
    <w:rsid w:val="00B64855"/>
    <w:rsid w:val="00B65A5B"/>
    <w:rsid w:val="00B65B5E"/>
    <w:rsid w:val="00B663C9"/>
    <w:rsid w:val="00B66402"/>
    <w:rsid w:val="00B6658F"/>
    <w:rsid w:val="00B66985"/>
    <w:rsid w:val="00B6722A"/>
    <w:rsid w:val="00B67530"/>
    <w:rsid w:val="00B67A9E"/>
    <w:rsid w:val="00B704F9"/>
    <w:rsid w:val="00B705A1"/>
    <w:rsid w:val="00B71821"/>
    <w:rsid w:val="00B71C35"/>
    <w:rsid w:val="00B723D4"/>
    <w:rsid w:val="00B7242F"/>
    <w:rsid w:val="00B729D6"/>
    <w:rsid w:val="00B72E84"/>
    <w:rsid w:val="00B732EF"/>
    <w:rsid w:val="00B73458"/>
    <w:rsid w:val="00B73D10"/>
    <w:rsid w:val="00B74F61"/>
    <w:rsid w:val="00B760A7"/>
    <w:rsid w:val="00B76790"/>
    <w:rsid w:val="00B767C7"/>
    <w:rsid w:val="00B76D41"/>
    <w:rsid w:val="00B80608"/>
    <w:rsid w:val="00B817AE"/>
    <w:rsid w:val="00B81930"/>
    <w:rsid w:val="00B82078"/>
    <w:rsid w:val="00B82636"/>
    <w:rsid w:val="00B83646"/>
    <w:rsid w:val="00B83EE6"/>
    <w:rsid w:val="00B83F44"/>
    <w:rsid w:val="00B86022"/>
    <w:rsid w:val="00B8676A"/>
    <w:rsid w:val="00B87091"/>
    <w:rsid w:val="00B900BD"/>
    <w:rsid w:val="00B918D6"/>
    <w:rsid w:val="00B92702"/>
    <w:rsid w:val="00B9312E"/>
    <w:rsid w:val="00B936F6"/>
    <w:rsid w:val="00B93968"/>
    <w:rsid w:val="00B94370"/>
    <w:rsid w:val="00B946F2"/>
    <w:rsid w:val="00B946F8"/>
    <w:rsid w:val="00B95D11"/>
    <w:rsid w:val="00B96451"/>
    <w:rsid w:val="00B96883"/>
    <w:rsid w:val="00B96CF1"/>
    <w:rsid w:val="00B973A3"/>
    <w:rsid w:val="00B975A5"/>
    <w:rsid w:val="00B97652"/>
    <w:rsid w:val="00B9799A"/>
    <w:rsid w:val="00BA06C7"/>
    <w:rsid w:val="00BA20B4"/>
    <w:rsid w:val="00BA2D7B"/>
    <w:rsid w:val="00BA2EBB"/>
    <w:rsid w:val="00BA4108"/>
    <w:rsid w:val="00BA4268"/>
    <w:rsid w:val="00BA4916"/>
    <w:rsid w:val="00BA4DE2"/>
    <w:rsid w:val="00BA5039"/>
    <w:rsid w:val="00BA5538"/>
    <w:rsid w:val="00BA5F34"/>
    <w:rsid w:val="00BA6250"/>
    <w:rsid w:val="00BA6A12"/>
    <w:rsid w:val="00BA71C4"/>
    <w:rsid w:val="00BB020D"/>
    <w:rsid w:val="00BB0F9E"/>
    <w:rsid w:val="00BB10C0"/>
    <w:rsid w:val="00BB1165"/>
    <w:rsid w:val="00BB176C"/>
    <w:rsid w:val="00BB1827"/>
    <w:rsid w:val="00BB1BC7"/>
    <w:rsid w:val="00BB1EDA"/>
    <w:rsid w:val="00BB26C7"/>
    <w:rsid w:val="00BB2934"/>
    <w:rsid w:val="00BB33F0"/>
    <w:rsid w:val="00BB350F"/>
    <w:rsid w:val="00BB4946"/>
    <w:rsid w:val="00BB549B"/>
    <w:rsid w:val="00BB5CC8"/>
    <w:rsid w:val="00BB6048"/>
    <w:rsid w:val="00BB6576"/>
    <w:rsid w:val="00BB753D"/>
    <w:rsid w:val="00BB779E"/>
    <w:rsid w:val="00BC289C"/>
    <w:rsid w:val="00BC301A"/>
    <w:rsid w:val="00BC3A49"/>
    <w:rsid w:val="00BC4FB3"/>
    <w:rsid w:val="00BC5157"/>
    <w:rsid w:val="00BC5594"/>
    <w:rsid w:val="00BC56FE"/>
    <w:rsid w:val="00BC617C"/>
    <w:rsid w:val="00BC63F8"/>
    <w:rsid w:val="00BC65F0"/>
    <w:rsid w:val="00BC67DB"/>
    <w:rsid w:val="00BC68A5"/>
    <w:rsid w:val="00BC68CA"/>
    <w:rsid w:val="00BC6D33"/>
    <w:rsid w:val="00BC7246"/>
    <w:rsid w:val="00BC777D"/>
    <w:rsid w:val="00BC797B"/>
    <w:rsid w:val="00BC7B29"/>
    <w:rsid w:val="00BC7C89"/>
    <w:rsid w:val="00BD0F8A"/>
    <w:rsid w:val="00BD1406"/>
    <w:rsid w:val="00BD2977"/>
    <w:rsid w:val="00BD3475"/>
    <w:rsid w:val="00BD3A89"/>
    <w:rsid w:val="00BD3C8C"/>
    <w:rsid w:val="00BD570C"/>
    <w:rsid w:val="00BD5778"/>
    <w:rsid w:val="00BD5E93"/>
    <w:rsid w:val="00BD5F51"/>
    <w:rsid w:val="00BD65F0"/>
    <w:rsid w:val="00BD66D4"/>
    <w:rsid w:val="00BD6CA7"/>
    <w:rsid w:val="00BD72A1"/>
    <w:rsid w:val="00BD79AB"/>
    <w:rsid w:val="00BE1A69"/>
    <w:rsid w:val="00BE1CB4"/>
    <w:rsid w:val="00BE3E34"/>
    <w:rsid w:val="00BE3EBB"/>
    <w:rsid w:val="00BE40FE"/>
    <w:rsid w:val="00BE53C7"/>
    <w:rsid w:val="00BE5AB3"/>
    <w:rsid w:val="00BE645D"/>
    <w:rsid w:val="00BE65F5"/>
    <w:rsid w:val="00BE6ADD"/>
    <w:rsid w:val="00BE6EEA"/>
    <w:rsid w:val="00BE7BBC"/>
    <w:rsid w:val="00BF0FF5"/>
    <w:rsid w:val="00BF105F"/>
    <w:rsid w:val="00BF11CE"/>
    <w:rsid w:val="00BF13E1"/>
    <w:rsid w:val="00BF2014"/>
    <w:rsid w:val="00BF2289"/>
    <w:rsid w:val="00BF2295"/>
    <w:rsid w:val="00BF311E"/>
    <w:rsid w:val="00BF33EA"/>
    <w:rsid w:val="00BF34D8"/>
    <w:rsid w:val="00BF36BE"/>
    <w:rsid w:val="00BF36E7"/>
    <w:rsid w:val="00BF495E"/>
    <w:rsid w:val="00BF6930"/>
    <w:rsid w:val="00BF6BD5"/>
    <w:rsid w:val="00BF7209"/>
    <w:rsid w:val="00BF7B1B"/>
    <w:rsid w:val="00BF7E18"/>
    <w:rsid w:val="00C001F6"/>
    <w:rsid w:val="00C01087"/>
    <w:rsid w:val="00C0286D"/>
    <w:rsid w:val="00C02B68"/>
    <w:rsid w:val="00C033D9"/>
    <w:rsid w:val="00C041CF"/>
    <w:rsid w:val="00C0429A"/>
    <w:rsid w:val="00C0450C"/>
    <w:rsid w:val="00C04E75"/>
    <w:rsid w:val="00C05D5A"/>
    <w:rsid w:val="00C0726E"/>
    <w:rsid w:val="00C072E4"/>
    <w:rsid w:val="00C0741F"/>
    <w:rsid w:val="00C07880"/>
    <w:rsid w:val="00C07A5E"/>
    <w:rsid w:val="00C07BE7"/>
    <w:rsid w:val="00C10051"/>
    <w:rsid w:val="00C12BD9"/>
    <w:rsid w:val="00C1472B"/>
    <w:rsid w:val="00C15483"/>
    <w:rsid w:val="00C157D8"/>
    <w:rsid w:val="00C16BD8"/>
    <w:rsid w:val="00C16C94"/>
    <w:rsid w:val="00C171DD"/>
    <w:rsid w:val="00C17EB1"/>
    <w:rsid w:val="00C208F9"/>
    <w:rsid w:val="00C20D2D"/>
    <w:rsid w:val="00C2119C"/>
    <w:rsid w:val="00C21B48"/>
    <w:rsid w:val="00C2387B"/>
    <w:rsid w:val="00C240E1"/>
    <w:rsid w:val="00C25705"/>
    <w:rsid w:val="00C25BE1"/>
    <w:rsid w:val="00C26158"/>
    <w:rsid w:val="00C26CE2"/>
    <w:rsid w:val="00C271B5"/>
    <w:rsid w:val="00C27561"/>
    <w:rsid w:val="00C278A8"/>
    <w:rsid w:val="00C27BB1"/>
    <w:rsid w:val="00C27CB3"/>
    <w:rsid w:val="00C27F38"/>
    <w:rsid w:val="00C3037A"/>
    <w:rsid w:val="00C3044C"/>
    <w:rsid w:val="00C30946"/>
    <w:rsid w:val="00C30950"/>
    <w:rsid w:val="00C31A91"/>
    <w:rsid w:val="00C320FF"/>
    <w:rsid w:val="00C3228D"/>
    <w:rsid w:val="00C3269B"/>
    <w:rsid w:val="00C3275D"/>
    <w:rsid w:val="00C32C8D"/>
    <w:rsid w:val="00C33101"/>
    <w:rsid w:val="00C33ADC"/>
    <w:rsid w:val="00C34F0F"/>
    <w:rsid w:val="00C35F10"/>
    <w:rsid w:val="00C35F9F"/>
    <w:rsid w:val="00C35FC8"/>
    <w:rsid w:val="00C36D24"/>
    <w:rsid w:val="00C3749D"/>
    <w:rsid w:val="00C40636"/>
    <w:rsid w:val="00C417A8"/>
    <w:rsid w:val="00C42900"/>
    <w:rsid w:val="00C42F09"/>
    <w:rsid w:val="00C43968"/>
    <w:rsid w:val="00C43D48"/>
    <w:rsid w:val="00C43E46"/>
    <w:rsid w:val="00C4455B"/>
    <w:rsid w:val="00C44818"/>
    <w:rsid w:val="00C45597"/>
    <w:rsid w:val="00C45EFA"/>
    <w:rsid w:val="00C4660C"/>
    <w:rsid w:val="00C476F5"/>
    <w:rsid w:val="00C4793F"/>
    <w:rsid w:val="00C507A8"/>
    <w:rsid w:val="00C507B7"/>
    <w:rsid w:val="00C50A57"/>
    <w:rsid w:val="00C50A9A"/>
    <w:rsid w:val="00C50AD6"/>
    <w:rsid w:val="00C52007"/>
    <w:rsid w:val="00C52859"/>
    <w:rsid w:val="00C5296D"/>
    <w:rsid w:val="00C53331"/>
    <w:rsid w:val="00C534D2"/>
    <w:rsid w:val="00C538B5"/>
    <w:rsid w:val="00C543C9"/>
    <w:rsid w:val="00C54988"/>
    <w:rsid w:val="00C553E0"/>
    <w:rsid w:val="00C55B4F"/>
    <w:rsid w:val="00C562E1"/>
    <w:rsid w:val="00C56458"/>
    <w:rsid w:val="00C56A35"/>
    <w:rsid w:val="00C5720D"/>
    <w:rsid w:val="00C609FA"/>
    <w:rsid w:val="00C60DDA"/>
    <w:rsid w:val="00C6143C"/>
    <w:rsid w:val="00C61C49"/>
    <w:rsid w:val="00C61E1B"/>
    <w:rsid w:val="00C61EB6"/>
    <w:rsid w:val="00C629EA"/>
    <w:rsid w:val="00C62F5F"/>
    <w:rsid w:val="00C62FE6"/>
    <w:rsid w:val="00C631A6"/>
    <w:rsid w:val="00C63A00"/>
    <w:rsid w:val="00C650F8"/>
    <w:rsid w:val="00C651B7"/>
    <w:rsid w:val="00C6536E"/>
    <w:rsid w:val="00C656CA"/>
    <w:rsid w:val="00C657DE"/>
    <w:rsid w:val="00C65E4E"/>
    <w:rsid w:val="00C67B35"/>
    <w:rsid w:val="00C67BFA"/>
    <w:rsid w:val="00C703BC"/>
    <w:rsid w:val="00C70531"/>
    <w:rsid w:val="00C708CB"/>
    <w:rsid w:val="00C71C20"/>
    <w:rsid w:val="00C72282"/>
    <w:rsid w:val="00C73643"/>
    <w:rsid w:val="00C74E63"/>
    <w:rsid w:val="00C75959"/>
    <w:rsid w:val="00C759C4"/>
    <w:rsid w:val="00C75C61"/>
    <w:rsid w:val="00C7606E"/>
    <w:rsid w:val="00C762B8"/>
    <w:rsid w:val="00C77181"/>
    <w:rsid w:val="00C80A34"/>
    <w:rsid w:val="00C829EA"/>
    <w:rsid w:val="00C82D3F"/>
    <w:rsid w:val="00C83C69"/>
    <w:rsid w:val="00C846C6"/>
    <w:rsid w:val="00C85066"/>
    <w:rsid w:val="00C85F0F"/>
    <w:rsid w:val="00C86115"/>
    <w:rsid w:val="00C861C6"/>
    <w:rsid w:val="00C86CDE"/>
    <w:rsid w:val="00C8704A"/>
    <w:rsid w:val="00C8758D"/>
    <w:rsid w:val="00C901A9"/>
    <w:rsid w:val="00C9041E"/>
    <w:rsid w:val="00C90681"/>
    <w:rsid w:val="00C923E0"/>
    <w:rsid w:val="00C92815"/>
    <w:rsid w:val="00C93203"/>
    <w:rsid w:val="00C93227"/>
    <w:rsid w:val="00C93C62"/>
    <w:rsid w:val="00C96B8F"/>
    <w:rsid w:val="00C9721C"/>
    <w:rsid w:val="00C97837"/>
    <w:rsid w:val="00CA09D1"/>
    <w:rsid w:val="00CA10DA"/>
    <w:rsid w:val="00CA1129"/>
    <w:rsid w:val="00CA15F2"/>
    <w:rsid w:val="00CA1A02"/>
    <w:rsid w:val="00CA2202"/>
    <w:rsid w:val="00CA24A9"/>
    <w:rsid w:val="00CA28CA"/>
    <w:rsid w:val="00CA2C1A"/>
    <w:rsid w:val="00CA2DF4"/>
    <w:rsid w:val="00CA34CF"/>
    <w:rsid w:val="00CA37D1"/>
    <w:rsid w:val="00CA3F49"/>
    <w:rsid w:val="00CA4469"/>
    <w:rsid w:val="00CA5874"/>
    <w:rsid w:val="00CA5DFB"/>
    <w:rsid w:val="00CA5EF1"/>
    <w:rsid w:val="00CA6530"/>
    <w:rsid w:val="00CA67D4"/>
    <w:rsid w:val="00CA689F"/>
    <w:rsid w:val="00CA7B1E"/>
    <w:rsid w:val="00CB0B84"/>
    <w:rsid w:val="00CB11A7"/>
    <w:rsid w:val="00CB1758"/>
    <w:rsid w:val="00CB2B49"/>
    <w:rsid w:val="00CB2DE1"/>
    <w:rsid w:val="00CB3B9E"/>
    <w:rsid w:val="00CB3E0A"/>
    <w:rsid w:val="00CB3F12"/>
    <w:rsid w:val="00CB4242"/>
    <w:rsid w:val="00CB4B20"/>
    <w:rsid w:val="00CB4C16"/>
    <w:rsid w:val="00CB5666"/>
    <w:rsid w:val="00CB5BB9"/>
    <w:rsid w:val="00CB649F"/>
    <w:rsid w:val="00CB6996"/>
    <w:rsid w:val="00CB69FF"/>
    <w:rsid w:val="00CB6E11"/>
    <w:rsid w:val="00CB7499"/>
    <w:rsid w:val="00CB771F"/>
    <w:rsid w:val="00CB78A3"/>
    <w:rsid w:val="00CC0149"/>
    <w:rsid w:val="00CC056F"/>
    <w:rsid w:val="00CC1604"/>
    <w:rsid w:val="00CC1C1B"/>
    <w:rsid w:val="00CC1FEE"/>
    <w:rsid w:val="00CC300A"/>
    <w:rsid w:val="00CC4DB9"/>
    <w:rsid w:val="00CC5585"/>
    <w:rsid w:val="00CC5654"/>
    <w:rsid w:val="00CC5AC3"/>
    <w:rsid w:val="00CC6032"/>
    <w:rsid w:val="00CC659E"/>
    <w:rsid w:val="00CC6FBD"/>
    <w:rsid w:val="00CD0279"/>
    <w:rsid w:val="00CD0DAE"/>
    <w:rsid w:val="00CD0E3C"/>
    <w:rsid w:val="00CD120E"/>
    <w:rsid w:val="00CD25D5"/>
    <w:rsid w:val="00CD2768"/>
    <w:rsid w:val="00CD29D1"/>
    <w:rsid w:val="00CD2D6D"/>
    <w:rsid w:val="00CD2D7B"/>
    <w:rsid w:val="00CD36CB"/>
    <w:rsid w:val="00CD3FDC"/>
    <w:rsid w:val="00CD416A"/>
    <w:rsid w:val="00CD4E6F"/>
    <w:rsid w:val="00CD6C20"/>
    <w:rsid w:val="00CE0C21"/>
    <w:rsid w:val="00CE0F0D"/>
    <w:rsid w:val="00CE16F3"/>
    <w:rsid w:val="00CE1818"/>
    <w:rsid w:val="00CE2690"/>
    <w:rsid w:val="00CE4789"/>
    <w:rsid w:val="00CE4FF9"/>
    <w:rsid w:val="00CE669B"/>
    <w:rsid w:val="00CE671B"/>
    <w:rsid w:val="00CE6BBD"/>
    <w:rsid w:val="00CE7C11"/>
    <w:rsid w:val="00CE7F17"/>
    <w:rsid w:val="00CF0227"/>
    <w:rsid w:val="00CF1404"/>
    <w:rsid w:val="00CF1FC2"/>
    <w:rsid w:val="00CF28DB"/>
    <w:rsid w:val="00CF353B"/>
    <w:rsid w:val="00CF3DCD"/>
    <w:rsid w:val="00CF3F83"/>
    <w:rsid w:val="00CF50B0"/>
    <w:rsid w:val="00CF5AD8"/>
    <w:rsid w:val="00CF5CBE"/>
    <w:rsid w:val="00CF639B"/>
    <w:rsid w:val="00CF655D"/>
    <w:rsid w:val="00CF6B6B"/>
    <w:rsid w:val="00CF74D7"/>
    <w:rsid w:val="00CF7A54"/>
    <w:rsid w:val="00CF7B2D"/>
    <w:rsid w:val="00D00421"/>
    <w:rsid w:val="00D0175F"/>
    <w:rsid w:val="00D02836"/>
    <w:rsid w:val="00D02ABC"/>
    <w:rsid w:val="00D035DC"/>
    <w:rsid w:val="00D037AD"/>
    <w:rsid w:val="00D0455B"/>
    <w:rsid w:val="00D0545A"/>
    <w:rsid w:val="00D055DF"/>
    <w:rsid w:val="00D07DEB"/>
    <w:rsid w:val="00D100C4"/>
    <w:rsid w:val="00D10782"/>
    <w:rsid w:val="00D1214B"/>
    <w:rsid w:val="00D124F8"/>
    <w:rsid w:val="00D1339D"/>
    <w:rsid w:val="00D146B1"/>
    <w:rsid w:val="00D14D5B"/>
    <w:rsid w:val="00D15304"/>
    <w:rsid w:val="00D15D63"/>
    <w:rsid w:val="00D15F55"/>
    <w:rsid w:val="00D16FDC"/>
    <w:rsid w:val="00D17775"/>
    <w:rsid w:val="00D200A6"/>
    <w:rsid w:val="00D20369"/>
    <w:rsid w:val="00D2072F"/>
    <w:rsid w:val="00D20A5E"/>
    <w:rsid w:val="00D20FCD"/>
    <w:rsid w:val="00D21FEB"/>
    <w:rsid w:val="00D220CF"/>
    <w:rsid w:val="00D2363A"/>
    <w:rsid w:val="00D23FCA"/>
    <w:rsid w:val="00D24812"/>
    <w:rsid w:val="00D250EF"/>
    <w:rsid w:val="00D258FC"/>
    <w:rsid w:val="00D25CEE"/>
    <w:rsid w:val="00D26689"/>
    <w:rsid w:val="00D27B99"/>
    <w:rsid w:val="00D3049C"/>
    <w:rsid w:val="00D30535"/>
    <w:rsid w:val="00D30AFC"/>
    <w:rsid w:val="00D3148D"/>
    <w:rsid w:val="00D314AB"/>
    <w:rsid w:val="00D3347F"/>
    <w:rsid w:val="00D3382A"/>
    <w:rsid w:val="00D338CD"/>
    <w:rsid w:val="00D33925"/>
    <w:rsid w:val="00D33ECD"/>
    <w:rsid w:val="00D344C2"/>
    <w:rsid w:val="00D34914"/>
    <w:rsid w:val="00D34AFD"/>
    <w:rsid w:val="00D34D1C"/>
    <w:rsid w:val="00D34D20"/>
    <w:rsid w:val="00D35970"/>
    <w:rsid w:val="00D359E4"/>
    <w:rsid w:val="00D37260"/>
    <w:rsid w:val="00D40357"/>
    <w:rsid w:val="00D40DBC"/>
    <w:rsid w:val="00D411A4"/>
    <w:rsid w:val="00D41868"/>
    <w:rsid w:val="00D41F0A"/>
    <w:rsid w:val="00D42041"/>
    <w:rsid w:val="00D42ABC"/>
    <w:rsid w:val="00D42F8F"/>
    <w:rsid w:val="00D43CE2"/>
    <w:rsid w:val="00D43FE9"/>
    <w:rsid w:val="00D44C3A"/>
    <w:rsid w:val="00D460F4"/>
    <w:rsid w:val="00D4686E"/>
    <w:rsid w:val="00D46C31"/>
    <w:rsid w:val="00D46FCA"/>
    <w:rsid w:val="00D471C3"/>
    <w:rsid w:val="00D47BED"/>
    <w:rsid w:val="00D50326"/>
    <w:rsid w:val="00D51D8E"/>
    <w:rsid w:val="00D520CC"/>
    <w:rsid w:val="00D52E50"/>
    <w:rsid w:val="00D5343B"/>
    <w:rsid w:val="00D5359E"/>
    <w:rsid w:val="00D54AB2"/>
    <w:rsid w:val="00D54EAA"/>
    <w:rsid w:val="00D550F8"/>
    <w:rsid w:val="00D55AB9"/>
    <w:rsid w:val="00D561A3"/>
    <w:rsid w:val="00D5674B"/>
    <w:rsid w:val="00D56B7E"/>
    <w:rsid w:val="00D56DCE"/>
    <w:rsid w:val="00D56F93"/>
    <w:rsid w:val="00D5770C"/>
    <w:rsid w:val="00D57B19"/>
    <w:rsid w:val="00D57BF1"/>
    <w:rsid w:val="00D57EB9"/>
    <w:rsid w:val="00D606DA"/>
    <w:rsid w:val="00D61A11"/>
    <w:rsid w:val="00D62669"/>
    <w:rsid w:val="00D62FDC"/>
    <w:rsid w:val="00D631B7"/>
    <w:rsid w:val="00D6460A"/>
    <w:rsid w:val="00D64BFA"/>
    <w:rsid w:val="00D6531C"/>
    <w:rsid w:val="00D65340"/>
    <w:rsid w:val="00D66510"/>
    <w:rsid w:val="00D6698A"/>
    <w:rsid w:val="00D67F29"/>
    <w:rsid w:val="00D70392"/>
    <w:rsid w:val="00D70B1D"/>
    <w:rsid w:val="00D70FFF"/>
    <w:rsid w:val="00D7348A"/>
    <w:rsid w:val="00D736E9"/>
    <w:rsid w:val="00D73C07"/>
    <w:rsid w:val="00D74195"/>
    <w:rsid w:val="00D74605"/>
    <w:rsid w:val="00D76B0B"/>
    <w:rsid w:val="00D770BA"/>
    <w:rsid w:val="00D77288"/>
    <w:rsid w:val="00D81587"/>
    <w:rsid w:val="00D81E99"/>
    <w:rsid w:val="00D820E8"/>
    <w:rsid w:val="00D82338"/>
    <w:rsid w:val="00D82933"/>
    <w:rsid w:val="00D841E9"/>
    <w:rsid w:val="00D84488"/>
    <w:rsid w:val="00D84609"/>
    <w:rsid w:val="00D84ABF"/>
    <w:rsid w:val="00D8508E"/>
    <w:rsid w:val="00D85684"/>
    <w:rsid w:val="00D862A3"/>
    <w:rsid w:val="00D86954"/>
    <w:rsid w:val="00D86B3F"/>
    <w:rsid w:val="00D87E39"/>
    <w:rsid w:val="00D87F5B"/>
    <w:rsid w:val="00D90B2E"/>
    <w:rsid w:val="00D90D40"/>
    <w:rsid w:val="00D9122B"/>
    <w:rsid w:val="00D91EF9"/>
    <w:rsid w:val="00D926B1"/>
    <w:rsid w:val="00D92BAE"/>
    <w:rsid w:val="00D93335"/>
    <w:rsid w:val="00D935DC"/>
    <w:rsid w:val="00D93886"/>
    <w:rsid w:val="00D93F2A"/>
    <w:rsid w:val="00D94375"/>
    <w:rsid w:val="00D948D9"/>
    <w:rsid w:val="00D9524A"/>
    <w:rsid w:val="00D95636"/>
    <w:rsid w:val="00D9566D"/>
    <w:rsid w:val="00D97D55"/>
    <w:rsid w:val="00DA02D4"/>
    <w:rsid w:val="00DA162C"/>
    <w:rsid w:val="00DA1745"/>
    <w:rsid w:val="00DA1772"/>
    <w:rsid w:val="00DA3273"/>
    <w:rsid w:val="00DA3583"/>
    <w:rsid w:val="00DA37F6"/>
    <w:rsid w:val="00DA47DA"/>
    <w:rsid w:val="00DA4BE0"/>
    <w:rsid w:val="00DA52F0"/>
    <w:rsid w:val="00DA53A3"/>
    <w:rsid w:val="00DA5833"/>
    <w:rsid w:val="00DA60FA"/>
    <w:rsid w:val="00DA621D"/>
    <w:rsid w:val="00DA6A65"/>
    <w:rsid w:val="00DA70C0"/>
    <w:rsid w:val="00DA75D1"/>
    <w:rsid w:val="00DA7769"/>
    <w:rsid w:val="00DB097D"/>
    <w:rsid w:val="00DB0B49"/>
    <w:rsid w:val="00DB0FF2"/>
    <w:rsid w:val="00DB1AC4"/>
    <w:rsid w:val="00DB5A16"/>
    <w:rsid w:val="00DB5A3D"/>
    <w:rsid w:val="00DB5CAE"/>
    <w:rsid w:val="00DB637A"/>
    <w:rsid w:val="00DB7CD2"/>
    <w:rsid w:val="00DB7DE0"/>
    <w:rsid w:val="00DC01DA"/>
    <w:rsid w:val="00DC04CE"/>
    <w:rsid w:val="00DC0530"/>
    <w:rsid w:val="00DC0725"/>
    <w:rsid w:val="00DC0C60"/>
    <w:rsid w:val="00DC1F0C"/>
    <w:rsid w:val="00DC22A9"/>
    <w:rsid w:val="00DC27B8"/>
    <w:rsid w:val="00DC29EB"/>
    <w:rsid w:val="00DC3AC2"/>
    <w:rsid w:val="00DC46AA"/>
    <w:rsid w:val="00DC4E4E"/>
    <w:rsid w:val="00DC536C"/>
    <w:rsid w:val="00DC5551"/>
    <w:rsid w:val="00DC557B"/>
    <w:rsid w:val="00DC5AAB"/>
    <w:rsid w:val="00DC61DF"/>
    <w:rsid w:val="00DC750A"/>
    <w:rsid w:val="00DD08FD"/>
    <w:rsid w:val="00DD0916"/>
    <w:rsid w:val="00DD0C2A"/>
    <w:rsid w:val="00DD0E08"/>
    <w:rsid w:val="00DD1467"/>
    <w:rsid w:val="00DD14FF"/>
    <w:rsid w:val="00DD1B18"/>
    <w:rsid w:val="00DD29C7"/>
    <w:rsid w:val="00DD2ECD"/>
    <w:rsid w:val="00DD3286"/>
    <w:rsid w:val="00DD339E"/>
    <w:rsid w:val="00DD33B8"/>
    <w:rsid w:val="00DD3DA7"/>
    <w:rsid w:val="00DD4C53"/>
    <w:rsid w:val="00DD4FCB"/>
    <w:rsid w:val="00DD5960"/>
    <w:rsid w:val="00DD659E"/>
    <w:rsid w:val="00DD7360"/>
    <w:rsid w:val="00DD7573"/>
    <w:rsid w:val="00DD75B2"/>
    <w:rsid w:val="00DD768C"/>
    <w:rsid w:val="00DD7A13"/>
    <w:rsid w:val="00DD7D67"/>
    <w:rsid w:val="00DE04A8"/>
    <w:rsid w:val="00DE057B"/>
    <w:rsid w:val="00DE0BC4"/>
    <w:rsid w:val="00DE0F0F"/>
    <w:rsid w:val="00DE1060"/>
    <w:rsid w:val="00DE1D90"/>
    <w:rsid w:val="00DE2395"/>
    <w:rsid w:val="00DE2823"/>
    <w:rsid w:val="00DE3621"/>
    <w:rsid w:val="00DE3DA8"/>
    <w:rsid w:val="00DE4358"/>
    <w:rsid w:val="00DE445F"/>
    <w:rsid w:val="00DE493B"/>
    <w:rsid w:val="00DE5803"/>
    <w:rsid w:val="00DE61A3"/>
    <w:rsid w:val="00DE6510"/>
    <w:rsid w:val="00DF08B0"/>
    <w:rsid w:val="00DF0A9B"/>
    <w:rsid w:val="00DF0DAA"/>
    <w:rsid w:val="00DF2A43"/>
    <w:rsid w:val="00DF2FBF"/>
    <w:rsid w:val="00DF300D"/>
    <w:rsid w:val="00DF43B2"/>
    <w:rsid w:val="00DF5D4C"/>
    <w:rsid w:val="00DF5F72"/>
    <w:rsid w:val="00DF6449"/>
    <w:rsid w:val="00DF726E"/>
    <w:rsid w:val="00E00B0B"/>
    <w:rsid w:val="00E013C4"/>
    <w:rsid w:val="00E01BA6"/>
    <w:rsid w:val="00E01D7D"/>
    <w:rsid w:val="00E02A8A"/>
    <w:rsid w:val="00E02D5F"/>
    <w:rsid w:val="00E02F1C"/>
    <w:rsid w:val="00E033AA"/>
    <w:rsid w:val="00E03B00"/>
    <w:rsid w:val="00E04DA0"/>
    <w:rsid w:val="00E05945"/>
    <w:rsid w:val="00E05D61"/>
    <w:rsid w:val="00E0629F"/>
    <w:rsid w:val="00E06887"/>
    <w:rsid w:val="00E06C5A"/>
    <w:rsid w:val="00E06E7A"/>
    <w:rsid w:val="00E06F31"/>
    <w:rsid w:val="00E06FF9"/>
    <w:rsid w:val="00E10BAF"/>
    <w:rsid w:val="00E112F9"/>
    <w:rsid w:val="00E113E8"/>
    <w:rsid w:val="00E11B00"/>
    <w:rsid w:val="00E11DF5"/>
    <w:rsid w:val="00E1214F"/>
    <w:rsid w:val="00E12438"/>
    <w:rsid w:val="00E12533"/>
    <w:rsid w:val="00E12717"/>
    <w:rsid w:val="00E12E70"/>
    <w:rsid w:val="00E12EE9"/>
    <w:rsid w:val="00E13036"/>
    <w:rsid w:val="00E13091"/>
    <w:rsid w:val="00E133D7"/>
    <w:rsid w:val="00E13CC9"/>
    <w:rsid w:val="00E14760"/>
    <w:rsid w:val="00E148FF"/>
    <w:rsid w:val="00E16C07"/>
    <w:rsid w:val="00E173C6"/>
    <w:rsid w:val="00E178DC"/>
    <w:rsid w:val="00E17947"/>
    <w:rsid w:val="00E202C1"/>
    <w:rsid w:val="00E21178"/>
    <w:rsid w:val="00E215FD"/>
    <w:rsid w:val="00E2177A"/>
    <w:rsid w:val="00E21DC3"/>
    <w:rsid w:val="00E220BF"/>
    <w:rsid w:val="00E22516"/>
    <w:rsid w:val="00E227A0"/>
    <w:rsid w:val="00E23C6C"/>
    <w:rsid w:val="00E23F96"/>
    <w:rsid w:val="00E254E6"/>
    <w:rsid w:val="00E2596B"/>
    <w:rsid w:val="00E25DAD"/>
    <w:rsid w:val="00E2724E"/>
    <w:rsid w:val="00E2753F"/>
    <w:rsid w:val="00E275AF"/>
    <w:rsid w:val="00E3027E"/>
    <w:rsid w:val="00E305EE"/>
    <w:rsid w:val="00E31B21"/>
    <w:rsid w:val="00E324AC"/>
    <w:rsid w:val="00E324B1"/>
    <w:rsid w:val="00E32AC1"/>
    <w:rsid w:val="00E331BA"/>
    <w:rsid w:val="00E3356E"/>
    <w:rsid w:val="00E337C8"/>
    <w:rsid w:val="00E3402A"/>
    <w:rsid w:val="00E342BD"/>
    <w:rsid w:val="00E35A76"/>
    <w:rsid w:val="00E36DAF"/>
    <w:rsid w:val="00E37443"/>
    <w:rsid w:val="00E3757C"/>
    <w:rsid w:val="00E37A3B"/>
    <w:rsid w:val="00E40426"/>
    <w:rsid w:val="00E40C42"/>
    <w:rsid w:val="00E417C7"/>
    <w:rsid w:val="00E42632"/>
    <w:rsid w:val="00E4264B"/>
    <w:rsid w:val="00E437D9"/>
    <w:rsid w:val="00E43DEF"/>
    <w:rsid w:val="00E45F84"/>
    <w:rsid w:val="00E46220"/>
    <w:rsid w:val="00E4699C"/>
    <w:rsid w:val="00E46D78"/>
    <w:rsid w:val="00E47466"/>
    <w:rsid w:val="00E50482"/>
    <w:rsid w:val="00E50BA3"/>
    <w:rsid w:val="00E51250"/>
    <w:rsid w:val="00E5139E"/>
    <w:rsid w:val="00E51EC5"/>
    <w:rsid w:val="00E52C94"/>
    <w:rsid w:val="00E52D0F"/>
    <w:rsid w:val="00E53940"/>
    <w:rsid w:val="00E548B9"/>
    <w:rsid w:val="00E54C80"/>
    <w:rsid w:val="00E54FB9"/>
    <w:rsid w:val="00E550D3"/>
    <w:rsid w:val="00E5551E"/>
    <w:rsid w:val="00E56FA0"/>
    <w:rsid w:val="00E5705D"/>
    <w:rsid w:val="00E57130"/>
    <w:rsid w:val="00E575B3"/>
    <w:rsid w:val="00E57B12"/>
    <w:rsid w:val="00E600C1"/>
    <w:rsid w:val="00E61D5D"/>
    <w:rsid w:val="00E623C4"/>
    <w:rsid w:val="00E62D61"/>
    <w:rsid w:val="00E63102"/>
    <w:rsid w:val="00E631EE"/>
    <w:rsid w:val="00E63A66"/>
    <w:rsid w:val="00E63F27"/>
    <w:rsid w:val="00E64459"/>
    <w:rsid w:val="00E6473E"/>
    <w:rsid w:val="00E656CE"/>
    <w:rsid w:val="00E666A9"/>
    <w:rsid w:val="00E66B68"/>
    <w:rsid w:val="00E67000"/>
    <w:rsid w:val="00E67775"/>
    <w:rsid w:val="00E67847"/>
    <w:rsid w:val="00E678F7"/>
    <w:rsid w:val="00E67C42"/>
    <w:rsid w:val="00E67FC0"/>
    <w:rsid w:val="00E70BB4"/>
    <w:rsid w:val="00E71065"/>
    <w:rsid w:val="00E7116F"/>
    <w:rsid w:val="00E728A7"/>
    <w:rsid w:val="00E730AC"/>
    <w:rsid w:val="00E74C03"/>
    <w:rsid w:val="00E74C64"/>
    <w:rsid w:val="00E75483"/>
    <w:rsid w:val="00E75A13"/>
    <w:rsid w:val="00E75FDE"/>
    <w:rsid w:val="00E76971"/>
    <w:rsid w:val="00E77388"/>
    <w:rsid w:val="00E77A8B"/>
    <w:rsid w:val="00E77AA4"/>
    <w:rsid w:val="00E77EC7"/>
    <w:rsid w:val="00E817BE"/>
    <w:rsid w:val="00E81ADB"/>
    <w:rsid w:val="00E81F84"/>
    <w:rsid w:val="00E82854"/>
    <w:rsid w:val="00E82EC6"/>
    <w:rsid w:val="00E83B17"/>
    <w:rsid w:val="00E83DDA"/>
    <w:rsid w:val="00E84D84"/>
    <w:rsid w:val="00E85156"/>
    <w:rsid w:val="00E8543D"/>
    <w:rsid w:val="00E86068"/>
    <w:rsid w:val="00E862BA"/>
    <w:rsid w:val="00E866F9"/>
    <w:rsid w:val="00E86F60"/>
    <w:rsid w:val="00E86FE7"/>
    <w:rsid w:val="00E8723E"/>
    <w:rsid w:val="00E876B1"/>
    <w:rsid w:val="00E87DBF"/>
    <w:rsid w:val="00E903FD"/>
    <w:rsid w:val="00E90DAD"/>
    <w:rsid w:val="00E91218"/>
    <w:rsid w:val="00E91F60"/>
    <w:rsid w:val="00E92247"/>
    <w:rsid w:val="00E92AB2"/>
    <w:rsid w:val="00E93C77"/>
    <w:rsid w:val="00E94546"/>
    <w:rsid w:val="00E95372"/>
    <w:rsid w:val="00E960C2"/>
    <w:rsid w:val="00E966DD"/>
    <w:rsid w:val="00E968E8"/>
    <w:rsid w:val="00E975E1"/>
    <w:rsid w:val="00E97855"/>
    <w:rsid w:val="00E97CC8"/>
    <w:rsid w:val="00EA0739"/>
    <w:rsid w:val="00EA0D22"/>
    <w:rsid w:val="00EA105C"/>
    <w:rsid w:val="00EA110C"/>
    <w:rsid w:val="00EA2153"/>
    <w:rsid w:val="00EA21DD"/>
    <w:rsid w:val="00EA256A"/>
    <w:rsid w:val="00EA491C"/>
    <w:rsid w:val="00EA6603"/>
    <w:rsid w:val="00EA681B"/>
    <w:rsid w:val="00EA68AE"/>
    <w:rsid w:val="00EA69DC"/>
    <w:rsid w:val="00EA7325"/>
    <w:rsid w:val="00EA7710"/>
    <w:rsid w:val="00EA7F28"/>
    <w:rsid w:val="00EB0EA9"/>
    <w:rsid w:val="00EB1457"/>
    <w:rsid w:val="00EB159E"/>
    <w:rsid w:val="00EB2051"/>
    <w:rsid w:val="00EB25DB"/>
    <w:rsid w:val="00EB2983"/>
    <w:rsid w:val="00EB2A69"/>
    <w:rsid w:val="00EB2B5A"/>
    <w:rsid w:val="00EB3738"/>
    <w:rsid w:val="00EB3C1A"/>
    <w:rsid w:val="00EB4011"/>
    <w:rsid w:val="00EB407B"/>
    <w:rsid w:val="00EB40D4"/>
    <w:rsid w:val="00EB5398"/>
    <w:rsid w:val="00EB5700"/>
    <w:rsid w:val="00EB5748"/>
    <w:rsid w:val="00EB5809"/>
    <w:rsid w:val="00EB61D5"/>
    <w:rsid w:val="00EB62CF"/>
    <w:rsid w:val="00EC0D4D"/>
    <w:rsid w:val="00EC1A41"/>
    <w:rsid w:val="00EC1FDA"/>
    <w:rsid w:val="00EC27E3"/>
    <w:rsid w:val="00EC38DA"/>
    <w:rsid w:val="00EC40E0"/>
    <w:rsid w:val="00EC5A47"/>
    <w:rsid w:val="00EC5A63"/>
    <w:rsid w:val="00EC6FD2"/>
    <w:rsid w:val="00EC70F3"/>
    <w:rsid w:val="00EC7ED4"/>
    <w:rsid w:val="00ED005C"/>
    <w:rsid w:val="00ED0C4C"/>
    <w:rsid w:val="00ED173E"/>
    <w:rsid w:val="00ED1BA2"/>
    <w:rsid w:val="00ED24EA"/>
    <w:rsid w:val="00ED2813"/>
    <w:rsid w:val="00ED2F3B"/>
    <w:rsid w:val="00ED3089"/>
    <w:rsid w:val="00ED3DDD"/>
    <w:rsid w:val="00ED3F58"/>
    <w:rsid w:val="00ED5073"/>
    <w:rsid w:val="00ED50A0"/>
    <w:rsid w:val="00ED6069"/>
    <w:rsid w:val="00ED637F"/>
    <w:rsid w:val="00ED6C45"/>
    <w:rsid w:val="00ED715D"/>
    <w:rsid w:val="00ED7772"/>
    <w:rsid w:val="00ED7937"/>
    <w:rsid w:val="00EE0458"/>
    <w:rsid w:val="00EE0A5E"/>
    <w:rsid w:val="00EE0BD5"/>
    <w:rsid w:val="00EE122A"/>
    <w:rsid w:val="00EE1286"/>
    <w:rsid w:val="00EE137A"/>
    <w:rsid w:val="00EE1D0E"/>
    <w:rsid w:val="00EE1F4B"/>
    <w:rsid w:val="00EE25DF"/>
    <w:rsid w:val="00EE2DE9"/>
    <w:rsid w:val="00EE2E49"/>
    <w:rsid w:val="00EE3134"/>
    <w:rsid w:val="00EE3853"/>
    <w:rsid w:val="00EE3AF9"/>
    <w:rsid w:val="00EE3D00"/>
    <w:rsid w:val="00EE50E1"/>
    <w:rsid w:val="00EE5EC1"/>
    <w:rsid w:val="00EE6786"/>
    <w:rsid w:val="00EE7B22"/>
    <w:rsid w:val="00EE7E34"/>
    <w:rsid w:val="00EF0694"/>
    <w:rsid w:val="00EF07F2"/>
    <w:rsid w:val="00EF10B7"/>
    <w:rsid w:val="00EF1300"/>
    <w:rsid w:val="00EF1F25"/>
    <w:rsid w:val="00EF236B"/>
    <w:rsid w:val="00EF2378"/>
    <w:rsid w:val="00EF313C"/>
    <w:rsid w:val="00EF40A5"/>
    <w:rsid w:val="00EF53DB"/>
    <w:rsid w:val="00EF61A0"/>
    <w:rsid w:val="00EF64B7"/>
    <w:rsid w:val="00EF6601"/>
    <w:rsid w:val="00EF776F"/>
    <w:rsid w:val="00EF7DE5"/>
    <w:rsid w:val="00F002B0"/>
    <w:rsid w:val="00F00980"/>
    <w:rsid w:val="00F0106B"/>
    <w:rsid w:val="00F0117F"/>
    <w:rsid w:val="00F01437"/>
    <w:rsid w:val="00F01C8D"/>
    <w:rsid w:val="00F02613"/>
    <w:rsid w:val="00F02DD1"/>
    <w:rsid w:val="00F02E89"/>
    <w:rsid w:val="00F04145"/>
    <w:rsid w:val="00F0427B"/>
    <w:rsid w:val="00F04C1C"/>
    <w:rsid w:val="00F04FF4"/>
    <w:rsid w:val="00F05C85"/>
    <w:rsid w:val="00F066C6"/>
    <w:rsid w:val="00F06840"/>
    <w:rsid w:val="00F06B1A"/>
    <w:rsid w:val="00F073CC"/>
    <w:rsid w:val="00F07700"/>
    <w:rsid w:val="00F07E62"/>
    <w:rsid w:val="00F10BD6"/>
    <w:rsid w:val="00F10C0F"/>
    <w:rsid w:val="00F11F87"/>
    <w:rsid w:val="00F1230C"/>
    <w:rsid w:val="00F12550"/>
    <w:rsid w:val="00F12F43"/>
    <w:rsid w:val="00F1366F"/>
    <w:rsid w:val="00F1441E"/>
    <w:rsid w:val="00F14846"/>
    <w:rsid w:val="00F14909"/>
    <w:rsid w:val="00F14AC0"/>
    <w:rsid w:val="00F14F50"/>
    <w:rsid w:val="00F15DFF"/>
    <w:rsid w:val="00F164BC"/>
    <w:rsid w:val="00F16830"/>
    <w:rsid w:val="00F16FE0"/>
    <w:rsid w:val="00F207D9"/>
    <w:rsid w:val="00F20C2A"/>
    <w:rsid w:val="00F213AB"/>
    <w:rsid w:val="00F21460"/>
    <w:rsid w:val="00F2181D"/>
    <w:rsid w:val="00F2194E"/>
    <w:rsid w:val="00F21C07"/>
    <w:rsid w:val="00F21C2B"/>
    <w:rsid w:val="00F220CF"/>
    <w:rsid w:val="00F220EA"/>
    <w:rsid w:val="00F2219F"/>
    <w:rsid w:val="00F22585"/>
    <w:rsid w:val="00F229F6"/>
    <w:rsid w:val="00F22BB9"/>
    <w:rsid w:val="00F24528"/>
    <w:rsid w:val="00F24A61"/>
    <w:rsid w:val="00F24D53"/>
    <w:rsid w:val="00F24F70"/>
    <w:rsid w:val="00F26238"/>
    <w:rsid w:val="00F2632C"/>
    <w:rsid w:val="00F2638F"/>
    <w:rsid w:val="00F27B8D"/>
    <w:rsid w:val="00F3001A"/>
    <w:rsid w:val="00F300D8"/>
    <w:rsid w:val="00F30D26"/>
    <w:rsid w:val="00F31092"/>
    <w:rsid w:val="00F3168A"/>
    <w:rsid w:val="00F31B4D"/>
    <w:rsid w:val="00F31F62"/>
    <w:rsid w:val="00F3219A"/>
    <w:rsid w:val="00F32384"/>
    <w:rsid w:val="00F32757"/>
    <w:rsid w:val="00F3283F"/>
    <w:rsid w:val="00F32EBD"/>
    <w:rsid w:val="00F332C9"/>
    <w:rsid w:val="00F3409A"/>
    <w:rsid w:val="00F34B5B"/>
    <w:rsid w:val="00F351CE"/>
    <w:rsid w:val="00F354E4"/>
    <w:rsid w:val="00F35CF4"/>
    <w:rsid w:val="00F400C9"/>
    <w:rsid w:val="00F40159"/>
    <w:rsid w:val="00F40A22"/>
    <w:rsid w:val="00F40BD9"/>
    <w:rsid w:val="00F41179"/>
    <w:rsid w:val="00F41D15"/>
    <w:rsid w:val="00F4205E"/>
    <w:rsid w:val="00F42883"/>
    <w:rsid w:val="00F43679"/>
    <w:rsid w:val="00F43979"/>
    <w:rsid w:val="00F44CDB"/>
    <w:rsid w:val="00F44F8C"/>
    <w:rsid w:val="00F455C4"/>
    <w:rsid w:val="00F45816"/>
    <w:rsid w:val="00F50FA6"/>
    <w:rsid w:val="00F50FA7"/>
    <w:rsid w:val="00F5147B"/>
    <w:rsid w:val="00F51784"/>
    <w:rsid w:val="00F51A37"/>
    <w:rsid w:val="00F51B06"/>
    <w:rsid w:val="00F51ED1"/>
    <w:rsid w:val="00F525C6"/>
    <w:rsid w:val="00F52B8B"/>
    <w:rsid w:val="00F52FDF"/>
    <w:rsid w:val="00F551AA"/>
    <w:rsid w:val="00F555AE"/>
    <w:rsid w:val="00F556A7"/>
    <w:rsid w:val="00F55920"/>
    <w:rsid w:val="00F55B26"/>
    <w:rsid w:val="00F56070"/>
    <w:rsid w:val="00F572C5"/>
    <w:rsid w:val="00F5779B"/>
    <w:rsid w:val="00F5793C"/>
    <w:rsid w:val="00F614C5"/>
    <w:rsid w:val="00F62A76"/>
    <w:rsid w:val="00F62B4E"/>
    <w:rsid w:val="00F6309F"/>
    <w:rsid w:val="00F63137"/>
    <w:rsid w:val="00F64351"/>
    <w:rsid w:val="00F644E7"/>
    <w:rsid w:val="00F64780"/>
    <w:rsid w:val="00F64797"/>
    <w:rsid w:val="00F6484B"/>
    <w:rsid w:val="00F651E2"/>
    <w:rsid w:val="00F66816"/>
    <w:rsid w:val="00F669E4"/>
    <w:rsid w:val="00F66A4B"/>
    <w:rsid w:val="00F66C75"/>
    <w:rsid w:val="00F6729D"/>
    <w:rsid w:val="00F67426"/>
    <w:rsid w:val="00F6798E"/>
    <w:rsid w:val="00F67B9A"/>
    <w:rsid w:val="00F67C49"/>
    <w:rsid w:val="00F700A0"/>
    <w:rsid w:val="00F702C2"/>
    <w:rsid w:val="00F7058A"/>
    <w:rsid w:val="00F70937"/>
    <w:rsid w:val="00F72321"/>
    <w:rsid w:val="00F737C3"/>
    <w:rsid w:val="00F73E46"/>
    <w:rsid w:val="00F75B43"/>
    <w:rsid w:val="00F75CC2"/>
    <w:rsid w:val="00F75E28"/>
    <w:rsid w:val="00F7628A"/>
    <w:rsid w:val="00F762CB"/>
    <w:rsid w:val="00F768B8"/>
    <w:rsid w:val="00F769CD"/>
    <w:rsid w:val="00F76E5E"/>
    <w:rsid w:val="00F76F65"/>
    <w:rsid w:val="00F77989"/>
    <w:rsid w:val="00F77FE3"/>
    <w:rsid w:val="00F80AB2"/>
    <w:rsid w:val="00F80B8F"/>
    <w:rsid w:val="00F80E86"/>
    <w:rsid w:val="00F81A86"/>
    <w:rsid w:val="00F81FD9"/>
    <w:rsid w:val="00F82044"/>
    <w:rsid w:val="00F820E3"/>
    <w:rsid w:val="00F822AB"/>
    <w:rsid w:val="00F82C09"/>
    <w:rsid w:val="00F82EF5"/>
    <w:rsid w:val="00F8396B"/>
    <w:rsid w:val="00F83BD6"/>
    <w:rsid w:val="00F84883"/>
    <w:rsid w:val="00F84A17"/>
    <w:rsid w:val="00F8550B"/>
    <w:rsid w:val="00F8740B"/>
    <w:rsid w:val="00F8794A"/>
    <w:rsid w:val="00F92735"/>
    <w:rsid w:val="00F92D20"/>
    <w:rsid w:val="00F92DEA"/>
    <w:rsid w:val="00F92E2D"/>
    <w:rsid w:val="00F93278"/>
    <w:rsid w:val="00F93AEE"/>
    <w:rsid w:val="00F94305"/>
    <w:rsid w:val="00F95441"/>
    <w:rsid w:val="00F958AD"/>
    <w:rsid w:val="00F95A15"/>
    <w:rsid w:val="00F95AB3"/>
    <w:rsid w:val="00F96535"/>
    <w:rsid w:val="00F9675F"/>
    <w:rsid w:val="00F969EF"/>
    <w:rsid w:val="00F96CE1"/>
    <w:rsid w:val="00F96F9D"/>
    <w:rsid w:val="00F97406"/>
    <w:rsid w:val="00F975BD"/>
    <w:rsid w:val="00F97863"/>
    <w:rsid w:val="00F979D6"/>
    <w:rsid w:val="00F97F5E"/>
    <w:rsid w:val="00FA015F"/>
    <w:rsid w:val="00FA231D"/>
    <w:rsid w:val="00FA2434"/>
    <w:rsid w:val="00FA2938"/>
    <w:rsid w:val="00FA2B03"/>
    <w:rsid w:val="00FA2FBB"/>
    <w:rsid w:val="00FA3860"/>
    <w:rsid w:val="00FA4414"/>
    <w:rsid w:val="00FA4A9C"/>
    <w:rsid w:val="00FA5712"/>
    <w:rsid w:val="00FA615E"/>
    <w:rsid w:val="00FA6FA9"/>
    <w:rsid w:val="00FA7BFA"/>
    <w:rsid w:val="00FB0270"/>
    <w:rsid w:val="00FB02B5"/>
    <w:rsid w:val="00FB096B"/>
    <w:rsid w:val="00FB0C28"/>
    <w:rsid w:val="00FB1C5A"/>
    <w:rsid w:val="00FB1D94"/>
    <w:rsid w:val="00FB313E"/>
    <w:rsid w:val="00FB31DC"/>
    <w:rsid w:val="00FB3986"/>
    <w:rsid w:val="00FB3B3E"/>
    <w:rsid w:val="00FB414A"/>
    <w:rsid w:val="00FB417F"/>
    <w:rsid w:val="00FB4445"/>
    <w:rsid w:val="00FB5398"/>
    <w:rsid w:val="00FB5B82"/>
    <w:rsid w:val="00FB6F67"/>
    <w:rsid w:val="00FB7DA5"/>
    <w:rsid w:val="00FC0AB6"/>
    <w:rsid w:val="00FC1503"/>
    <w:rsid w:val="00FC2BEB"/>
    <w:rsid w:val="00FC3E95"/>
    <w:rsid w:val="00FC43C3"/>
    <w:rsid w:val="00FC60DD"/>
    <w:rsid w:val="00FC66B4"/>
    <w:rsid w:val="00FC6D3D"/>
    <w:rsid w:val="00FC6DF9"/>
    <w:rsid w:val="00FC6E2D"/>
    <w:rsid w:val="00FC6EFA"/>
    <w:rsid w:val="00FC7A8F"/>
    <w:rsid w:val="00FD10F9"/>
    <w:rsid w:val="00FD1152"/>
    <w:rsid w:val="00FD1275"/>
    <w:rsid w:val="00FD143F"/>
    <w:rsid w:val="00FD2D63"/>
    <w:rsid w:val="00FD3672"/>
    <w:rsid w:val="00FD3B10"/>
    <w:rsid w:val="00FD4970"/>
    <w:rsid w:val="00FD4EBD"/>
    <w:rsid w:val="00FD5698"/>
    <w:rsid w:val="00FD63A6"/>
    <w:rsid w:val="00FD7A11"/>
    <w:rsid w:val="00FE1187"/>
    <w:rsid w:val="00FE1A1A"/>
    <w:rsid w:val="00FE21C4"/>
    <w:rsid w:val="00FE27C5"/>
    <w:rsid w:val="00FE386C"/>
    <w:rsid w:val="00FE4475"/>
    <w:rsid w:val="00FE4569"/>
    <w:rsid w:val="00FE465D"/>
    <w:rsid w:val="00FE5A5B"/>
    <w:rsid w:val="00FE65B8"/>
    <w:rsid w:val="00FE72EC"/>
    <w:rsid w:val="00FE73A0"/>
    <w:rsid w:val="00FE74BA"/>
    <w:rsid w:val="00FE7745"/>
    <w:rsid w:val="00FE7DB2"/>
    <w:rsid w:val="00FE7F68"/>
    <w:rsid w:val="00FF0E48"/>
    <w:rsid w:val="00FF1C30"/>
    <w:rsid w:val="00FF1FE1"/>
    <w:rsid w:val="00FF2968"/>
    <w:rsid w:val="00FF2FFE"/>
    <w:rsid w:val="00FF35BF"/>
    <w:rsid w:val="00FF35F8"/>
    <w:rsid w:val="00FF3A91"/>
    <w:rsid w:val="00FF3C94"/>
    <w:rsid w:val="00FF4A1D"/>
    <w:rsid w:val="00FF528F"/>
    <w:rsid w:val="00FF59BD"/>
    <w:rsid w:val="00FF7300"/>
    <w:rsid w:val="00FF7850"/>
    <w:rsid w:val="01DA549B"/>
    <w:rsid w:val="04023C62"/>
    <w:rsid w:val="06774436"/>
    <w:rsid w:val="0711D652"/>
    <w:rsid w:val="0800A1ED"/>
    <w:rsid w:val="0C9838F6"/>
    <w:rsid w:val="0CDEF9B4"/>
    <w:rsid w:val="0EC334C4"/>
    <w:rsid w:val="0F3437CA"/>
    <w:rsid w:val="0F826C5A"/>
    <w:rsid w:val="11AB1A8A"/>
    <w:rsid w:val="11F427D9"/>
    <w:rsid w:val="12AFE470"/>
    <w:rsid w:val="14012883"/>
    <w:rsid w:val="16BA72A8"/>
    <w:rsid w:val="1703A183"/>
    <w:rsid w:val="1A2980B2"/>
    <w:rsid w:val="1A9868A1"/>
    <w:rsid w:val="1B62782B"/>
    <w:rsid w:val="1C873588"/>
    <w:rsid w:val="213D67C8"/>
    <w:rsid w:val="2184FD77"/>
    <w:rsid w:val="2493E647"/>
    <w:rsid w:val="29B259C2"/>
    <w:rsid w:val="2B6EFE72"/>
    <w:rsid w:val="2B9BFB57"/>
    <w:rsid w:val="2BD20324"/>
    <w:rsid w:val="2C894136"/>
    <w:rsid w:val="2DB78E82"/>
    <w:rsid w:val="2E380617"/>
    <w:rsid w:val="2F7FDC92"/>
    <w:rsid w:val="31684A0E"/>
    <w:rsid w:val="3334647C"/>
    <w:rsid w:val="33DE13F1"/>
    <w:rsid w:val="34CA91B5"/>
    <w:rsid w:val="368F8C51"/>
    <w:rsid w:val="369DBF32"/>
    <w:rsid w:val="39E49109"/>
    <w:rsid w:val="3B601123"/>
    <w:rsid w:val="3B692C5E"/>
    <w:rsid w:val="3C09C334"/>
    <w:rsid w:val="3C74094E"/>
    <w:rsid w:val="3C77E6EC"/>
    <w:rsid w:val="3DA89A95"/>
    <w:rsid w:val="3DE5DCD6"/>
    <w:rsid w:val="40266579"/>
    <w:rsid w:val="40B632D8"/>
    <w:rsid w:val="425A4F97"/>
    <w:rsid w:val="427B25E7"/>
    <w:rsid w:val="4599E606"/>
    <w:rsid w:val="45C10972"/>
    <w:rsid w:val="45D6F012"/>
    <w:rsid w:val="46090CE1"/>
    <w:rsid w:val="460C21F6"/>
    <w:rsid w:val="466BA2E2"/>
    <w:rsid w:val="467A6AEF"/>
    <w:rsid w:val="4770823F"/>
    <w:rsid w:val="49F901D1"/>
    <w:rsid w:val="4BC78E16"/>
    <w:rsid w:val="530CE00C"/>
    <w:rsid w:val="53F9F5E2"/>
    <w:rsid w:val="55950037"/>
    <w:rsid w:val="55D9B479"/>
    <w:rsid w:val="55E032EC"/>
    <w:rsid w:val="5713A44F"/>
    <w:rsid w:val="5CF8624B"/>
    <w:rsid w:val="5D18E57C"/>
    <w:rsid w:val="5DFA6369"/>
    <w:rsid w:val="60A95BB5"/>
    <w:rsid w:val="60B2E743"/>
    <w:rsid w:val="62719A57"/>
    <w:rsid w:val="62D8831D"/>
    <w:rsid w:val="631A4A92"/>
    <w:rsid w:val="63CC6BA6"/>
    <w:rsid w:val="6424F408"/>
    <w:rsid w:val="655D8A20"/>
    <w:rsid w:val="65C0F0C8"/>
    <w:rsid w:val="665B2F09"/>
    <w:rsid w:val="666BB98E"/>
    <w:rsid w:val="66C58733"/>
    <w:rsid w:val="66FFEA48"/>
    <w:rsid w:val="67B3B79F"/>
    <w:rsid w:val="691986F1"/>
    <w:rsid w:val="6B847AD5"/>
    <w:rsid w:val="6B878CD8"/>
    <w:rsid w:val="6C578A06"/>
    <w:rsid w:val="6CACF394"/>
    <w:rsid w:val="6CDC13F9"/>
    <w:rsid w:val="6E626C04"/>
    <w:rsid w:val="6EF43EA1"/>
    <w:rsid w:val="6FFD0680"/>
    <w:rsid w:val="70FBD0C5"/>
    <w:rsid w:val="710497D1"/>
    <w:rsid w:val="71778EE3"/>
    <w:rsid w:val="71C07152"/>
    <w:rsid w:val="7299C6A8"/>
    <w:rsid w:val="736769EF"/>
    <w:rsid w:val="752D46D4"/>
    <w:rsid w:val="75E121AE"/>
    <w:rsid w:val="762BCF76"/>
    <w:rsid w:val="77744776"/>
    <w:rsid w:val="77BFD6CC"/>
    <w:rsid w:val="77E58071"/>
    <w:rsid w:val="77F3DAB9"/>
    <w:rsid w:val="7879083B"/>
    <w:rsid w:val="7D8F7CF1"/>
    <w:rsid w:val="7E2D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2DB4E"/>
  <w15:chartTrackingRefBased/>
  <w15:docId w15:val="{0B8D8FD9-662F-4069-B231-A8745812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180"/>
    <w:pPr>
      <w:spacing w:before="120" w:after="12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74A3"/>
    <w:pPr>
      <w:keepNext/>
      <w:keepLines/>
      <w:spacing w:before="600"/>
      <w:contextualSpacing/>
      <w:outlineLvl w:val="0"/>
    </w:pPr>
    <w:rPr>
      <w:rFonts w:asciiTheme="majorHAnsi" w:eastAsiaTheme="majorEastAsia" w:hAnsiTheme="majorHAnsi" w:cstheme="majorBidi"/>
      <w:color w:val="0766A5" w:themeColor="accent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5778"/>
    <w:pPr>
      <w:keepNext/>
      <w:keepLines/>
      <w:spacing w:before="360"/>
      <w:outlineLvl w:val="1"/>
    </w:pPr>
    <w:rPr>
      <w:rFonts w:asciiTheme="majorHAnsi" w:eastAsiaTheme="majorEastAsia" w:hAnsiTheme="majorHAnsi" w:cstheme="majorBidi"/>
      <w:color w:val="0766A5" w:themeColor="accent1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qFormat/>
    <w:rsid w:val="00BD5778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color w:val="0766A5" w:themeColor="accent1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"/>
    <w:qFormat/>
    <w:rsid w:val="00BD5778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iCs/>
      <w:color w:val="0766A5" w:themeColor="accent1"/>
      <w:sz w:val="32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00E48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color w:val="0766A5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C50A9A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C50A9A"/>
    <w:pPr>
      <w:keepNext/>
      <w:keepLines/>
      <w:spacing w:before="240"/>
      <w:outlineLvl w:val="6"/>
    </w:pPr>
    <w:rPr>
      <w:rFonts w:asciiTheme="majorHAnsi" w:eastAsiaTheme="majorEastAsia" w:hAnsiTheme="majorHAnsi" w:cstheme="majorBidi"/>
      <w:b/>
      <w:iCs/>
      <w:color w:val="0766A5" w:themeColor="accent1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C50A9A"/>
    <w:pPr>
      <w:keepNext/>
      <w:keepLines/>
      <w:spacing w:before="2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6DC6"/>
    <w:pPr>
      <w:tabs>
        <w:tab w:val="center" w:pos="4513"/>
        <w:tab w:val="right" w:pos="9026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AA6DC6"/>
    <w:rPr>
      <w:sz w:val="20"/>
    </w:rPr>
  </w:style>
  <w:style w:type="paragraph" w:styleId="Footer">
    <w:name w:val="footer"/>
    <w:basedOn w:val="Normal"/>
    <w:link w:val="FooterChar"/>
    <w:uiPriority w:val="99"/>
    <w:rsid w:val="00AA6DC6"/>
    <w:pPr>
      <w:tabs>
        <w:tab w:val="center" w:pos="4513"/>
        <w:tab w:val="right" w:pos="9026"/>
      </w:tabs>
      <w:spacing w:after="0"/>
    </w:pPr>
    <w:rPr>
      <w:color w:val="001B35" w:themeColor="text2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A6DC6"/>
    <w:rPr>
      <w:color w:val="001B35" w:themeColor="text2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874A3"/>
    <w:rPr>
      <w:rFonts w:asciiTheme="majorHAnsi" w:eastAsiaTheme="majorEastAsia" w:hAnsiTheme="majorHAnsi" w:cstheme="majorBidi"/>
      <w:color w:val="0766A5" w:themeColor="accent1"/>
      <w:sz w:val="72"/>
      <w:szCs w:val="32"/>
    </w:rPr>
  </w:style>
  <w:style w:type="table" w:customStyle="1" w:styleId="Verticaltable">
    <w:name w:val="Vertical table"/>
    <w:basedOn w:val="TableNormal"/>
    <w:uiPriority w:val="99"/>
    <w:rsid w:val="00AA6DC6"/>
    <w:pPr>
      <w:spacing w:after="0" w:line="240" w:lineRule="auto"/>
    </w:pPr>
    <w:tblPr>
      <w:tblBorders>
        <w:top w:val="single" w:sz="4" w:space="0" w:color="0766A5" w:themeColor="accent1"/>
        <w:left w:val="single" w:sz="4" w:space="0" w:color="0766A5" w:themeColor="accent1"/>
        <w:bottom w:val="single" w:sz="4" w:space="0" w:color="0766A5" w:themeColor="accent1"/>
        <w:right w:val="single" w:sz="4" w:space="0" w:color="0766A5" w:themeColor="accent1"/>
        <w:insideH w:val="single" w:sz="4" w:space="0" w:color="0766A5" w:themeColor="accent1"/>
        <w:insideV w:val="single" w:sz="4" w:space="0" w:color="0766A5" w:themeColor="accent1"/>
      </w:tblBorders>
    </w:tblPr>
    <w:tblStylePr w:type="lastRow">
      <w:rPr>
        <w:b w:val="0"/>
      </w:rPr>
    </w:tblStylePr>
    <w:tblStylePr w:type="firstCol">
      <w:rPr>
        <w:b/>
        <w:color w:val="FFFFFF" w:themeColor="background1"/>
      </w:rPr>
      <w:tblPr/>
      <w:tcPr>
        <w:tcBorders>
          <w:insideH w:val="single" w:sz="4" w:space="0" w:color="FFFFFF" w:themeColor="background1"/>
        </w:tcBorders>
        <w:shd w:val="clear" w:color="auto" w:fill="0766A5" w:themeFill="accent1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72DFF"/>
    <w:rPr>
      <w:color w:val="001B35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92C"/>
    <w:pPr>
      <w:numPr>
        <w:ilvl w:val="1"/>
      </w:numPr>
    </w:pPr>
    <w:rPr>
      <w:rFonts w:eastAsiaTheme="minorEastAsia"/>
      <w:color w:val="001B35" w:themeColor="text2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6A092C"/>
    <w:rPr>
      <w:rFonts w:eastAsiaTheme="minorEastAsia"/>
      <w:color w:val="001B35" w:themeColor="text2"/>
      <w:sz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68AE"/>
    <w:rPr>
      <w:rFonts w:asciiTheme="majorHAnsi" w:eastAsiaTheme="majorEastAsia" w:hAnsiTheme="majorHAnsi" w:cstheme="majorBidi"/>
      <w:color w:val="0766A5" w:themeColor="accent1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EA68AE"/>
    <w:rPr>
      <w:rFonts w:asciiTheme="majorHAnsi" w:eastAsiaTheme="majorEastAsia" w:hAnsiTheme="majorHAnsi" w:cstheme="majorBidi"/>
      <w:color w:val="0766A5" w:themeColor="accent1"/>
      <w:sz w:val="40"/>
      <w:szCs w:val="40"/>
    </w:rPr>
  </w:style>
  <w:style w:type="character" w:customStyle="1" w:styleId="Heading4Char">
    <w:name w:val="Heading 4 Char"/>
    <w:basedOn w:val="DefaultParagraphFont"/>
    <w:link w:val="Heading4"/>
    <w:uiPriority w:val="9"/>
    <w:rsid w:val="00EA68AE"/>
    <w:rPr>
      <w:rFonts w:asciiTheme="majorHAnsi" w:eastAsiaTheme="majorEastAsia" w:hAnsiTheme="majorHAnsi" w:cstheme="majorBidi"/>
      <w:iCs/>
      <w:color w:val="0766A5" w:themeColor="accent1"/>
      <w:sz w:val="32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900E48"/>
    <w:rPr>
      <w:rFonts w:asciiTheme="majorHAnsi" w:eastAsiaTheme="majorEastAsia" w:hAnsiTheme="majorHAnsi" w:cstheme="majorBidi"/>
      <w:color w:val="0766A5" w:themeColor="accent1"/>
      <w:sz w:val="26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BD5778"/>
    <w:pPr>
      <w:pBdr>
        <w:top w:val="single" w:sz="4" w:space="6" w:color="0766A5" w:themeColor="accent1"/>
        <w:bottom w:val="single" w:sz="4" w:space="6" w:color="0766A5" w:themeColor="accent1"/>
      </w:pBdr>
      <w:spacing w:before="240" w:after="240"/>
      <w:ind w:right="2835"/>
    </w:pPr>
    <w:rPr>
      <w:iCs/>
      <w:color w:val="000000" w:themeColor="text1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D5778"/>
    <w:rPr>
      <w:iCs/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B251DB"/>
    <w:rPr>
      <w:b/>
      <w:bCs/>
    </w:rPr>
  </w:style>
  <w:style w:type="character" w:styleId="Emphasis">
    <w:name w:val="Emphasis"/>
    <w:basedOn w:val="DefaultParagraphFont"/>
    <w:uiPriority w:val="20"/>
    <w:qFormat/>
    <w:rsid w:val="00B251DB"/>
    <w:rPr>
      <w:i/>
      <w:iCs/>
    </w:rPr>
  </w:style>
  <w:style w:type="paragraph" w:styleId="ListParagraph">
    <w:name w:val="List Paragraph"/>
    <w:basedOn w:val="Normal"/>
    <w:uiPriority w:val="34"/>
    <w:qFormat/>
    <w:rsid w:val="00090DDB"/>
    <w:pPr>
      <w:numPr>
        <w:numId w:val="1"/>
      </w:numPr>
      <w:spacing w:before="0"/>
    </w:pPr>
  </w:style>
  <w:style w:type="character" w:styleId="Hyperlink">
    <w:name w:val="Hyperlink"/>
    <w:basedOn w:val="DefaultParagraphFont"/>
    <w:uiPriority w:val="99"/>
    <w:rsid w:val="00BF6930"/>
    <w:rPr>
      <w:color w:val="0766A5" w:themeColor="accent1"/>
      <w:u w:val="single"/>
    </w:rPr>
  </w:style>
  <w:style w:type="table" w:styleId="TableGrid">
    <w:name w:val="Table Grid"/>
    <w:aliases w:val="DISR plain Table 1"/>
    <w:basedOn w:val="TableNormal"/>
    <w:uiPriority w:val="39"/>
    <w:rsid w:val="005777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</w:tblStylePr>
  </w:style>
  <w:style w:type="table" w:styleId="PlainTable2">
    <w:name w:val="Plain Table 2"/>
    <w:basedOn w:val="TableNormal"/>
    <w:uiPriority w:val="42"/>
    <w:rsid w:val="0071134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1Light">
    <w:name w:val="Grid Table 1 Light"/>
    <w:basedOn w:val="TableNormal"/>
    <w:uiPriority w:val="46"/>
    <w:rsid w:val="0071134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qFormat/>
    <w:rsid w:val="005777BC"/>
    <w:rPr>
      <w:b/>
      <w:iCs/>
      <w:szCs w:val="18"/>
    </w:rPr>
  </w:style>
  <w:style w:type="character" w:styleId="PlaceholderText">
    <w:name w:val="Placeholder Text"/>
    <w:basedOn w:val="DefaultParagraphFont"/>
    <w:uiPriority w:val="99"/>
    <w:semiHidden/>
    <w:rsid w:val="00BD0F8A"/>
    <w:rPr>
      <w:color w:val="808080"/>
    </w:rPr>
  </w:style>
  <w:style w:type="paragraph" w:styleId="NoSpacing">
    <w:name w:val="No Spacing"/>
    <w:link w:val="NoSpacingChar"/>
    <w:uiPriority w:val="1"/>
    <w:qFormat/>
    <w:rsid w:val="00BD5778"/>
    <w:pPr>
      <w:spacing w:after="0" w:line="240" w:lineRule="auto"/>
    </w:pPr>
    <w:rPr>
      <w:rFonts w:eastAsiaTheme="minorEastAsia"/>
      <w:sz w:val="24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D5778"/>
    <w:rPr>
      <w:rFonts w:eastAsiaTheme="minorEastAsia"/>
      <w:sz w:val="24"/>
      <w:lang w:val="en-US"/>
    </w:rPr>
  </w:style>
  <w:style w:type="paragraph" w:styleId="TOCHeading">
    <w:name w:val="TOC Heading"/>
    <w:basedOn w:val="Heading2"/>
    <w:next w:val="Normal"/>
    <w:uiPriority w:val="39"/>
    <w:unhideWhenUsed/>
    <w:rsid w:val="000F2564"/>
    <w:pPr>
      <w:spacing w:after="480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F2564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3720A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3720A"/>
    <w:pPr>
      <w:spacing w:after="100"/>
      <w:ind w:left="221"/>
    </w:pPr>
  </w:style>
  <w:style w:type="paragraph" w:customStyle="1" w:styleId="Address">
    <w:name w:val="Address"/>
    <w:basedOn w:val="Subtitle"/>
    <w:semiHidden/>
    <w:rsid w:val="009A549D"/>
    <w:pPr>
      <w:spacing w:after="0"/>
    </w:pPr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27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27E"/>
    <w:rPr>
      <w:rFonts w:ascii="Segoe UI" w:hAnsi="Segoe UI" w:cs="Segoe UI"/>
      <w:sz w:val="18"/>
      <w:szCs w:val="18"/>
    </w:rPr>
  </w:style>
  <w:style w:type="table" w:styleId="ListTable3-Accent2">
    <w:name w:val="List Table 3 Accent 2"/>
    <w:basedOn w:val="TableNormal"/>
    <w:uiPriority w:val="48"/>
    <w:rsid w:val="00153C15"/>
    <w:pPr>
      <w:spacing w:after="0" w:line="240" w:lineRule="auto"/>
    </w:pPr>
    <w:tblPr>
      <w:tblStyleRowBandSize w:val="1"/>
      <w:tblStyleColBandSize w:val="1"/>
      <w:tblBorders>
        <w:top w:val="single" w:sz="4" w:space="0" w:color="960000" w:themeColor="accent2"/>
        <w:left w:val="single" w:sz="4" w:space="0" w:color="960000" w:themeColor="accent2"/>
        <w:bottom w:val="single" w:sz="4" w:space="0" w:color="960000" w:themeColor="accent2"/>
        <w:right w:val="single" w:sz="4" w:space="0" w:color="96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0000" w:themeFill="accent2"/>
      </w:tcPr>
    </w:tblStylePr>
    <w:tblStylePr w:type="lastRow">
      <w:rPr>
        <w:b/>
        <w:bCs/>
      </w:rPr>
      <w:tblPr/>
      <w:tcPr>
        <w:tcBorders>
          <w:top w:val="double" w:sz="4" w:space="0" w:color="96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0000" w:themeColor="accent2"/>
          <w:right w:val="single" w:sz="4" w:space="0" w:color="960000" w:themeColor="accent2"/>
        </w:tcBorders>
      </w:tcPr>
    </w:tblStylePr>
    <w:tblStylePr w:type="band1Horz">
      <w:tblPr/>
      <w:tcPr>
        <w:tcBorders>
          <w:top w:val="single" w:sz="4" w:space="0" w:color="960000" w:themeColor="accent2"/>
          <w:bottom w:val="single" w:sz="4" w:space="0" w:color="96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0000" w:themeColor="accent2"/>
          <w:left w:val="nil"/>
        </w:tcBorders>
      </w:tcPr>
    </w:tblStylePr>
    <w:tblStylePr w:type="swCell">
      <w:tblPr/>
      <w:tcPr>
        <w:tcBorders>
          <w:top w:val="double" w:sz="4" w:space="0" w:color="96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153C15"/>
    <w:pPr>
      <w:spacing w:after="0" w:line="240" w:lineRule="auto"/>
    </w:pPr>
    <w:tblPr>
      <w:tblStyleRowBandSize w:val="1"/>
      <w:tblStyleColBandSize w:val="1"/>
      <w:tblBorders>
        <w:top w:val="single" w:sz="4" w:space="0" w:color="4999E1" w:themeColor="accent3"/>
        <w:left w:val="single" w:sz="4" w:space="0" w:color="4999E1" w:themeColor="accent3"/>
        <w:bottom w:val="single" w:sz="4" w:space="0" w:color="4999E1" w:themeColor="accent3"/>
        <w:right w:val="single" w:sz="4" w:space="0" w:color="4999E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999E1" w:themeFill="accent3"/>
      </w:tcPr>
    </w:tblStylePr>
    <w:tblStylePr w:type="lastRow">
      <w:rPr>
        <w:b/>
        <w:bCs/>
      </w:rPr>
      <w:tblPr/>
      <w:tcPr>
        <w:tcBorders>
          <w:top w:val="double" w:sz="4" w:space="0" w:color="4999E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999E1" w:themeColor="accent3"/>
          <w:right w:val="single" w:sz="4" w:space="0" w:color="4999E1" w:themeColor="accent3"/>
        </w:tcBorders>
      </w:tcPr>
    </w:tblStylePr>
    <w:tblStylePr w:type="band1Horz">
      <w:tblPr/>
      <w:tcPr>
        <w:tcBorders>
          <w:top w:val="single" w:sz="4" w:space="0" w:color="4999E1" w:themeColor="accent3"/>
          <w:bottom w:val="single" w:sz="4" w:space="0" w:color="4999E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999E1" w:themeColor="accent3"/>
          <w:left w:val="nil"/>
        </w:tcBorders>
      </w:tcPr>
    </w:tblStylePr>
    <w:tblStylePr w:type="swCell">
      <w:tblPr/>
      <w:tcPr>
        <w:tcBorders>
          <w:top w:val="double" w:sz="4" w:space="0" w:color="4999E1" w:themeColor="accent3"/>
          <w:right w:val="nil"/>
        </w:tcBorders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rsid w:val="00CD36CB"/>
    <w:pPr>
      <w:pBdr>
        <w:top w:val="single" w:sz="4" w:space="6" w:color="0766A5" w:themeColor="accent1"/>
        <w:bottom w:val="single" w:sz="4" w:space="6" w:color="0766A5" w:themeColor="accent1"/>
      </w:pBdr>
      <w:spacing w:before="360" w:after="360"/>
      <w:ind w:right="2835"/>
    </w:pPr>
    <w:rPr>
      <w:b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6CB"/>
    <w:rPr>
      <w:b/>
      <w:iCs/>
      <w:sz w:val="24"/>
    </w:rPr>
  </w:style>
  <w:style w:type="paragraph" w:customStyle="1" w:styleId="Calloutbox">
    <w:name w:val="Call out box"/>
    <w:basedOn w:val="Normal"/>
    <w:qFormat/>
    <w:rsid w:val="00BF6930"/>
    <w:pPr>
      <w:pBdr>
        <w:top w:val="single" w:sz="4" w:space="6" w:color="E2E1E1" w:themeColor="accent5" w:themeTint="33"/>
        <w:left w:val="single" w:sz="4" w:space="4" w:color="E2E1E1" w:themeColor="accent5" w:themeTint="33"/>
        <w:bottom w:val="single" w:sz="4" w:space="6" w:color="E2E1E1" w:themeColor="accent5" w:themeTint="33"/>
        <w:right w:val="single" w:sz="4" w:space="4" w:color="E2E1E1" w:themeColor="accent5" w:themeTint="33"/>
      </w:pBdr>
      <w:shd w:val="clear" w:color="auto" w:fill="E2E1E1" w:themeFill="accent5" w:themeFillTint="33"/>
    </w:pPr>
  </w:style>
  <w:style w:type="character" w:customStyle="1" w:styleId="Heading6Char">
    <w:name w:val="Heading 6 Char"/>
    <w:basedOn w:val="DefaultParagraphFont"/>
    <w:link w:val="Heading6"/>
    <w:uiPriority w:val="9"/>
    <w:rsid w:val="00C50A9A"/>
    <w:rPr>
      <w:rFonts w:asciiTheme="majorHAnsi" w:eastAsiaTheme="majorEastAsia" w:hAnsiTheme="majorHAnsi" w:cstheme="majorBidi"/>
      <w:color w:val="000000" w:themeColor="text1"/>
      <w:sz w:val="24"/>
    </w:rPr>
  </w:style>
  <w:style w:type="table" w:styleId="GridTable4-Accent2">
    <w:name w:val="Grid Table 4 Accent 2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FF2727" w:themeColor="accent2" w:themeTint="99"/>
        <w:left w:val="single" w:sz="4" w:space="0" w:color="FF2727" w:themeColor="accent2" w:themeTint="99"/>
        <w:bottom w:val="single" w:sz="4" w:space="0" w:color="FF2727" w:themeColor="accent2" w:themeTint="99"/>
        <w:right w:val="single" w:sz="4" w:space="0" w:color="FF2727" w:themeColor="accent2" w:themeTint="99"/>
        <w:insideH w:val="single" w:sz="4" w:space="0" w:color="FF2727" w:themeColor="accent2" w:themeTint="99"/>
        <w:insideV w:val="single" w:sz="4" w:space="0" w:color="FF2727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0000" w:themeColor="accent2"/>
          <w:left w:val="single" w:sz="4" w:space="0" w:color="960000" w:themeColor="accent2"/>
          <w:bottom w:val="single" w:sz="4" w:space="0" w:color="960000" w:themeColor="accent2"/>
          <w:right w:val="single" w:sz="4" w:space="0" w:color="960000" w:themeColor="accent2"/>
          <w:insideH w:val="nil"/>
          <w:insideV w:val="nil"/>
        </w:tcBorders>
        <w:shd w:val="clear" w:color="auto" w:fill="960000" w:themeFill="accent2"/>
      </w:tcPr>
    </w:tblStylePr>
    <w:tblStylePr w:type="lastRow">
      <w:rPr>
        <w:b/>
        <w:bCs/>
      </w:rPr>
      <w:tblPr/>
      <w:tcPr>
        <w:tcBorders>
          <w:top w:val="double" w:sz="4" w:space="0" w:color="96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B7" w:themeFill="accent2" w:themeFillTint="33"/>
      </w:tcPr>
    </w:tblStylePr>
    <w:tblStylePr w:type="band1Horz">
      <w:tblPr/>
      <w:tcPr>
        <w:shd w:val="clear" w:color="auto" w:fill="FFB7B7" w:themeFill="accent2" w:themeFillTint="33"/>
      </w:tcPr>
    </w:tblStylePr>
  </w:style>
  <w:style w:type="table" w:styleId="GridTable1Light-Accent2">
    <w:name w:val="Grid Table 1 Light Accent 2"/>
    <w:basedOn w:val="TableNormal"/>
    <w:uiPriority w:val="46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FF6F6F" w:themeColor="accent2" w:themeTint="66"/>
        <w:left w:val="single" w:sz="4" w:space="0" w:color="FF6F6F" w:themeColor="accent2" w:themeTint="66"/>
        <w:bottom w:val="single" w:sz="4" w:space="0" w:color="FF6F6F" w:themeColor="accent2" w:themeTint="66"/>
        <w:right w:val="single" w:sz="4" w:space="0" w:color="FF6F6F" w:themeColor="accent2" w:themeTint="66"/>
        <w:insideH w:val="single" w:sz="4" w:space="0" w:color="FF6F6F" w:themeColor="accent2" w:themeTint="66"/>
        <w:insideV w:val="single" w:sz="4" w:space="0" w:color="FF6F6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272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72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3F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766A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766A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766A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766A5" w:themeFill="accent1"/>
      </w:tcPr>
    </w:tblStylePr>
    <w:tblStylePr w:type="band1Vert">
      <w:tblPr/>
      <w:tcPr>
        <w:shd w:val="clear" w:color="auto" w:fill="7DC7F9" w:themeFill="accent1" w:themeFillTint="66"/>
      </w:tcPr>
    </w:tblStylePr>
    <w:tblStylePr w:type="band1Horz">
      <w:tblPr/>
      <w:tcPr>
        <w:shd w:val="clear" w:color="auto" w:fill="7DC7F9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F32757"/>
    <w:pPr>
      <w:spacing w:after="0" w:line="240" w:lineRule="auto"/>
    </w:pPr>
    <w:tblPr>
      <w:tblStyleRowBandSize w:val="1"/>
      <w:tblStyleColBandSize w:val="1"/>
      <w:tblBorders>
        <w:top w:val="single" w:sz="4" w:space="0" w:color="3CACF6" w:themeColor="accent1" w:themeTint="99"/>
        <w:left w:val="single" w:sz="4" w:space="0" w:color="3CACF6" w:themeColor="accent1" w:themeTint="99"/>
        <w:bottom w:val="single" w:sz="4" w:space="0" w:color="3CACF6" w:themeColor="accent1" w:themeTint="99"/>
        <w:right w:val="single" w:sz="4" w:space="0" w:color="3CACF6" w:themeColor="accent1" w:themeTint="99"/>
        <w:insideH w:val="single" w:sz="4" w:space="0" w:color="3CACF6" w:themeColor="accent1" w:themeTint="99"/>
        <w:insideV w:val="single" w:sz="4" w:space="0" w:color="3CACF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C7B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0766A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3FC" w:themeFill="accent1" w:themeFillTint="33"/>
      </w:tcPr>
    </w:tblStylePr>
    <w:tblStylePr w:type="band1Horz">
      <w:tblPr/>
      <w:tcPr>
        <w:shd w:val="clear" w:color="auto" w:fill="BEE3FC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A9A7A7" w:themeColor="accent5" w:themeTint="99"/>
        <w:left w:val="single" w:sz="4" w:space="0" w:color="A9A7A7" w:themeColor="accent5" w:themeTint="99"/>
        <w:bottom w:val="single" w:sz="4" w:space="0" w:color="A9A7A7" w:themeColor="accent5" w:themeTint="99"/>
        <w:right w:val="single" w:sz="4" w:space="0" w:color="A9A7A7" w:themeColor="accent5" w:themeTint="99"/>
        <w:insideH w:val="single" w:sz="4" w:space="0" w:color="A9A7A7" w:themeColor="accent5" w:themeTint="99"/>
        <w:insideV w:val="single" w:sz="4" w:space="0" w:color="A9A7A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E" w:themeColor="accent5"/>
          <w:left w:val="single" w:sz="4" w:space="0" w:color="706E6E" w:themeColor="accent5"/>
          <w:bottom w:val="single" w:sz="4" w:space="0" w:color="706E6E" w:themeColor="accent5"/>
          <w:right w:val="single" w:sz="4" w:space="0" w:color="706E6E" w:themeColor="accent5"/>
          <w:insideH w:val="nil"/>
          <w:insideV w:val="nil"/>
        </w:tcBorders>
        <w:shd w:val="clear" w:color="auto" w:fill="706E6E" w:themeFill="accent5"/>
      </w:tcPr>
    </w:tblStylePr>
    <w:tblStylePr w:type="lastRow">
      <w:rPr>
        <w:b/>
        <w:bCs/>
      </w:rPr>
      <w:tblPr/>
      <w:tcPr>
        <w:tcBorders>
          <w:top w:val="double" w:sz="4" w:space="0" w:color="706E6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1" w:themeFill="accent5" w:themeFillTint="33"/>
      </w:tcPr>
    </w:tblStylePr>
    <w:tblStylePr w:type="band1Horz">
      <w:tblPr/>
      <w:tcPr>
        <w:shd w:val="clear" w:color="auto" w:fill="E2E1E1" w:themeFill="accent5" w:themeFillTint="33"/>
      </w:tcPr>
    </w:tblStylePr>
  </w:style>
  <w:style w:type="table" w:styleId="GridTable4-Accent4">
    <w:name w:val="Grid Table 4 Accent 4"/>
    <w:aliases w:val="DISR banded - Table 2"/>
    <w:basedOn w:val="TableNormal"/>
    <w:uiPriority w:val="49"/>
    <w:rsid w:val="00BF6930"/>
    <w:pPr>
      <w:spacing w:after="0" w:line="240" w:lineRule="auto"/>
    </w:pPr>
    <w:tblPr>
      <w:tblStyleRowBandSize w:val="1"/>
      <w:tblStyleColBandSize w:val="1"/>
      <w:tblBorders>
        <w:top w:val="single" w:sz="4" w:space="0" w:color="0766A5" w:themeColor="accent1"/>
        <w:left w:val="single" w:sz="4" w:space="0" w:color="0766A5" w:themeColor="accent1"/>
        <w:bottom w:val="single" w:sz="4" w:space="0" w:color="0766A5" w:themeColor="accent1"/>
        <w:right w:val="single" w:sz="4" w:space="0" w:color="0766A5" w:themeColor="accent1"/>
        <w:insideH w:val="single" w:sz="4" w:space="0" w:color="0766A5" w:themeColor="accent1"/>
        <w:insideV w:val="single" w:sz="4" w:space="0" w:color="0766A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66A5" w:themeFill="accent1"/>
      </w:tcPr>
    </w:tblStylePr>
    <w:tblStylePr w:type="lastRow">
      <w:rPr>
        <w:b/>
        <w:bCs/>
      </w:rPr>
      <w:tblPr/>
      <w:tcPr>
        <w:tcBorders>
          <w:top w:val="single" w:sz="18" w:space="0" w:color="0B474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EEF4" w:themeFill="accent4" w:themeFillTint="33"/>
      </w:tcPr>
    </w:tblStylePr>
    <w:tblStylePr w:type="band1Horz">
      <w:tblPr/>
      <w:tcPr>
        <w:shd w:val="clear" w:color="auto" w:fill="E2E1E1" w:themeFill="accent5" w:themeFillTint="33"/>
      </w:tcPr>
    </w:tblStylePr>
  </w:style>
  <w:style w:type="table" w:styleId="GridTable4-Accent3">
    <w:name w:val="Grid Table 4 Accent 3"/>
    <w:basedOn w:val="TableNormal"/>
    <w:uiPriority w:val="49"/>
    <w:rsid w:val="004D3B0F"/>
    <w:pPr>
      <w:spacing w:after="0" w:line="240" w:lineRule="auto"/>
    </w:pPr>
    <w:tblPr>
      <w:tblStyleRowBandSize w:val="1"/>
      <w:tblStyleColBandSize w:val="1"/>
      <w:tblBorders>
        <w:top w:val="single" w:sz="4" w:space="0" w:color="91C1ED" w:themeColor="accent3" w:themeTint="99"/>
        <w:left w:val="single" w:sz="4" w:space="0" w:color="91C1ED" w:themeColor="accent3" w:themeTint="99"/>
        <w:bottom w:val="single" w:sz="4" w:space="0" w:color="91C1ED" w:themeColor="accent3" w:themeTint="99"/>
        <w:right w:val="single" w:sz="4" w:space="0" w:color="91C1ED" w:themeColor="accent3" w:themeTint="99"/>
        <w:insideH w:val="single" w:sz="4" w:space="0" w:color="91C1ED" w:themeColor="accent3" w:themeTint="99"/>
        <w:insideV w:val="single" w:sz="4" w:space="0" w:color="91C1E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99E1" w:themeColor="accent3"/>
          <w:left w:val="single" w:sz="4" w:space="0" w:color="4999E1" w:themeColor="accent3"/>
          <w:bottom w:val="single" w:sz="4" w:space="0" w:color="4999E1" w:themeColor="accent3"/>
          <w:right w:val="single" w:sz="4" w:space="0" w:color="4999E1" w:themeColor="accent3"/>
          <w:insideH w:val="nil"/>
          <w:insideV w:val="nil"/>
        </w:tcBorders>
        <w:shd w:val="clear" w:color="auto" w:fill="4999E1" w:themeFill="accent3"/>
      </w:tcPr>
    </w:tblStylePr>
    <w:tblStylePr w:type="lastRow">
      <w:rPr>
        <w:b/>
        <w:bCs/>
      </w:rPr>
      <w:tblPr/>
      <w:tcPr>
        <w:tcBorders>
          <w:top w:val="double" w:sz="4" w:space="0" w:color="4999E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AF9" w:themeFill="accent3" w:themeFillTint="33"/>
      </w:tcPr>
    </w:tblStylePr>
    <w:tblStylePr w:type="band1Horz">
      <w:tblPr/>
      <w:tcPr>
        <w:shd w:val="clear" w:color="auto" w:fill="DAEAF9" w:themeFill="accent3" w:themeFillTint="33"/>
      </w:tcPr>
    </w:tblStylePr>
  </w:style>
  <w:style w:type="paragraph" w:customStyle="1" w:styleId="Authoranddate">
    <w:name w:val="Author and date"/>
    <w:basedOn w:val="Subtitle"/>
    <w:link w:val="AuthoranddateChar"/>
    <w:rsid w:val="001D51DA"/>
    <w:rPr>
      <w:szCs w:val="40"/>
    </w:rPr>
  </w:style>
  <w:style w:type="character" w:customStyle="1" w:styleId="AuthoranddateChar">
    <w:name w:val="Author and date Char"/>
    <w:basedOn w:val="SubtitleChar"/>
    <w:link w:val="Authoranddate"/>
    <w:rsid w:val="001D51DA"/>
    <w:rPr>
      <w:rFonts w:eastAsiaTheme="minorEastAsia"/>
      <w:color w:val="CE5958" w:themeColor="background2"/>
      <w:sz w:val="40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rsid w:val="00C50A9A"/>
    <w:rPr>
      <w:rFonts w:asciiTheme="majorHAnsi" w:eastAsiaTheme="majorEastAsia" w:hAnsiTheme="majorHAnsi" w:cstheme="majorBidi"/>
      <w:b/>
      <w:iCs/>
      <w:color w:val="0766A5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282ED3"/>
    <w:rPr>
      <w:color w:val="605E5C"/>
      <w:shd w:val="clear" w:color="auto" w:fill="E1DFDD"/>
    </w:rPr>
  </w:style>
  <w:style w:type="table" w:styleId="GridTable4">
    <w:name w:val="Grid Table 4"/>
    <w:basedOn w:val="TableNormal"/>
    <w:uiPriority w:val="49"/>
    <w:rsid w:val="004060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4">
    <w:name w:val="List Table 3 Accent 4"/>
    <w:basedOn w:val="TableNormal"/>
    <w:uiPriority w:val="48"/>
    <w:rsid w:val="0031654A"/>
    <w:pPr>
      <w:spacing w:after="0" w:line="240" w:lineRule="auto"/>
    </w:pPr>
    <w:tblPr>
      <w:tblStyleRowBandSize w:val="1"/>
      <w:tblStyleColBandSize w:val="1"/>
      <w:tblBorders>
        <w:top w:val="single" w:sz="4" w:space="0" w:color="0B474D" w:themeColor="accent4"/>
        <w:left w:val="single" w:sz="4" w:space="0" w:color="0B474D" w:themeColor="accent4"/>
        <w:bottom w:val="single" w:sz="4" w:space="0" w:color="0B474D" w:themeColor="accent4"/>
        <w:right w:val="single" w:sz="4" w:space="0" w:color="0B474D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B474D" w:themeFill="accent4"/>
      </w:tcPr>
    </w:tblStylePr>
    <w:tblStylePr w:type="lastRow">
      <w:rPr>
        <w:b/>
        <w:bCs/>
      </w:rPr>
      <w:tblPr/>
      <w:tcPr>
        <w:tcBorders>
          <w:top w:val="double" w:sz="4" w:space="0" w:color="0B474D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B474D" w:themeColor="accent4"/>
          <w:right w:val="single" w:sz="4" w:space="0" w:color="0B474D" w:themeColor="accent4"/>
        </w:tcBorders>
      </w:tcPr>
    </w:tblStylePr>
    <w:tblStylePr w:type="band1Horz">
      <w:tblPr/>
      <w:tcPr>
        <w:tcBorders>
          <w:top w:val="single" w:sz="4" w:space="0" w:color="0B474D" w:themeColor="accent4"/>
          <w:bottom w:val="single" w:sz="4" w:space="0" w:color="0B474D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B474D" w:themeColor="accent4"/>
          <w:left w:val="nil"/>
        </w:tcBorders>
      </w:tcPr>
    </w:tblStylePr>
    <w:tblStylePr w:type="swCell">
      <w:tblPr/>
      <w:tcPr>
        <w:tcBorders>
          <w:top w:val="double" w:sz="4" w:space="0" w:color="0B474D" w:themeColor="accent4"/>
          <w:right w:val="nil"/>
        </w:tcBorders>
      </w:tcPr>
    </w:tblStylePr>
  </w:style>
  <w:style w:type="paragraph" w:styleId="TOC4">
    <w:name w:val="toc 4"/>
    <w:basedOn w:val="Normal"/>
    <w:next w:val="Normal"/>
    <w:autoRedefine/>
    <w:uiPriority w:val="39"/>
    <w:unhideWhenUsed/>
    <w:rsid w:val="0043720A"/>
    <w:pPr>
      <w:spacing w:after="100"/>
      <w:ind w:left="442"/>
    </w:pPr>
  </w:style>
  <w:style w:type="paragraph" w:styleId="TOC5">
    <w:name w:val="toc 5"/>
    <w:basedOn w:val="Normal"/>
    <w:next w:val="Normal"/>
    <w:autoRedefine/>
    <w:uiPriority w:val="39"/>
    <w:unhideWhenUsed/>
    <w:rsid w:val="0043720A"/>
    <w:pPr>
      <w:spacing w:after="100"/>
      <w:ind w:left="601"/>
    </w:pPr>
  </w:style>
  <w:style w:type="paragraph" w:styleId="ListBullet">
    <w:name w:val="List Bullet"/>
    <w:basedOn w:val="Normal"/>
    <w:uiPriority w:val="99"/>
    <w:rsid w:val="00703734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703734"/>
    <w:pPr>
      <w:numPr>
        <w:numId w:val="3"/>
      </w:numPr>
      <w:contextualSpacing/>
    </w:pPr>
  </w:style>
  <w:style w:type="character" w:customStyle="1" w:styleId="Heading8Char">
    <w:name w:val="Heading 8 Char"/>
    <w:basedOn w:val="DefaultParagraphFont"/>
    <w:link w:val="Heading8"/>
    <w:uiPriority w:val="9"/>
    <w:rsid w:val="00C50A9A"/>
    <w:rPr>
      <w:rFonts w:asciiTheme="majorHAnsi" w:eastAsiaTheme="majorEastAsia" w:hAnsiTheme="majorHAnsi" w:cstheme="majorBidi"/>
      <w:color w:val="272727" w:themeColor="text1" w:themeTint="D8"/>
      <w:sz w:val="20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FE4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E456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2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5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569"/>
    <w:rPr>
      <w:b/>
      <w:bCs/>
      <w:sz w:val="20"/>
      <w:szCs w:val="20"/>
    </w:rPr>
  </w:style>
  <w:style w:type="table" w:styleId="ListTable3-Accent1">
    <w:name w:val="List Table 3 Accent 1"/>
    <w:basedOn w:val="TableNormal"/>
    <w:uiPriority w:val="48"/>
    <w:rsid w:val="00BF6930"/>
    <w:pPr>
      <w:spacing w:after="0" w:line="240" w:lineRule="auto"/>
    </w:pPr>
    <w:tblPr>
      <w:tblStyleRowBandSize w:val="1"/>
      <w:tblStyleColBandSize w:val="1"/>
      <w:tblBorders>
        <w:top w:val="single" w:sz="4" w:space="0" w:color="0766A5" w:themeColor="accent1"/>
        <w:left w:val="single" w:sz="4" w:space="0" w:color="0766A5" w:themeColor="accent1"/>
        <w:bottom w:val="single" w:sz="4" w:space="0" w:color="0766A5" w:themeColor="accent1"/>
        <w:right w:val="single" w:sz="4" w:space="0" w:color="0766A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766A5" w:themeFill="accent1"/>
      </w:tcPr>
    </w:tblStylePr>
    <w:tblStylePr w:type="lastRow">
      <w:rPr>
        <w:b/>
        <w:bCs/>
      </w:rPr>
      <w:tblPr/>
      <w:tcPr>
        <w:tcBorders>
          <w:top w:val="double" w:sz="4" w:space="0" w:color="0766A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766A5" w:themeColor="accent1"/>
          <w:right w:val="single" w:sz="4" w:space="0" w:color="0766A5" w:themeColor="accent1"/>
        </w:tcBorders>
      </w:tcPr>
    </w:tblStylePr>
    <w:tblStylePr w:type="band1Horz">
      <w:tblPr/>
      <w:tcPr>
        <w:tcBorders>
          <w:top w:val="single" w:sz="4" w:space="0" w:color="0766A5" w:themeColor="accent1"/>
          <w:bottom w:val="single" w:sz="4" w:space="0" w:color="0766A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766A5" w:themeColor="accent1"/>
          <w:left w:val="nil"/>
        </w:tcBorders>
      </w:tcPr>
    </w:tblStylePr>
    <w:tblStylePr w:type="swCell">
      <w:tblPr/>
      <w:tcPr>
        <w:tcBorders>
          <w:top w:val="double" w:sz="4" w:space="0" w:color="0766A5" w:themeColor="accent1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FA2434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AU"/>
    </w:rPr>
  </w:style>
  <w:style w:type="paragraph" w:customStyle="1" w:styleId="Tagline">
    <w:name w:val="Tagline"/>
    <w:basedOn w:val="Normal"/>
    <w:rsid w:val="00797CDD"/>
    <w:rPr>
      <w:bCs/>
      <w:iCs/>
      <w:color w:val="0766A5" w:themeColor="accent1"/>
      <w:kern w:val="18"/>
      <w:szCs w:val="20"/>
    </w:rPr>
  </w:style>
  <w:style w:type="paragraph" w:customStyle="1" w:styleId="URL">
    <w:name w:val="URL"/>
    <w:basedOn w:val="Normal"/>
    <w:rsid w:val="006A092C"/>
    <w:rPr>
      <w:iCs/>
      <w:color w:val="001B35" w:themeColor="text2"/>
      <w:kern w:val="18"/>
    </w:rPr>
  </w:style>
  <w:style w:type="paragraph" w:styleId="Revision">
    <w:name w:val="Revision"/>
    <w:hidden/>
    <w:uiPriority w:val="99"/>
    <w:semiHidden/>
    <w:rsid w:val="005E2533"/>
    <w:pPr>
      <w:spacing w:after="0" w:line="240" w:lineRule="auto"/>
    </w:pPr>
    <w:rPr>
      <w:sz w:val="24"/>
    </w:rPr>
  </w:style>
  <w:style w:type="character" w:customStyle="1" w:styleId="Advisorytext">
    <w:name w:val="Advisory text"/>
    <w:basedOn w:val="DefaultParagraphFont"/>
    <w:uiPriority w:val="99"/>
    <w:rsid w:val="00364240"/>
    <w:rPr>
      <w:color w:val="FF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4169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41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4169"/>
    <w:rPr>
      <w:vertAlign w:val="superscript"/>
    </w:rPr>
  </w:style>
  <w:style w:type="paragraph" w:styleId="ListNumber">
    <w:name w:val="List Number"/>
    <w:basedOn w:val="Normal"/>
    <w:uiPriority w:val="99"/>
    <w:qFormat/>
    <w:rsid w:val="00E966DD"/>
    <w:pPr>
      <w:numPr>
        <w:numId w:val="5"/>
      </w:numPr>
      <w:spacing w:before="0" w:after="200" w:line="276" w:lineRule="auto"/>
    </w:pPr>
    <w:rPr>
      <w:rFonts w:ascii="Arial" w:eastAsia="Calibri" w:hAnsi="Arial" w:cs="Times New Roman"/>
      <w:sz w:val="22"/>
    </w:rPr>
  </w:style>
  <w:style w:type="paragraph" w:styleId="ListNumber2">
    <w:name w:val="List Number 2"/>
    <w:basedOn w:val="Normal"/>
    <w:uiPriority w:val="99"/>
    <w:rsid w:val="00E966DD"/>
    <w:pPr>
      <w:numPr>
        <w:ilvl w:val="1"/>
        <w:numId w:val="5"/>
      </w:numPr>
      <w:spacing w:before="0" w:after="200" w:line="276" w:lineRule="auto"/>
      <w:ind w:left="0" w:firstLine="0"/>
    </w:pPr>
    <w:rPr>
      <w:rFonts w:ascii="Arial" w:eastAsia="Calibri" w:hAnsi="Arial" w:cs="Times New Roman"/>
      <w:sz w:val="22"/>
    </w:rPr>
  </w:style>
  <w:style w:type="paragraph" w:styleId="ListNumber3">
    <w:name w:val="List Number 3"/>
    <w:basedOn w:val="Normal"/>
    <w:uiPriority w:val="99"/>
    <w:rsid w:val="00E966DD"/>
    <w:pPr>
      <w:numPr>
        <w:ilvl w:val="2"/>
        <w:numId w:val="5"/>
      </w:numPr>
      <w:spacing w:before="0" w:after="200" w:line="276" w:lineRule="auto"/>
      <w:ind w:left="0" w:firstLine="0"/>
    </w:pPr>
    <w:rPr>
      <w:rFonts w:ascii="Arial" w:eastAsia="Calibri" w:hAnsi="Arial" w:cs="Times New Roman"/>
      <w:sz w:val="22"/>
    </w:rPr>
  </w:style>
  <w:style w:type="paragraph" w:styleId="ListNumber4">
    <w:name w:val="List Number 4"/>
    <w:basedOn w:val="Normal"/>
    <w:uiPriority w:val="99"/>
    <w:rsid w:val="00E966DD"/>
    <w:pPr>
      <w:numPr>
        <w:ilvl w:val="3"/>
        <w:numId w:val="5"/>
      </w:numPr>
      <w:spacing w:before="0" w:after="200" w:line="276" w:lineRule="auto"/>
      <w:ind w:left="0" w:firstLine="0"/>
    </w:pPr>
    <w:rPr>
      <w:rFonts w:ascii="Arial" w:eastAsia="Calibri" w:hAnsi="Arial" w:cs="Times New Roman"/>
      <w:sz w:val="22"/>
    </w:rPr>
  </w:style>
  <w:style w:type="paragraph" w:styleId="ListNumber5">
    <w:name w:val="List Number 5"/>
    <w:basedOn w:val="Normal"/>
    <w:uiPriority w:val="99"/>
    <w:rsid w:val="00E966DD"/>
    <w:pPr>
      <w:numPr>
        <w:ilvl w:val="4"/>
        <w:numId w:val="5"/>
      </w:numPr>
      <w:spacing w:before="0" w:after="200" w:line="276" w:lineRule="auto"/>
      <w:ind w:left="0" w:firstLine="0"/>
    </w:pPr>
    <w:rPr>
      <w:rFonts w:ascii="Arial" w:eastAsia="Calibri" w:hAnsi="Arial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3111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641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91715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698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53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978D00DE954317A38746FAA17D0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65356-C9F2-45CE-AD81-66DA224F52C6}"/>
      </w:docPartPr>
      <w:docPartBody>
        <w:p w:rsidR="007A50FE" w:rsidRDefault="007A50FE">
          <w:pPr>
            <w:pStyle w:val="7C978D00DE954317A38746FAA17D08F3"/>
          </w:pPr>
          <w:r w:rsidRPr="00DB39D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92"/>
    <w:rsid w:val="000205B7"/>
    <w:rsid w:val="00057EB0"/>
    <w:rsid w:val="000E511F"/>
    <w:rsid w:val="00117E70"/>
    <w:rsid w:val="001218AD"/>
    <w:rsid w:val="00176DD4"/>
    <w:rsid w:val="001B08EB"/>
    <w:rsid w:val="001B220C"/>
    <w:rsid w:val="001C203E"/>
    <w:rsid w:val="001C3842"/>
    <w:rsid w:val="0023281D"/>
    <w:rsid w:val="002429FA"/>
    <w:rsid w:val="00261A3E"/>
    <w:rsid w:val="002634D4"/>
    <w:rsid w:val="002A1E45"/>
    <w:rsid w:val="002B7B3D"/>
    <w:rsid w:val="002D5B3B"/>
    <w:rsid w:val="002D6BC2"/>
    <w:rsid w:val="002E703B"/>
    <w:rsid w:val="002E7480"/>
    <w:rsid w:val="003033FF"/>
    <w:rsid w:val="003B180F"/>
    <w:rsid w:val="003C5AB5"/>
    <w:rsid w:val="003D4325"/>
    <w:rsid w:val="003D5035"/>
    <w:rsid w:val="00401317"/>
    <w:rsid w:val="00444C58"/>
    <w:rsid w:val="004D7B5C"/>
    <w:rsid w:val="004F2900"/>
    <w:rsid w:val="00586AA0"/>
    <w:rsid w:val="00596834"/>
    <w:rsid w:val="00596F03"/>
    <w:rsid w:val="00656FDF"/>
    <w:rsid w:val="00664D0F"/>
    <w:rsid w:val="00667448"/>
    <w:rsid w:val="00670162"/>
    <w:rsid w:val="006747D3"/>
    <w:rsid w:val="006D3421"/>
    <w:rsid w:val="006D5DC5"/>
    <w:rsid w:val="00763EDB"/>
    <w:rsid w:val="007702C2"/>
    <w:rsid w:val="00786B69"/>
    <w:rsid w:val="00786DE5"/>
    <w:rsid w:val="007A50FE"/>
    <w:rsid w:val="007A7421"/>
    <w:rsid w:val="007B511D"/>
    <w:rsid w:val="007E12B4"/>
    <w:rsid w:val="007E5AE2"/>
    <w:rsid w:val="007F2E3B"/>
    <w:rsid w:val="00882F55"/>
    <w:rsid w:val="00894C32"/>
    <w:rsid w:val="008D32CD"/>
    <w:rsid w:val="008E1FCA"/>
    <w:rsid w:val="008E4921"/>
    <w:rsid w:val="008E68EE"/>
    <w:rsid w:val="008F6B71"/>
    <w:rsid w:val="009021EE"/>
    <w:rsid w:val="009265CB"/>
    <w:rsid w:val="009621D5"/>
    <w:rsid w:val="00985A92"/>
    <w:rsid w:val="009B0D61"/>
    <w:rsid w:val="009E532A"/>
    <w:rsid w:val="009F139C"/>
    <w:rsid w:val="00A55E69"/>
    <w:rsid w:val="00A762D5"/>
    <w:rsid w:val="00A913EC"/>
    <w:rsid w:val="00AA0F17"/>
    <w:rsid w:val="00AC660A"/>
    <w:rsid w:val="00AE1608"/>
    <w:rsid w:val="00AE64C3"/>
    <w:rsid w:val="00AE7BF2"/>
    <w:rsid w:val="00AF58BD"/>
    <w:rsid w:val="00B03134"/>
    <w:rsid w:val="00B05D6E"/>
    <w:rsid w:val="00B47A21"/>
    <w:rsid w:val="00B73458"/>
    <w:rsid w:val="00BE734F"/>
    <w:rsid w:val="00C072E4"/>
    <w:rsid w:val="00C17EB1"/>
    <w:rsid w:val="00C32E4D"/>
    <w:rsid w:val="00C4449D"/>
    <w:rsid w:val="00C72A6F"/>
    <w:rsid w:val="00C83225"/>
    <w:rsid w:val="00CB4B20"/>
    <w:rsid w:val="00CB6E11"/>
    <w:rsid w:val="00CC056F"/>
    <w:rsid w:val="00CE2515"/>
    <w:rsid w:val="00D70FFF"/>
    <w:rsid w:val="00DC5AAB"/>
    <w:rsid w:val="00DD14FF"/>
    <w:rsid w:val="00DF2A43"/>
    <w:rsid w:val="00DF2FBF"/>
    <w:rsid w:val="00E0345C"/>
    <w:rsid w:val="00E2058C"/>
    <w:rsid w:val="00E4264B"/>
    <w:rsid w:val="00E4459A"/>
    <w:rsid w:val="00E45E1F"/>
    <w:rsid w:val="00E623C4"/>
    <w:rsid w:val="00E75FDE"/>
    <w:rsid w:val="00E8224C"/>
    <w:rsid w:val="00E91218"/>
    <w:rsid w:val="00EB0EA9"/>
    <w:rsid w:val="00EB5398"/>
    <w:rsid w:val="00EB5D87"/>
    <w:rsid w:val="00EE3134"/>
    <w:rsid w:val="00F01C8D"/>
    <w:rsid w:val="00F066C6"/>
    <w:rsid w:val="00F12F43"/>
    <w:rsid w:val="00F51B06"/>
    <w:rsid w:val="00F975BD"/>
    <w:rsid w:val="00F97954"/>
    <w:rsid w:val="00FE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C978D00DE954317A38746FAA17D08F3">
    <w:name w:val="7C978D00DE954317A38746FAA17D08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ISR">
      <a:dk1>
        <a:sysClr val="windowText" lastClr="000000"/>
      </a:dk1>
      <a:lt1>
        <a:sysClr val="window" lastClr="FFFFFF"/>
      </a:lt1>
      <a:dk2>
        <a:srgbClr val="001B35"/>
      </a:dk2>
      <a:lt2>
        <a:srgbClr val="CE5958"/>
      </a:lt2>
      <a:accent1>
        <a:srgbClr val="0766A5"/>
      </a:accent1>
      <a:accent2>
        <a:srgbClr val="960000"/>
      </a:accent2>
      <a:accent3>
        <a:srgbClr val="4999E1"/>
      </a:accent3>
      <a:accent4>
        <a:srgbClr val="0B474D"/>
      </a:accent4>
      <a:accent5>
        <a:srgbClr val="706E6E"/>
      </a:accent5>
      <a:accent6>
        <a:srgbClr val="61008E"/>
      </a:accent6>
      <a:hlink>
        <a:srgbClr val="0766A5"/>
      </a:hlink>
      <a:folHlink>
        <a:srgbClr val="001B35"/>
      </a:folHlink>
    </a:clrScheme>
    <a:fontScheme name="DISR Aptos 2023 v2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89EF0C3-9E5C-407A-A066-6DE9D2279C97}">
  <we:reference id="8021f97c-8905-4693-9bcb-ecda41b4cf7b" version="1.0.1.0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6bf06c7a8bf478e9f4bcfbb09f21538 xmlns="a45c3ea4-9cfc-4d48-aa71-aeaee1081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Web page</TermName>
          <TermId xmlns="http://schemas.microsoft.com/office/infopath/2007/PartnerControls">10188640-e14f-449e-b17f-9c5da466ab3d</TermId>
        </TermInfo>
      </Terms>
    </a6bf06c7a8bf478e9f4bcfbb09f21538>
    <kcc7c3c6a1ca4993ad58c375b1e79f26 xmlns="a45c3ea4-9cfc-4d48-aa71-aeaee1081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Mining, Oil ＆ Gas</TermName>
          <TermId xmlns="http://schemas.microsoft.com/office/infopath/2007/PartnerControls">810f86fc-b933-45ba-a4ab-3a00b2484446</TermId>
        </TermInfo>
      </Terms>
    </kcc7c3c6a1ca4993ad58c375b1e79f26>
    <d9ef3ab7ddea451a8b47933061591c36 xmlns="a45c3ea4-9cfc-4d48-aa71-aeaee1081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Content Development</TermName>
          <TermId xmlns="http://schemas.microsoft.com/office/infopath/2007/PartnerControls">ca34a842-5df8-49e3-9fab-d1bddaa485a4</TermId>
        </TermInfo>
      </Terms>
    </d9ef3ab7ddea451a8b47933061591c36>
    <ke5b0cd31c4f451cba604ba37cacb920 xmlns="a45c3ea4-9cfc-4d48-aa71-aeaee1081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of Industry, Science ＆ Resources</TermName>
          <TermId xmlns="http://schemas.microsoft.com/office/infopath/2007/PartnerControls">7bc8d192-b4d4-440d-8850-52e149307a87</TermId>
        </TermInfo>
      </Terms>
    </ke5b0cd31c4f451cba604ba37cacb920>
    <TaxCatchAll xmlns="a45c3ea4-9cfc-4d48-aa71-aeaee108196b">
      <Value>185</Value>
      <Value>184</Value>
      <Value>470</Value>
      <Value>89</Value>
      <Value>3</Value>
      <Value>87</Value>
    </TaxCatchAll>
    <e8c23ea635d74c0187796b18258d5048 xmlns="a45c3ea4-9cfc-4d48-aa71-aeaee1081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Publication</TermName>
          <TermId xmlns="http://schemas.microsoft.com/office/infopath/2007/PartnerControls">35193ef7-8df7-46c3-bfdd-5c17cdfe5691</TermId>
        </TermInfo>
      </Terms>
    </e8c23ea635d74c0187796b18258d5048>
    <b425fef5ada14da685dcceef3358c7b4 xmlns="a45c3ea4-9cfc-4d48-aa71-aeaee108196b">
      <Terms xmlns="http://schemas.microsoft.com/office/infopath/2007/PartnerControls"/>
    </b425fef5ada14da685dcceef3358c7b4>
    <cb91e83f9355480d972a6ccec1e3f258 xmlns="a45c3ea4-9cfc-4d48-aa71-aeaee10819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cb91e83f9355480d972a6ccec1e3f258>
    <Comment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ACA1E897469C4A8E02AC077F34B885" ma:contentTypeVersion="26" ma:contentTypeDescription="Create a new document." ma:contentTypeScope="" ma:versionID="7217c2cba62cb8038aaf10b18d71f6ad">
  <xsd:schema xmlns:xsd="http://www.w3.org/2001/XMLSchema" xmlns:xs="http://www.w3.org/2001/XMLSchema" xmlns:p="http://schemas.microsoft.com/office/2006/metadata/properties" xmlns:ns1="http://schemas.microsoft.com/sharepoint/v3" xmlns:ns2="a45c3ea4-9cfc-4d48-aa71-aeaee108196b" xmlns:ns3="27da9b93-234c-4925-89b0-fa856957b306" targetNamespace="http://schemas.microsoft.com/office/2006/metadata/properties" ma:root="true" ma:fieldsID="6a8bdee877b25468bcfa39ed6610c0ec" ns1:_="" ns2:_="" ns3:_="">
    <xsd:import namespace="http://schemas.microsoft.com/sharepoint/v3"/>
    <xsd:import namespace="a45c3ea4-9cfc-4d48-aa71-aeaee108196b"/>
    <xsd:import namespace="27da9b93-234c-4925-89b0-fa856957b306"/>
    <xsd:element name="properties">
      <xsd:complexType>
        <xsd:sequence>
          <xsd:element name="documentManagement">
            <xsd:complexType>
              <xsd:all>
                <xsd:element ref="ns2:a6bf06c7a8bf478e9f4bcfbb09f21538" minOccurs="0"/>
                <xsd:element ref="ns2:TaxCatchAll" minOccurs="0"/>
                <xsd:element ref="ns2:d9ef3ab7ddea451a8b47933061591c36" minOccurs="0"/>
                <xsd:element ref="ns2:cb91e83f9355480d972a6ccec1e3f258" minOccurs="0"/>
                <xsd:element ref="ns2:b425fef5ada14da685dcceef3358c7b4" minOccurs="0"/>
                <xsd:element ref="ns1:Comments" minOccurs="0"/>
                <xsd:element ref="ns2:ke5b0cd31c4f451cba604ba37cacb920" minOccurs="0"/>
                <xsd:element ref="ns2:kcc7c3c6a1ca4993ad58c375b1e79f26" minOccurs="0"/>
                <xsd:element ref="ns2:e8c23ea635d74c0187796b18258d504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c3ea4-9cfc-4d48-aa71-aeaee108196b" elementFormDefault="qualified">
    <xsd:import namespace="http://schemas.microsoft.com/office/2006/documentManagement/types"/>
    <xsd:import namespace="http://schemas.microsoft.com/office/infopath/2007/PartnerControls"/>
    <xsd:element name="a6bf06c7a8bf478e9f4bcfbb09f21538" ma:index="9" ma:taxonomy="true" ma:internalName="a6bf06c7a8bf478e9f4bcfbb09f21538" ma:taxonomyFieldName="Stratus_DocumentType" ma:displayName="Document Type" ma:fieldId="{a6bf06c7-a8bf-478e-9f4b-cfbb09f21538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e60b2df-c2d4-41ed-9812-295600ad4e89}" ma:internalName="TaxCatchAll" ma:showField="CatchAllData" ma:web="a45c3ea4-9cfc-4d48-aa71-aeaee1081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9ef3ab7ddea451a8b47933061591c36" ma:index="12" nillable="true" ma:taxonomy="true" ma:internalName="d9ef3ab7ddea451a8b47933061591c36" ma:taxonomyFieldName="Stratus_WorkActivity" ma:displayName="Work Activity" ma:fieldId="{d9ef3ab7-ddea-451a-8b47-933061591c36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b91e83f9355480d972a6ccec1e3f258" ma:index="14" ma:taxonomy="true" ma:internalName="cb91e83f9355480d972a6ccec1e3f258" ma:taxonomyFieldName="Stratus_SecurityClassification" ma:displayName="Security Classification" ma:fieldId="{cb91e83f-9355-480d-972a-6ccec1e3f258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25fef5ada14da685dcceef3358c7b4" ma:index="16" nillable="true" ma:taxonomy="true" ma:internalName="b425fef5ada14da685dcceef3358c7b4" ma:taxonomyFieldName="Stratus_Year" ma:displayName="Year" ma:fieldId="{b425fef5-ada1-4da6-85dc-ceef3358c7b4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5b0cd31c4f451cba604ba37cacb920" ma:index="19" nillable="true" ma:taxonomy="true" ma:internalName="ke5b0cd31c4f451cba604ba37cacb920" ma:taxonomyFieldName="Stratus_IGAWebsiteContentEntity" ma:displayName="Entity" ma:default="" ma:fieldId="{4e5b0cd3-1c4f-451c-ba60-4ba37cacb920}" ma:sspId="b6206a2c-5ee7-4d50-b3ee-2668e744af9d" ma:termSetId="1d27ed74-9fe3-4d8c-a55c-8634061928f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c7c3c6a1ca4993ad58c375b1e79f26" ma:index="21" nillable="true" ma:taxonomy="true" ma:internalName="kcc7c3c6a1ca4993ad58c375b1e79f26" ma:taxonomyFieldName="Stratus_IGAMainWebsiteTopic" ma:displayName="Main Topic" ma:default="" ma:fieldId="{4cc7c3c6-a1ca-4993-ad58-c375b1e79f26}" ma:sspId="b6206a2c-5ee7-4d50-b3ee-2668e744af9d" ma:termSetId="f848ae66-21c2-485e-8542-e97bdb8ce6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c23ea635d74c0187796b18258d5048" ma:index="23" nillable="true" ma:taxonomy="true" ma:internalName="e8c23ea635d74c0187796b18258d5048" ma:taxonomyFieldName="Stratus_CommunicationsWebContentType" ma:displayName="Web Content Type" ma:default="" ma:fieldId="{e8c23ea6-35d7-4c01-8779-6b18258d5048}" ma:sspId="b6206a2c-5ee7-4d50-b3ee-2668e744af9d" ma:termSetId="a7b7286d-6292-46dd-8b95-566748a2ee1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a9b93-234c-4925-89b0-fa856957b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5AE6EB-A8D4-4D9D-8D6C-A552C96C0E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BCF5D-ECED-40B9-848C-61973DAC72C5}">
  <ds:schemaRefs>
    <ds:schemaRef ds:uri="http://schemas.microsoft.com/office/2006/metadata/properties"/>
    <ds:schemaRef ds:uri="http://schemas.microsoft.com/office/infopath/2007/PartnerControls"/>
    <ds:schemaRef ds:uri="a45c3ea4-9cfc-4d48-aa71-aeaee108196b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5218A426-2293-4A07-8069-76989BF311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C1E3C0-1E63-4D61-B7FB-4505537EB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45c3ea4-9cfc-4d48-aa71-aeaee108196b"/>
    <ds:schemaRef ds:uri="27da9b93-234c-4925-89b0-fa856957b3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1090</Words>
  <Characters>7339</Characters>
  <Application>Microsoft Office Word</Application>
  <DocSecurity>0</DocSecurity>
  <Lines>159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Offshore Environmental Management Review</vt:lpstr>
    </vt:vector>
  </TitlesOfParts>
  <Manager/>
  <Company/>
  <LinksUpToDate>false</LinksUpToDate>
  <CharactersWithSpaces>8347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Offshore environmental management review</dc:title>
  <dc:subject/>
  <cp:keywords/>
  <dc:description/>
  <cp:lastPrinted>2025-12-20T00:26:00Z</cp:lastPrinted>
  <dcterms:created xsi:type="dcterms:W3CDTF">2026-09-15T10:54:00Z</dcterms:created>
  <dcterms:modified xsi:type="dcterms:W3CDTF">2026-09-15T22:35:00Z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0x010100B1ACA1E897469C4A8E02AC077F34B885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6134cecd,6b999868,2052233</vt:lpwstr>
  </property>
  <property fmtid="{D5CDD505-2E9C-101B-9397-08002B2CF9AE}" pid="5" name="ClassificationContentMarkingHeaderFontProps">
    <vt:lpwstr>#c00000,12,Calibri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2062132e,17106c27,7a74d69c</vt:lpwstr>
  </property>
  <property fmtid="{D5CDD505-2E9C-101B-9397-08002B2CF9AE}" pid="8" name="ClassificationContentMarkingFooterFontProps">
    <vt:lpwstr>#c00000,12,Calibri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Stratus_WorkActivity">
    <vt:lpwstr>89;#Content Development|ca34a842-5df8-49e3-9fab-d1bddaa485a4</vt:lpwstr>
  </property>
  <property fmtid="{D5CDD505-2E9C-101B-9397-08002B2CF9AE}" pid="11" name="Stratus_DocumentType">
    <vt:lpwstr>87;#Web page|10188640-e14f-449e-b17f-9c5da466ab3d</vt:lpwstr>
  </property>
  <property fmtid="{D5CDD505-2E9C-101B-9397-08002B2CF9AE}" pid="12" name="Stratus_Year">
    <vt:lpwstr/>
  </property>
  <property fmtid="{D5CDD505-2E9C-101B-9397-08002B2CF9AE}" pid="13" name="Stratus_SecurityClassification">
    <vt:lpwstr>3;#OFFICIAL|1077e141-03cb-4307-8c0f-d43dc85f509f</vt:lpwstr>
  </property>
  <property fmtid="{D5CDD505-2E9C-101B-9397-08002B2CF9AE}" pid="14" name="docLang">
    <vt:lpwstr>en</vt:lpwstr>
  </property>
  <property fmtid="{D5CDD505-2E9C-101B-9397-08002B2CF9AE}" pid="15" name="Stratus_WorkTopic">
    <vt:lpwstr>58;#Environment Management Review|822eb1ed-9a27-46e7-aada-35eefca909e9</vt:lpwstr>
  </property>
  <property fmtid="{D5CDD505-2E9C-101B-9397-08002B2CF9AE}" pid="16" name="Stratus_IGAMainWebsiteTopic">
    <vt:lpwstr>185;#Mining, Oil ＆ Gas|810f86fc-b933-45ba-a4ab-3a00b2484446</vt:lpwstr>
  </property>
  <property fmtid="{D5CDD505-2E9C-101B-9397-08002B2CF9AE}" pid="17" name="Stratus_CommunicationsWebContentType">
    <vt:lpwstr>470;#Publication|35193ef7-8df7-46c3-bfdd-5c17cdfe5691</vt:lpwstr>
  </property>
  <property fmtid="{D5CDD505-2E9C-101B-9397-08002B2CF9AE}" pid="18" name="Stratus_IGAWebsiteContentEntity">
    <vt:lpwstr>184;#Department of Industry, Science ＆ Resources|7bc8d192-b4d4-440d-8850-52e149307a87</vt:lpwstr>
  </property>
</Properties>
</file>