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55189889" w:displacedByCustomXml="next"/>
    <w:bookmarkStart w:id="1" w:name="_Toc19023741" w:displacedByCustomXml="next"/>
    <w:bookmarkStart w:id="2" w:name="_Toc155176736" w:displacedByCustomXml="next"/>
    <w:bookmarkStart w:id="3" w:name="_Toc144911608" w:displacedByCustomXml="next"/>
    <w:sdt>
      <w:sdtPr>
        <w:rPr>
          <w:rFonts w:asciiTheme="minorHAnsi" w:eastAsiaTheme="minorEastAsia" w:hAnsiTheme="minorHAnsi" w:cstheme="minorBidi"/>
          <w:color w:val="001B35" w:themeColor="background2"/>
          <w:sz w:val="40"/>
          <w:szCs w:val="40"/>
        </w:rPr>
        <w:id w:val="-2088995269"/>
        <w:docPartObj>
          <w:docPartGallery w:val="Cover Pages"/>
          <w:docPartUnique/>
        </w:docPartObj>
      </w:sdtPr>
      <w:sdtEndPr/>
      <w:sdtContent>
        <w:p w14:paraId="58EB1A09" w14:textId="0F434374" w:rsidR="005749CF" w:rsidRPr="007F4DEE" w:rsidRDefault="007F4DEE" w:rsidP="007F4DEE">
          <w:pPr>
            <w:pStyle w:val="Heading1"/>
          </w:pPr>
          <w:r>
            <w:t xml:space="preserve">NOPTA </w:t>
          </w:r>
          <w:r w:rsidR="00EA2889">
            <w:t>Statutory R</w:t>
          </w:r>
          <w:r>
            <w:t>eview</w:t>
          </w:r>
        </w:p>
        <w:p w14:paraId="4E52C181" w14:textId="76330FC5" w:rsidR="005749CF" w:rsidRPr="00DA374E" w:rsidRDefault="005749CF" w:rsidP="00340820">
          <w:pPr>
            <w:pStyle w:val="Subtitle"/>
            <w:spacing w:after="480"/>
          </w:pPr>
          <w:r>
            <w:t>Terms of Reference</w:t>
          </w:r>
        </w:p>
      </w:sdtContent>
    </w:sdt>
    <w:p w14:paraId="57D663D4" w14:textId="729971D1" w:rsidR="005749CF" w:rsidRDefault="005749CF" w:rsidP="005749CF">
      <w:pPr>
        <w:pStyle w:val="Heading4"/>
      </w:pPr>
      <w:r>
        <w:t xml:space="preserve">Legislative </w:t>
      </w:r>
      <w:r w:rsidR="00671428">
        <w:t>c</w:t>
      </w:r>
      <w:r>
        <w:t>ontext</w:t>
      </w:r>
    </w:p>
    <w:p w14:paraId="772E0501" w14:textId="35456E8C" w:rsidR="00DA374E" w:rsidRDefault="00DA374E" w:rsidP="00DA374E">
      <w:r>
        <w:t>Under s</w:t>
      </w:r>
      <w:r w:rsidRPr="6A11651C">
        <w:t xml:space="preserve">ection </w:t>
      </w:r>
      <w:r w:rsidRPr="00DA6C86">
        <w:t>695</w:t>
      </w:r>
      <w:r w:rsidR="009E60EE" w:rsidRPr="00DA6C86">
        <w:t>P</w:t>
      </w:r>
      <w:r w:rsidR="00284D99">
        <w:t>(1)</w:t>
      </w:r>
      <w:r w:rsidRPr="6A11651C">
        <w:t xml:space="preserve"> of the </w:t>
      </w:r>
      <w:r w:rsidRPr="6A11651C">
        <w:rPr>
          <w:i/>
          <w:iCs/>
        </w:rPr>
        <w:t xml:space="preserve">Offshore Petroleum and Greenhouse Gas Storage Act 2006 </w:t>
      </w:r>
      <w:r w:rsidRPr="6A11651C">
        <w:t>(</w:t>
      </w:r>
      <w:r>
        <w:t>the</w:t>
      </w:r>
      <w:r w:rsidRPr="6A11651C">
        <w:t xml:space="preserve"> Act) </w:t>
      </w:r>
      <w:r>
        <w:t xml:space="preserve">the responsible Commonwealth Minister must cause to be conducted </w:t>
      </w:r>
      <w:r w:rsidR="00897F83">
        <w:t xml:space="preserve">a </w:t>
      </w:r>
      <w:r>
        <w:t>review of the</w:t>
      </w:r>
      <w:r w:rsidRPr="6A11651C">
        <w:t xml:space="preserve"> </w:t>
      </w:r>
      <w:r w:rsidR="001425E4">
        <w:t>activities</w:t>
      </w:r>
      <w:r w:rsidR="001425E4" w:rsidRPr="6A11651C">
        <w:t xml:space="preserve"> </w:t>
      </w:r>
      <w:r w:rsidRPr="6A11651C">
        <w:t xml:space="preserve">of the National </w:t>
      </w:r>
      <w:r w:rsidR="00B86C24">
        <w:t xml:space="preserve">Offshore </w:t>
      </w:r>
      <w:r>
        <w:t>Petroleum Titles Administrator (NOPTA).</w:t>
      </w:r>
    </w:p>
    <w:p w14:paraId="33DB5BC2" w14:textId="77777777" w:rsidR="00897F83" w:rsidRDefault="00DA374E" w:rsidP="00DA374E">
      <w:r>
        <w:t xml:space="preserve">The Act </w:t>
      </w:r>
      <w:r w:rsidR="00897F83">
        <w:t>requires</w:t>
      </w:r>
      <w:r>
        <w:t xml:space="preserve"> that the review will relate to the </w:t>
      </w:r>
      <w:r w:rsidR="00DB41AA">
        <w:t>5-year</w:t>
      </w:r>
      <w:r>
        <w:t xml:space="preserve"> period of 1 January 2020 to 31 December 2024. </w:t>
      </w:r>
    </w:p>
    <w:p w14:paraId="3E4FA06C" w14:textId="7D75F29F" w:rsidR="00897F83" w:rsidRDefault="00897F83" w:rsidP="00897F83">
      <w:pPr>
        <w:pStyle w:val="Heading4"/>
      </w:pPr>
      <w:r>
        <w:t>Timeframes</w:t>
      </w:r>
    </w:p>
    <w:p w14:paraId="68C75E54" w14:textId="77777777" w:rsidR="00897F83" w:rsidRPr="00503B83" w:rsidRDefault="00897F83" w:rsidP="00897F83">
      <w:r>
        <w:t xml:space="preserve">The Review will commence on the date that is announced by the responsible Commonwealth Minister and be completed within six-months of this date. </w:t>
      </w:r>
    </w:p>
    <w:p w14:paraId="3D805245" w14:textId="3C8311A6" w:rsidR="0004643B" w:rsidRDefault="00897F83" w:rsidP="00C27CB3">
      <w:pPr>
        <w:pStyle w:val="Heading4"/>
      </w:pPr>
      <w:bookmarkStart w:id="4" w:name="_Hlk218774615"/>
      <w:r>
        <w:t>Roles and responsibilities</w:t>
      </w:r>
    </w:p>
    <w:p w14:paraId="159C1ABF" w14:textId="77D7BB32" w:rsidR="0004643B" w:rsidRPr="00DB41AA" w:rsidRDefault="0004643B" w:rsidP="00DB41AA">
      <w:r w:rsidRPr="00DB41AA">
        <w:t xml:space="preserve">The review will be led by a Head of Review, supported by a Secretariat team within the Department of Industry, Science and Resources. The Head of Review will be responsible for </w:t>
      </w:r>
      <w:r w:rsidR="002972F0">
        <w:t xml:space="preserve">leading the review and </w:t>
      </w:r>
      <w:r w:rsidRPr="00DB41AA">
        <w:t>delivering the findings and recommendations to the government.</w:t>
      </w:r>
    </w:p>
    <w:bookmarkEnd w:id="4"/>
    <w:p w14:paraId="54A5F8BD" w14:textId="653BD079" w:rsidR="00C27CB3" w:rsidRDefault="000D4FD8" w:rsidP="00C27CB3">
      <w:pPr>
        <w:pStyle w:val="Heading4"/>
      </w:pPr>
      <w:r>
        <w:t xml:space="preserve">Purpose and </w:t>
      </w:r>
      <w:r w:rsidR="00671428">
        <w:t>s</w:t>
      </w:r>
      <w:r>
        <w:t>cope</w:t>
      </w:r>
    </w:p>
    <w:bookmarkEnd w:id="3"/>
    <w:bookmarkEnd w:id="2"/>
    <w:bookmarkEnd w:id="1"/>
    <w:bookmarkEnd w:id="0"/>
    <w:p w14:paraId="00574864" w14:textId="381F55D6" w:rsidR="00AC237C" w:rsidRDefault="00AC237C" w:rsidP="00AC237C">
      <w:r w:rsidRPr="006407F4">
        <w:t>The</w:t>
      </w:r>
      <w:r>
        <w:t xml:space="preserve"> </w:t>
      </w:r>
      <w:r w:rsidRPr="006407F4">
        <w:t>review</w:t>
      </w:r>
      <w:r>
        <w:t xml:space="preserve"> of </w:t>
      </w:r>
      <w:r w:rsidR="00740EF5">
        <w:t xml:space="preserve">activities </w:t>
      </w:r>
      <w:r>
        <w:t xml:space="preserve">of NOPTA </w:t>
      </w:r>
      <w:r w:rsidRPr="006407F4">
        <w:t>come</w:t>
      </w:r>
      <w:r w:rsidR="00167D50">
        <w:t>s</w:t>
      </w:r>
      <w:r w:rsidRPr="006407F4">
        <w:t xml:space="preserve"> at a time where the adaptability of </w:t>
      </w:r>
      <w:r w:rsidR="00DA7E9A">
        <w:t>NOPTA</w:t>
      </w:r>
      <w:r w:rsidR="00B46A9D" w:rsidRPr="006407F4">
        <w:t xml:space="preserve"> </w:t>
      </w:r>
      <w:r w:rsidRPr="006407F4">
        <w:t xml:space="preserve">to a rapidly changing economic, technological and regulatory environment is critical. This is particularly important given the significance of the resources sector to the Australian economy and the role it will play in achieving net zero. </w:t>
      </w:r>
      <w:r>
        <w:t xml:space="preserve">The review will </w:t>
      </w:r>
      <w:r w:rsidRPr="006407F4">
        <w:t>provide</w:t>
      </w:r>
      <w:r>
        <w:t xml:space="preserve"> </w:t>
      </w:r>
      <w:r w:rsidRPr="006407F4">
        <w:t xml:space="preserve">government with an opportunity to consider whether </w:t>
      </w:r>
      <w:r>
        <w:t>NOPTA is</w:t>
      </w:r>
      <w:r w:rsidRPr="006407F4">
        <w:t xml:space="preserve"> operating </w:t>
      </w:r>
      <w:r w:rsidR="0011542B">
        <w:t xml:space="preserve">efficiently, </w:t>
      </w:r>
      <w:r w:rsidRPr="006407F4">
        <w:t xml:space="preserve">effectively and </w:t>
      </w:r>
      <w:r w:rsidR="00100E6F">
        <w:t xml:space="preserve">if </w:t>
      </w:r>
      <w:r w:rsidR="0011542B">
        <w:t xml:space="preserve">it </w:t>
      </w:r>
      <w:r w:rsidR="00100E6F">
        <w:t xml:space="preserve">is </w:t>
      </w:r>
      <w:r w:rsidRPr="006407F4">
        <w:t>appropriately equipped to manage current and emerging challenges.</w:t>
      </w:r>
    </w:p>
    <w:p w14:paraId="68116575" w14:textId="34923314" w:rsidR="00EF08CA" w:rsidRDefault="00EF08CA" w:rsidP="00EF08CA">
      <w:r>
        <w:t>In accordance with section 695P</w:t>
      </w:r>
      <w:r w:rsidR="009B0EAF">
        <w:t xml:space="preserve"> </w:t>
      </w:r>
      <w:r>
        <w:t xml:space="preserve">of the </w:t>
      </w:r>
      <w:r w:rsidRPr="00841909">
        <w:t>Act</w:t>
      </w:r>
      <w:r>
        <w:t xml:space="preserve">, </w:t>
      </w:r>
      <w:r w:rsidR="0032146A">
        <w:t>the review</w:t>
      </w:r>
      <w:r w:rsidR="00210059">
        <w:t xml:space="preserve"> of </w:t>
      </w:r>
      <w:r w:rsidR="006D6681">
        <w:t xml:space="preserve">activities </w:t>
      </w:r>
      <w:r w:rsidR="00210059">
        <w:t xml:space="preserve">of </w:t>
      </w:r>
      <w:r w:rsidR="004E0963">
        <w:t>the Titles Administrator</w:t>
      </w:r>
      <w:r w:rsidR="004E0963" w:rsidRPr="00B31949">
        <w:t xml:space="preserve"> </w:t>
      </w:r>
      <w:r w:rsidR="002A66E0">
        <w:t>must</w:t>
      </w:r>
      <w:r w:rsidR="00620337">
        <w:t xml:space="preserve"> include</w:t>
      </w:r>
      <w:r w:rsidR="002664D6">
        <w:t xml:space="preserve"> an</w:t>
      </w:r>
      <w:r w:rsidRPr="00B31949">
        <w:t xml:space="preserve">: </w:t>
      </w:r>
    </w:p>
    <w:p w14:paraId="7E6E319C" w14:textId="5E4E3C62" w:rsidR="00EF08CA" w:rsidRDefault="00EF08CA" w:rsidP="00740708">
      <w:pPr>
        <w:pStyle w:val="ListParagraph"/>
        <w:numPr>
          <w:ilvl w:val="0"/>
          <w:numId w:val="6"/>
        </w:numPr>
        <w:spacing w:after="160" w:line="278" w:lineRule="auto"/>
        <w:contextualSpacing/>
      </w:pPr>
      <w:r w:rsidRPr="00B31949">
        <w:t>Assess</w:t>
      </w:r>
      <w:r w:rsidR="002664D6">
        <w:t>ment of</w:t>
      </w:r>
      <w:r w:rsidRPr="00B31949">
        <w:t xml:space="preserve"> the effectiveness of the Titles Administrator in contributing to the efficiency</w:t>
      </w:r>
      <w:r w:rsidRPr="00ED3447">
        <w:t xml:space="preserve"> of decision-making by a Joint Authority for a </w:t>
      </w:r>
      <w:r w:rsidR="002664D6">
        <w:t>s</w:t>
      </w:r>
      <w:r w:rsidRPr="00ED3447">
        <w:t>tate or the Northern Territory.</w:t>
      </w:r>
    </w:p>
    <w:p w14:paraId="1E489E0F" w14:textId="34D1226A" w:rsidR="00C27CB3" w:rsidRDefault="00A665C9" w:rsidP="00AC237C">
      <w:r>
        <w:t>In the context of the Act and regulations, including the legislated functions of the Titles Administrator</w:t>
      </w:r>
      <w:r w:rsidR="00576ABE">
        <w:t xml:space="preserve"> across both petroleum and greenhouse gas functions</w:t>
      </w:r>
      <w:r>
        <w:t>, this review will consider, assess and provide recommendations in relation to:</w:t>
      </w:r>
    </w:p>
    <w:p w14:paraId="3624EB32" w14:textId="1E183055" w:rsidR="002308C1" w:rsidRDefault="00E46E58" w:rsidP="00C84FE6">
      <w:pPr>
        <w:pStyle w:val="ListParagraph"/>
        <w:numPr>
          <w:ilvl w:val="0"/>
          <w:numId w:val="6"/>
        </w:numPr>
        <w:spacing w:before="160" w:after="160" w:line="278" w:lineRule="auto"/>
        <w:ind w:left="714" w:hanging="357"/>
      </w:pPr>
      <w:r>
        <w:t>The efficiency and effectiveness of application</w:t>
      </w:r>
      <w:r w:rsidR="004111CC">
        <w:t>, assessment</w:t>
      </w:r>
      <w:r>
        <w:t xml:space="preserve"> and approvals processes</w:t>
      </w:r>
      <w:r w:rsidR="006F7821">
        <w:t xml:space="preserve"> for Titles Administrator decisions</w:t>
      </w:r>
      <w:r w:rsidR="003B3BC0">
        <w:t xml:space="preserve"> or responsibilit</w:t>
      </w:r>
      <w:r w:rsidR="00163AA7">
        <w:t>ies</w:t>
      </w:r>
      <w:r>
        <w:t>, including:</w:t>
      </w:r>
    </w:p>
    <w:p w14:paraId="1680A815" w14:textId="5FAD26F5" w:rsidR="00893C8C" w:rsidRDefault="464FCB8B" w:rsidP="00740708">
      <w:pPr>
        <w:pStyle w:val="ListParagraph"/>
        <w:numPr>
          <w:ilvl w:val="1"/>
          <w:numId w:val="6"/>
        </w:numPr>
        <w:spacing w:after="0"/>
      </w:pPr>
      <w:r>
        <w:t>E</w:t>
      </w:r>
      <w:r w:rsidR="6300E670">
        <w:t>valuating the consistency and timeliness of decision-making</w:t>
      </w:r>
      <w:r w:rsidR="4B51D012">
        <w:t>.</w:t>
      </w:r>
    </w:p>
    <w:p w14:paraId="62998846" w14:textId="3E8B553A" w:rsidR="00DB1390" w:rsidRDefault="464FCB8B" w:rsidP="00740708">
      <w:pPr>
        <w:pStyle w:val="ListParagraph"/>
        <w:numPr>
          <w:ilvl w:val="1"/>
          <w:numId w:val="6"/>
        </w:numPr>
        <w:spacing w:after="0"/>
      </w:pPr>
      <w:r>
        <w:t>I</w:t>
      </w:r>
      <w:r w:rsidR="2A5ECDB8">
        <w:t>nternal systems</w:t>
      </w:r>
      <w:r w:rsidR="41DEFF17">
        <w:t>,</w:t>
      </w:r>
      <w:r w:rsidR="2A5ECDB8">
        <w:t xml:space="preserve"> workflows</w:t>
      </w:r>
      <w:r w:rsidR="41DEFF17">
        <w:t xml:space="preserve"> and </w:t>
      </w:r>
      <w:r w:rsidR="0C04769C">
        <w:t>processes, and</w:t>
      </w:r>
      <w:r w:rsidR="2A5ECDB8">
        <w:t xml:space="preserve"> </w:t>
      </w:r>
      <w:r w:rsidR="5B93CD5C">
        <w:t>any bottlenecks or inefficiencies</w:t>
      </w:r>
      <w:r w:rsidR="2A5ECDB8">
        <w:t>.</w:t>
      </w:r>
    </w:p>
    <w:p w14:paraId="0B66EC35" w14:textId="02516F83" w:rsidR="009F2B2D" w:rsidRDefault="464FCB8B" w:rsidP="00740708">
      <w:pPr>
        <w:pStyle w:val="ListParagraph"/>
        <w:numPr>
          <w:ilvl w:val="1"/>
          <w:numId w:val="6"/>
        </w:numPr>
        <w:spacing w:after="0"/>
      </w:pPr>
      <w:r>
        <w:t>E</w:t>
      </w:r>
      <w:r w:rsidR="4CCDF623">
        <w:t xml:space="preserve">valuating </w:t>
      </w:r>
      <w:r w:rsidR="0404E7B8">
        <w:t>the effectiveness of assessments including the financial capacity of titleholders</w:t>
      </w:r>
      <w:r w:rsidR="4A996559">
        <w:t xml:space="preserve">, </w:t>
      </w:r>
      <w:r w:rsidR="6DF95112">
        <w:t>and</w:t>
      </w:r>
      <w:r w:rsidR="4A996559">
        <w:t xml:space="preserve"> how assessments and advice</w:t>
      </w:r>
      <w:r w:rsidR="19B005BB">
        <w:t xml:space="preserve"> support</w:t>
      </w:r>
      <w:r w:rsidR="5B7ADF03">
        <w:t xml:space="preserve"> the Joint Authority</w:t>
      </w:r>
      <w:r w:rsidR="0B95A14B">
        <w:t xml:space="preserve"> and/or the government</w:t>
      </w:r>
      <w:r w:rsidR="779F5DD4">
        <w:t>.</w:t>
      </w:r>
    </w:p>
    <w:p w14:paraId="4A31C17E" w14:textId="3450B162" w:rsidR="007948FB" w:rsidRDefault="6DF95112" w:rsidP="00740708">
      <w:pPr>
        <w:pStyle w:val="ListParagraph"/>
        <w:numPr>
          <w:ilvl w:val="1"/>
          <w:numId w:val="6"/>
        </w:numPr>
        <w:spacing w:after="0"/>
      </w:pPr>
      <w:r>
        <w:t>K</w:t>
      </w:r>
      <w:r w:rsidR="47004278">
        <w:t>nowledge sharing, training and assurance procedures and whether the</w:t>
      </w:r>
      <w:r>
        <w:t>se</w:t>
      </w:r>
      <w:r w:rsidR="47004278">
        <w:t xml:space="preserve"> are sufficient to support consistent and timely decision-making</w:t>
      </w:r>
      <w:r w:rsidR="6162E7D0">
        <w:t xml:space="preserve"> and are consistent with departmental expectations</w:t>
      </w:r>
      <w:r w:rsidR="0892A607">
        <w:t>, policies and procedures</w:t>
      </w:r>
      <w:r w:rsidR="6162E7D0">
        <w:t>.</w:t>
      </w:r>
    </w:p>
    <w:p w14:paraId="6677BB71" w14:textId="77777777" w:rsidR="00B10F26" w:rsidRPr="000F18C3" w:rsidRDefault="00B10F26" w:rsidP="00740708">
      <w:pPr>
        <w:pStyle w:val="ListParagraph"/>
        <w:numPr>
          <w:ilvl w:val="0"/>
          <w:numId w:val="6"/>
        </w:numPr>
        <w:spacing w:before="160" w:after="160" w:line="278" w:lineRule="auto"/>
        <w:ind w:left="714" w:hanging="357"/>
      </w:pPr>
      <w:r w:rsidRPr="000F18C3">
        <w:t>The extent to which NOP</w:t>
      </w:r>
      <w:r>
        <w:t>TA</w:t>
      </w:r>
      <w:r w:rsidRPr="000F18C3">
        <w:t>’s interpretation and exercise of its legislative powers aligns with the intent of the Act. This is to consider NOP</w:t>
      </w:r>
      <w:r>
        <w:t>TA</w:t>
      </w:r>
      <w:r w:rsidRPr="000F18C3">
        <w:t>’s:</w:t>
      </w:r>
    </w:p>
    <w:p w14:paraId="1A5ED796" w14:textId="77777777" w:rsidR="00B10F26" w:rsidRPr="000F18C3" w:rsidRDefault="00B10F26" w:rsidP="00740708">
      <w:pPr>
        <w:pStyle w:val="ListParagraph"/>
        <w:numPr>
          <w:ilvl w:val="1"/>
          <w:numId w:val="6"/>
        </w:numPr>
        <w:spacing w:after="0"/>
      </w:pPr>
      <w:r w:rsidRPr="000F18C3">
        <w:lastRenderedPageBreak/>
        <w:t>Interpretation of its legislative power and how this influences its approach</w:t>
      </w:r>
      <w:r>
        <w:t>,</w:t>
      </w:r>
      <w:r w:rsidRPr="000F18C3">
        <w:t xml:space="preserve"> including whether there is scope for greater flexibility</w:t>
      </w:r>
      <w:r>
        <w:t xml:space="preserve"> while maintaining any legislative confidentiality requirements under the Act.</w:t>
      </w:r>
    </w:p>
    <w:p w14:paraId="438160CC" w14:textId="77777777" w:rsidR="00B10F26" w:rsidRDefault="00B10F26" w:rsidP="00740708">
      <w:pPr>
        <w:pStyle w:val="ListParagraph"/>
        <w:numPr>
          <w:ilvl w:val="1"/>
          <w:numId w:val="6"/>
        </w:numPr>
        <w:spacing w:after="0"/>
      </w:pPr>
      <w:r w:rsidRPr="000F18C3">
        <w:t>Understanding of how its advice and expertise informs broader policy and decision making, including to support the government achieve its objectives.</w:t>
      </w:r>
    </w:p>
    <w:p w14:paraId="323E823C" w14:textId="796C7FE0" w:rsidR="006C61F6" w:rsidRDefault="00723EC9" w:rsidP="00740708">
      <w:pPr>
        <w:pStyle w:val="ListParagraph"/>
        <w:numPr>
          <w:ilvl w:val="0"/>
          <w:numId w:val="6"/>
        </w:numPr>
        <w:spacing w:before="160" w:after="160" w:line="278" w:lineRule="auto"/>
        <w:ind w:left="714" w:hanging="357"/>
      </w:pPr>
      <w:r>
        <w:t>The effectiveness of NOPTA’s role in compliance and monitoring activities within its remit, n</w:t>
      </w:r>
      <w:r w:rsidR="006C61F6">
        <w:t>oting under the Act, NOPSEMA is responsible for enforcement activities</w:t>
      </w:r>
      <w:r>
        <w:t>. This should consider</w:t>
      </w:r>
      <w:r w:rsidR="006C61F6">
        <w:t>:</w:t>
      </w:r>
    </w:p>
    <w:p w14:paraId="4AF8BCC1" w14:textId="77777777" w:rsidR="00531DCF" w:rsidRDefault="00531DCF" w:rsidP="00531DCF">
      <w:pPr>
        <w:pStyle w:val="ListParagraph"/>
        <w:numPr>
          <w:ilvl w:val="1"/>
          <w:numId w:val="6"/>
        </w:numPr>
        <w:spacing w:after="160" w:line="278" w:lineRule="auto"/>
        <w:contextualSpacing/>
      </w:pPr>
      <w:r>
        <w:t>How compliance and monitoring activities have been conducted, recorded and reported on to NOPSEMA, the Responsible Commonwealth Minister or the relevant Joint Authority for action during the review period.</w:t>
      </w:r>
    </w:p>
    <w:p w14:paraId="5230E005" w14:textId="5272A4F2" w:rsidR="00012C71" w:rsidRPr="007D08BF" w:rsidRDefault="00012C71" w:rsidP="00740708">
      <w:pPr>
        <w:pStyle w:val="ListParagraph"/>
        <w:numPr>
          <w:ilvl w:val="1"/>
          <w:numId w:val="6"/>
        </w:numPr>
        <w:spacing w:after="160" w:line="278" w:lineRule="auto"/>
        <w:contextualSpacing/>
      </w:pPr>
      <w:r w:rsidRPr="007D08BF">
        <w:t>The effectiveness of compliance, monitoring and reporting mechanisms</w:t>
      </w:r>
      <w:r w:rsidR="007D08BF" w:rsidRPr="007D08BF">
        <w:t>.</w:t>
      </w:r>
    </w:p>
    <w:p w14:paraId="7B8E474F" w14:textId="77777777" w:rsidR="006C61F6" w:rsidRDefault="006C61F6" w:rsidP="00740708">
      <w:pPr>
        <w:pStyle w:val="ListParagraph"/>
        <w:numPr>
          <w:ilvl w:val="1"/>
          <w:numId w:val="6"/>
        </w:numPr>
        <w:spacing w:after="160" w:line="278" w:lineRule="auto"/>
        <w:contextualSpacing/>
      </w:pPr>
      <w:r>
        <w:t>How NOPTA has used its information gathering powers under section 699 of the Act.</w:t>
      </w:r>
    </w:p>
    <w:p w14:paraId="1C5289C7" w14:textId="77777777" w:rsidR="006C61F6" w:rsidRDefault="006C61F6" w:rsidP="00740708">
      <w:pPr>
        <w:pStyle w:val="ListParagraph"/>
        <w:numPr>
          <w:ilvl w:val="1"/>
          <w:numId w:val="6"/>
        </w:numPr>
        <w:spacing w:after="160" w:line="278" w:lineRule="auto"/>
        <w:ind w:left="1434" w:hanging="357"/>
      </w:pPr>
      <w:r>
        <w:t>The appropriateness of systems in place to support compliance and monitoring activities and any adjustments necessary for continuous improvement.</w:t>
      </w:r>
    </w:p>
    <w:p w14:paraId="5677D6B8" w14:textId="57829789" w:rsidR="005641DB" w:rsidRPr="005641DB" w:rsidRDefault="005641DB" w:rsidP="00740708">
      <w:pPr>
        <w:pStyle w:val="ListParagraph"/>
        <w:numPr>
          <w:ilvl w:val="0"/>
          <w:numId w:val="6"/>
        </w:numPr>
        <w:spacing w:before="160" w:after="160" w:line="278" w:lineRule="auto"/>
        <w:ind w:left="714" w:hanging="357"/>
      </w:pPr>
      <w:r w:rsidRPr="005641DB">
        <w:t>The capacity and capability of NOP</w:t>
      </w:r>
      <w:r>
        <w:t>TA</w:t>
      </w:r>
      <w:r w:rsidRPr="005641DB">
        <w:t xml:space="preserve">, including </w:t>
      </w:r>
      <w:r w:rsidR="00723EC9">
        <w:t xml:space="preserve">whether it has the right resources, expertise, staffing and organisational </w:t>
      </w:r>
      <w:r w:rsidR="00DB41AA">
        <w:t xml:space="preserve">structure </w:t>
      </w:r>
      <w:r w:rsidR="00DB41AA" w:rsidRPr="005641DB">
        <w:t>to</w:t>
      </w:r>
      <w:r w:rsidRPr="005641DB">
        <w:t xml:space="preserve"> respond to varying levels of industry activity, support the policy functions of government and to address new technologies and other emerging issues including</w:t>
      </w:r>
      <w:r w:rsidR="000976CC">
        <w:t xml:space="preserve">. </w:t>
      </w:r>
      <w:r w:rsidR="00767921" w:rsidRPr="00B507FE">
        <w:t>This should consider:</w:t>
      </w:r>
    </w:p>
    <w:p w14:paraId="4E753FD0" w14:textId="54F64FA5" w:rsidR="005641DB" w:rsidRDefault="00767921" w:rsidP="00740708">
      <w:pPr>
        <w:numPr>
          <w:ilvl w:val="1"/>
          <w:numId w:val="6"/>
        </w:numPr>
        <w:spacing w:before="100" w:beforeAutospacing="1" w:after="100" w:afterAutospacing="1"/>
      </w:pPr>
      <w:r>
        <w:t>H</w:t>
      </w:r>
      <w:r w:rsidR="005641DB" w:rsidRPr="005641DB">
        <w:t>ow NOP</w:t>
      </w:r>
      <w:r w:rsidR="005641DB">
        <w:t>TA</w:t>
      </w:r>
      <w:r w:rsidR="005641DB" w:rsidRPr="005641DB">
        <w:t xml:space="preserve">’s resourcing, expertise and structure </w:t>
      </w:r>
      <w:r w:rsidR="00723EC9">
        <w:t>enables it</w:t>
      </w:r>
      <w:r w:rsidR="005641DB" w:rsidRPr="005641DB">
        <w:t xml:space="preserve"> to meet government expectations.</w:t>
      </w:r>
    </w:p>
    <w:p w14:paraId="416D19E5" w14:textId="0C53DB0D" w:rsidR="005641DB" w:rsidRDefault="00767921" w:rsidP="00740708">
      <w:pPr>
        <w:numPr>
          <w:ilvl w:val="1"/>
          <w:numId w:val="6"/>
        </w:numPr>
        <w:spacing w:before="100" w:beforeAutospacing="1" w:after="100" w:afterAutospacing="1"/>
      </w:pPr>
      <w:r>
        <w:t>A</w:t>
      </w:r>
      <w:r w:rsidR="008D4541">
        <w:t>lignment with broader departmental policies and procedures.</w:t>
      </w:r>
    </w:p>
    <w:p w14:paraId="736929F6" w14:textId="7D2515EE" w:rsidR="00142255" w:rsidRDefault="00767921" w:rsidP="00740708">
      <w:pPr>
        <w:numPr>
          <w:ilvl w:val="1"/>
          <w:numId w:val="6"/>
        </w:numPr>
        <w:spacing w:before="100" w:beforeAutospacing="1" w:after="100" w:afterAutospacing="1"/>
      </w:pPr>
      <w:r>
        <w:t>A</w:t>
      </w:r>
      <w:r w:rsidR="00142255">
        <w:t>ny opportunities to improve efficienc</w:t>
      </w:r>
      <w:r>
        <w:t>ies across NOPTA</w:t>
      </w:r>
      <w:r w:rsidR="00142255">
        <w:t>.</w:t>
      </w:r>
    </w:p>
    <w:p w14:paraId="22E0FBE6" w14:textId="2784F49B" w:rsidR="00C67072" w:rsidRDefault="00C67072" w:rsidP="00740708">
      <w:pPr>
        <w:numPr>
          <w:ilvl w:val="1"/>
          <w:numId w:val="6"/>
        </w:numPr>
        <w:spacing w:before="100" w:beforeAutospacing="1" w:after="100" w:afterAutospacing="1"/>
      </w:pPr>
      <w:r>
        <w:t>The readiness of NOPTA to respond to an increase in CCS data.</w:t>
      </w:r>
    </w:p>
    <w:p w14:paraId="31F56264" w14:textId="085A3FF7" w:rsidR="00FD5CDF" w:rsidRPr="00B507FE" w:rsidRDefault="002F5A13" w:rsidP="00740708">
      <w:pPr>
        <w:pStyle w:val="ListParagraph"/>
        <w:numPr>
          <w:ilvl w:val="0"/>
          <w:numId w:val="6"/>
        </w:numPr>
        <w:spacing w:before="160" w:after="160" w:line="278" w:lineRule="auto"/>
        <w:ind w:left="714" w:hanging="357"/>
      </w:pPr>
      <w:r>
        <w:t>H</w:t>
      </w:r>
      <w:r w:rsidR="00874DB9">
        <w:t>ow NOPTA ha</w:t>
      </w:r>
      <w:r w:rsidR="00F13CDA">
        <w:t>s</w:t>
      </w:r>
      <w:r w:rsidR="00874DB9">
        <w:t xml:space="preserve"> </w:t>
      </w:r>
      <w:r w:rsidR="00527213">
        <w:t xml:space="preserve">responded </w:t>
      </w:r>
      <w:r w:rsidR="009B0830">
        <w:t xml:space="preserve">and adjusted </w:t>
      </w:r>
      <w:r w:rsidR="00041ED8">
        <w:t xml:space="preserve">its </w:t>
      </w:r>
      <w:r w:rsidR="009B0830">
        <w:t xml:space="preserve">practices </w:t>
      </w:r>
      <w:r w:rsidR="006D5634">
        <w:t xml:space="preserve">following </w:t>
      </w:r>
      <w:r w:rsidR="00041ED8">
        <w:t xml:space="preserve">significant </w:t>
      </w:r>
      <w:r>
        <w:t>legislative</w:t>
      </w:r>
      <w:r w:rsidR="00874DB9">
        <w:t xml:space="preserve"> </w:t>
      </w:r>
      <w:r w:rsidR="00C7597C">
        <w:t>amendments</w:t>
      </w:r>
      <w:r w:rsidR="001A2EC8">
        <w:t>,</w:t>
      </w:r>
      <w:r w:rsidR="00041ED8">
        <w:t xml:space="preserve"> such as the </w:t>
      </w:r>
      <w:r w:rsidR="001A2EC8" w:rsidRPr="00B507FE">
        <w:rPr>
          <w:i/>
          <w:iCs/>
        </w:rPr>
        <w:t xml:space="preserve">Offshore Petroleum and Greenhouse Gas Storage Amendment (Titles Administration and Other Measures) </w:t>
      </w:r>
      <w:r w:rsidR="00531DCF">
        <w:rPr>
          <w:i/>
          <w:iCs/>
        </w:rPr>
        <w:t xml:space="preserve">Act </w:t>
      </w:r>
      <w:r w:rsidR="001A2EC8" w:rsidRPr="00B507FE">
        <w:rPr>
          <w:i/>
          <w:iCs/>
        </w:rPr>
        <w:t>2021</w:t>
      </w:r>
      <w:r w:rsidR="001A2EC8" w:rsidRPr="00B507FE">
        <w:t>.</w:t>
      </w:r>
    </w:p>
    <w:p w14:paraId="7D0578C4" w14:textId="5676755D" w:rsidR="00B00CFD" w:rsidRDefault="00BE1133" w:rsidP="00740708">
      <w:pPr>
        <w:pStyle w:val="ListParagraph"/>
        <w:numPr>
          <w:ilvl w:val="0"/>
          <w:numId w:val="6"/>
        </w:numPr>
        <w:spacing w:after="160" w:line="278" w:lineRule="auto"/>
        <w:ind w:left="714" w:hanging="357"/>
      </w:pPr>
      <w:r>
        <w:t xml:space="preserve">The appropriateness of </w:t>
      </w:r>
      <w:r w:rsidR="00B00CFD">
        <w:t>NOPTA’s approach to risk identification and management</w:t>
      </w:r>
      <w:r w:rsidR="001E460C">
        <w:t xml:space="preserve">, including alignment with departmental risk management policies and procedures and </w:t>
      </w:r>
      <w:r w:rsidR="00380DAC">
        <w:t xml:space="preserve">if NOPTA’s </w:t>
      </w:r>
      <w:r w:rsidR="00B00CFD">
        <w:t xml:space="preserve">risk tolerance settings influence </w:t>
      </w:r>
      <w:r w:rsidR="002F6145">
        <w:t>the exercise of its functions</w:t>
      </w:r>
      <w:r w:rsidR="00380DAC">
        <w:t xml:space="preserve"> and en</w:t>
      </w:r>
      <w:r w:rsidR="009122DC">
        <w:t>gagement across the department and the broader government</w:t>
      </w:r>
      <w:r w:rsidR="002F6145">
        <w:t>.</w:t>
      </w:r>
    </w:p>
    <w:p w14:paraId="63630363" w14:textId="4DF112C6" w:rsidR="00DE1A4A" w:rsidRPr="00BF764D" w:rsidRDefault="00DE1A4A" w:rsidP="00740708">
      <w:pPr>
        <w:pStyle w:val="ListParagraph"/>
        <w:numPr>
          <w:ilvl w:val="0"/>
          <w:numId w:val="6"/>
        </w:numPr>
        <w:spacing w:after="160" w:line="278" w:lineRule="auto"/>
        <w:ind w:left="714" w:hanging="357"/>
      </w:pPr>
      <w:r w:rsidRPr="6A11651C">
        <w:t xml:space="preserve">The </w:t>
      </w:r>
      <w:r>
        <w:t>e</w:t>
      </w:r>
      <w:r w:rsidRPr="6A11651C">
        <w:t xml:space="preserve">ffectiveness of </w:t>
      </w:r>
      <w:r>
        <w:t>NOPTA</w:t>
      </w:r>
      <w:r w:rsidR="00A356A4">
        <w:t xml:space="preserve">’s </w:t>
      </w:r>
      <w:r>
        <w:t>communicat</w:t>
      </w:r>
      <w:r w:rsidR="00A356A4">
        <w:t>ion</w:t>
      </w:r>
      <w:r w:rsidR="00FC06A7">
        <w:t xml:space="preserve"> </w:t>
      </w:r>
      <w:r>
        <w:t xml:space="preserve">and </w:t>
      </w:r>
      <w:r w:rsidRPr="6A11651C">
        <w:t>co-operat</w:t>
      </w:r>
      <w:r w:rsidR="00A356A4">
        <w:t>ion</w:t>
      </w:r>
      <w:r w:rsidRPr="6A11651C">
        <w:t xml:space="preserve"> with </w:t>
      </w:r>
      <w:r>
        <w:t>NOPSEMA</w:t>
      </w:r>
      <w:r w:rsidRPr="6A11651C">
        <w:t>, as well as other Commonwealth agencies</w:t>
      </w:r>
      <w:r w:rsidR="00001DD2">
        <w:t xml:space="preserve"> and organisations</w:t>
      </w:r>
      <w:r w:rsidR="00001DD2" w:rsidRPr="00001DD2">
        <w:t xml:space="preserve"> </w:t>
      </w:r>
      <w:r w:rsidRPr="6A11651C">
        <w:t>on matters related to the administration and enforcement of the Act and its associated regulations</w:t>
      </w:r>
      <w:r w:rsidR="005A6E06">
        <w:t xml:space="preserve">. </w:t>
      </w:r>
      <w:r w:rsidR="00BA06EC">
        <w:t>This should consider:</w:t>
      </w:r>
    </w:p>
    <w:p w14:paraId="6885C83A" w14:textId="0E3340E0" w:rsidR="00DE1A4A" w:rsidRDefault="00B507FE" w:rsidP="00740708">
      <w:pPr>
        <w:pStyle w:val="ListParagraph"/>
        <w:numPr>
          <w:ilvl w:val="1"/>
          <w:numId w:val="6"/>
        </w:numPr>
        <w:spacing w:after="160" w:line="279" w:lineRule="auto"/>
        <w:contextualSpacing/>
      </w:pPr>
      <w:r>
        <w:t>T</w:t>
      </w:r>
      <w:r w:rsidR="00DE1A4A">
        <w:t>he organisational culture of NOPTA and the extent</w:t>
      </w:r>
      <w:r w:rsidR="00A53948">
        <w:t xml:space="preserve"> </w:t>
      </w:r>
      <w:r w:rsidR="00DE1A4A">
        <w:t xml:space="preserve">to which this impacts its interactions </w:t>
      </w:r>
      <w:r w:rsidR="009271C5">
        <w:t>across the department and the broader government.</w:t>
      </w:r>
    </w:p>
    <w:p w14:paraId="5F09D509" w14:textId="67B477AD" w:rsidR="009271C5" w:rsidRDefault="00B507FE" w:rsidP="00740708">
      <w:pPr>
        <w:pStyle w:val="ListParagraph"/>
        <w:numPr>
          <w:ilvl w:val="1"/>
          <w:numId w:val="6"/>
        </w:numPr>
        <w:spacing w:after="160" w:line="278" w:lineRule="auto"/>
        <w:ind w:left="1434" w:hanging="357"/>
      </w:pPr>
      <w:r>
        <w:t>H</w:t>
      </w:r>
      <w:r w:rsidR="00BA06EC">
        <w:t xml:space="preserve">ow </w:t>
      </w:r>
      <w:r w:rsidR="009271C5">
        <w:t>this</w:t>
      </w:r>
      <w:r w:rsidR="00757D33" w:rsidRPr="00EC17D0">
        <w:t xml:space="preserve"> impacts</w:t>
      </w:r>
      <w:r w:rsidR="009271C5">
        <w:t xml:space="preserve"> and supports</w:t>
      </w:r>
      <w:r w:rsidR="00757D33" w:rsidRPr="00EC17D0">
        <w:t xml:space="preserve"> regulatory</w:t>
      </w:r>
      <w:r w:rsidR="006D053E">
        <w:t>/policy</w:t>
      </w:r>
      <w:r w:rsidR="00757D33" w:rsidRPr="00EC17D0">
        <w:t xml:space="preserve"> outcomes</w:t>
      </w:r>
      <w:r w:rsidR="009E7355" w:rsidRPr="00EC17D0">
        <w:t>, broader policy development and decision-making processes</w:t>
      </w:r>
      <w:r w:rsidR="00757D33" w:rsidRPr="00EC17D0">
        <w:t>.</w:t>
      </w:r>
    </w:p>
    <w:p w14:paraId="2FB561BA" w14:textId="23F2AC3D" w:rsidR="002F45BC" w:rsidRDefault="002E25DC" w:rsidP="00740708">
      <w:pPr>
        <w:pStyle w:val="ListParagraph"/>
        <w:numPr>
          <w:ilvl w:val="0"/>
          <w:numId w:val="6"/>
        </w:numPr>
        <w:spacing w:after="160" w:line="278" w:lineRule="auto"/>
        <w:ind w:left="714" w:hanging="357"/>
      </w:pPr>
      <w:r>
        <w:t xml:space="preserve">The effectiveness of </w:t>
      </w:r>
      <w:r w:rsidR="002F45BC">
        <w:t>NOPTA’s</w:t>
      </w:r>
      <w:r w:rsidR="002F45BC" w:rsidRPr="6A11651C">
        <w:t xml:space="preserve"> communication, engagement and relationships with</w:t>
      </w:r>
      <w:r w:rsidR="002F45BC">
        <w:t xml:space="preserve"> </w:t>
      </w:r>
      <w:r w:rsidR="002F45BC" w:rsidRPr="6A11651C">
        <w:t xml:space="preserve">external </w:t>
      </w:r>
      <w:r w:rsidR="003B0BFD">
        <w:t xml:space="preserve">stakeholders, </w:t>
      </w:r>
      <w:r w:rsidR="002F45BC" w:rsidRPr="6A11651C">
        <w:t>including</w:t>
      </w:r>
      <w:r w:rsidR="003B0BFD">
        <w:t xml:space="preserve"> but not limited to</w:t>
      </w:r>
      <w:r w:rsidR="002F45BC" w:rsidRPr="6A11651C">
        <w:t xml:space="preserve"> state and territory government</w:t>
      </w:r>
      <w:r w:rsidR="003B0BFD">
        <w:t>s</w:t>
      </w:r>
      <w:r w:rsidR="002F45BC" w:rsidRPr="6A11651C">
        <w:t xml:space="preserve">, </w:t>
      </w:r>
      <w:r w:rsidR="003B0BFD">
        <w:t xml:space="preserve">oil, gas, greenhouse gas </w:t>
      </w:r>
      <w:r w:rsidR="002F45BC" w:rsidRPr="6A11651C">
        <w:t>industr</w:t>
      </w:r>
      <w:r w:rsidR="003B0BFD">
        <w:t xml:space="preserve">ies and </w:t>
      </w:r>
      <w:r w:rsidR="002F45BC">
        <w:t xml:space="preserve">First Nations </w:t>
      </w:r>
      <w:r w:rsidR="003B0BFD">
        <w:t>stakeholders</w:t>
      </w:r>
      <w:r w:rsidR="00E67BB5">
        <w:t>. This should consider how NOPTA:</w:t>
      </w:r>
    </w:p>
    <w:p w14:paraId="62C5BD0C" w14:textId="703BAD07" w:rsidR="00DC278D" w:rsidRPr="00BF764D" w:rsidRDefault="0016459C" w:rsidP="00740708">
      <w:pPr>
        <w:pStyle w:val="ListParagraph"/>
        <w:numPr>
          <w:ilvl w:val="1"/>
          <w:numId w:val="6"/>
        </w:numPr>
        <w:spacing w:after="0"/>
        <w:contextualSpacing/>
      </w:pPr>
      <w:r>
        <w:t xml:space="preserve">Conveys </w:t>
      </w:r>
      <w:r w:rsidR="00DC278D">
        <w:t>information to stakeholders, including m</w:t>
      </w:r>
      <w:r w:rsidR="00DC278D" w:rsidRPr="6A11651C">
        <w:t xml:space="preserve">aking information publicly available to </w:t>
      </w:r>
      <w:r w:rsidR="00DC278D">
        <w:t xml:space="preserve">stakeholders and the </w:t>
      </w:r>
      <w:r w:rsidR="00DC278D" w:rsidRPr="6A11651C">
        <w:t>community</w:t>
      </w:r>
      <w:r>
        <w:t xml:space="preserve"> </w:t>
      </w:r>
      <w:r w:rsidR="00625A44">
        <w:t>(where relevant)</w:t>
      </w:r>
      <w:r w:rsidR="00DC278D" w:rsidRPr="6A11651C">
        <w:t xml:space="preserve"> and the ease of use and </w:t>
      </w:r>
      <w:r w:rsidR="00DC278D">
        <w:t>accessibility of</w:t>
      </w:r>
      <w:r w:rsidR="00DC278D" w:rsidRPr="6A11651C">
        <w:t xml:space="preserve"> th</w:t>
      </w:r>
      <w:r w:rsidR="00DC278D">
        <w:t>e</w:t>
      </w:r>
      <w:r w:rsidR="00DC278D" w:rsidRPr="6A11651C">
        <w:t xml:space="preserve"> information</w:t>
      </w:r>
      <w:r w:rsidR="00DC278D">
        <w:t>.</w:t>
      </w:r>
    </w:p>
    <w:p w14:paraId="54387C23" w14:textId="77777777" w:rsidR="004A62B7" w:rsidRDefault="00625A44" w:rsidP="00740708">
      <w:pPr>
        <w:pStyle w:val="ListParagraph"/>
        <w:numPr>
          <w:ilvl w:val="1"/>
          <w:numId w:val="6"/>
        </w:numPr>
        <w:spacing w:after="0"/>
        <w:contextualSpacing/>
      </w:pPr>
      <w:r>
        <w:t xml:space="preserve">Contributes to and maintains community confidence </w:t>
      </w:r>
      <w:r w:rsidR="004A62B7">
        <w:t>through its engagement activities.</w:t>
      </w:r>
    </w:p>
    <w:p w14:paraId="3F61323C" w14:textId="2261C980" w:rsidR="006E6DA0" w:rsidRDefault="004A62B7" w:rsidP="00740708">
      <w:pPr>
        <w:pStyle w:val="ListParagraph"/>
        <w:numPr>
          <w:ilvl w:val="1"/>
          <w:numId w:val="6"/>
        </w:numPr>
        <w:spacing w:after="0"/>
        <w:ind w:left="1434" w:hanging="357"/>
      </w:pPr>
      <w:r>
        <w:lastRenderedPageBreak/>
        <w:t>R</w:t>
      </w:r>
      <w:r w:rsidR="00DC278D" w:rsidRPr="6A11651C">
        <w:t>espond</w:t>
      </w:r>
      <w:r w:rsidR="00E67BB5">
        <w:t>s</w:t>
      </w:r>
      <w:r w:rsidR="00DC278D" w:rsidRPr="6A11651C">
        <w:t xml:space="preserve"> to community concerns and other matters </w:t>
      </w:r>
      <w:r w:rsidR="00DC278D">
        <w:t xml:space="preserve">within an appropriate timeframe and ensuring </w:t>
      </w:r>
      <w:r>
        <w:t xml:space="preserve">relevant departmental executives </w:t>
      </w:r>
      <w:r w:rsidR="00B43B14">
        <w:t>and/or the Responsible Commonwealth Minister are</w:t>
      </w:r>
      <w:r w:rsidR="00DC278D">
        <w:t xml:space="preserve"> </w:t>
      </w:r>
      <w:r w:rsidR="00B43B14">
        <w:t>aware of t</w:t>
      </w:r>
      <w:r w:rsidR="00DC278D">
        <w:t>hese matters in a timely manner</w:t>
      </w:r>
      <w:r w:rsidR="00DC278D" w:rsidRPr="6A11651C">
        <w:t>.</w:t>
      </w:r>
    </w:p>
    <w:p w14:paraId="0773E9FD" w14:textId="77777777" w:rsidR="00C67072" w:rsidRDefault="001B4FAC" w:rsidP="00C67072">
      <w:pPr>
        <w:pStyle w:val="ListParagraph"/>
        <w:numPr>
          <w:ilvl w:val="0"/>
          <w:numId w:val="6"/>
        </w:numPr>
        <w:spacing w:before="160" w:after="160" w:line="278" w:lineRule="auto"/>
        <w:ind w:left="714" w:hanging="357"/>
      </w:pPr>
      <w:r w:rsidRPr="00852F8A">
        <w:t xml:space="preserve">The </w:t>
      </w:r>
      <w:r w:rsidRPr="00865BA7">
        <w:t>provision</w:t>
      </w:r>
      <w:r w:rsidRPr="00852F8A">
        <w:t xml:space="preserve"> of information,</w:t>
      </w:r>
      <w:r w:rsidR="002C03FE">
        <w:t xml:space="preserve"> data,</w:t>
      </w:r>
      <w:r w:rsidRPr="00852F8A">
        <w:t xml:space="preserve"> assessments, analysis, reports, advice and recommendations to</w:t>
      </w:r>
      <w:r w:rsidR="00D21177">
        <w:t xml:space="preserve"> the relevant</w:t>
      </w:r>
      <w:r w:rsidRPr="00852F8A">
        <w:t xml:space="preserve"> Joint Authorit</w:t>
      </w:r>
      <w:r w:rsidR="00D21177">
        <w:t>y</w:t>
      </w:r>
      <w:r w:rsidR="005E03AE">
        <w:t xml:space="preserve"> and/or</w:t>
      </w:r>
      <w:r>
        <w:t xml:space="preserve"> </w:t>
      </w:r>
      <w:r w:rsidRPr="00852F8A">
        <w:t xml:space="preserve">the </w:t>
      </w:r>
      <w:r w:rsidR="00A9320B">
        <w:t>r</w:t>
      </w:r>
      <w:r w:rsidRPr="00852F8A">
        <w:t xml:space="preserve">esponsible Commonwealth Minister </w:t>
      </w:r>
      <w:r>
        <w:t>and</w:t>
      </w:r>
      <w:r w:rsidR="005E03AE">
        <w:t>/or</w:t>
      </w:r>
      <w:r>
        <w:t xml:space="preserve"> </w:t>
      </w:r>
      <w:r w:rsidR="008A479A">
        <w:t>NOPSEMA</w:t>
      </w:r>
      <w:r>
        <w:t xml:space="preserve"> </w:t>
      </w:r>
      <w:r w:rsidRPr="00852F8A">
        <w:t>on titles, compliance</w:t>
      </w:r>
      <w:r w:rsidR="005E03AE">
        <w:t xml:space="preserve">, monitoring and reporting </w:t>
      </w:r>
      <w:r w:rsidRPr="00852F8A">
        <w:t>and other related matters.</w:t>
      </w:r>
      <w:r w:rsidRPr="00865BA7">
        <w:t xml:space="preserve"> This should consider:</w:t>
      </w:r>
    </w:p>
    <w:p w14:paraId="1DA1B9AA" w14:textId="0954A41A" w:rsidR="00B933B9" w:rsidRDefault="00B507FE" w:rsidP="00C67072">
      <w:pPr>
        <w:pStyle w:val="ListParagraph"/>
        <w:numPr>
          <w:ilvl w:val="1"/>
          <w:numId w:val="6"/>
        </w:numPr>
        <w:spacing w:before="160" w:after="160" w:line="278" w:lineRule="auto"/>
      </w:pPr>
      <w:r>
        <w:t>W</w:t>
      </w:r>
      <w:r w:rsidR="001B4FAC">
        <w:t xml:space="preserve">hether the scope, method and efficiency </w:t>
      </w:r>
      <w:r w:rsidR="00CB03F0">
        <w:t>of the</w:t>
      </w:r>
      <w:r w:rsidR="001B4FAC">
        <w:t xml:space="preserve"> information</w:t>
      </w:r>
      <w:r w:rsidR="00CB03F0">
        <w:t xml:space="preserve"> provided</w:t>
      </w:r>
      <w:r w:rsidR="008F11E5">
        <w:t xml:space="preserve"> meets</w:t>
      </w:r>
      <w:r w:rsidR="001B4FAC">
        <w:t xml:space="preserve"> needs</w:t>
      </w:r>
      <w:r w:rsidR="003E6549">
        <w:t xml:space="preserve"> of</w:t>
      </w:r>
      <w:r w:rsidR="009D2969">
        <w:t xml:space="preserve"> the end user</w:t>
      </w:r>
      <w:r w:rsidR="008F11E5">
        <w:t xml:space="preserve"> and </w:t>
      </w:r>
      <w:r w:rsidR="00911B9F">
        <w:t>aligns</w:t>
      </w:r>
      <w:r w:rsidR="009D2969">
        <w:t xml:space="preserve"> with the department’s</w:t>
      </w:r>
      <w:r w:rsidR="00CA721D">
        <w:t xml:space="preserve"> </w:t>
      </w:r>
      <w:r w:rsidR="009D2969">
        <w:t>policies and pr</w:t>
      </w:r>
      <w:r w:rsidR="009D55D5">
        <w:t>ocedures</w:t>
      </w:r>
      <w:r w:rsidR="009D2969">
        <w:t xml:space="preserve"> (where </w:t>
      </w:r>
      <w:r w:rsidR="009D2969" w:rsidRPr="00C67072">
        <w:rPr>
          <w:rFonts w:eastAsiaTheme="minorEastAsia"/>
          <w:szCs w:val="20"/>
        </w:rPr>
        <w:t>relevant)</w:t>
      </w:r>
      <w:r w:rsidR="008F11E5" w:rsidRPr="00C67072">
        <w:rPr>
          <w:rFonts w:eastAsiaTheme="minorEastAsia"/>
          <w:szCs w:val="20"/>
        </w:rPr>
        <w:t>.</w:t>
      </w:r>
    </w:p>
    <w:p w14:paraId="4F5C94E1" w14:textId="0AD4F159" w:rsidR="008F2947" w:rsidRDefault="001F3253" w:rsidP="00597215">
      <w:pPr>
        <w:pStyle w:val="ListParagraph"/>
        <w:numPr>
          <w:ilvl w:val="0"/>
          <w:numId w:val="6"/>
        </w:numPr>
        <w:spacing w:before="160" w:after="160" w:line="278" w:lineRule="auto"/>
        <w:ind w:left="714" w:hanging="357"/>
      </w:pPr>
      <w:r>
        <w:t xml:space="preserve">The suitability of </w:t>
      </w:r>
      <w:r w:rsidR="58424ABC">
        <w:t xml:space="preserve">the </w:t>
      </w:r>
      <w:r w:rsidR="006A4ABC">
        <w:t>current cost recovery</w:t>
      </w:r>
      <w:r w:rsidR="787446BB">
        <w:t xml:space="preserve"> model for NOPTA</w:t>
      </w:r>
      <w:r w:rsidR="00C54311">
        <w:t>, to determine whether the</w:t>
      </w:r>
      <w:r w:rsidR="2D262031">
        <w:t xml:space="preserve"> model is fit for purpose.</w:t>
      </w:r>
      <w:r w:rsidR="00C54311">
        <w:t xml:space="preserve"> </w:t>
      </w:r>
      <w:r w:rsidR="001A593B">
        <w:t>This should also consider:</w:t>
      </w:r>
    </w:p>
    <w:p w14:paraId="50EF73C6" w14:textId="7DF44BEF" w:rsidR="00597215" w:rsidRPr="00597215" w:rsidRDefault="00F67B35" w:rsidP="00597215">
      <w:pPr>
        <w:pStyle w:val="ListParagraph"/>
        <w:numPr>
          <w:ilvl w:val="0"/>
          <w:numId w:val="24"/>
        </w:numPr>
        <w:spacing w:after="0"/>
        <w:contextualSpacing/>
        <w:rPr>
          <w:szCs w:val="20"/>
        </w:rPr>
      </w:pPr>
      <w:r w:rsidRPr="00F67B35">
        <w:t>Whether the levies and fees collected by NOPTA are sufficient to enable it to perform its functions</w:t>
      </w:r>
      <w:r w:rsidR="0957A239">
        <w:t>.</w:t>
      </w:r>
    </w:p>
    <w:p w14:paraId="1AAE6062" w14:textId="0C8093AE" w:rsidR="00452E96" w:rsidRPr="00597215" w:rsidRDefault="00452E96" w:rsidP="00597215">
      <w:pPr>
        <w:pStyle w:val="ListParagraph"/>
        <w:numPr>
          <w:ilvl w:val="0"/>
          <w:numId w:val="24"/>
        </w:numPr>
        <w:spacing w:after="0"/>
        <w:contextualSpacing/>
        <w:rPr>
          <w:szCs w:val="20"/>
        </w:rPr>
      </w:pPr>
      <w:r>
        <w:t xml:space="preserve">Opportunities where NOPTA can </w:t>
      </w:r>
      <w:r w:rsidR="001A110C">
        <w:t xml:space="preserve">reduce </w:t>
      </w:r>
      <w:r w:rsidR="7C80825E">
        <w:t xml:space="preserve">any </w:t>
      </w:r>
      <w:r w:rsidR="001A110C">
        <w:t xml:space="preserve">cross-subsidisation, </w:t>
      </w:r>
      <w:r>
        <w:t xml:space="preserve">reduce </w:t>
      </w:r>
      <w:r w:rsidR="00A7150A">
        <w:t xml:space="preserve">its </w:t>
      </w:r>
      <w:r>
        <w:t>operating costs, increase efficienc</w:t>
      </w:r>
      <w:r w:rsidR="00A7150A">
        <w:t xml:space="preserve">ies </w:t>
      </w:r>
      <w:r w:rsidR="001A110C">
        <w:t>and</w:t>
      </w:r>
      <w:r>
        <w:t xml:space="preserve"> streamline functions</w:t>
      </w:r>
      <w:r w:rsidR="00AF5C81">
        <w:t xml:space="preserve"> </w:t>
      </w:r>
      <w:r w:rsidR="001A110C">
        <w:t>to</w:t>
      </w:r>
      <w:r>
        <w:t xml:space="preserve"> reduce the financial burden on industry.</w:t>
      </w:r>
    </w:p>
    <w:p w14:paraId="4EE071DA" w14:textId="7189796E" w:rsidR="00DF7E47" w:rsidRDefault="00B507FE" w:rsidP="0044334C">
      <w:pPr>
        <w:pStyle w:val="ListParagraph"/>
        <w:numPr>
          <w:ilvl w:val="0"/>
          <w:numId w:val="24"/>
        </w:numPr>
        <w:spacing w:after="0"/>
        <w:contextualSpacing/>
      </w:pPr>
      <w:r>
        <w:t>T</w:t>
      </w:r>
      <w:r w:rsidR="0027079B">
        <w:t xml:space="preserve">he utilisation </w:t>
      </w:r>
      <w:r w:rsidR="006A6028">
        <w:t xml:space="preserve">and allocation </w:t>
      </w:r>
      <w:r w:rsidR="0027079B">
        <w:t xml:space="preserve">of cost recovery funds </w:t>
      </w:r>
      <w:r w:rsidR="00973362">
        <w:t>over the review period</w:t>
      </w:r>
      <w:r w:rsidR="006A6028">
        <w:t>.</w:t>
      </w:r>
    </w:p>
    <w:p w14:paraId="6734A23C" w14:textId="3BAE23B9" w:rsidR="5E50EB5C" w:rsidRDefault="00014902" w:rsidP="0044334C">
      <w:pPr>
        <w:pStyle w:val="ListParagraph"/>
        <w:numPr>
          <w:ilvl w:val="0"/>
          <w:numId w:val="24"/>
        </w:numPr>
        <w:spacing w:after="0"/>
        <w:contextualSpacing/>
      </w:pPr>
      <w:r>
        <w:t>A</w:t>
      </w:r>
      <w:r w:rsidR="5E50EB5C" w:rsidRPr="0044334C">
        <w:t>ny recommendations in relation to</w:t>
      </w:r>
      <w:r w:rsidR="0088052A">
        <w:t xml:space="preserve"> the future of the model including</w:t>
      </w:r>
      <w:r w:rsidR="5E50EB5C" w:rsidRPr="0044334C">
        <w:t xml:space="preserve"> levy and fee increases.</w:t>
      </w:r>
    </w:p>
    <w:p w14:paraId="52902C6B" w14:textId="77777777" w:rsidR="008F2947" w:rsidRDefault="008F2947" w:rsidP="008F2947">
      <w:pPr>
        <w:pStyle w:val="Heading4"/>
      </w:pPr>
      <w:r>
        <w:t>Out of scope</w:t>
      </w:r>
    </w:p>
    <w:p w14:paraId="6698AF1E" w14:textId="073ED8C7" w:rsidR="00907B69" w:rsidRPr="00470148" w:rsidRDefault="00907B69" w:rsidP="00740708">
      <w:pPr>
        <w:pStyle w:val="ListParagraph"/>
        <w:numPr>
          <w:ilvl w:val="0"/>
          <w:numId w:val="5"/>
        </w:numPr>
        <w:spacing w:after="160" w:line="279" w:lineRule="auto"/>
        <w:contextualSpacing/>
      </w:pPr>
      <w:r w:rsidRPr="00470148">
        <w:t xml:space="preserve">NOPTA’s role in the licensing and regulation of offshore infrastructure under the </w:t>
      </w:r>
      <w:r w:rsidRPr="00470148">
        <w:rPr>
          <w:i/>
          <w:iCs/>
        </w:rPr>
        <w:t>Offshore Electricity Infrastructure Act 2021</w:t>
      </w:r>
      <w:r w:rsidRPr="00470148">
        <w:t>.</w:t>
      </w:r>
    </w:p>
    <w:p w14:paraId="0A82F1F6" w14:textId="647768FA" w:rsidR="00907B69" w:rsidRPr="00470148" w:rsidRDefault="00907B69" w:rsidP="00740708">
      <w:pPr>
        <w:pStyle w:val="ListParagraph"/>
        <w:numPr>
          <w:ilvl w:val="0"/>
          <w:numId w:val="5"/>
        </w:numPr>
        <w:spacing w:after="160" w:line="279" w:lineRule="auto"/>
        <w:contextualSpacing/>
      </w:pPr>
      <w:r w:rsidRPr="00470148">
        <w:t>Any responsibilities of the Joint Authorities, including their effectiveness</w:t>
      </w:r>
      <w:r w:rsidR="006A6028">
        <w:t>,</w:t>
      </w:r>
      <w:r w:rsidRPr="00470148">
        <w:t xml:space="preserve"> procedures</w:t>
      </w:r>
      <w:r w:rsidR="006A6028">
        <w:t xml:space="preserve"> and decision-making timeframes</w:t>
      </w:r>
      <w:r w:rsidRPr="00470148">
        <w:t>.</w:t>
      </w:r>
    </w:p>
    <w:p w14:paraId="0004DA38" w14:textId="533043DC" w:rsidR="008F2947" w:rsidRDefault="008F2947" w:rsidP="176626B5">
      <w:pPr>
        <w:pStyle w:val="Heading4"/>
      </w:pPr>
      <w:r>
        <w:t xml:space="preserve">Related </w:t>
      </w:r>
      <w:r w:rsidR="72DB4745">
        <w:t>matters</w:t>
      </w:r>
    </w:p>
    <w:p w14:paraId="77AC1533" w14:textId="3CAF376B" w:rsidR="001306D2" w:rsidRPr="00445E32" w:rsidRDefault="001306D2" w:rsidP="00740708">
      <w:pPr>
        <w:pStyle w:val="ListParagraph"/>
        <w:numPr>
          <w:ilvl w:val="0"/>
          <w:numId w:val="5"/>
        </w:numPr>
        <w:spacing w:after="160" w:line="279" w:lineRule="auto"/>
        <w:contextualSpacing/>
      </w:pPr>
      <w:r w:rsidRPr="00D64DC1">
        <w:rPr>
          <w:lang w:val="en-US"/>
        </w:rPr>
        <w:t>Future Gas Strategy</w:t>
      </w:r>
      <w:r w:rsidR="004410AB">
        <w:rPr>
          <w:lang w:val="en-US"/>
        </w:rPr>
        <w:t>.</w:t>
      </w:r>
    </w:p>
    <w:p w14:paraId="342D2531" w14:textId="4F7EF67B" w:rsidR="00D96D24" w:rsidRDefault="00D96D24" w:rsidP="00740708">
      <w:pPr>
        <w:pStyle w:val="ListParagraph"/>
        <w:numPr>
          <w:ilvl w:val="0"/>
          <w:numId w:val="5"/>
        </w:numPr>
        <w:spacing w:after="160" w:line="279" w:lineRule="auto"/>
        <w:contextualSpacing/>
      </w:pPr>
      <w:r>
        <w:t xml:space="preserve">2020 </w:t>
      </w:r>
      <w:r w:rsidRPr="6A11651C">
        <w:t>Independent review into the circumstances leading to the administration and liquidation of Northern Oil and Gas Australia</w:t>
      </w:r>
      <w:r>
        <w:t>.</w:t>
      </w:r>
    </w:p>
    <w:p w14:paraId="1FB62C2E" w14:textId="5BED283A" w:rsidR="001306D2" w:rsidRDefault="001306D2" w:rsidP="00740708">
      <w:pPr>
        <w:pStyle w:val="ListParagraph"/>
        <w:numPr>
          <w:ilvl w:val="0"/>
          <w:numId w:val="5"/>
        </w:numPr>
        <w:spacing w:after="160" w:line="279" w:lineRule="auto"/>
        <w:contextualSpacing/>
      </w:pPr>
      <w:r w:rsidRPr="00801E82">
        <w:t>2020 Productivity Commission review into resources sector regulation.</w:t>
      </w:r>
    </w:p>
    <w:p w14:paraId="2AC9B4DB" w14:textId="28EDDCF6" w:rsidR="001306D2" w:rsidRPr="008C2179" w:rsidRDefault="001306D2" w:rsidP="00740708">
      <w:pPr>
        <w:pStyle w:val="ListParagraph"/>
        <w:numPr>
          <w:ilvl w:val="0"/>
          <w:numId w:val="5"/>
        </w:numPr>
        <w:spacing w:after="160" w:line="279" w:lineRule="auto"/>
        <w:contextualSpacing/>
      </w:pPr>
      <w:r>
        <w:t xml:space="preserve">Relevant </w:t>
      </w:r>
      <w:r w:rsidR="006B6827">
        <w:t>S</w:t>
      </w:r>
      <w:r>
        <w:t>enate inquiry reports from the review period.</w:t>
      </w:r>
    </w:p>
    <w:p w14:paraId="172C0EBA" w14:textId="3305A5DB" w:rsidR="001306D2" w:rsidRPr="00FD76E2" w:rsidRDefault="001306D2" w:rsidP="00740708">
      <w:pPr>
        <w:pStyle w:val="ListParagraph"/>
        <w:numPr>
          <w:ilvl w:val="0"/>
          <w:numId w:val="5"/>
        </w:numPr>
        <w:spacing w:after="160" w:line="279" w:lineRule="auto"/>
        <w:contextualSpacing/>
      </w:pPr>
      <w:r w:rsidRPr="00FD76E2">
        <w:t xml:space="preserve">2020 </w:t>
      </w:r>
      <w:r w:rsidR="006A6028">
        <w:t>r</w:t>
      </w:r>
      <w:r w:rsidRPr="00FD76E2">
        <w:t>eview of</w:t>
      </w:r>
      <w:r w:rsidR="006A6028">
        <w:t xml:space="preserve"> activities of the Titles Administrator.</w:t>
      </w:r>
    </w:p>
    <w:p w14:paraId="7A8F6EC9" w14:textId="3EB31439" w:rsidR="006A6028" w:rsidRPr="00FD76E2" w:rsidRDefault="006A6028" w:rsidP="00740708">
      <w:pPr>
        <w:pStyle w:val="ListParagraph"/>
        <w:numPr>
          <w:ilvl w:val="0"/>
          <w:numId w:val="5"/>
        </w:numPr>
        <w:spacing w:after="160" w:line="279" w:lineRule="auto"/>
        <w:contextualSpacing/>
      </w:pPr>
      <w:r w:rsidRPr="00FD76E2">
        <w:t>20</w:t>
      </w:r>
      <w:r>
        <w:t>15 r</w:t>
      </w:r>
      <w:r w:rsidRPr="00FD76E2">
        <w:t>eview of</w:t>
      </w:r>
      <w:r>
        <w:t xml:space="preserve"> activities of the Titles Administrator.</w:t>
      </w:r>
    </w:p>
    <w:p w14:paraId="4A12E962" w14:textId="229D3BD0" w:rsidR="008F2947" w:rsidRDefault="00531DCF" w:rsidP="00740708">
      <w:pPr>
        <w:pStyle w:val="ListParagraph"/>
        <w:numPr>
          <w:ilvl w:val="0"/>
          <w:numId w:val="5"/>
        </w:numPr>
        <w:spacing w:after="160" w:line="279" w:lineRule="auto"/>
        <w:contextualSpacing/>
      </w:pPr>
      <w:r>
        <w:t>R</w:t>
      </w:r>
      <w:r w:rsidR="001306D2">
        <w:t xml:space="preserve">elevant government responses to previous </w:t>
      </w:r>
      <w:r w:rsidR="00426A44">
        <w:t xml:space="preserve">statutory </w:t>
      </w:r>
      <w:r w:rsidR="001306D2">
        <w:t>reviews.</w:t>
      </w:r>
    </w:p>
    <w:sectPr w:rsidR="008F2947" w:rsidSect="004A7856">
      <w:headerReference w:type="even" r:id="rId11"/>
      <w:footerReference w:type="even" r:id="rId12"/>
      <w:footerReference w:type="default" r:id="rId13"/>
      <w:footerReference w:type="first" r:id="rId14"/>
      <w:pgSz w:w="11906" w:h="16838"/>
      <w:pgMar w:top="1276" w:right="1440" w:bottom="1440" w:left="1440"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0C9A9" w14:textId="77777777" w:rsidR="00021B5E" w:rsidRDefault="00021B5E" w:rsidP="00B251DB">
      <w:pPr>
        <w:spacing w:after="0"/>
      </w:pPr>
      <w:r>
        <w:separator/>
      </w:r>
    </w:p>
  </w:endnote>
  <w:endnote w:type="continuationSeparator" w:id="0">
    <w:p w14:paraId="3FC722CC" w14:textId="77777777" w:rsidR="00021B5E" w:rsidRDefault="00021B5E" w:rsidP="00B251DB">
      <w:pPr>
        <w:spacing w:after="0"/>
      </w:pPr>
      <w:r>
        <w:continuationSeparator/>
      </w:r>
    </w:p>
  </w:endnote>
  <w:endnote w:type="continuationNotice" w:id="1">
    <w:p w14:paraId="60B473CD" w14:textId="77777777" w:rsidR="00021B5E" w:rsidRDefault="00021B5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SemiBold">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A311A" w14:textId="0F307B3F" w:rsidR="005749CF" w:rsidRDefault="005749CF">
    <w:pPr>
      <w:pStyle w:val="Footer"/>
    </w:pPr>
    <w:r>
      <w:rPr>
        <w:noProof/>
      </w:rPr>
      <mc:AlternateContent>
        <mc:Choice Requires="wps">
          <w:drawing>
            <wp:anchor distT="0" distB="0" distL="0" distR="0" simplePos="0" relativeHeight="251658241" behindDoc="0" locked="0" layoutInCell="1" allowOverlap="1" wp14:anchorId="51F4D217" wp14:editId="486B8173">
              <wp:simplePos x="635" y="635"/>
              <wp:positionH relativeFrom="page">
                <wp:align>center</wp:align>
              </wp:positionH>
              <wp:positionV relativeFrom="page">
                <wp:align>bottom</wp:align>
              </wp:positionV>
              <wp:extent cx="551815" cy="452755"/>
              <wp:effectExtent l="0" t="0" r="635" b="0"/>
              <wp:wrapNone/>
              <wp:docPr id="108565733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52755"/>
                      </a:xfrm>
                      <a:prstGeom prst="rect">
                        <a:avLst/>
                      </a:prstGeom>
                      <a:noFill/>
                      <a:ln>
                        <a:noFill/>
                      </a:ln>
                    </wps:spPr>
                    <wps:txbx>
                      <w:txbxContent>
                        <w:p w14:paraId="0EABB0F9" w14:textId="6BB0FB59" w:rsidR="005749CF" w:rsidRPr="005749CF" w:rsidRDefault="005749CF" w:rsidP="005749CF">
                          <w:pPr>
                            <w:spacing w:after="0"/>
                            <w:rPr>
                              <w:rFonts w:ascii="Calibri" w:eastAsia="Calibri" w:hAnsi="Calibri" w:cs="Calibri"/>
                              <w:noProof/>
                              <w:color w:val="C00000"/>
                              <w:sz w:val="24"/>
                              <w:szCs w:val="24"/>
                            </w:rPr>
                          </w:pPr>
                          <w:r w:rsidRPr="005749CF">
                            <w:rPr>
                              <w:rFonts w:ascii="Calibri" w:eastAsia="Calibri" w:hAnsi="Calibri" w:cs="Calibri"/>
                              <w:noProof/>
                              <w:color w:val="C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1F4D217" id="_x0000_t202" coordsize="21600,21600" o:spt="202" path="m,l,21600r21600,l21600,xe">
              <v:stroke joinstyle="miter"/>
              <v:path gradientshapeok="t" o:connecttype="rect"/>
            </v:shapetype>
            <v:shape id="Text Box 5" o:spid="_x0000_s1027" type="#_x0000_t202" alt="OFFICIAL" style="position:absolute;margin-left:0;margin-top:0;width:43.45pt;height:35.6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" filled="f" stroked="f">
              <v:textbox style="mso-fit-shape-to-text:t" inset="0,0,0,15pt">
                <w:txbxContent>
                  <w:p w14:paraId="0EABB0F9" w14:textId="6BB0FB59" w:rsidR="005749CF" w:rsidRPr="005749CF" w:rsidRDefault="005749CF" w:rsidP="005749CF">
                    <w:pPr>
                      <w:spacing w:after="0"/>
                      <w:rPr>
                        <w:rFonts w:ascii="Calibri" w:eastAsia="Calibri" w:hAnsi="Calibri" w:cs="Calibri"/>
                        <w:noProof/>
                        <w:color w:val="C00000"/>
                        <w:sz w:val="24"/>
                        <w:szCs w:val="24"/>
                      </w:rPr>
                    </w:pPr>
                    <w:r w:rsidRPr="005749CF">
                      <w:rPr>
                        <w:rFonts w:ascii="Calibri" w:eastAsia="Calibri" w:hAnsi="Calibri" w:cs="Calibri"/>
                        <w:noProof/>
                        <w:color w:val="C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66A0" w14:textId="147D3B84" w:rsidR="00D27B99" w:rsidRDefault="00021B5E" w:rsidP="00004987">
    <w:pPr>
      <w:pStyle w:val="Footer"/>
      <w:jc w:val="right"/>
      <w:rPr>
        <w:noProof/>
      </w:rPr>
    </w:pPr>
    <w:sdt>
      <w:sdtPr>
        <w:id w:val="-1044901746"/>
        <w:docPartObj>
          <w:docPartGallery w:val="Page Numbers (Bottom of Page)"/>
          <w:docPartUnique/>
        </w:docPartObj>
      </w:sdtPr>
      <w:sdtEndPr>
        <w:rPr>
          <w:noProof/>
        </w:rPr>
      </w:sdtEndPr>
      <w:sdtContent>
        <w:r w:rsidR="00BD0F8A">
          <w:rPr>
            <w:noProof/>
          </w:rPr>
          <w:fldChar w:fldCharType="begin"/>
        </w:r>
        <w:r w:rsidR="00BD0F8A">
          <w:instrText xml:space="preserve"> PAGE   \* MERGEFORMAT </w:instrText>
        </w:r>
        <w:r w:rsidR="00BD0F8A">
          <w:fldChar w:fldCharType="separate"/>
        </w:r>
        <w:r w:rsidR="3DF01CAB">
          <w:rPr>
            <w:noProof/>
          </w:rPr>
          <w:t>7</w:t>
        </w:r>
        <w:r w:rsidR="00BD0F8A">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F6762" w14:textId="4949D467" w:rsidR="00194586" w:rsidRDefault="00021B5E" w:rsidP="0011542B">
    <w:pPr>
      <w:pStyle w:val="Footer"/>
      <w:jc w:val="right"/>
      <w:rPr>
        <w:noProof/>
      </w:rPr>
    </w:pPr>
    <w:sdt>
      <w:sdtPr>
        <w:id w:val="1655647692"/>
        <w:docPartObj>
          <w:docPartGallery w:val="Page Numbers (Bottom of Page)"/>
          <w:docPartUnique/>
        </w:docPartObj>
      </w:sdtPr>
      <w:sdtEndPr>
        <w:rPr>
          <w:noProof/>
        </w:rPr>
      </w:sdtEndPr>
      <w:sdtContent>
        <w:r w:rsidR="004A7856" w:rsidRPr="3DF01CAB">
          <w:fldChar w:fldCharType="begin"/>
        </w:r>
        <w:r w:rsidR="004A7856">
          <w:instrText xml:space="preserve"> PAGE   \* MERGEFORMAT </w:instrText>
        </w:r>
        <w:r w:rsidR="004A7856" w:rsidRPr="3DF01CAB">
          <w:fldChar w:fldCharType="separate"/>
        </w:r>
        <w:r w:rsidR="3DF01CAB">
          <w:t>1</w:t>
        </w:r>
        <w:r w:rsidR="004A7856" w:rsidRPr="3DF01CAB">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3FEC6" w14:textId="77777777" w:rsidR="00021B5E" w:rsidRDefault="00021B5E" w:rsidP="00B251DB">
      <w:pPr>
        <w:spacing w:after="0"/>
      </w:pPr>
      <w:r>
        <w:separator/>
      </w:r>
    </w:p>
  </w:footnote>
  <w:footnote w:type="continuationSeparator" w:id="0">
    <w:p w14:paraId="0337AD77" w14:textId="77777777" w:rsidR="00021B5E" w:rsidRDefault="00021B5E" w:rsidP="00B251DB">
      <w:pPr>
        <w:spacing w:after="0"/>
      </w:pPr>
      <w:r>
        <w:continuationSeparator/>
      </w:r>
    </w:p>
  </w:footnote>
  <w:footnote w:type="continuationNotice" w:id="1">
    <w:p w14:paraId="310D57DF" w14:textId="77777777" w:rsidR="00021B5E" w:rsidRDefault="00021B5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0ABED" w14:textId="5389FB03" w:rsidR="005749CF" w:rsidRDefault="005749CF">
    <w:pPr>
      <w:pStyle w:val="Header"/>
    </w:pPr>
    <w:r>
      <w:rPr>
        <w:noProof/>
      </w:rPr>
      <mc:AlternateContent>
        <mc:Choice Requires="wps">
          <w:drawing>
            <wp:anchor distT="0" distB="0" distL="0" distR="0" simplePos="0" relativeHeight="251658240" behindDoc="0" locked="0" layoutInCell="1" allowOverlap="1" wp14:anchorId="03ED283B" wp14:editId="27E04D62">
              <wp:simplePos x="635" y="635"/>
              <wp:positionH relativeFrom="page">
                <wp:align>center</wp:align>
              </wp:positionH>
              <wp:positionV relativeFrom="page">
                <wp:align>top</wp:align>
              </wp:positionV>
              <wp:extent cx="551815" cy="452755"/>
              <wp:effectExtent l="0" t="0" r="635" b="4445"/>
              <wp:wrapNone/>
              <wp:docPr id="58973664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52755"/>
                      </a:xfrm>
                      <a:prstGeom prst="rect">
                        <a:avLst/>
                      </a:prstGeom>
                      <a:noFill/>
                      <a:ln>
                        <a:noFill/>
                      </a:ln>
                    </wps:spPr>
                    <wps:txbx>
                      <w:txbxContent>
                        <w:p w14:paraId="37CED4A7" w14:textId="14C0DEF7" w:rsidR="005749CF" w:rsidRPr="005749CF" w:rsidRDefault="005749CF" w:rsidP="005749CF">
                          <w:pPr>
                            <w:spacing w:after="0"/>
                            <w:rPr>
                              <w:rFonts w:ascii="Calibri" w:eastAsia="Calibri" w:hAnsi="Calibri" w:cs="Calibri"/>
                              <w:noProof/>
                              <w:color w:val="C00000"/>
                              <w:sz w:val="24"/>
                              <w:szCs w:val="24"/>
                            </w:rPr>
                          </w:pPr>
                          <w:r w:rsidRPr="005749CF">
                            <w:rPr>
                              <w:rFonts w:ascii="Calibri" w:eastAsia="Calibri" w:hAnsi="Calibri" w:cs="Calibri"/>
                              <w:noProof/>
                              <w:color w:val="C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3ED283B" id="_x0000_t202" coordsize="21600,21600" o:spt="202" path="m,l,21600r21600,l21600,xe">
              <v:stroke joinstyle="miter"/>
              <v:path gradientshapeok="t" o:connecttype="rect"/>
            </v:shapetype>
            <v:shape id="Text Box 2" o:spid="_x0000_s1026" type="#_x0000_t202" alt="OFFICIAL" style="position:absolute;margin-left:0;margin-top:0;width:43.45pt;height:35.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" filled="f" stroked="f">
              <v:textbox style="mso-fit-shape-to-text:t" inset="0,15pt,0,0">
                <w:txbxContent>
                  <w:p w14:paraId="37CED4A7" w14:textId="14C0DEF7" w:rsidR="005749CF" w:rsidRPr="005749CF" w:rsidRDefault="005749CF" w:rsidP="005749CF">
                    <w:pPr>
                      <w:spacing w:after="0"/>
                      <w:rPr>
                        <w:rFonts w:ascii="Calibri" w:eastAsia="Calibri" w:hAnsi="Calibri" w:cs="Calibri"/>
                        <w:noProof/>
                        <w:color w:val="C00000"/>
                        <w:sz w:val="24"/>
                        <w:szCs w:val="24"/>
                      </w:rPr>
                    </w:pPr>
                    <w:r w:rsidRPr="005749CF">
                      <w:rPr>
                        <w:rFonts w:ascii="Calibri" w:eastAsia="Calibri" w:hAnsi="Calibri" w:cs="Calibri"/>
                        <w:noProof/>
                        <w:color w:val="C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83E0FBE"/>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00CCF41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52A5BE3"/>
    <w:multiLevelType w:val="multilevel"/>
    <w:tmpl w:val="0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4D74F4"/>
    <w:multiLevelType w:val="hybridMultilevel"/>
    <w:tmpl w:val="D6283F8E"/>
    <w:lvl w:ilvl="0" w:tplc="6A00F20A">
      <w:start w:val="1"/>
      <w:numFmt w:val="bullet"/>
      <w:lvlText w:val=""/>
      <w:lvlJc w:val="left"/>
      <w:pPr>
        <w:ind w:left="567" w:hanging="567"/>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9D0330C"/>
    <w:multiLevelType w:val="hybridMultilevel"/>
    <w:tmpl w:val="B0121DC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1FE7DEC"/>
    <w:multiLevelType w:val="hybridMultilevel"/>
    <w:tmpl w:val="9028F14A"/>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F551D3"/>
    <w:multiLevelType w:val="hybridMultilevel"/>
    <w:tmpl w:val="9EC678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F078C0"/>
    <w:multiLevelType w:val="hybridMultilevel"/>
    <w:tmpl w:val="6A641E4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2279277A"/>
    <w:multiLevelType w:val="multilevel"/>
    <w:tmpl w:val="3718E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975F37"/>
    <w:multiLevelType w:val="hybridMultilevel"/>
    <w:tmpl w:val="4F6A0DB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A415EB"/>
    <w:multiLevelType w:val="hybridMultilevel"/>
    <w:tmpl w:val="38F8CB5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6B81ED0"/>
    <w:multiLevelType w:val="hybridMultilevel"/>
    <w:tmpl w:val="B186E0FE"/>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 w15:restartNumberingAfterBreak="0">
    <w:nsid w:val="3F6A078A"/>
    <w:multiLevelType w:val="hybridMultilevel"/>
    <w:tmpl w:val="E9305ECE"/>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3" w15:restartNumberingAfterBreak="0">
    <w:nsid w:val="467F4B1A"/>
    <w:multiLevelType w:val="hybridMultilevel"/>
    <w:tmpl w:val="7A22CA2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480950B5"/>
    <w:multiLevelType w:val="hybridMultilevel"/>
    <w:tmpl w:val="B186E0F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91E3AC0"/>
    <w:multiLevelType w:val="hybridMultilevel"/>
    <w:tmpl w:val="0FAEF66C"/>
    <w:lvl w:ilvl="0" w:tplc="4746A068">
      <w:start w:val="1"/>
      <w:numFmt w:val="decimal"/>
      <w:lvlText w:val="%1."/>
      <w:lvlJc w:val="left"/>
      <w:pPr>
        <w:ind w:left="1440" w:hanging="360"/>
      </w:pPr>
    </w:lvl>
    <w:lvl w:ilvl="1" w:tplc="67EC1E0C">
      <w:start w:val="1"/>
      <w:numFmt w:val="decimal"/>
      <w:lvlText w:val="%2."/>
      <w:lvlJc w:val="left"/>
      <w:pPr>
        <w:ind w:left="1440" w:hanging="360"/>
      </w:pPr>
    </w:lvl>
    <w:lvl w:ilvl="2" w:tplc="07C45E3C">
      <w:start w:val="1"/>
      <w:numFmt w:val="decimal"/>
      <w:lvlText w:val="%3."/>
      <w:lvlJc w:val="left"/>
      <w:pPr>
        <w:ind w:left="1440" w:hanging="360"/>
      </w:pPr>
    </w:lvl>
    <w:lvl w:ilvl="3" w:tplc="A906C3DE">
      <w:start w:val="1"/>
      <w:numFmt w:val="decimal"/>
      <w:lvlText w:val="%4."/>
      <w:lvlJc w:val="left"/>
      <w:pPr>
        <w:ind w:left="1440" w:hanging="360"/>
      </w:pPr>
    </w:lvl>
    <w:lvl w:ilvl="4" w:tplc="93ACC150">
      <w:start w:val="1"/>
      <w:numFmt w:val="decimal"/>
      <w:lvlText w:val="%5."/>
      <w:lvlJc w:val="left"/>
      <w:pPr>
        <w:ind w:left="1440" w:hanging="360"/>
      </w:pPr>
    </w:lvl>
    <w:lvl w:ilvl="5" w:tplc="979477AC">
      <w:start w:val="1"/>
      <w:numFmt w:val="decimal"/>
      <w:lvlText w:val="%6."/>
      <w:lvlJc w:val="left"/>
      <w:pPr>
        <w:ind w:left="1440" w:hanging="360"/>
      </w:pPr>
    </w:lvl>
    <w:lvl w:ilvl="6" w:tplc="8ECA6CB6">
      <w:start w:val="1"/>
      <w:numFmt w:val="decimal"/>
      <w:lvlText w:val="%7."/>
      <w:lvlJc w:val="left"/>
      <w:pPr>
        <w:ind w:left="1440" w:hanging="360"/>
      </w:pPr>
    </w:lvl>
    <w:lvl w:ilvl="7" w:tplc="FB6879C6">
      <w:start w:val="1"/>
      <w:numFmt w:val="decimal"/>
      <w:lvlText w:val="%8."/>
      <w:lvlJc w:val="left"/>
      <w:pPr>
        <w:ind w:left="1440" w:hanging="360"/>
      </w:pPr>
    </w:lvl>
    <w:lvl w:ilvl="8" w:tplc="1638B16E">
      <w:start w:val="1"/>
      <w:numFmt w:val="decimal"/>
      <w:lvlText w:val="%9."/>
      <w:lvlJc w:val="left"/>
      <w:pPr>
        <w:ind w:left="1440" w:hanging="360"/>
      </w:pPr>
    </w:lvl>
  </w:abstractNum>
  <w:abstractNum w:abstractNumId="16" w15:restartNumberingAfterBreak="0">
    <w:nsid w:val="4A305039"/>
    <w:multiLevelType w:val="hybridMultilevel"/>
    <w:tmpl w:val="AFE440F6"/>
    <w:lvl w:ilvl="0" w:tplc="8A9E7376">
      <w:start w:val="1"/>
      <w:numFmt w:val="bullet"/>
      <w:lvlText w:val="•"/>
      <w:lvlJc w:val="left"/>
      <w:pPr>
        <w:tabs>
          <w:tab w:val="num" w:pos="720"/>
        </w:tabs>
        <w:ind w:left="720" w:hanging="360"/>
      </w:pPr>
      <w:rPr>
        <w:rFonts w:ascii="Arial" w:hAnsi="Arial" w:hint="default"/>
      </w:rPr>
    </w:lvl>
    <w:lvl w:ilvl="1" w:tplc="EC44B51E" w:tentative="1">
      <w:start w:val="1"/>
      <w:numFmt w:val="bullet"/>
      <w:lvlText w:val="•"/>
      <w:lvlJc w:val="left"/>
      <w:pPr>
        <w:tabs>
          <w:tab w:val="num" w:pos="1440"/>
        </w:tabs>
        <w:ind w:left="1440" w:hanging="360"/>
      </w:pPr>
      <w:rPr>
        <w:rFonts w:ascii="Arial" w:hAnsi="Arial" w:hint="default"/>
      </w:rPr>
    </w:lvl>
    <w:lvl w:ilvl="2" w:tplc="F30A5B74" w:tentative="1">
      <w:start w:val="1"/>
      <w:numFmt w:val="bullet"/>
      <w:lvlText w:val="•"/>
      <w:lvlJc w:val="left"/>
      <w:pPr>
        <w:tabs>
          <w:tab w:val="num" w:pos="2160"/>
        </w:tabs>
        <w:ind w:left="2160" w:hanging="360"/>
      </w:pPr>
      <w:rPr>
        <w:rFonts w:ascii="Arial" w:hAnsi="Arial" w:hint="default"/>
      </w:rPr>
    </w:lvl>
    <w:lvl w:ilvl="3" w:tplc="EE5AA906" w:tentative="1">
      <w:start w:val="1"/>
      <w:numFmt w:val="bullet"/>
      <w:lvlText w:val="•"/>
      <w:lvlJc w:val="left"/>
      <w:pPr>
        <w:tabs>
          <w:tab w:val="num" w:pos="2880"/>
        </w:tabs>
        <w:ind w:left="2880" w:hanging="360"/>
      </w:pPr>
      <w:rPr>
        <w:rFonts w:ascii="Arial" w:hAnsi="Arial" w:hint="default"/>
      </w:rPr>
    </w:lvl>
    <w:lvl w:ilvl="4" w:tplc="DECA6484" w:tentative="1">
      <w:start w:val="1"/>
      <w:numFmt w:val="bullet"/>
      <w:lvlText w:val="•"/>
      <w:lvlJc w:val="left"/>
      <w:pPr>
        <w:tabs>
          <w:tab w:val="num" w:pos="3600"/>
        </w:tabs>
        <w:ind w:left="3600" w:hanging="360"/>
      </w:pPr>
      <w:rPr>
        <w:rFonts w:ascii="Arial" w:hAnsi="Arial" w:hint="default"/>
      </w:rPr>
    </w:lvl>
    <w:lvl w:ilvl="5" w:tplc="85383BD0" w:tentative="1">
      <w:start w:val="1"/>
      <w:numFmt w:val="bullet"/>
      <w:lvlText w:val="•"/>
      <w:lvlJc w:val="left"/>
      <w:pPr>
        <w:tabs>
          <w:tab w:val="num" w:pos="4320"/>
        </w:tabs>
        <w:ind w:left="4320" w:hanging="360"/>
      </w:pPr>
      <w:rPr>
        <w:rFonts w:ascii="Arial" w:hAnsi="Arial" w:hint="default"/>
      </w:rPr>
    </w:lvl>
    <w:lvl w:ilvl="6" w:tplc="0B18D63A" w:tentative="1">
      <w:start w:val="1"/>
      <w:numFmt w:val="bullet"/>
      <w:lvlText w:val="•"/>
      <w:lvlJc w:val="left"/>
      <w:pPr>
        <w:tabs>
          <w:tab w:val="num" w:pos="5040"/>
        </w:tabs>
        <w:ind w:left="5040" w:hanging="360"/>
      </w:pPr>
      <w:rPr>
        <w:rFonts w:ascii="Arial" w:hAnsi="Arial" w:hint="default"/>
      </w:rPr>
    </w:lvl>
    <w:lvl w:ilvl="7" w:tplc="EE68C1F2" w:tentative="1">
      <w:start w:val="1"/>
      <w:numFmt w:val="bullet"/>
      <w:lvlText w:val="•"/>
      <w:lvlJc w:val="left"/>
      <w:pPr>
        <w:tabs>
          <w:tab w:val="num" w:pos="5760"/>
        </w:tabs>
        <w:ind w:left="5760" w:hanging="360"/>
      </w:pPr>
      <w:rPr>
        <w:rFonts w:ascii="Arial" w:hAnsi="Arial" w:hint="default"/>
      </w:rPr>
    </w:lvl>
    <w:lvl w:ilvl="8" w:tplc="F71211E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27C31F1"/>
    <w:multiLevelType w:val="hybridMultilevel"/>
    <w:tmpl w:val="F806924A"/>
    <w:lvl w:ilvl="0" w:tplc="0CA0B704">
      <w:start w:val="1"/>
      <w:numFmt w:val="decimal"/>
      <w:lvlText w:val="%1."/>
      <w:lvlJc w:val="left"/>
      <w:pPr>
        <w:ind w:left="720" w:hanging="360"/>
      </w:pPr>
    </w:lvl>
    <w:lvl w:ilvl="1" w:tplc="862478D2">
      <w:start w:val="1"/>
      <w:numFmt w:val="lowerLetter"/>
      <w:lvlText w:val="%2."/>
      <w:lvlJc w:val="left"/>
      <w:pPr>
        <w:ind w:left="1440" w:hanging="360"/>
      </w:pPr>
    </w:lvl>
    <w:lvl w:ilvl="2" w:tplc="9CAE3C72" w:tentative="1">
      <w:start w:val="1"/>
      <w:numFmt w:val="lowerRoman"/>
      <w:lvlText w:val="%3."/>
      <w:lvlJc w:val="right"/>
      <w:pPr>
        <w:ind w:left="2160" w:hanging="180"/>
      </w:pPr>
    </w:lvl>
    <w:lvl w:ilvl="3" w:tplc="5C20BAFA" w:tentative="1">
      <w:start w:val="1"/>
      <w:numFmt w:val="decimal"/>
      <w:lvlText w:val="%4."/>
      <w:lvlJc w:val="left"/>
      <w:pPr>
        <w:ind w:left="2880" w:hanging="360"/>
      </w:pPr>
    </w:lvl>
    <w:lvl w:ilvl="4" w:tplc="ACF0127C" w:tentative="1">
      <w:start w:val="1"/>
      <w:numFmt w:val="lowerLetter"/>
      <w:lvlText w:val="%5."/>
      <w:lvlJc w:val="left"/>
      <w:pPr>
        <w:ind w:left="3600" w:hanging="360"/>
      </w:pPr>
    </w:lvl>
    <w:lvl w:ilvl="5" w:tplc="9102987C" w:tentative="1">
      <w:start w:val="1"/>
      <w:numFmt w:val="lowerRoman"/>
      <w:lvlText w:val="%6."/>
      <w:lvlJc w:val="right"/>
      <w:pPr>
        <w:ind w:left="4320" w:hanging="180"/>
      </w:pPr>
    </w:lvl>
    <w:lvl w:ilvl="6" w:tplc="7108C910" w:tentative="1">
      <w:start w:val="1"/>
      <w:numFmt w:val="decimal"/>
      <w:lvlText w:val="%7."/>
      <w:lvlJc w:val="left"/>
      <w:pPr>
        <w:ind w:left="5040" w:hanging="360"/>
      </w:pPr>
    </w:lvl>
    <w:lvl w:ilvl="7" w:tplc="F6DAC56C" w:tentative="1">
      <w:start w:val="1"/>
      <w:numFmt w:val="lowerLetter"/>
      <w:lvlText w:val="%8."/>
      <w:lvlJc w:val="left"/>
      <w:pPr>
        <w:ind w:left="5760" w:hanging="360"/>
      </w:pPr>
    </w:lvl>
    <w:lvl w:ilvl="8" w:tplc="3B28F456" w:tentative="1">
      <w:start w:val="1"/>
      <w:numFmt w:val="lowerRoman"/>
      <w:lvlText w:val="%9."/>
      <w:lvlJc w:val="right"/>
      <w:pPr>
        <w:ind w:left="6480" w:hanging="180"/>
      </w:pPr>
    </w:lvl>
  </w:abstractNum>
  <w:abstractNum w:abstractNumId="18" w15:restartNumberingAfterBreak="0">
    <w:nsid w:val="552E10FD"/>
    <w:multiLevelType w:val="hybridMultilevel"/>
    <w:tmpl w:val="66D46394"/>
    <w:lvl w:ilvl="0" w:tplc="8A7C58F8">
      <w:numFmt w:val="bullet"/>
      <w:pStyle w:val="ListParagraph"/>
      <w:lvlText w:val=""/>
      <w:lvlJc w:val="left"/>
      <w:pPr>
        <w:ind w:left="927" w:hanging="567"/>
      </w:pPr>
      <w:rPr>
        <w:rFonts w:ascii="Symbol" w:hAnsi="Symbol" w:hint="default"/>
      </w:rPr>
    </w:lvl>
    <w:lvl w:ilvl="1" w:tplc="BB24C798">
      <w:numFmt w:val="bullet"/>
      <w:lvlText w:val="-"/>
      <w:lvlJc w:val="left"/>
      <w:pPr>
        <w:ind w:left="1494" w:hanging="567"/>
      </w:pPr>
      <w:rPr>
        <w:rFonts w:ascii="Calibri" w:hAnsi="Calibri" w:hint="default"/>
      </w:rPr>
    </w:lvl>
    <w:lvl w:ilvl="2" w:tplc="BB6E1BBE">
      <w:start w:val="1"/>
      <w:numFmt w:val="bullet"/>
      <w:lvlText w:val=""/>
      <w:lvlJc w:val="left"/>
      <w:pPr>
        <w:ind w:left="2061" w:hanging="567"/>
      </w:pPr>
      <w:rPr>
        <w:rFonts w:ascii="Wingdings" w:hAnsi="Wingdings" w:hint="default"/>
      </w:rPr>
    </w:lvl>
    <w:lvl w:ilvl="3" w:tplc="BA945B64">
      <w:start w:val="1"/>
      <w:numFmt w:val="bullet"/>
      <w:lvlText w:val=""/>
      <w:lvlJc w:val="left"/>
      <w:pPr>
        <w:ind w:left="2628" w:hanging="567"/>
      </w:pPr>
      <w:rPr>
        <w:rFonts w:ascii="Symbol" w:hAnsi="Symbol" w:hint="default"/>
      </w:rPr>
    </w:lvl>
    <w:lvl w:ilvl="4" w:tplc="9410D856">
      <w:start w:val="1"/>
      <w:numFmt w:val="bullet"/>
      <w:lvlText w:val="o"/>
      <w:lvlJc w:val="left"/>
      <w:pPr>
        <w:ind w:left="3195" w:hanging="567"/>
      </w:pPr>
      <w:rPr>
        <w:rFonts w:ascii="Courier New" w:hAnsi="Courier New" w:hint="default"/>
      </w:rPr>
    </w:lvl>
    <w:lvl w:ilvl="5" w:tplc="F52C555C">
      <w:start w:val="1"/>
      <w:numFmt w:val="bullet"/>
      <w:lvlText w:val=""/>
      <w:lvlJc w:val="left"/>
      <w:pPr>
        <w:ind w:left="3762" w:hanging="567"/>
      </w:pPr>
      <w:rPr>
        <w:rFonts w:ascii="Wingdings" w:hAnsi="Wingdings" w:hint="default"/>
      </w:rPr>
    </w:lvl>
    <w:lvl w:ilvl="6" w:tplc="1FC425B4" w:tentative="1">
      <w:start w:val="1"/>
      <w:numFmt w:val="bullet"/>
      <w:lvlText w:val=""/>
      <w:lvlJc w:val="left"/>
      <w:pPr>
        <w:ind w:left="5400" w:hanging="360"/>
      </w:pPr>
      <w:rPr>
        <w:rFonts w:ascii="Symbol" w:hAnsi="Symbol" w:hint="default"/>
      </w:rPr>
    </w:lvl>
    <w:lvl w:ilvl="7" w:tplc="E892B9B8" w:tentative="1">
      <w:start w:val="1"/>
      <w:numFmt w:val="bullet"/>
      <w:lvlText w:val="o"/>
      <w:lvlJc w:val="left"/>
      <w:pPr>
        <w:ind w:left="6120" w:hanging="360"/>
      </w:pPr>
      <w:rPr>
        <w:rFonts w:ascii="Courier New" w:hAnsi="Courier New" w:hint="default"/>
      </w:rPr>
    </w:lvl>
    <w:lvl w:ilvl="8" w:tplc="61183760" w:tentative="1">
      <w:start w:val="1"/>
      <w:numFmt w:val="bullet"/>
      <w:lvlText w:val=""/>
      <w:lvlJc w:val="left"/>
      <w:pPr>
        <w:ind w:left="6840" w:hanging="360"/>
      </w:pPr>
      <w:rPr>
        <w:rFonts w:ascii="Wingdings" w:hAnsi="Wingdings" w:hint="default"/>
      </w:rPr>
    </w:lvl>
  </w:abstractNum>
  <w:abstractNum w:abstractNumId="19" w15:restartNumberingAfterBreak="0">
    <w:nsid w:val="575E78A8"/>
    <w:multiLevelType w:val="hybridMultilevel"/>
    <w:tmpl w:val="CF22F768"/>
    <w:lvl w:ilvl="0" w:tplc="0D524BF0">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5B44011F"/>
    <w:multiLevelType w:val="hybridMultilevel"/>
    <w:tmpl w:val="7C9E517C"/>
    <w:lvl w:ilvl="0" w:tplc="FFFFFFFF">
      <w:start w:val="1"/>
      <w:numFmt w:val="lowerLetter"/>
      <w:lvlText w:val="%1."/>
      <w:lvlJc w:val="left"/>
      <w:pPr>
        <w:ind w:left="144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5074E5"/>
    <w:multiLevelType w:val="hybridMultilevel"/>
    <w:tmpl w:val="15CA3E48"/>
    <w:lvl w:ilvl="0" w:tplc="93BAD356">
      <w:start w:val="1"/>
      <w:numFmt w:val="decimal"/>
      <w:lvlText w:val="%1."/>
      <w:lvlJc w:val="left"/>
      <w:pPr>
        <w:ind w:left="567" w:hanging="567"/>
      </w:pPr>
      <w:rPr>
        <w:rFonts w:hint="default"/>
      </w:rPr>
    </w:lvl>
    <w:lvl w:ilvl="1" w:tplc="D2E408C2">
      <w:start w:val="1"/>
      <w:numFmt w:val="lowerLetter"/>
      <w:lvlText w:val="%2."/>
      <w:lvlJc w:val="left"/>
      <w:pPr>
        <w:ind w:left="1134" w:hanging="567"/>
      </w:pPr>
      <w:rPr>
        <w:rFonts w:hint="default"/>
      </w:rPr>
    </w:lvl>
    <w:lvl w:ilvl="2" w:tplc="528088D0">
      <w:start w:val="1"/>
      <w:numFmt w:val="lowerRoman"/>
      <w:lvlText w:val="%3."/>
      <w:lvlJc w:val="right"/>
      <w:pPr>
        <w:ind w:left="1701" w:hanging="567"/>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5742A6E"/>
    <w:multiLevelType w:val="multilevel"/>
    <w:tmpl w:val="CC0EE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2605387">
    <w:abstractNumId w:val="18"/>
  </w:num>
  <w:num w:numId="2" w16cid:durableId="660547498">
    <w:abstractNumId w:val="1"/>
  </w:num>
  <w:num w:numId="3" w16cid:durableId="1405948882">
    <w:abstractNumId w:val="0"/>
  </w:num>
  <w:num w:numId="4" w16cid:durableId="1506701714">
    <w:abstractNumId w:val="5"/>
  </w:num>
  <w:num w:numId="5" w16cid:durableId="712077506">
    <w:abstractNumId w:val="6"/>
  </w:num>
  <w:num w:numId="6" w16cid:durableId="369377141">
    <w:abstractNumId w:val="10"/>
  </w:num>
  <w:num w:numId="7" w16cid:durableId="1908370033">
    <w:abstractNumId w:val="14"/>
  </w:num>
  <w:num w:numId="8" w16cid:durableId="648444589">
    <w:abstractNumId w:val="21"/>
  </w:num>
  <w:num w:numId="9" w16cid:durableId="1474374502">
    <w:abstractNumId w:val="2"/>
  </w:num>
  <w:num w:numId="10" w16cid:durableId="1770931210">
    <w:abstractNumId w:val="3"/>
  </w:num>
  <w:num w:numId="11" w16cid:durableId="1514956900">
    <w:abstractNumId w:val="7"/>
  </w:num>
  <w:num w:numId="12" w16cid:durableId="1928151220">
    <w:abstractNumId w:val="19"/>
  </w:num>
  <w:num w:numId="13" w16cid:durableId="1919442051">
    <w:abstractNumId w:val="13"/>
  </w:num>
  <w:num w:numId="14" w16cid:durableId="1203635149">
    <w:abstractNumId w:val="16"/>
  </w:num>
  <w:num w:numId="15" w16cid:durableId="13578903">
    <w:abstractNumId w:val="9"/>
  </w:num>
  <w:num w:numId="16" w16cid:durableId="285698064">
    <w:abstractNumId w:val="4"/>
  </w:num>
  <w:num w:numId="17" w16cid:durableId="400568904">
    <w:abstractNumId w:val="11"/>
  </w:num>
  <w:num w:numId="18" w16cid:durableId="2145805180">
    <w:abstractNumId w:val="17"/>
  </w:num>
  <w:num w:numId="19" w16cid:durableId="925654537">
    <w:abstractNumId w:val="15"/>
  </w:num>
  <w:num w:numId="20" w16cid:durableId="466094121">
    <w:abstractNumId w:val="22"/>
  </w:num>
  <w:num w:numId="21" w16cid:durableId="499005912">
    <w:abstractNumId w:val="8"/>
  </w:num>
  <w:num w:numId="22" w16cid:durableId="1699430635">
    <w:abstractNumId w:val="12"/>
  </w:num>
  <w:num w:numId="23" w16cid:durableId="522206938">
    <w:abstractNumId w:val="18"/>
  </w:num>
  <w:num w:numId="24" w16cid:durableId="393360456">
    <w:abstractNumId w:val="20"/>
  </w:num>
  <w:num w:numId="25" w16cid:durableId="1513690058">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DateAndTime/>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9CF"/>
    <w:rsid w:val="0000180B"/>
    <w:rsid w:val="00001DD2"/>
    <w:rsid w:val="00002259"/>
    <w:rsid w:val="0000328C"/>
    <w:rsid w:val="00003766"/>
    <w:rsid w:val="000038B4"/>
    <w:rsid w:val="00004987"/>
    <w:rsid w:val="00006342"/>
    <w:rsid w:val="000065BC"/>
    <w:rsid w:val="00006F41"/>
    <w:rsid w:val="000100FD"/>
    <w:rsid w:val="00012C71"/>
    <w:rsid w:val="0001310B"/>
    <w:rsid w:val="00013F39"/>
    <w:rsid w:val="0001478E"/>
    <w:rsid w:val="00014902"/>
    <w:rsid w:val="00014934"/>
    <w:rsid w:val="00021B5E"/>
    <w:rsid w:val="0002225D"/>
    <w:rsid w:val="00024311"/>
    <w:rsid w:val="00025C0E"/>
    <w:rsid w:val="0002631D"/>
    <w:rsid w:val="00027B8A"/>
    <w:rsid w:val="00027B96"/>
    <w:rsid w:val="00030339"/>
    <w:rsid w:val="0003231A"/>
    <w:rsid w:val="000326F1"/>
    <w:rsid w:val="00032995"/>
    <w:rsid w:val="00033EB6"/>
    <w:rsid w:val="00034867"/>
    <w:rsid w:val="00034E0D"/>
    <w:rsid w:val="00040BDB"/>
    <w:rsid w:val="00040E31"/>
    <w:rsid w:val="00041ED8"/>
    <w:rsid w:val="00043F36"/>
    <w:rsid w:val="0004643B"/>
    <w:rsid w:val="000467E3"/>
    <w:rsid w:val="0005280F"/>
    <w:rsid w:val="00054D3F"/>
    <w:rsid w:val="0005529C"/>
    <w:rsid w:val="000552B3"/>
    <w:rsid w:val="00055842"/>
    <w:rsid w:val="0005602D"/>
    <w:rsid w:val="00060AC5"/>
    <w:rsid w:val="00061F4E"/>
    <w:rsid w:val="000621C8"/>
    <w:rsid w:val="00063A52"/>
    <w:rsid w:val="000641AE"/>
    <w:rsid w:val="00064FFA"/>
    <w:rsid w:val="000650BB"/>
    <w:rsid w:val="000654D4"/>
    <w:rsid w:val="0006746E"/>
    <w:rsid w:val="0007067B"/>
    <w:rsid w:val="00070A52"/>
    <w:rsid w:val="00071BD7"/>
    <w:rsid w:val="00072B15"/>
    <w:rsid w:val="000763A0"/>
    <w:rsid w:val="0007684F"/>
    <w:rsid w:val="0007742D"/>
    <w:rsid w:val="0007751E"/>
    <w:rsid w:val="00080BC2"/>
    <w:rsid w:val="0008167B"/>
    <w:rsid w:val="00081D07"/>
    <w:rsid w:val="000822F2"/>
    <w:rsid w:val="00082811"/>
    <w:rsid w:val="0008285A"/>
    <w:rsid w:val="00082C4E"/>
    <w:rsid w:val="00083096"/>
    <w:rsid w:val="0008459F"/>
    <w:rsid w:val="00087C8E"/>
    <w:rsid w:val="00090DDB"/>
    <w:rsid w:val="000920EB"/>
    <w:rsid w:val="00095AE3"/>
    <w:rsid w:val="000976CC"/>
    <w:rsid w:val="000A0589"/>
    <w:rsid w:val="000A1C9A"/>
    <w:rsid w:val="000A4C8A"/>
    <w:rsid w:val="000A5477"/>
    <w:rsid w:val="000A75CB"/>
    <w:rsid w:val="000B120D"/>
    <w:rsid w:val="000B1D9C"/>
    <w:rsid w:val="000B1F98"/>
    <w:rsid w:val="000B5967"/>
    <w:rsid w:val="000B611A"/>
    <w:rsid w:val="000B6C60"/>
    <w:rsid w:val="000C0AEA"/>
    <w:rsid w:val="000C2064"/>
    <w:rsid w:val="000C304B"/>
    <w:rsid w:val="000C3494"/>
    <w:rsid w:val="000C3591"/>
    <w:rsid w:val="000C4B61"/>
    <w:rsid w:val="000C4DCE"/>
    <w:rsid w:val="000C5751"/>
    <w:rsid w:val="000C7190"/>
    <w:rsid w:val="000C7961"/>
    <w:rsid w:val="000D0B1D"/>
    <w:rsid w:val="000D22F4"/>
    <w:rsid w:val="000D4FD8"/>
    <w:rsid w:val="000D6234"/>
    <w:rsid w:val="000E0F53"/>
    <w:rsid w:val="000E1914"/>
    <w:rsid w:val="000E2548"/>
    <w:rsid w:val="000E5102"/>
    <w:rsid w:val="000E599A"/>
    <w:rsid w:val="000E5C60"/>
    <w:rsid w:val="000E7215"/>
    <w:rsid w:val="000E741E"/>
    <w:rsid w:val="000E7432"/>
    <w:rsid w:val="000E7984"/>
    <w:rsid w:val="000F18C3"/>
    <w:rsid w:val="000F2564"/>
    <w:rsid w:val="000F434E"/>
    <w:rsid w:val="000F5150"/>
    <w:rsid w:val="000F6792"/>
    <w:rsid w:val="00100E6F"/>
    <w:rsid w:val="00103F11"/>
    <w:rsid w:val="00104B1C"/>
    <w:rsid w:val="00106EEB"/>
    <w:rsid w:val="00107A15"/>
    <w:rsid w:val="00110FA2"/>
    <w:rsid w:val="0011537B"/>
    <w:rsid w:val="0011542B"/>
    <w:rsid w:val="001166D2"/>
    <w:rsid w:val="0011698D"/>
    <w:rsid w:val="0011719F"/>
    <w:rsid w:val="00117239"/>
    <w:rsid w:val="0011767D"/>
    <w:rsid w:val="001217F2"/>
    <w:rsid w:val="00121CC0"/>
    <w:rsid w:val="00121EF4"/>
    <w:rsid w:val="00121FF0"/>
    <w:rsid w:val="0012284F"/>
    <w:rsid w:val="001306D2"/>
    <w:rsid w:val="00131A77"/>
    <w:rsid w:val="00133763"/>
    <w:rsid w:val="00134C33"/>
    <w:rsid w:val="00136388"/>
    <w:rsid w:val="001363AB"/>
    <w:rsid w:val="00137099"/>
    <w:rsid w:val="0014016F"/>
    <w:rsid w:val="00140AB2"/>
    <w:rsid w:val="00141652"/>
    <w:rsid w:val="00141C9B"/>
    <w:rsid w:val="00142120"/>
    <w:rsid w:val="00142255"/>
    <w:rsid w:val="001424A0"/>
    <w:rsid w:val="001425E4"/>
    <w:rsid w:val="001433A6"/>
    <w:rsid w:val="001501B6"/>
    <w:rsid w:val="0015193A"/>
    <w:rsid w:val="00152735"/>
    <w:rsid w:val="00152895"/>
    <w:rsid w:val="00153C15"/>
    <w:rsid w:val="00153DEE"/>
    <w:rsid w:val="00154B08"/>
    <w:rsid w:val="00157F11"/>
    <w:rsid w:val="001603AB"/>
    <w:rsid w:val="00160972"/>
    <w:rsid w:val="00160FE2"/>
    <w:rsid w:val="00163AA7"/>
    <w:rsid w:val="00164195"/>
    <w:rsid w:val="00164491"/>
    <w:rsid w:val="0016459C"/>
    <w:rsid w:val="00165419"/>
    <w:rsid w:val="0016548F"/>
    <w:rsid w:val="00165E31"/>
    <w:rsid w:val="00167D50"/>
    <w:rsid w:val="00170598"/>
    <w:rsid w:val="00171757"/>
    <w:rsid w:val="00171DF7"/>
    <w:rsid w:val="001720FA"/>
    <w:rsid w:val="00175765"/>
    <w:rsid w:val="00176481"/>
    <w:rsid w:val="0017706D"/>
    <w:rsid w:val="001774E5"/>
    <w:rsid w:val="00177F53"/>
    <w:rsid w:val="001824DD"/>
    <w:rsid w:val="0018440A"/>
    <w:rsid w:val="0018527A"/>
    <w:rsid w:val="00186066"/>
    <w:rsid w:val="0018753C"/>
    <w:rsid w:val="001911A4"/>
    <w:rsid w:val="00193F92"/>
    <w:rsid w:val="001940F2"/>
    <w:rsid w:val="00194586"/>
    <w:rsid w:val="001961AB"/>
    <w:rsid w:val="00196FF3"/>
    <w:rsid w:val="001973BF"/>
    <w:rsid w:val="0019753E"/>
    <w:rsid w:val="00197C2E"/>
    <w:rsid w:val="001A0D1F"/>
    <w:rsid w:val="001A110C"/>
    <w:rsid w:val="001A1556"/>
    <w:rsid w:val="001A2227"/>
    <w:rsid w:val="001A2EC8"/>
    <w:rsid w:val="001A2FA3"/>
    <w:rsid w:val="001A38CC"/>
    <w:rsid w:val="001A453D"/>
    <w:rsid w:val="001A45B6"/>
    <w:rsid w:val="001A55FF"/>
    <w:rsid w:val="001A593B"/>
    <w:rsid w:val="001B029C"/>
    <w:rsid w:val="001B2758"/>
    <w:rsid w:val="001B314C"/>
    <w:rsid w:val="001B3FCE"/>
    <w:rsid w:val="001B40E0"/>
    <w:rsid w:val="001B4BFB"/>
    <w:rsid w:val="001B4FAC"/>
    <w:rsid w:val="001B7D6F"/>
    <w:rsid w:val="001B7E86"/>
    <w:rsid w:val="001C0289"/>
    <w:rsid w:val="001C1173"/>
    <w:rsid w:val="001C1CED"/>
    <w:rsid w:val="001C22BF"/>
    <w:rsid w:val="001C3975"/>
    <w:rsid w:val="001C3F17"/>
    <w:rsid w:val="001C5741"/>
    <w:rsid w:val="001C5BE3"/>
    <w:rsid w:val="001C60C3"/>
    <w:rsid w:val="001D216A"/>
    <w:rsid w:val="001D2E82"/>
    <w:rsid w:val="001D3B41"/>
    <w:rsid w:val="001D4183"/>
    <w:rsid w:val="001D51DA"/>
    <w:rsid w:val="001E0298"/>
    <w:rsid w:val="001E0BF6"/>
    <w:rsid w:val="001E11F1"/>
    <w:rsid w:val="001E460C"/>
    <w:rsid w:val="001E54EC"/>
    <w:rsid w:val="001E5D63"/>
    <w:rsid w:val="001F10EE"/>
    <w:rsid w:val="001F22AD"/>
    <w:rsid w:val="001F23FE"/>
    <w:rsid w:val="001F3253"/>
    <w:rsid w:val="001F4EF1"/>
    <w:rsid w:val="001F4FA7"/>
    <w:rsid w:val="001F5AB1"/>
    <w:rsid w:val="001F7BC6"/>
    <w:rsid w:val="00200192"/>
    <w:rsid w:val="002002DC"/>
    <w:rsid w:val="0020267E"/>
    <w:rsid w:val="00202FB8"/>
    <w:rsid w:val="00203C6E"/>
    <w:rsid w:val="00205DF3"/>
    <w:rsid w:val="00206D5F"/>
    <w:rsid w:val="00207FDE"/>
    <w:rsid w:val="0021004C"/>
    <w:rsid w:val="00210059"/>
    <w:rsid w:val="00213FAA"/>
    <w:rsid w:val="00215D6A"/>
    <w:rsid w:val="00217B38"/>
    <w:rsid w:val="002204AF"/>
    <w:rsid w:val="0022083E"/>
    <w:rsid w:val="00222D0B"/>
    <w:rsid w:val="00223668"/>
    <w:rsid w:val="002238C3"/>
    <w:rsid w:val="00223A9F"/>
    <w:rsid w:val="00224862"/>
    <w:rsid w:val="00225A5F"/>
    <w:rsid w:val="00225C32"/>
    <w:rsid w:val="002308C1"/>
    <w:rsid w:val="00237221"/>
    <w:rsid w:val="00241D3D"/>
    <w:rsid w:val="002457F0"/>
    <w:rsid w:val="00245896"/>
    <w:rsid w:val="00245E8F"/>
    <w:rsid w:val="002470B0"/>
    <w:rsid w:val="00253E8A"/>
    <w:rsid w:val="00254DA8"/>
    <w:rsid w:val="00255597"/>
    <w:rsid w:val="00256592"/>
    <w:rsid w:val="00261009"/>
    <w:rsid w:val="002632BB"/>
    <w:rsid w:val="00264736"/>
    <w:rsid w:val="002664D6"/>
    <w:rsid w:val="00266F7C"/>
    <w:rsid w:val="0027079B"/>
    <w:rsid w:val="00271DC3"/>
    <w:rsid w:val="00271EC5"/>
    <w:rsid w:val="002725D5"/>
    <w:rsid w:val="00272B04"/>
    <w:rsid w:val="00274C94"/>
    <w:rsid w:val="0027693C"/>
    <w:rsid w:val="00276D3F"/>
    <w:rsid w:val="0028096D"/>
    <w:rsid w:val="00282ED3"/>
    <w:rsid w:val="00284D99"/>
    <w:rsid w:val="00285661"/>
    <w:rsid w:val="00286255"/>
    <w:rsid w:val="002863F3"/>
    <w:rsid w:val="00286E10"/>
    <w:rsid w:val="00290D4A"/>
    <w:rsid w:val="00294008"/>
    <w:rsid w:val="00294F4C"/>
    <w:rsid w:val="002965AE"/>
    <w:rsid w:val="002972F0"/>
    <w:rsid w:val="00297367"/>
    <w:rsid w:val="002A101F"/>
    <w:rsid w:val="002A1128"/>
    <w:rsid w:val="002A21E1"/>
    <w:rsid w:val="002A31E0"/>
    <w:rsid w:val="002A3853"/>
    <w:rsid w:val="002A3B3B"/>
    <w:rsid w:val="002A3E7A"/>
    <w:rsid w:val="002A5B74"/>
    <w:rsid w:val="002A66E0"/>
    <w:rsid w:val="002B180B"/>
    <w:rsid w:val="002B3A3A"/>
    <w:rsid w:val="002B3B14"/>
    <w:rsid w:val="002B3FEB"/>
    <w:rsid w:val="002B5543"/>
    <w:rsid w:val="002B5C69"/>
    <w:rsid w:val="002C03FE"/>
    <w:rsid w:val="002C290D"/>
    <w:rsid w:val="002C334D"/>
    <w:rsid w:val="002C349D"/>
    <w:rsid w:val="002C5F77"/>
    <w:rsid w:val="002C6C00"/>
    <w:rsid w:val="002D0778"/>
    <w:rsid w:val="002D0E30"/>
    <w:rsid w:val="002D230B"/>
    <w:rsid w:val="002D3821"/>
    <w:rsid w:val="002D4024"/>
    <w:rsid w:val="002D4272"/>
    <w:rsid w:val="002D4452"/>
    <w:rsid w:val="002D498F"/>
    <w:rsid w:val="002D6FFF"/>
    <w:rsid w:val="002D7DC9"/>
    <w:rsid w:val="002E11FD"/>
    <w:rsid w:val="002E25DC"/>
    <w:rsid w:val="002E2C6A"/>
    <w:rsid w:val="002E51E3"/>
    <w:rsid w:val="002F023A"/>
    <w:rsid w:val="002F1415"/>
    <w:rsid w:val="002F16E7"/>
    <w:rsid w:val="002F1753"/>
    <w:rsid w:val="002F2E68"/>
    <w:rsid w:val="002F2FFE"/>
    <w:rsid w:val="002F45BC"/>
    <w:rsid w:val="002F5A13"/>
    <w:rsid w:val="002F60C0"/>
    <w:rsid w:val="002F6145"/>
    <w:rsid w:val="002F7233"/>
    <w:rsid w:val="0030017A"/>
    <w:rsid w:val="00301F4D"/>
    <w:rsid w:val="00302CC6"/>
    <w:rsid w:val="00302EBA"/>
    <w:rsid w:val="003048B1"/>
    <w:rsid w:val="003065D5"/>
    <w:rsid w:val="0031048E"/>
    <w:rsid w:val="00311765"/>
    <w:rsid w:val="0031444C"/>
    <w:rsid w:val="00314DD2"/>
    <w:rsid w:val="0031654A"/>
    <w:rsid w:val="0032146A"/>
    <w:rsid w:val="00323AEB"/>
    <w:rsid w:val="00323F29"/>
    <w:rsid w:val="003301DA"/>
    <w:rsid w:val="00330839"/>
    <w:rsid w:val="00330911"/>
    <w:rsid w:val="00330C0B"/>
    <w:rsid w:val="0033384A"/>
    <w:rsid w:val="00333974"/>
    <w:rsid w:val="00333D65"/>
    <w:rsid w:val="00333FA5"/>
    <w:rsid w:val="00335DB7"/>
    <w:rsid w:val="00335E23"/>
    <w:rsid w:val="0033620C"/>
    <w:rsid w:val="003400AB"/>
    <w:rsid w:val="003407C3"/>
    <w:rsid w:val="00340820"/>
    <w:rsid w:val="00340A0A"/>
    <w:rsid w:val="00341EAA"/>
    <w:rsid w:val="00345B7D"/>
    <w:rsid w:val="003471A6"/>
    <w:rsid w:val="003471D8"/>
    <w:rsid w:val="00347947"/>
    <w:rsid w:val="00350DFD"/>
    <w:rsid w:val="0035140F"/>
    <w:rsid w:val="00360134"/>
    <w:rsid w:val="00361F16"/>
    <w:rsid w:val="003658E2"/>
    <w:rsid w:val="00367721"/>
    <w:rsid w:val="0037069F"/>
    <w:rsid w:val="00373C70"/>
    <w:rsid w:val="00375ED0"/>
    <w:rsid w:val="0037609B"/>
    <w:rsid w:val="00376C34"/>
    <w:rsid w:val="00376CA0"/>
    <w:rsid w:val="00377752"/>
    <w:rsid w:val="00380927"/>
    <w:rsid w:val="00380DAC"/>
    <w:rsid w:val="00387174"/>
    <w:rsid w:val="00387365"/>
    <w:rsid w:val="0038777E"/>
    <w:rsid w:val="003877C1"/>
    <w:rsid w:val="0038793A"/>
    <w:rsid w:val="0039298D"/>
    <w:rsid w:val="00393784"/>
    <w:rsid w:val="003950E3"/>
    <w:rsid w:val="003A03B7"/>
    <w:rsid w:val="003A094D"/>
    <w:rsid w:val="003A0D42"/>
    <w:rsid w:val="003A0E7F"/>
    <w:rsid w:val="003A6360"/>
    <w:rsid w:val="003B0BFD"/>
    <w:rsid w:val="003B1353"/>
    <w:rsid w:val="003B19DD"/>
    <w:rsid w:val="003B1A93"/>
    <w:rsid w:val="003B3BC0"/>
    <w:rsid w:val="003B3EA6"/>
    <w:rsid w:val="003B40A2"/>
    <w:rsid w:val="003B507A"/>
    <w:rsid w:val="003B6DE1"/>
    <w:rsid w:val="003C075B"/>
    <w:rsid w:val="003C39C8"/>
    <w:rsid w:val="003C3F9B"/>
    <w:rsid w:val="003C4B6D"/>
    <w:rsid w:val="003D38ED"/>
    <w:rsid w:val="003D5624"/>
    <w:rsid w:val="003D6DB9"/>
    <w:rsid w:val="003D747D"/>
    <w:rsid w:val="003E121C"/>
    <w:rsid w:val="003E2BCC"/>
    <w:rsid w:val="003E39F4"/>
    <w:rsid w:val="003E473E"/>
    <w:rsid w:val="003E604F"/>
    <w:rsid w:val="003E6549"/>
    <w:rsid w:val="003E65F2"/>
    <w:rsid w:val="003E6DE8"/>
    <w:rsid w:val="003F02E9"/>
    <w:rsid w:val="003F038D"/>
    <w:rsid w:val="003F1219"/>
    <w:rsid w:val="003F1397"/>
    <w:rsid w:val="003F167B"/>
    <w:rsid w:val="003F220F"/>
    <w:rsid w:val="003F2423"/>
    <w:rsid w:val="003F2F2A"/>
    <w:rsid w:val="003F377B"/>
    <w:rsid w:val="003F6199"/>
    <w:rsid w:val="004018A7"/>
    <w:rsid w:val="00405FD7"/>
    <w:rsid w:val="00406032"/>
    <w:rsid w:val="00410C7A"/>
    <w:rsid w:val="004111CC"/>
    <w:rsid w:val="00411AD8"/>
    <w:rsid w:val="00416207"/>
    <w:rsid w:val="004163C9"/>
    <w:rsid w:val="004200FF"/>
    <w:rsid w:val="00420CA6"/>
    <w:rsid w:val="0042277F"/>
    <w:rsid w:val="00423845"/>
    <w:rsid w:val="00423B2E"/>
    <w:rsid w:val="00423D13"/>
    <w:rsid w:val="00426A44"/>
    <w:rsid w:val="00426DD8"/>
    <w:rsid w:val="0042726C"/>
    <w:rsid w:val="00427500"/>
    <w:rsid w:val="00427F8F"/>
    <w:rsid w:val="004340BC"/>
    <w:rsid w:val="004350B2"/>
    <w:rsid w:val="0043720A"/>
    <w:rsid w:val="00437713"/>
    <w:rsid w:val="00440B75"/>
    <w:rsid w:val="004410AB"/>
    <w:rsid w:val="00443254"/>
    <w:rsid w:val="0044334C"/>
    <w:rsid w:val="00444D09"/>
    <w:rsid w:val="00445CE0"/>
    <w:rsid w:val="004472C1"/>
    <w:rsid w:val="004512B8"/>
    <w:rsid w:val="004512E4"/>
    <w:rsid w:val="00452E96"/>
    <w:rsid w:val="00456263"/>
    <w:rsid w:val="004573D1"/>
    <w:rsid w:val="00461498"/>
    <w:rsid w:val="0046169F"/>
    <w:rsid w:val="004632B9"/>
    <w:rsid w:val="004632E9"/>
    <w:rsid w:val="00463524"/>
    <w:rsid w:val="0046394F"/>
    <w:rsid w:val="00465BD2"/>
    <w:rsid w:val="0046678C"/>
    <w:rsid w:val="00466F25"/>
    <w:rsid w:val="00467B7F"/>
    <w:rsid w:val="00467D08"/>
    <w:rsid w:val="004709BD"/>
    <w:rsid w:val="00472ED6"/>
    <w:rsid w:val="00474D76"/>
    <w:rsid w:val="00475BC5"/>
    <w:rsid w:val="00475D64"/>
    <w:rsid w:val="004764CD"/>
    <w:rsid w:val="0048236F"/>
    <w:rsid w:val="00483AF1"/>
    <w:rsid w:val="00483EBB"/>
    <w:rsid w:val="0048417A"/>
    <w:rsid w:val="00484596"/>
    <w:rsid w:val="0048550C"/>
    <w:rsid w:val="004859E2"/>
    <w:rsid w:val="004866FB"/>
    <w:rsid w:val="0048704C"/>
    <w:rsid w:val="00487AC6"/>
    <w:rsid w:val="00496747"/>
    <w:rsid w:val="00496C1F"/>
    <w:rsid w:val="004A083E"/>
    <w:rsid w:val="004A1120"/>
    <w:rsid w:val="004A1D94"/>
    <w:rsid w:val="004A3774"/>
    <w:rsid w:val="004A3F50"/>
    <w:rsid w:val="004A4C17"/>
    <w:rsid w:val="004A5CED"/>
    <w:rsid w:val="004A62B7"/>
    <w:rsid w:val="004A7856"/>
    <w:rsid w:val="004B3D8C"/>
    <w:rsid w:val="004B4254"/>
    <w:rsid w:val="004B4DA7"/>
    <w:rsid w:val="004B542F"/>
    <w:rsid w:val="004B67A9"/>
    <w:rsid w:val="004B7C9A"/>
    <w:rsid w:val="004B7FB2"/>
    <w:rsid w:val="004C05FB"/>
    <w:rsid w:val="004C1B4F"/>
    <w:rsid w:val="004C3FE8"/>
    <w:rsid w:val="004C572B"/>
    <w:rsid w:val="004C5811"/>
    <w:rsid w:val="004D01E3"/>
    <w:rsid w:val="004D073F"/>
    <w:rsid w:val="004D39D1"/>
    <w:rsid w:val="004D3B0F"/>
    <w:rsid w:val="004D3FD8"/>
    <w:rsid w:val="004D51D8"/>
    <w:rsid w:val="004D5EA7"/>
    <w:rsid w:val="004D605E"/>
    <w:rsid w:val="004D62A4"/>
    <w:rsid w:val="004E0963"/>
    <w:rsid w:val="004E0F59"/>
    <w:rsid w:val="004E23A9"/>
    <w:rsid w:val="004E2C1F"/>
    <w:rsid w:val="004E3C54"/>
    <w:rsid w:val="004E47E9"/>
    <w:rsid w:val="004E5181"/>
    <w:rsid w:val="004E6725"/>
    <w:rsid w:val="004E6BFC"/>
    <w:rsid w:val="004E733A"/>
    <w:rsid w:val="004E75D2"/>
    <w:rsid w:val="004F4142"/>
    <w:rsid w:val="004F584B"/>
    <w:rsid w:val="004F5BB1"/>
    <w:rsid w:val="004F60AE"/>
    <w:rsid w:val="0050105B"/>
    <w:rsid w:val="005025B9"/>
    <w:rsid w:val="0050395E"/>
    <w:rsid w:val="005057B9"/>
    <w:rsid w:val="00510BC2"/>
    <w:rsid w:val="00510EF3"/>
    <w:rsid w:val="005116A8"/>
    <w:rsid w:val="00512647"/>
    <w:rsid w:val="0051356E"/>
    <w:rsid w:val="005135CE"/>
    <w:rsid w:val="00513C9A"/>
    <w:rsid w:val="00514392"/>
    <w:rsid w:val="00514B2E"/>
    <w:rsid w:val="005153D8"/>
    <w:rsid w:val="005165CB"/>
    <w:rsid w:val="00516B0E"/>
    <w:rsid w:val="00517182"/>
    <w:rsid w:val="00521879"/>
    <w:rsid w:val="0052191F"/>
    <w:rsid w:val="00523E15"/>
    <w:rsid w:val="00524A96"/>
    <w:rsid w:val="005270A6"/>
    <w:rsid w:val="00527213"/>
    <w:rsid w:val="00527381"/>
    <w:rsid w:val="0053020F"/>
    <w:rsid w:val="00531DCF"/>
    <w:rsid w:val="0053252F"/>
    <w:rsid w:val="00532676"/>
    <w:rsid w:val="00533A43"/>
    <w:rsid w:val="00535638"/>
    <w:rsid w:val="00537DCF"/>
    <w:rsid w:val="005400FD"/>
    <w:rsid w:val="00541453"/>
    <w:rsid w:val="005419C2"/>
    <w:rsid w:val="00542A33"/>
    <w:rsid w:val="0054358F"/>
    <w:rsid w:val="00543A58"/>
    <w:rsid w:val="0054700C"/>
    <w:rsid w:val="00547569"/>
    <w:rsid w:val="0055094A"/>
    <w:rsid w:val="005513AD"/>
    <w:rsid w:val="00551840"/>
    <w:rsid w:val="00552212"/>
    <w:rsid w:val="00553879"/>
    <w:rsid w:val="0055419E"/>
    <w:rsid w:val="005551AE"/>
    <w:rsid w:val="00556930"/>
    <w:rsid w:val="00557B72"/>
    <w:rsid w:val="00557EBC"/>
    <w:rsid w:val="005615FD"/>
    <w:rsid w:val="00561B69"/>
    <w:rsid w:val="005640D7"/>
    <w:rsid w:val="005641DB"/>
    <w:rsid w:val="0056480E"/>
    <w:rsid w:val="00564B59"/>
    <w:rsid w:val="0056637F"/>
    <w:rsid w:val="005706FD"/>
    <w:rsid w:val="00572521"/>
    <w:rsid w:val="0057328D"/>
    <w:rsid w:val="005745B1"/>
    <w:rsid w:val="005749CF"/>
    <w:rsid w:val="00575BE9"/>
    <w:rsid w:val="00576ABE"/>
    <w:rsid w:val="005777BC"/>
    <w:rsid w:val="00577ADA"/>
    <w:rsid w:val="00580A03"/>
    <w:rsid w:val="005811FA"/>
    <w:rsid w:val="005828B2"/>
    <w:rsid w:val="0058320C"/>
    <w:rsid w:val="005840B2"/>
    <w:rsid w:val="00584B74"/>
    <w:rsid w:val="00585AE0"/>
    <w:rsid w:val="0058655F"/>
    <w:rsid w:val="00586AD1"/>
    <w:rsid w:val="0058716A"/>
    <w:rsid w:val="00587EE1"/>
    <w:rsid w:val="005914CF"/>
    <w:rsid w:val="00594723"/>
    <w:rsid w:val="00595D6E"/>
    <w:rsid w:val="0059645A"/>
    <w:rsid w:val="00596E54"/>
    <w:rsid w:val="00597215"/>
    <w:rsid w:val="005A199A"/>
    <w:rsid w:val="005A1B5C"/>
    <w:rsid w:val="005A3F3C"/>
    <w:rsid w:val="005A5E70"/>
    <w:rsid w:val="005A6CD1"/>
    <w:rsid w:val="005A6E06"/>
    <w:rsid w:val="005B257B"/>
    <w:rsid w:val="005B3168"/>
    <w:rsid w:val="005B45C9"/>
    <w:rsid w:val="005B4BD5"/>
    <w:rsid w:val="005C016F"/>
    <w:rsid w:val="005C06E0"/>
    <w:rsid w:val="005C1A92"/>
    <w:rsid w:val="005C3473"/>
    <w:rsid w:val="005C3750"/>
    <w:rsid w:val="005C61D2"/>
    <w:rsid w:val="005C78FD"/>
    <w:rsid w:val="005D1A7B"/>
    <w:rsid w:val="005D1AFF"/>
    <w:rsid w:val="005D27F7"/>
    <w:rsid w:val="005D4786"/>
    <w:rsid w:val="005D5109"/>
    <w:rsid w:val="005D6C09"/>
    <w:rsid w:val="005D6FAC"/>
    <w:rsid w:val="005E03AE"/>
    <w:rsid w:val="005E0BF4"/>
    <w:rsid w:val="005E367D"/>
    <w:rsid w:val="005E3E68"/>
    <w:rsid w:val="005E5F5F"/>
    <w:rsid w:val="005E7731"/>
    <w:rsid w:val="005E79B1"/>
    <w:rsid w:val="005F1654"/>
    <w:rsid w:val="005F16AD"/>
    <w:rsid w:val="005F1839"/>
    <w:rsid w:val="005F1F1E"/>
    <w:rsid w:val="005F334D"/>
    <w:rsid w:val="005F4754"/>
    <w:rsid w:val="005F699D"/>
    <w:rsid w:val="005F7581"/>
    <w:rsid w:val="005F76A0"/>
    <w:rsid w:val="005F7B41"/>
    <w:rsid w:val="005F7FD7"/>
    <w:rsid w:val="006013C7"/>
    <w:rsid w:val="006025CF"/>
    <w:rsid w:val="00603DDF"/>
    <w:rsid w:val="0060511C"/>
    <w:rsid w:val="00605B73"/>
    <w:rsid w:val="00606193"/>
    <w:rsid w:val="0060622A"/>
    <w:rsid w:val="00607188"/>
    <w:rsid w:val="006078B8"/>
    <w:rsid w:val="006126C8"/>
    <w:rsid w:val="00612714"/>
    <w:rsid w:val="00612873"/>
    <w:rsid w:val="00612C62"/>
    <w:rsid w:val="00612EA5"/>
    <w:rsid w:val="00614E0C"/>
    <w:rsid w:val="006173CA"/>
    <w:rsid w:val="00620337"/>
    <w:rsid w:val="006228EF"/>
    <w:rsid w:val="0062370C"/>
    <w:rsid w:val="00623EAB"/>
    <w:rsid w:val="006241BF"/>
    <w:rsid w:val="0062589C"/>
    <w:rsid w:val="00625A44"/>
    <w:rsid w:val="0062638F"/>
    <w:rsid w:val="00627E16"/>
    <w:rsid w:val="00630DBA"/>
    <w:rsid w:val="006337C7"/>
    <w:rsid w:val="006406F1"/>
    <w:rsid w:val="006406F7"/>
    <w:rsid w:val="0064161C"/>
    <w:rsid w:val="0064325B"/>
    <w:rsid w:val="006441EB"/>
    <w:rsid w:val="0064481D"/>
    <w:rsid w:val="00644B5F"/>
    <w:rsid w:val="00645AF7"/>
    <w:rsid w:val="0064621B"/>
    <w:rsid w:val="00647D2C"/>
    <w:rsid w:val="00647F13"/>
    <w:rsid w:val="00650589"/>
    <w:rsid w:val="00651127"/>
    <w:rsid w:val="00651443"/>
    <w:rsid w:val="00652396"/>
    <w:rsid w:val="00652AA3"/>
    <w:rsid w:val="00653321"/>
    <w:rsid w:val="00657873"/>
    <w:rsid w:val="00660887"/>
    <w:rsid w:val="00661900"/>
    <w:rsid w:val="00661F27"/>
    <w:rsid w:val="00662536"/>
    <w:rsid w:val="00664229"/>
    <w:rsid w:val="006672DB"/>
    <w:rsid w:val="00667762"/>
    <w:rsid w:val="00670254"/>
    <w:rsid w:val="00671136"/>
    <w:rsid w:val="00671428"/>
    <w:rsid w:val="00671C7E"/>
    <w:rsid w:val="00671D1D"/>
    <w:rsid w:val="00671FC8"/>
    <w:rsid w:val="0067460D"/>
    <w:rsid w:val="00674B1F"/>
    <w:rsid w:val="00676C95"/>
    <w:rsid w:val="0067727A"/>
    <w:rsid w:val="0068119D"/>
    <w:rsid w:val="0068177E"/>
    <w:rsid w:val="0068286F"/>
    <w:rsid w:val="00684135"/>
    <w:rsid w:val="006849E4"/>
    <w:rsid w:val="00685CEE"/>
    <w:rsid w:val="00690AEF"/>
    <w:rsid w:val="006929EE"/>
    <w:rsid w:val="00692B4C"/>
    <w:rsid w:val="0069347B"/>
    <w:rsid w:val="0069402A"/>
    <w:rsid w:val="006948E2"/>
    <w:rsid w:val="00694A88"/>
    <w:rsid w:val="00695135"/>
    <w:rsid w:val="006953E8"/>
    <w:rsid w:val="00695B12"/>
    <w:rsid w:val="006968F1"/>
    <w:rsid w:val="00697567"/>
    <w:rsid w:val="006977AE"/>
    <w:rsid w:val="00697C73"/>
    <w:rsid w:val="006A38FC"/>
    <w:rsid w:val="006A3B49"/>
    <w:rsid w:val="006A4ABC"/>
    <w:rsid w:val="006A4ED4"/>
    <w:rsid w:val="006A6028"/>
    <w:rsid w:val="006A6AB2"/>
    <w:rsid w:val="006A70B4"/>
    <w:rsid w:val="006A79E3"/>
    <w:rsid w:val="006A7CDC"/>
    <w:rsid w:val="006B0C30"/>
    <w:rsid w:val="006B2B5E"/>
    <w:rsid w:val="006B6274"/>
    <w:rsid w:val="006B6827"/>
    <w:rsid w:val="006B6A8C"/>
    <w:rsid w:val="006B6A9D"/>
    <w:rsid w:val="006C12A8"/>
    <w:rsid w:val="006C4C9C"/>
    <w:rsid w:val="006C54A5"/>
    <w:rsid w:val="006C61F6"/>
    <w:rsid w:val="006D02A8"/>
    <w:rsid w:val="006D053E"/>
    <w:rsid w:val="006D09D8"/>
    <w:rsid w:val="006D2221"/>
    <w:rsid w:val="006D2AC5"/>
    <w:rsid w:val="006D35ED"/>
    <w:rsid w:val="006D3CDC"/>
    <w:rsid w:val="006D5634"/>
    <w:rsid w:val="006D6681"/>
    <w:rsid w:val="006D6962"/>
    <w:rsid w:val="006D7860"/>
    <w:rsid w:val="006E1636"/>
    <w:rsid w:val="006E1E6A"/>
    <w:rsid w:val="006E37B4"/>
    <w:rsid w:val="006E4001"/>
    <w:rsid w:val="006E6DA0"/>
    <w:rsid w:val="006E6DEF"/>
    <w:rsid w:val="006E6E14"/>
    <w:rsid w:val="006E7F36"/>
    <w:rsid w:val="006F054D"/>
    <w:rsid w:val="006F0BA2"/>
    <w:rsid w:val="006F58A5"/>
    <w:rsid w:val="006F71A9"/>
    <w:rsid w:val="006F724F"/>
    <w:rsid w:val="006F7821"/>
    <w:rsid w:val="007016BB"/>
    <w:rsid w:val="0070185C"/>
    <w:rsid w:val="00701B98"/>
    <w:rsid w:val="00701BDB"/>
    <w:rsid w:val="007021A3"/>
    <w:rsid w:val="00703624"/>
    <w:rsid w:val="00703734"/>
    <w:rsid w:val="00703776"/>
    <w:rsid w:val="00704012"/>
    <w:rsid w:val="00705595"/>
    <w:rsid w:val="00706731"/>
    <w:rsid w:val="00706802"/>
    <w:rsid w:val="00706BA5"/>
    <w:rsid w:val="00710030"/>
    <w:rsid w:val="00711349"/>
    <w:rsid w:val="00711552"/>
    <w:rsid w:val="00715EEB"/>
    <w:rsid w:val="007172DB"/>
    <w:rsid w:val="00717412"/>
    <w:rsid w:val="007212E1"/>
    <w:rsid w:val="00721EEC"/>
    <w:rsid w:val="00722988"/>
    <w:rsid w:val="00722CBD"/>
    <w:rsid w:val="0072337F"/>
    <w:rsid w:val="007236A8"/>
    <w:rsid w:val="00723C5D"/>
    <w:rsid w:val="00723EC9"/>
    <w:rsid w:val="0073362E"/>
    <w:rsid w:val="0073437A"/>
    <w:rsid w:val="00734FD8"/>
    <w:rsid w:val="00735B9C"/>
    <w:rsid w:val="00740708"/>
    <w:rsid w:val="00740EF5"/>
    <w:rsid w:val="00742064"/>
    <w:rsid w:val="00745D75"/>
    <w:rsid w:val="007471A6"/>
    <w:rsid w:val="0074779A"/>
    <w:rsid w:val="00751580"/>
    <w:rsid w:val="0075321E"/>
    <w:rsid w:val="0075397B"/>
    <w:rsid w:val="0075418B"/>
    <w:rsid w:val="0075421D"/>
    <w:rsid w:val="00757D33"/>
    <w:rsid w:val="0076204B"/>
    <w:rsid w:val="00762736"/>
    <w:rsid w:val="00762BF3"/>
    <w:rsid w:val="0076395C"/>
    <w:rsid w:val="00766F61"/>
    <w:rsid w:val="00767921"/>
    <w:rsid w:val="007746EF"/>
    <w:rsid w:val="00774E98"/>
    <w:rsid w:val="007763B1"/>
    <w:rsid w:val="00776554"/>
    <w:rsid w:val="00776926"/>
    <w:rsid w:val="007772A2"/>
    <w:rsid w:val="00777C74"/>
    <w:rsid w:val="00780703"/>
    <w:rsid w:val="00782891"/>
    <w:rsid w:val="00783258"/>
    <w:rsid w:val="007833EE"/>
    <w:rsid w:val="007909D1"/>
    <w:rsid w:val="00791C53"/>
    <w:rsid w:val="00793F4B"/>
    <w:rsid w:val="0079408A"/>
    <w:rsid w:val="007944A9"/>
    <w:rsid w:val="007948FB"/>
    <w:rsid w:val="00796682"/>
    <w:rsid w:val="007A167F"/>
    <w:rsid w:val="007A2D97"/>
    <w:rsid w:val="007A3B7B"/>
    <w:rsid w:val="007A520B"/>
    <w:rsid w:val="007A781B"/>
    <w:rsid w:val="007B03D6"/>
    <w:rsid w:val="007B103D"/>
    <w:rsid w:val="007B1C45"/>
    <w:rsid w:val="007B3AF4"/>
    <w:rsid w:val="007B553F"/>
    <w:rsid w:val="007B74BB"/>
    <w:rsid w:val="007C1E4D"/>
    <w:rsid w:val="007C24A5"/>
    <w:rsid w:val="007C4866"/>
    <w:rsid w:val="007C6994"/>
    <w:rsid w:val="007C6ED1"/>
    <w:rsid w:val="007D08BF"/>
    <w:rsid w:val="007D1493"/>
    <w:rsid w:val="007D43C5"/>
    <w:rsid w:val="007D6955"/>
    <w:rsid w:val="007D6FCE"/>
    <w:rsid w:val="007E0FD3"/>
    <w:rsid w:val="007E1F34"/>
    <w:rsid w:val="007E6FC1"/>
    <w:rsid w:val="007E77BE"/>
    <w:rsid w:val="007F0481"/>
    <w:rsid w:val="007F17C8"/>
    <w:rsid w:val="007F26A1"/>
    <w:rsid w:val="007F4DEE"/>
    <w:rsid w:val="007F517C"/>
    <w:rsid w:val="007F62E1"/>
    <w:rsid w:val="0080214A"/>
    <w:rsid w:val="00803604"/>
    <w:rsid w:val="008040B0"/>
    <w:rsid w:val="008060D1"/>
    <w:rsid w:val="00806473"/>
    <w:rsid w:val="0080683B"/>
    <w:rsid w:val="0080731A"/>
    <w:rsid w:val="00811397"/>
    <w:rsid w:val="00812CA9"/>
    <w:rsid w:val="0081406B"/>
    <w:rsid w:val="00814B1E"/>
    <w:rsid w:val="008167DF"/>
    <w:rsid w:val="00817E70"/>
    <w:rsid w:val="0082243A"/>
    <w:rsid w:val="00826293"/>
    <w:rsid w:val="00826712"/>
    <w:rsid w:val="008300EC"/>
    <w:rsid w:val="00830176"/>
    <w:rsid w:val="00831174"/>
    <w:rsid w:val="0083121C"/>
    <w:rsid w:val="00833CBE"/>
    <w:rsid w:val="00834933"/>
    <w:rsid w:val="00837CCA"/>
    <w:rsid w:val="008400C1"/>
    <w:rsid w:val="00840FF6"/>
    <w:rsid w:val="00842BD3"/>
    <w:rsid w:val="008434BF"/>
    <w:rsid w:val="00845548"/>
    <w:rsid w:val="008459F8"/>
    <w:rsid w:val="008478C2"/>
    <w:rsid w:val="0085074A"/>
    <w:rsid w:val="00853A7A"/>
    <w:rsid w:val="00854304"/>
    <w:rsid w:val="0085537B"/>
    <w:rsid w:val="00855657"/>
    <w:rsid w:val="008557A6"/>
    <w:rsid w:val="00857E23"/>
    <w:rsid w:val="00860555"/>
    <w:rsid w:val="00861067"/>
    <w:rsid w:val="00862770"/>
    <w:rsid w:val="00863057"/>
    <w:rsid w:val="008634FE"/>
    <w:rsid w:val="0086364F"/>
    <w:rsid w:val="00863C9F"/>
    <w:rsid w:val="008653E9"/>
    <w:rsid w:val="008676A0"/>
    <w:rsid w:val="008723E2"/>
    <w:rsid w:val="00872D88"/>
    <w:rsid w:val="00872DFF"/>
    <w:rsid w:val="00874DB9"/>
    <w:rsid w:val="0087638E"/>
    <w:rsid w:val="00877D6A"/>
    <w:rsid w:val="0088052A"/>
    <w:rsid w:val="0088290A"/>
    <w:rsid w:val="00885702"/>
    <w:rsid w:val="00887D0A"/>
    <w:rsid w:val="00887F94"/>
    <w:rsid w:val="00890012"/>
    <w:rsid w:val="008911C3"/>
    <w:rsid w:val="00891807"/>
    <w:rsid w:val="0089299A"/>
    <w:rsid w:val="00892B6E"/>
    <w:rsid w:val="0089313D"/>
    <w:rsid w:val="00893C8C"/>
    <w:rsid w:val="00894874"/>
    <w:rsid w:val="0089619C"/>
    <w:rsid w:val="008969DD"/>
    <w:rsid w:val="00897C5F"/>
    <w:rsid w:val="00897F83"/>
    <w:rsid w:val="008A1F69"/>
    <w:rsid w:val="008A2D87"/>
    <w:rsid w:val="008A2FCC"/>
    <w:rsid w:val="008A479A"/>
    <w:rsid w:val="008A4CB9"/>
    <w:rsid w:val="008B122E"/>
    <w:rsid w:val="008B20D3"/>
    <w:rsid w:val="008B328B"/>
    <w:rsid w:val="008B3D4B"/>
    <w:rsid w:val="008B4161"/>
    <w:rsid w:val="008B7B1E"/>
    <w:rsid w:val="008C12E4"/>
    <w:rsid w:val="008C14D8"/>
    <w:rsid w:val="008C2718"/>
    <w:rsid w:val="008C2F2A"/>
    <w:rsid w:val="008C3B21"/>
    <w:rsid w:val="008C7FC9"/>
    <w:rsid w:val="008D09B8"/>
    <w:rsid w:val="008D128F"/>
    <w:rsid w:val="008D14E2"/>
    <w:rsid w:val="008D2216"/>
    <w:rsid w:val="008D244C"/>
    <w:rsid w:val="008D2637"/>
    <w:rsid w:val="008D4541"/>
    <w:rsid w:val="008D5F1E"/>
    <w:rsid w:val="008D72E2"/>
    <w:rsid w:val="008E0000"/>
    <w:rsid w:val="008E0303"/>
    <w:rsid w:val="008E0722"/>
    <w:rsid w:val="008E0DED"/>
    <w:rsid w:val="008E1EFE"/>
    <w:rsid w:val="008E3C31"/>
    <w:rsid w:val="008E3E8F"/>
    <w:rsid w:val="008E4B1E"/>
    <w:rsid w:val="008E510C"/>
    <w:rsid w:val="008E5E4B"/>
    <w:rsid w:val="008F11E5"/>
    <w:rsid w:val="008F2200"/>
    <w:rsid w:val="008F2443"/>
    <w:rsid w:val="008F2947"/>
    <w:rsid w:val="008F2E17"/>
    <w:rsid w:val="008F450E"/>
    <w:rsid w:val="008F46D0"/>
    <w:rsid w:val="008F7AFD"/>
    <w:rsid w:val="0090023D"/>
    <w:rsid w:val="009005F8"/>
    <w:rsid w:val="00900E48"/>
    <w:rsid w:val="0090148C"/>
    <w:rsid w:val="00904DC5"/>
    <w:rsid w:val="0090582D"/>
    <w:rsid w:val="009059E9"/>
    <w:rsid w:val="0090729E"/>
    <w:rsid w:val="00907B69"/>
    <w:rsid w:val="00911B9F"/>
    <w:rsid w:val="009122DC"/>
    <w:rsid w:val="009131CC"/>
    <w:rsid w:val="00913DA1"/>
    <w:rsid w:val="0091556D"/>
    <w:rsid w:val="00916919"/>
    <w:rsid w:val="00916DB0"/>
    <w:rsid w:val="00917329"/>
    <w:rsid w:val="00921338"/>
    <w:rsid w:val="00923618"/>
    <w:rsid w:val="00923766"/>
    <w:rsid w:val="0092498B"/>
    <w:rsid w:val="00924C96"/>
    <w:rsid w:val="0092681E"/>
    <w:rsid w:val="009271C5"/>
    <w:rsid w:val="00930E85"/>
    <w:rsid w:val="0093141E"/>
    <w:rsid w:val="00933252"/>
    <w:rsid w:val="009335F2"/>
    <w:rsid w:val="00934000"/>
    <w:rsid w:val="009359C2"/>
    <w:rsid w:val="00935DEB"/>
    <w:rsid w:val="00935F81"/>
    <w:rsid w:val="00936F73"/>
    <w:rsid w:val="0094170A"/>
    <w:rsid w:val="00941BE3"/>
    <w:rsid w:val="009424D3"/>
    <w:rsid w:val="00944D7C"/>
    <w:rsid w:val="00947336"/>
    <w:rsid w:val="009515EA"/>
    <w:rsid w:val="00951C91"/>
    <w:rsid w:val="009525A7"/>
    <w:rsid w:val="0095335C"/>
    <w:rsid w:val="00954939"/>
    <w:rsid w:val="0095498F"/>
    <w:rsid w:val="00960D98"/>
    <w:rsid w:val="0096239D"/>
    <w:rsid w:val="009623D3"/>
    <w:rsid w:val="00963190"/>
    <w:rsid w:val="00963BF3"/>
    <w:rsid w:val="00965357"/>
    <w:rsid w:val="009677F0"/>
    <w:rsid w:val="0097159A"/>
    <w:rsid w:val="00973362"/>
    <w:rsid w:val="009735AB"/>
    <w:rsid w:val="009739BC"/>
    <w:rsid w:val="009760F0"/>
    <w:rsid w:val="00980373"/>
    <w:rsid w:val="00980502"/>
    <w:rsid w:val="009830D1"/>
    <w:rsid w:val="0098414A"/>
    <w:rsid w:val="00986BA2"/>
    <w:rsid w:val="00986BC6"/>
    <w:rsid w:val="009870A5"/>
    <w:rsid w:val="0098757E"/>
    <w:rsid w:val="00992306"/>
    <w:rsid w:val="0099232F"/>
    <w:rsid w:val="009924CA"/>
    <w:rsid w:val="009944C8"/>
    <w:rsid w:val="009A29B6"/>
    <w:rsid w:val="009A39E4"/>
    <w:rsid w:val="009A3EF2"/>
    <w:rsid w:val="009A4340"/>
    <w:rsid w:val="009A4393"/>
    <w:rsid w:val="009A4693"/>
    <w:rsid w:val="009A53E5"/>
    <w:rsid w:val="009A549D"/>
    <w:rsid w:val="009A64AF"/>
    <w:rsid w:val="009B06AA"/>
    <w:rsid w:val="009B0830"/>
    <w:rsid w:val="009B0EAF"/>
    <w:rsid w:val="009B3318"/>
    <w:rsid w:val="009B43DD"/>
    <w:rsid w:val="009B4C1B"/>
    <w:rsid w:val="009B7746"/>
    <w:rsid w:val="009B77C5"/>
    <w:rsid w:val="009C13DD"/>
    <w:rsid w:val="009C1CA8"/>
    <w:rsid w:val="009C2DE8"/>
    <w:rsid w:val="009C4206"/>
    <w:rsid w:val="009C470E"/>
    <w:rsid w:val="009C60B9"/>
    <w:rsid w:val="009C6AB5"/>
    <w:rsid w:val="009D0796"/>
    <w:rsid w:val="009D13E7"/>
    <w:rsid w:val="009D150E"/>
    <w:rsid w:val="009D2289"/>
    <w:rsid w:val="009D2969"/>
    <w:rsid w:val="009D39BC"/>
    <w:rsid w:val="009D412D"/>
    <w:rsid w:val="009D42E1"/>
    <w:rsid w:val="009D4389"/>
    <w:rsid w:val="009D49DB"/>
    <w:rsid w:val="009D55D5"/>
    <w:rsid w:val="009D594E"/>
    <w:rsid w:val="009D70AB"/>
    <w:rsid w:val="009D77C0"/>
    <w:rsid w:val="009E1CB0"/>
    <w:rsid w:val="009E2F4D"/>
    <w:rsid w:val="009E39E6"/>
    <w:rsid w:val="009E4151"/>
    <w:rsid w:val="009E4A4E"/>
    <w:rsid w:val="009E4F11"/>
    <w:rsid w:val="009E5B01"/>
    <w:rsid w:val="009E60EE"/>
    <w:rsid w:val="009E69EE"/>
    <w:rsid w:val="009E7355"/>
    <w:rsid w:val="009F204D"/>
    <w:rsid w:val="009F20E6"/>
    <w:rsid w:val="009F2B2D"/>
    <w:rsid w:val="009F4781"/>
    <w:rsid w:val="009F590A"/>
    <w:rsid w:val="009F6F1C"/>
    <w:rsid w:val="009F754C"/>
    <w:rsid w:val="00A00343"/>
    <w:rsid w:val="00A01CC6"/>
    <w:rsid w:val="00A03F06"/>
    <w:rsid w:val="00A078FB"/>
    <w:rsid w:val="00A12BD2"/>
    <w:rsid w:val="00A13CE0"/>
    <w:rsid w:val="00A14925"/>
    <w:rsid w:val="00A15810"/>
    <w:rsid w:val="00A160A2"/>
    <w:rsid w:val="00A1623E"/>
    <w:rsid w:val="00A214C9"/>
    <w:rsid w:val="00A2240A"/>
    <w:rsid w:val="00A2265F"/>
    <w:rsid w:val="00A25181"/>
    <w:rsid w:val="00A25876"/>
    <w:rsid w:val="00A27E50"/>
    <w:rsid w:val="00A301E6"/>
    <w:rsid w:val="00A31FA5"/>
    <w:rsid w:val="00A32A44"/>
    <w:rsid w:val="00A32C30"/>
    <w:rsid w:val="00A3375A"/>
    <w:rsid w:val="00A347D0"/>
    <w:rsid w:val="00A34824"/>
    <w:rsid w:val="00A34FBB"/>
    <w:rsid w:val="00A35509"/>
    <w:rsid w:val="00A356A4"/>
    <w:rsid w:val="00A35BD7"/>
    <w:rsid w:val="00A36206"/>
    <w:rsid w:val="00A36CB6"/>
    <w:rsid w:val="00A37214"/>
    <w:rsid w:val="00A37F63"/>
    <w:rsid w:val="00A40508"/>
    <w:rsid w:val="00A4103E"/>
    <w:rsid w:val="00A42AFB"/>
    <w:rsid w:val="00A42B02"/>
    <w:rsid w:val="00A43349"/>
    <w:rsid w:val="00A44A80"/>
    <w:rsid w:val="00A452B3"/>
    <w:rsid w:val="00A474BE"/>
    <w:rsid w:val="00A47E17"/>
    <w:rsid w:val="00A50BEF"/>
    <w:rsid w:val="00A51200"/>
    <w:rsid w:val="00A52564"/>
    <w:rsid w:val="00A52F3D"/>
    <w:rsid w:val="00A53948"/>
    <w:rsid w:val="00A54166"/>
    <w:rsid w:val="00A543F3"/>
    <w:rsid w:val="00A54849"/>
    <w:rsid w:val="00A5502D"/>
    <w:rsid w:val="00A61699"/>
    <w:rsid w:val="00A616CE"/>
    <w:rsid w:val="00A629A8"/>
    <w:rsid w:val="00A6312C"/>
    <w:rsid w:val="00A6365B"/>
    <w:rsid w:val="00A640AF"/>
    <w:rsid w:val="00A64784"/>
    <w:rsid w:val="00A64C98"/>
    <w:rsid w:val="00A665C9"/>
    <w:rsid w:val="00A66B9E"/>
    <w:rsid w:val="00A66CD9"/>
    <w:rsid w:val="00A7150A"/>
    <w:rsid w:val="00A726C5"/>
    <w:rsid w:val="00A731BB"/>
    <w:rsid w:val="00A734D7"/>
    <w:rsid w:val="00A73C7E"/>
    <w:rsid w:val="00A73E2A"/>
    <w:rsid w:val="00A74058"/>
    <w:rsid w:val="00A7597E"/>
    <w:rsid w:val="00A77983"/>
    <w:rsid w:val="00A833A0"/>
    <w:rsid w:val="00A848A0"/>
    <w:rsid w:val="00A85CF7"/>
    <w:rsid w:val="00A86154"/>
    <w:rsid w:val="00A873AE"/>
    <w:rsid w:val="00A914ED"/>
    <w:rsid w:val="00A9320B"/>
    <w:rsid w:val="00A9546C"/>
    <w:rsid w:val="00AA0389"/>
    <w:rsid w:val="00AA076E"/>
    <w:rsid w:val="00AA17C0"/>
    <w:rsid w:val="00AA3DB8"/>
    <w:rsid w:val="00AA5B9C"/>
    <w:rsid w:val="00AA5C5B"/>
    <w:rsid w:val="00AA740C"/>
    <w:rsid w:val="00AA7D41"/>
    <w:rsid w:val="00AA7EA5"/>
    <w:rsid w:val="00AA7FE7"/>
    <w:rsid w:val="00AB0C53"/>
    <w:rsid w:val="00AB2E01"/>
    <w:rsid w:val="00AB4045"/>
    <w:rsid w:val="00AB4ED0"/>
    <w:rsid w:val="00AB6F70"/>
    <w:rsid w:val="00AC237C"/>
    <w:rsid w:val="00AC28D1"/>
    <w:rsid w:val="00AC3D75"/>
    <w:rsid w:val="00AC3ED1"/>
    <w:rsid w:val="00AC3F56"/>
    <w:rsid w:val="00AD0E56"/>
    <w:rsid w:val="00AD22BA"/>
    <w:rsid w:val="00AD2CB0"/>
    <w:rsid w:val="00AD3B8B"/>
    <w:rsid w:val="00AD654E"/>
    <w:rsid w:val="00AD670B"/>
    <w:rsid w:val="00AE02DF"/>
    <w:rsid w:val="00AE078B"/>
    <w:rsid w:val="00AE2663"/>
    <w:rsid w:val="00AE4A12"/>
    <w:rsid w:val="00AE691E"/>
    <w:rsid w:val="00AE6E42"/>
    <w:rsid w:val="00AE7508"/>
    <w:rsid w:val="00AE79D0"/>
    <w:rsid w:val="00AE7D4B"/>
    <w:rsid w:val="00AE7F32"/>
    <w:rsid w:val="00AF1C15"/>
    <w:rsid w:val="00AF2E5E"/>
    <w:rsid w:val="00AF34F7"/>
    <w:rsid w:val="00AF49EB"/>
    <w:rsid w:val="00AF5C81"/>
    <w:rsid w:val="00B00112"/>
    <w:rsid w:val="00B007B2"/>
    <w:rsid w:val="00B00CFD"/>
    <w:rsid w:val="00B012BD"/>
    <w:rsid w:val="00B01484"/>
    <w:rsid w:val="00B01C7C"/>
    <w:rsid w:val="00B03805"/>
    <w:rsid w:val="00B038DA"/>
    <w:rsid w:val="00B04A07"/>
    <w:rsid w:val="00B04A8A"/>
    <w:rsid w:val="00B04DCE"/>
    <w:rsid w:val="00B05AE3"/>
    <w:rsid w:val="00B06305"/>
    <w:rsid w:val="00B10F26"/>
    <w:rsid w:val="00B1118D"/>
    <w:rsid w:val="00B15C01"/>
    <w:rsid w:val="00B17B99"/>
    <w:rsid w:val="00B251DB"/>
    <w:rsid w:val="00B25B34"/>
    <w:rsid w:val="00B25E45"/>
    <w:rsid w:val="00B26C25"/>
    <w:rsid w:val="00B2743C"/>
    <w:rsid w:val="00B31C61"/>
    <w:rsid w:val="00B328CE"/>
    <w:rsid w:val="00B35C0C"/>
    <w:rsid w:val="00B369A1"/>
    <w:rsid w:val="00B40A60"/>
    <w:rsid w:val="00B41841"/>
    <w:rsid w:val="00B4243A"/>
    <w:rsid w:val="00B4272E"/>
    <w:rsid w:val="00B43B14"/>
    <w:rsid w:val="00B44FCC"/>
    <w:rsid w:val="00B44FD8"/>
    <w:rsid w:val="00B45B98"/>
    <w:rsid w:val="00B4663C"/>
    <w:rsid w:val="00B46A9D"/>
    <w:rsid w:val="00B46B7E"/>
    <w:rsid w:val="00B47F87"/>
    <w:rsid w:val="00B507FE"/>
    <w:rsid w:val="00B52A7C"/>
    <w:rsid w:val="00B55A53"/>
    <w:rsid w:val="00B572F4"/>
    <w:rsid w:val="00B575BA"/>
    <w:rsid w:val="00B61462"/>
    <w:rsid w:val="00B6333F"/>
    <w:rsid w:val="00B64CC8"/>
    <w:rsid w:val="00B6586D"/>
    <w:rsid w:val="00B669E5"/>
    <w:rsid w:val="00B678DE"/>
    <w:rsid w:val="00B74551"/>
    <w:rsid w:val="00B755BF"/>
    <w:rsid w:val="00B75E83"/>
    <w:rsid w:val="00B8077D"/>
    <w:rsid w:val="00B80A56"/>
    <w:rsid w:val="00B82970"/>
    <w:rsid w:val="00B8303F"/>
    <w:rsid w:val="00B83A17"/>
    <w:rsid w:val="00B84CCF"/>
    <w:rsid w:val="00B8544C"/>
    <w:rsid w:val="00B86C24"/>
    <w:rsid w:val="00B874EB"/>
    <w:rsid w:val="00B91AA3"/>
    <w:rsid w:val="00B933B9"/>
    <w:rsid w:val="00B93A01"/>
    <w:rsid w:val="00B9453B"/>
    <w:rsid w:val="00B94FDD"/>
    <w:rsid w:val="00BA06EC"/>
    <w:rsid w:val="00BA168C"/>
    <w:rsid w:val="00BA40DB"/>
    <w:rsid w:val="00BA638D"/>
    <w:rsid w:val="00BA7CB7"/>
    <w:rsid w:val="00BB0F5B"/>
    <w:rsid w:val="00BB189E"/>
    <w:rsid w:val="00BB23D8"/>
    <w:rsid w:val="00BB350F"/>
    <w:rsid w:val="00BB391B"/>
    <w:rsid w:val="00BB3BBE"/>
    <w:rsid w:val="00BB7580"/>
    <w:rsid w:val="00BC31F5"/>
    <w:rsid w:val="00BC5E1A"/>
    <w:rsid w:val="00BC7378"/>
    <w:rsid w:val="00BD0988"/>
    <w:rsid w:val="00BD0F8A"/>
    <w:rsid w:val="00BD18C0"/>
    <w:rsid w:val="00BD2886"/>
    <w:rsid w:val="00BD66E6"/>
    <w:rsid w:val="00BD6B8D"/>
    <w:rsid w:val="00BD734C"/>
    <w:rsid w:val="00BD7B75"/>
    <w:rsid w:val="00BE1133"/>
    <w:rsid w:val="00BE128B"/>
    <w:rsid w:val="00BE1CB4"/>
    <w:rsid w:val="00BE29D6"/>
    <w:rsid w:val="00BE43E0"/>
    <w:rsid w:val="00BE53C7"/>
    <w:rsid w:val="00BE6EEA"/>
    <w:rsid w:val="00BE7843"/>
    <w:rsid w:val="00BF1108"/>
    <w:rsid w:val="00BF20F3"/>
    <w:rsid w:val="00BF5E87"/>
    <w:rsid w:val="00BF6930"/>
    <w:rsid w:val="00C00864"/>
    <w:rsid w:val="00C04888"/>
    <w:rsid w:val="00C06794"/>
    <w:rsid w:val="00C06AEF"/>
    <w:rsid w:val="00C07C35"/>
    <w:rsid w:val="00C07C7A"/>
    <w:rsid w:val="00C07F2A"/>
    <w:rsid w:val="00C10F98"/>
    <w:rsid w:val="00C1134B"/>
    <w:rsid w:val="00C11EC9"/>
    <w:rsid w:val="00C122E2"/>
    <w:rsid w:val="00C125BE"/>
    <w:rsid w:val="00C12950"/>
    <w:rsid w:val="00C12CBE"/>
    <w:rsid w:val="00C13088"/>
    <w:rsid w:val="00C15590"/>
    <w:rsid w:val="00C21C6C"/>
    <w:rsid w:val="00C22630"/>
    <w:rsid w:val="00C22CE1"/>
    <w:rsid w:val="00C230E0"/>
    <w:rsid w:val="00C23AB8"/>
    <w:rsid w:val="00C24136"/>
    <w:rsid w:val="00C244B7"/>
    <w:rsid w:val="00C24DEE"/>
    <w:rsid w:val="00C24E99"/>
    <w:rsid w:val="00C27C63"/>
    <w:rsid w:val="00C27CB3"/>
    <w:rsid w:val="00C313FA"/>
    <w:rsid w:val="00C318A8"/>
    <w:rsid w:val="00C31F7D"/>
    <w:rsid w:val="00C32FC5"/>
    <w:rsid w:val="00C3479E"/>
    <w:rsid w:val="00C34E73"/>
    <w:rsid w:val="00C362D8"/>
    <w:rsid w:val="00C42ACA"/>
    <w:rsid w:val="00C42B64"/>
    <w:rsid w:val="00C42F09"/>
    <w:rsid w:val="00C43D48"/>
    <w:rsid w:val="00C455C8"/>
    <w:rsid w:val="00C457D2"/>
    <w:rsid w:val="00C46A27"/>
    <w:rsid w:val="00C47053"/>
    <w:rsid w:val="00C50A9A"/>
    <w:rsid w:val="00C5212C"/>
    <w:rsid w:val="00C54311"/>
    <w:rsid w:val="00C55980"/>
    <w:rsid w:val="00C56F88"/>
    <w:rsid w:val="00C612ED"/>
    <w:rsid w:val="00C633BB"/>
    <w:rsid w:val="00C65E4E"/>
    <w:rsid w:val="00C67072"/>
    <w:rsid w:val="00C672B4"/>
    <w:rsid w:val="00C6744B"/>
    <w:rsid w:val="00C708AF"/>
    <w:rsid w:val="00C713C9"/>
    <w:rsid w:val="00C74410"/>
    <w:rsid w:val="00C7465D"/>
    <w:rsid w:val="00C7506C"/>
    <w:rsid w:val="00C7597C"/>
    <w:rsid w:val="00C76C01"/>
    <w:rsid w:val="00C778BF"/>
    <w:rsid w:val="00C8007E"/>
    <w:rsid w:val="00C83C48"/>
    <w:rsid w:val="00C84FE6"/>
    <w:rsid w:val="00C860A0"/>
    <w:rsid w:val="00C865E0"/>
    <w:rsid w:val="00C91B66"/>
    <w:rsid w:val="00C93A76"/>
    <w:rsid w:val="00C9401A"/>
    <w:rsid w:val="00C94601"/>
    <w:rsid w:val="00C96F7B"/>
    <w:rsid w:val="00CA1B90"/>
    <w:rsid w:val="00CA1E67"/>
    <w:rsid w:val="00CA24DE"/>
    <w:rsid w:val="00CA3F45"/>
    <w:rsid w:val="00CA4A6C"/>
    <w:rsid w:val="00CA6672"/>
    <w:rsid w:val="00CA721D"/>
    <w:rsid w:val="00CA7E23"/>
    <w:rsid w:val="00CB0188"/>
    <w:rsid w:val="00CB03F0"/>
    <w:rsid w:val="00CB0A65"/>
    <w:rsid w:val="00CB164D"/>
    <w:rsid w:val="00CB2593"/>
    <w:rsid w:val="00CB2DE1"/>
    <w:rsid w:val="00CB4164"/>
    <w:rsid w:val="00CB4CE2"/>
    <w:rsid w:val="00CB69C0"/>
    <w:rsid w:val="00CB7499"/>
    <w:rsid w:val="00CC08BE"/>
    <w:rsid w:val="00CC125A"/>
    <w:rsid w:val="00CC2496"/>
    <w:rsid w:val="00CC2908"/>
    <w:rsid w:val="00CC2EBA"/>
    <w:rsid w:val="00CC4AE7"/>
    <w:rsid w:val="00CC6DD0"/>
    <w:rsid w:val="00CD0A42"/>
    <w:rsid w:val="00CD2726"/>
    <w:rsid w:val="00CD2B83"/>
    <w:rsid w:val="00CD460D"/>
    <w:rsid w:val="00CD6BAD"/>
    <w:rsid w:val="00CE3EE3"/>
    <w:rsid w:val="00CE4789"/>
    <w:rsid w:val="00CE5AF3"/>
    <w:rsid w:val="00CE63BC"/>
    <w:rsid w:val="00CE6BBD"/>
    <w:rsid w:val="00CE7959"/>
    <w:rsid w:val="00CE7F17"/>
    <w:rsid w:val="00CF22F6"/>
    <w:rsid w:val="00CF353B"/>
    <w:rsid w:val="00CF3898"/>
    <w:rsid w:val="00D01EE5"/>
    <w:rsid w:val="00D03954"/>
    <w:rsid w:val="00D039F2"/>
    <w:rsid w:val="00D03AC7"/>
    <w:rsid w:val="00D050F5"/>
    <w:rsid w:val="00D076DD"/>
    <w:rsid w:val="00D07BD5"/>
    <w:rsid w:val="00D10877"/>
    <w:rsid w:val="00D109EC"/>
    <w:rsid w:val="00D11E38"/>
    <w:rsid w:val="00D12F47"/>
    <w:rsid w:val="00D13A66"/>
    <w:rsid w:val="00D21177"/>
    <w:rsid w:val="00D21D3A"/>
    <w:rsid w:val="00D220CF"/>
    <w:rsid w:val="00D22877"/>
    <w:rsid w:val="00D259CE"/>
    <w:rsid w:val="00D26953"/>
    <w:rsid w:val="00D27129"/>
    <w:rsid w:val="00D27B99"/>
    <w:rsid w:val="00D30227"/>
    <w:rsid w:val="00D31778"/>
    <w:rsid w:val="00D33154"/>
    <w:rsid w:val="00D33F1B"/>
    <w:rsid w:val="00D42400"/>
    <w:rsid w:val="00D43513"/>
    <w:rsid w:val="00D5539C"/>
    <w:rsid w:val="00D5546A"/>
    <w:rsid w:val="00D561D4"/>
    <w:rsid w:val="00D566D4"/>
    <w:rsid w:val="00D56ECB"/>
    <w:rsid w:val="00D573DB"/>
    <w:rsid w:val="00D60C15"/>
    <w:rsid w:val="00D61264"/>
    <w:rsid w:val="00D61C88"/>
    <w:rsid w:val="00D63716"/>
    <w:rsid w:val="00D64500"/>
    <w:rsid w:val="00D64BFA"/>
    <w:rsid w:val="00D6516D"/>
    <w:rsid w:val="00D66954"/>
    <w:rsid w:val="00D66E1E"/>
    <w:rsid w:val="00D67B7B"/>
    <w:rsid w:val="00D67C2C"/>
    <w:rsid w:val="00D73187"/>
    <w:rsid w:val="00D73B42"/>
    <w:rsid w:val="00D73DD9"/>
    <w:rsid w:val="00D7404C"/>
    <w:rsid w:val="00D75D97"/>
    <w:rsid w:val="00D76235"/>
    <w:rsid w:val="00D76383"/>
    <w:rsid w:val="00D7682B"/>
    <w:rsid w:val="00D77570"/>
    <w:rsid w:val="00D833D2"/>
    <w:rsid w:val="00D841E9"/>
    <w:rsid w:val="00D84737"/>
    <w:rsid w:val="00D85A30"/>
    <w:rsid w:val="00D85B51"/>
    <w:rsid w:val="00D85D55"/>
    <w:rsid w:val="00D86AEE"/>
    <w:rsid w:val="00D87656"/>
    <w:rsid w:val="00D902D0"/>
    <w:rsid w:val="00D90C7A"/>
    <w:rsid w:val="00D9122B"/>
    <w:rsid w:val="00D9126D"/>
    <w:rsid w:val="00D92111"/>
    <w:rsid w:val="00D92237"/>
    <w:rsid w:val="00D937FC"/>
    <w:rsid w:val="00D96D24"/>
    <w:rsid w:val="00DA055A"/>
    <w:rsid w:val="00DA12C0"/>
    <w:rsid w:val="00DA2299"/>
    <w:rsid w:val="00DA27BD"/>
    <w:rsid w:val="00DA354F"/>
    <w:rsid w:val="00DA374E"/>
    <w:rsid w:val="00DA5DFF"/>
    <w:rsid w:val="00DA6B39"/>
    <w:rsid w:val="00DA6C86"/>
    <w:rsid w:val="00DA79EC"/>
    <w:rsid w:val="00DA7E9A"/>
    <w:rsid w:val="00DB1390"/>
    <w:rsid w:val="00DB222D"/>
    <w:rsid w:val="00DB27CA"/>
    <w:rsid w:val="00DB2D1E"/>
    <w:rsid w:val="00DB3580"/>
    <w:rsid w:val="00DB36B1"/>
    <w:rsid w:val="00DB3C20"/>
    <w:rsid w:val="00DB41AA"/>
    <w:rsid w:val="00DB45A4"/>
    <w:rsid w:val="00DB5194"/>
    <w:rsid w:val="00DB7420"/>
    <w:rsid w:val="00DC06EB"/>
    <w:rsid w:val="00DC278D"/>
    <w:rsid w:val="00DC37F5"/>
    <w:rsid w:val="00DC6A1B"/>
    <w:rsid w:val="00DD3F21"/>
    <w:rsid w:val="00DD6171"/>
    <w:rsid w:val="00DE027F"/>
    <w:rsid w:val="00DE04A8"/>
    <w:rsid w:val="00DE053E"/>
    <w:rsid w:val="00DE0776"/>
    <w:rsid w:val="00DE0F00"/>
    <w:rsid w:val="00DE1060"/>
    <w:rsid w:val="00DE1982"/>
    <w:rsid w:val="00DE1A4A"/>
    <w:rsid w:val="00DE30DD"/>
    <w:rsid w:val="00DE32AE"/>
    <w:rsid w:val="00DE384F"/>
    <w:rsid w:val="00DE45CC"/>
    <w:rsid w:val="00DE4855"/>
    <w:rsid w:val="00DE7B57"/>
    <w:rsid w:val="00DF120A"/>
    <w:rsid w:val="00DF4D9C"/>
    <w:rsid w:val="00DF58DD"/>
    <w:rsid w:val="00DF755F"/>
    <w:rsid w:val="00DF771F"/>
    <w:rsid w:val="00DF7E47"/>
    <w:rsid w:val="00E01D7D"/>
    <w:rsid w:val="00E02E6D"/>
    <w:rsid w:val="00E04DA0"/>
    <w:rsid w:val="00E0506C"/>
    <w:rsid w:val="00E05131"/>
    <w:rsid w:val="00E1006F"/>
    <w:rsid w:val="00E104B2"/>
    <w:rsid w:val="00E11B00"/>
    <w:rsid w:val="00E1295D"/>
    <w:rsid w:val="00E12A11"/>
    <w:rsid w:val="00E130FD"/>
    <w:rsid w:val="00E139CB"/>
    <w:rsid w:val="00E20647"/>
    <w:rsid w:val="00E21A9A"/>
    <w:rsid w:val="00E2780F"/>
    <w:rsid w:val="00E278D3"/>
    <w:rsid w:val="00E27F0B"/>
    <w:rsid w:val="00E3027E"/>
    <w:rsid w:val="00E307D9"/>
    <w:rsid w:val="00E30A50"/>
    <w:rsid w:val="00E31487"/>
    <w:rsid w:val="00E3219D"/>
    <w:rsid w:val="00E32682"/>
    <w:rsid w:val="00E34041"/>
    <w:rsid w:val="00E34727"/>
    <w:rsid w:val="00E35029"/>
    <w:rsid w:val="00E358F0"/>
    <w:rsid w:val="00E36141"/>
    <w:rsid w:val="00E36FB4"/>
    <w:rsid w:val="00E37443"/>
    <w:rsid w:val="00E37CCA"/>
    <w:rsid w:val="00E406B6"/>
    <w:rsid w:val="00E42298"/>
    <w:rsid w:val="00E43E3C"/>
    <w:rsid w:val="00E46E58"/>
    <w:rsid w:val="00E500B9"/>
    <w:rsid w:val="00E51EC5"/>
    <w:rsid w:val="00E52951"/>
    <w:rsid w:val="00E56898"/>
    <w:rsid w:val="00E57F5B"/>
    <w:rsid w:val="00E610A6"/>
    <w:rsid w:val="00E61A7E"/>
    <w:rsid w:val="00E6380D"/>
    <w:rsid w:val="00E63890"/>
    <w:rsid w:val="00E63C81"/>
    <w:rsid w:val="00E67BB5"/>
    <w:rsid w:val="00E71115"/>
    <w:rsid w:val="00E71D4B"/>
    <w:rsid w:val="00E7489F"/>
    <w:rsid w:val="00E74CA5"/>
    <w:rsid w:val="00E74DC6"/>
    <w:rsid w:val="00E75A1D"/>
    <w:rsid w:val="00E777F3"/>
    <w:rsid w:val="00E80330"/>
    <w:rsid w:val="00E808BE"/>
    <w:rsid w:val="00E80E53"/>
    <w:rsid w:val="00E83A14"/>
    <w:rsid w:val="00E84B44"/>
    <w:rsid w:val="00E868C0"/>
    <w:rsid w:val="00E86DBF"/>
    <w:rsid w:val="00E87EE7"/>
    <w:rsid w:val="00E9009C"/>
    <w:rsid w:val="00E9024B"/>
    <w:rsid w:val="00E9402C"/>
    <w:rsid w:val="00E94B4D"/>
    <w:rsid w:val="00E94DF6"/>
    <w:rsid w:val="00E95372"/>
    <w:rsid w:val="00E96A73"/>
    <w:rsid w:val="00EA0739"/>
    <w:rsid w:val="00EA256A"/>
    <w:rsid w:val="00EA2889"/>
    <w:rsid w:val="00EA32AB"/>
    <w:rsid w:val="00EA32EC"/>
    <w:rsid w:val="00EA3D28"/>
    <w:rsid w:val="00EA4BAD"/>
    <w:rsid w:val="00EA4F27"/>
    <w:rsid w:val="00EA6ED3"/>
    <w:rsid w:val="00EA72EB"/>
    <w:rsid w:val="00EA767B"/>
    <w:rsid w:val="00EA7849"/>
    <w:rsid w:val="00EA7CA5"/>
    <w:rsid w:val="00EB2A69"/>
    <w:rsid w:val="00EB333B"/>
    <w:rsid w:val="00EB7DC4"/>
    <w:rsid w:val="00EC02FF"/>
    <w:rsid w:val="00EC0808"/>
    <w:rsid w:val="00EC17D0"/>
    <w:rsid w:val="00EC526F"/>
    <w:rsid w:val="00EC55F8"/>
    <w:rsid w:val="00EC7919"/>
    <w:rsid w:val="00EC7A71"/>
    <w:rsid w:val="00ED173E"/>
    <w:rsid w:val="00ED37F9"/>
    <w:rsid w:val="00ED475E"/>
    <w:rsid w:val="00EE1CCB"/>
    <w:rsid w:val="00EE1F4B"/>
    <w:rsid w:val="00EE3389"/>
    <w:rsid w:val="00EE5182"/>
    <w:rsid w:val="00EE5284"/>
    <w:rsid w:val="00EE671C"/>
    <w:rsid w:val="00EE7595"/>
    <w:rsid w:val="00EF035F"/>
    <w:rsid w:val="00EF05A3"/>
    <w:rsid w:val="00EF08CA"/>
    <w:rsid w:val="00EF0959"/>
    <w:rsid w:val="00EF09F8"/>
    <w:rsid w:val="00EF1CF7"/>
    <w:rsid w:val="00EF2C2B"/>
    <w:rsid w:val="00EF5999"/>
    <w:rsid w:val="00EF63C2"/>
    <w:rsid w:val="00F00EEC"/>
    <w:rsid w:val="00F036ED"/>
    <w:rsid w:val="00F038AE"/>
    <w:rsid w:val="00F03C17"/>
    <w:rsid w:val="00F04759"/>
    <w:rsid w:val="00F0732C"/>
    <w:rsid w:val="00F07827"/>
    <w:rsid w:val="00F10887"/>
    <w:rsid w:val="00F108B7"/>
    <w:rsid w:val="00F12313"/>
    <w:rsid w:val="00F12D20"/>
    <w:rsid w:val="00F13015"/>
    <w:rsid w:val="00F130D3"/>
    <w:rsid w:val="00F133A4"/>
    <w:rsid w:val="00F135DC"/>
    <w:rsid w:val="00F13CDA"/>
    <w:rsid w:val="00F1441E"/>
    <w:rsid w:val="00F149B2"/>
    <w:rsid w:val="00F15B41"/>
    <w:rsid w:val="00F16C65"/>
    <w:rsid w:val="00F16E17"/>
    <w:rsid w:val="00F16FE0"/>
    <w:rsid w:val="00F20532"/>
    <w:rsid w:val="00F216E2"/>
    <w:rsid w:val="00F22BB9"/>
    <w:rsid w:val="00F23FCE"/>
    <w:rsid w:val="00F2461E"/>
    <w:rsid w:val="00F24DF8"/>
    <w:rsid w:val="00F24E35"/>
    <w:rsid w:val="00F25AF9"/>
    <w:rsid w:val="00F26209"/>
    <w:rsid w:val="00F26441"/>
    <w:rsid w:val="00F26CA5"/>
    <w:rsid w:val="00F27AF9"/>
    <w:rsid w:val="00F31518"/>
    <w:rsid w:val="00F31EEC"/>
    <w:rsid w:val="00F32757"/>
    <w:rsid w:val="00F33627"/>
    <w:rsid w:val="00F3409A"/>
    <w:rsid w:val="00F34303"/>
    <w:rsid w:val="00F357FD"/>
    <w:rsid w:val="00F47D4A"/>
    <w:rsid w:val="00F50FA6"/>
    <w:rsid w:val="00F54D1C"/>
    <w:rsid w:val="00F54F50"/>
    <w:rsid w:val="00F55E06"/>
    <w:rsid w:val="00F56C24"/>
    <w:rsid w:val="00F60254"/>
    <w:rsid w:val="00F6082F"/>
    <w:rsid w:val="00F60FA5"/>
    <w:rsid w:val="00F61B19"/>
    <w:rsid w:val="00F627B8"/>
    <w:rsid w:val="00F62AEA"/>
    <w:rsid w:val="00F62B4E"/>
    <w:rsid w:val="00F634FF"/>
    <w:rsid w:val="00F63698"/>
    <w:rsid w:val="00F64567"/>
    <w:rsid w:val="00F65428"/>
    <w:rsid w:val="00F65755"/>
    <w:rsid w:val="00F669E4"/>
    <w:rsid w:val="00F66A4B"/>
    <w:rsid w:val="00F67449"/>
    <w:rsid w:val="00F67B35"/>
    <w:rsid w:val="00F728BA"/>
    <w:rsid w:val="00F740A8"/>
    <w:rsid w:val="00F75236"/>
    <w:rsid w:val="00F75B41"/>
    <w:rsid w:val="00F76550"/>
    <w:rsid w:val="00F76EC8"/>
    <w:rsid w:val="00F7750B"/>
    <w:rsid w:val="00F77C34"/>
    <w:rsid w:val="00F77E0E"/>
    <w:rsid w:val="00F80531"/>
    <w:rsid w:val="00F80652"/>
    <w:rsid w:val="00F855AC"/>
    <w:rsid w:val="00F86930"/>
    <w:rsid w:val="00F90185"/>
    <w:rsid w:val="00F90F27"/>
    <w:rsid w:val="00F92F6A"/>
    <w:rsid w:val="00F93AEE"/>
    <w:rsid w:val="00F946A7"/>
    <w:rsid w:val="00F955C3"/>
    <w:rsid w:val="00F9584C"/>
    <w:rsid w:val="00F959DB"/>
    <w:rsid w:val="00F9772A"/>
    <w:rsid w:val="00FA03DA"/>
    <w:rsid w:val="00FA2434"/>
    <w:rsid w:val="00FA243C"/>
    <w:rsid w:val="00FA26E6"/>
    <w:rsid w:val="00FA3F98"/>
    <w:rsid w:val="00FB04D9"/>
    <w:rsid w:val="00FB2815"/>
    <w:rsid w:val="00FB5602"/>
    <w:rsid w:val="00FB5D4B"/>
    <w:rsid w:val="00FB5FD8"/>
    <w:rsid w:val="00FB713F"/>
    <w:rsid w:val="00FB7A30"/>
    <w:rsid w:val="00FC04EF"/>
    <w:rsid w:val="00FC06A7"/>
    <w:rsid w:val="00FC141E"/>
    <w:rsid w:val="00FC3028"/>
    <w:rsid w:val="00FC362C"/>
    <w:rsid w:val="00FC3A85"/>
    <w:rsid w:val="00FC43C6"/>
    <w:rsid w:val="00FC4F9D"/>
    <w:rsid w:val="00FC5F6F"/>
    <w:rsid w:val="00FC666F"/>
    <w:rsid w:val="00FD022A"/>
    <w:rsid w:val="00FD0592"/>
    <w:rsid w:val="00FD1B51"/>
    <w:rsid w:val="00FD298B"/>
    <w:rsid w:val="00FD319C"/>
    <w:rsid w:val="00FD3F7B"/>
    <w:rsid w:val="00FD49B8"/>
    <w:rsid w:val="00FD5CDF"/>
    <w:rsid w:val="00FD73C6"/>
    <w:rsid w:val="00FD7A1A"/>
    <w:rsid w:val="00FE06C4"/>
    <w:rsid w:val="00FE18FA"/>
    <w:rsid w:val="00FE2B4D"/>
    <w:rsid w:val="00FE2CDB"/>
    <w:rsid w:val="00FE3783"/>
    <w:rsid w:val="00FE3C8B"/>
    <w:rsid w:val="00FE4569"/>
    <w:rsid w:val="00FE49E4"/>
    <w:rsid w:val="00FE4F52"/>
    <w:rsid w:val="00FE7642"/>
    <w:rsid w:val="00FE7B95"/>
    <w:rsid w:val="00FE7DB2"/>
    <w:rsid w:val="00FF0747"/>
    <w:rsid w:val="00FF59E2"/>
    <w:rsid w:val="00FF5D0A"/>
    <w:rsid w:val="0404E7B8"/>
    <w:rsid w:val="0892A607"/>
    <w:rsid w:val="0957A239"/>
    <w:rsid w:val="0B95A14B"/>
    <w:rsid w:val="0B978B35"/>
    <w:rsid w:val="0C04769C"/>
    <w:rsid w:val="114F6094"/>
    <w:rsid w:val="14404D43"/>
    <w:rsid w:val="176626B5"/>
    <w:rsid w:val="19B005BB"/>
    <w:rsid w:val="2420E8D3"/>
    <w:rsid w:val="2A5ECDB8"/>
    <w:rsid w:val="2B32D1D6"/>
    <w:rsid w:val="2D262031"/>
    <w:rsid w:val="3B84D866"/>
    <w:rsid w:val="3DF01CAB"/>
    <w:rsid w:val="41DEFF17"/>
    <w:rsid w:val="464FCB8B"/>
    <w:rsid w:val="47004278"/>
    <w:rsid w:val="47C834B6"/>
    <w:rsid w:val="4A996559"/>
    <w:rsid w:val="4B51D012"/>
    <w:rsid w:val="4CCDF623"/>
    <w:rsid w:val="58424ABC"/>
    <w:rsid w:val="5B7ADF03"/>
    <w:rsid w:val="5B93CD5C"/>
    <w:rsid w:val="5C0A24D1"/>
    <w:rsid w:val="5E50EB5C"/>
    <w:rsid w:val="6162E7D0"/>
    <w:rsid w:val="6300E670"/>
    <w:rsid w:val="65B45A8A"/>
    <w:rsid w:val="6817DB29"/>
    <w:rsid w:val="69ADA67B"/>
    <w:rsid w:val="6DF95112"/>
    <w:rsid w:val="7071F904"/>
    <w:rsid w:val="72DB4745"/>
    <w:rsid w:val="779F5DD4"/>
    <w:rsid w:val="787446BB"/>
    <w:rsid w:val="7B479FCF"/>
    <w:rsid w:val="7C80825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61270"/>
  <w15:chartTrackingRefBased/>
  <w15:docId w15:val="{02CD655C-29C1-4091-9EDC-25BE530F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434"/>
    <w:pPr>
      <w:spacing w:before="120" w:after="120" w:line="240" w:lineRule="auto"/>
    </w:pPr>
    <w:rPr>
      <w:sz w:val="20"/>
    </w:rPr>
  </w:style>
  <w:style w:type="paragraph" w:styleId="Heading1">
    <w:name w:val="heading 1"/>
    <w:basedOn w:val="Normal"/>
    <w:next w:val="Normal"/>
    <w:link w:val="Heading1Char"/>
    <w:uiPriority w:val="9"/>
    <w:qFormat/>
    <w:rsid w:val="00917329"/>
    <w:pPr>
      <w:keepNext/>
      <w:keepLines/>
      <w:contextualSpacing/>
      <w:outlineLvl w:val="0"/>
    </w:pPr>
    <w:rPr>
      <w:rFonts w:asciiTheme="majorHAnsi" w:eastAsiaTheme="majorEastAsia" w:hAnsiTheme="majorHAnsi" w:cstheme="majorBidi"/>
      <w:color w:val="0766A5" w:themeColor="accent1"/>
      <w:sz w:val="72"/>
      <w:szCs w:val="32"/>
    </w:rPr>
  </w:style>
  <w:style w:type="paragraph" w:styleId="Heading2">
    <w:name w:val="heading 2"/>
    <w:basedOn w:val="Normal"/>
    <w:next w:val="Normal"/>
    <w:link w:val="Heading2Char"/>
    <w:uiPriority w:val="9"/>
    <w:unhideWhenUsed/>
    <w:qFormat/>
    <w:rsid w:val="00BF6930"/>
    <w:pPr>
      <w:keepNext/>
      <w:keepLines/>
      <w:spacing w:before="360"/>
      <w:outlineLvl w:val="1"/>
    </w:pPr>
    <w:rPr>
      <w:rFonts w:asciiTheme="majorHAnsi" w:eastAsiaTheme="majorEastAsia" w:hAnsiTheme="majorHAnsi" w:cstheme="majorBidi"/>
      <w:color w:val="0766A5" w:themeColor="accent1"/>
      <w:sz w:val="48"/>
      <w:szCs w:val="48"/>
    </w:rPr>
  </w:style>
  <w:style w:type="paragraph" w:styleId="Heading3">
    <w:name w:val="heading 3"/>
    <w:basedOn w:val="Normal"/>
    <w:next w:val="Normal"/>
    <w:link w:val="Heading3Char"/>
    <w:uiPriority w:val="9"/>
    <w:unhideWhenUsed/>
    <w:qFormat/>
    <w:rsid w:val="00BF6930"/>
    <w:pPr>
      <w:keepNext/>
      <w:keepLines/>
      <w:spacing w:before="240"/>
      <w:outlineLvl w:val="2"/>
    </w:pPr>
    <w:rPr>
      <w:rFonts w:asciiTheme="majorHAnsi" w:eastAsiaTheme="majorEastAsia" w:hAnsiTheme="majorHAnsi" w:cstheme="majorBidi"/>
      <w:color w:val="0766A5" w:themeColor="accent1"/>
      <w:sz w:val="40"/>
      <w:szCs w:val="40"/>
    </w:rPr>
  </w:style>
  <w:style w:type="paragraph" w:styleId="Heading4">
    <w:name w:val="heading 4"/>
    <w:basedOn w:val="Normal"/>
    <w:next w:val="Normal"/>
    <w:link w:val="Heading4Char"/>
    <w:uiPriority w:val="9"/>
    <w:unhideWhenUsed/>
    <w:qFormat/>
    <w:rsid w:val="00BF6930"/>
    <w:pPr>
      <w:keepNext/>
      <w:keepLines/>
      <w:spacing w:before="240"/>
      <w:outlineLvl w:val="3"/>
    </w:pPr>
    <w:rPr>
      <w:rFonts w:asciiTheme="majorHAnsi" w:eastAsiaTheme="majorEastAsia" w:hAnsiTheme="majorHAnsi" w:cstheme="majorBidi"/>
      <w:iCs/>
      <w:color w:val="0766A5" w:themeColor="accent1"/>
      <w:sz w:val="32"/>
      <w:szCs w:val="28"/>
    </w:rPr>
  </w:style>
  <w:style w:type="paragraph" w:styleId="Heading5">
    <w:name w:val="heading 5"/>
    <w:basedOn w:val="Normal"/>
    <w:next w:val="Normal"/>
    <w:link w:val="Heading5Char"/>
    <w:uiPriority w:val="9"/>
    <w:unhideWhenUsed/>
    <w:qFormat/>
    <w:rsid w:val="00900E48"/>
    <w:pPr>
      <w:keepNext/>
      <w:keepLines/>
      <w:spacing w:before="240"/>
      <w:outlineLvl w:val="4"/>
    </w:pPr>
    <w:rPr>
      <w:rFonts w:asciiTheme="majorHAnsi" w:eastAsiaTheme="majorEastAsia" w:hAnsiTheme="majorHAnsi" w:cstheme="majorBidi"/>
      <w:color w:val="0766A5" w:themeColor="accent1"/>
      <w:sz w:val="26"/>
      <w:szCs w:val="26"/>
    </w:rPr>
  </w:style>
  <w:style w:type="paragraph" w:styleId="Heading6">
    <w:name w:val="heading 6"/>
    <w:basedOn w:val="Normal"/>
    <w:next w:val="Normal"/>
    <w:link w:val="Heading6Char"/>
    <w:uiPriority w:val="9"/>
    <w:unhideWhenUsed/>
    <w:qFormat/>
    <w:rsid w:val="00C50A9A"/>
    <w:pPr>
      <w:keepNext/>
      <w:keepLines/>
      <w:spacing w:before="240"/>
      <w:outlineLvl w:val="5"/>
    </w:pPr>
    <w:rPr>
      <w:rFonts w:asciiTheme="majorHAnsi" w:eastAsiaTheme="majorEastAsia" w:hAnsiTheme="majorHAnsi" w:cstheme="majorBidi"/>
      <w:color w:val="000000" w:themeColor="text1"/>
      <w:sz w:val="24"/>
    </w:rPr>
  </w:style>
  <w:style w:type="paragraph" w:styleId="Heading7">
    <w:name w:val="heading 7"/>
    <w:basedOn w:val="Normal"/>
    <w:next w:val="Normal"/>
    <w:link w:val="Heading7Char"/>
    <w:uiPriority w:val="9"/>
    <w:unhideWhenUsed/>
    <w:qFormat/>
    <w:rsid w:val="00C50A9A"/>
    <w:pPr>
      <w:keepNext/>
      <w:keepLines/>
      <w:spacing w:before="240"/>
      <w:outlineLvl w:val="6"/>
    </w:pPr>
    <w:rPr>
      <w:rFonts w:asciiTheme="majorHAnsi" w:eastAsiaTheme="majorEastAsia" w:hAnsiTheme="majorHAnsi" w:cstheme="majorBidi"/>
      <w:b/>
      <w:iCs/>
      <w:color w:val="0766A5" w:themeColor="accent1"/>
      <w:sz w:val="22"/>
    </w:rPr>
  </w:style>
  <w:style w:type="paragraph" w:styleId="Heading8">
    <w:name w:val="heading 8"/>
    <w:basedOn w:val="Normal"/>
    <w:next w:val="Normal"/>
    <w:link w:val="Heading8Char"/>
    <w:uiPriority w:val="9"/>
    <w:unhideWhenUsed/>
    <w:qFormat/>
    <w:rsid w:val="00C50A9A"/>
    <w:pPr>
      <w:keepNext/>
      <w:keepLines/>
      <w:spacing w:before="240"/>
      <w:outlineLvl w:val="7"/>
    </w:pPr>
    <w:rPr>
      <w:rFonts w:asciiTheme="majorHAnsi" w:eastAsiaTheme="majorEastAsia" w:hAnsiTheme="majorHAnsi"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1DB"/>
    <w:pPr>
      <w:tabs>
        <w:tab w:val="center" w:pos="4513"/>
        <w:tab w:val="right" w:pos="9026"/>
      </w:tabs>
      <w:spacing w:after="0"/>
    </w:pPr>
  </w:style>
  <w:style w:type="character" w:customStyle="1" w:styleId="HeaderChar">
    <w:name w:val="Header Char"/>
    <w:basedOn w:val="DefaultParagraphFont"/>
    <w:link w:val="Header"/>
    <w:uiPriority w:val="99"/>
    <w:rsid w:val="00B251DB"/>
  </w:style>
  <w:style w:type="paragraph" w:styleId="Footer">
    <w:name w:val="footer"/>
    <w:basedOn w:val="Normal"/>
    <w:link w:val="FooterChar"/>
    <w:uiPriority w:val="99"/>
    <w:unhideWhenUsed/>
    <w:rsid w:val="00B251DB"/>
    <w:pPr>
      <w:tabs>
        <w:tab w:val="center" w:pos="4513"/>
        <w:tab w:val="right" w:pos="9026"/>
      </w:tabs>
      <w:spacing w:after="0"/>
    </w:pPr>
  </w:style>
  <w:style w:type="character" w:customStyle="1" w:styleId="FooterChar">
    <w:name w:val="Footer Char"/>
    <w:basedOn w:val="DefaultParagraphFont"/>
    <w:link w:val="Footer"/>
    <w:uiPriority w:val="99"/>
    <w:rsid w:val="00B251DB"/>
  </w:style>
  <w:style w:type="character" w:customStyle="1" w:styleId="Heading1Char">
    <w:name w:val="Heading 1 Char"/>
    <w:basedOn w:val="DefaultParagraphFont"/>
    <w:link w:val="Heading1"/>
    <w:uiPriority w:val="9"/>
    <w:rsid w:val="00917329"/>
    <w:rPr>
      <w:rFonts w:asciiTheme="majorHAnsi" w:eastAsiaTheme="majorEastAsia" w:hAnsiTheme="majorHAnsi" w:cstheme="majorBidi"/>
      <w:color w:val="0766A5" w:themeColor="accent1"/>
      <w:sz w:val="72"/>
      <w:szCs w:val="32"/>
    </w:rPr>
  </w:style>
  <w:style w:type="table" w:customStyle="1" w:styleId="Verticaltable">
    <w:name w:val="Vertical table"/>
    <w:basedOn w:val="TableNormal"/>
    <w:uiPriority w:val="99"/>
    <w:rsid w:val="00BF6930"/>
    <w:pPr>
      <w:spacing w:after="0" w:line="240" w:lineRule="auto"/>
    </w:pPr>
    <w:tblPr>
      <w:tblBorders>
        <w:top w:val="single" w:sz="4" w:space="0" w:color="001B35" w:themeColor="background2"/>
        <w:left w:val="single" w:sz="4" w:space="0" w:color="001B35" w:themeColor="background2"/>
        <w:bottom w:val="single" w:sz="4" w:space="0" w:color="001B35" w:themeColor="background2"/>
        <w:right w:val="single" w:sz="4" w:space="0" w:color="001B35" w:themeColor="background2"/>
        <w:insideH w:val="single" w:sz="4" w:space="0" w:color="001B35" w:themeColor="background2"/>
        <w:insideV w:val="single" w:sz="4" w:space="0" w:color="001B35" w:themeColor="background2"/>
      </w:tblBorders>
    </w:tblPr>
    <w:tblStylePr w:type="lastRow">
      <w:rPr>
        <w:b w:val="0"/>
      </w:rPr>
    </w:tblStylePr>
    <w:tblStylePr w:type="firstCol">
      <w:rPr>
        <w:b/>
        <w:color w:val="FFFFFF" w:themeColor="background1"/>
      </w:rPr>
      <w:tblPr/>
      <w:tcPr>
        <w:shd w:val="clear" w:color="auto" w:fill="0766A5" w:themeFill="accent1"/>
      </w:tcPr>
    </w:tblStylePr>
  </w:style>
  <w:style w:type="character" w:styleId="FollowedHyperlink">
    <w:name w:val="FollowedHyperlink"/>
    <w:basedOn w:val="DefaultParagraphFont"/>
    <w:uiPriority w:val="99"/>
    <w:semiHidden/>
    <w:unhideWhenUsed/>
    <w:rsid w:val="00872DFF"/>
    <w:rPr>
      <w:color w:val="001B35" w:themeColor="followedHyperlink"/>
      <w:u w:val="single"/>
    </w:rPr>
  </w:style>
  <w:style w:type="paragraph" w:styleId="Subtitle">
    <w:name w:val="Subtitle"/>
    <w:basedOn w:val="Normal"/>
    <w:next w:val="Normal"/>
    <w:link w:val="SubtitleChar"/>
    <w:uiPriority w:val="11"/>
    <w:qFormat/>
    <w:rsid w:val="00BF6930"/>
    <w:pPr>
      <w:numPr>
        <w:ilvl w:val="1"/>
      </w:numPr>
    </w:pPr>
    <w:rPr>
      <w:rFonts w:eastAsiaTheme="minorEastAsia"/>
      <w:color w:val="001B35" w:themeColor="background2"/>
      <w:sz w:val="40"/>
    </w:rPr>
  </w:style>
  <w:style w:type="character" w:customStyle="1" w:styleId="SubtitleChar">
    <w:name w:val="Subtitle Char"/>
    <w:basedOn w:val="DefaultParagraphFont"/>
    <w:link w:val="Subtitle"/>
    <w:uiPriority w:val="11"/>
    <w:rsid w:val="00BF6930"/>
    <w:rPr>
      <w:rFonts w:eastAsiaTheme="minorEastAsia"/>
      <w:color w:val="001B35" w:themeColor="background2"/>
      <w:sz w:val="40"/>
    </w:rPr>
  </w:style>
  <w:style w:type="character" w:customStyle="1" w:styleId="Heading2Char">
    <w:name w:val="Heading 2 Char"/>
    <w:basedOn w:val="DefaultParagraphFont"/>
    <w:link w:val="Heading2"/>
    <w:uiPriority w:val="9"/>
    <w:rsid w:val="00BF6930"/>
    <w:rPr>
      <w:rFonts w:asciiTheme="majorHAnsi" w:eastAsiaTheme="majorEastAsia" w:hAnsiTheme="majorHAnsi" w:cstheme="majorBidi"/>
      <w:color w:val="0766A5" w:themeColor="accent1"/>
      <w:sz w:val="48"/>
      <w:szCs w:val="48"/>
    </w:rPr>
  </w:style>
  <w:style w:type="character" w:customStyle="1" w:styleId="Heading3Char">
    <w:name w:val="Heading 3 Char"/>
    <w:basedOn w:val="DefaultParagraphFont"/>
    <w:link w:val="Heading3"/>
    <w:uiPriority w:val="9"/>
    <w:rsid w:val="00BF6930"/>
    <w:rPr>
      <w:rFonts w:asciiTheme="majorHAnsi" w:eastAsiaTheme="majorEastAsia" w:hAnsiTheme="majorHAnsi" w:cstheme="majorBidi"/>
      <w:color w:val="0766A5" w:themeColor="accent1"/>
      <w:sz w:val="40"/>
      <w:szCs w:val="40"/>
    </w:rPr>
  </w:style>
  <w:style w:type="character" w:customStyle="1" w:styleId="Heading4Char">
    <w:name w:val="Heading 4 Char"/>
    <w:basedOn w:val="DefaultParagraphFont"/>
    <w:link w:val="Heading4"/>
    <w:uiPriority w:val="9"/>
    <w:rsid w:val="00BF6930"/>
    <w:rPr>
      <w:rFonts w:asciiTheme="majorHAnsi" w:eastAsiaTheme="majorEastAsia" w:hAnsiTheme="majorHAnsi" w:cstheme="majorBidi"/>
      <w:iCs/>
      <w:color w:val="0766A5" w:themeColor="accent1"/>
      <w:sz w:val="32"/>
      <w:szCs w:val="28"/>
    </w:rPr>
  </w:style>
  <w:style w:type="character" w:customStyle="1" w:styleId="Heading5Char">
    <w:name w:val="Heading 5 Char"/>
    <w:basedOn w:val="DefaultParagraphFont"/>
    <w:link w:val="Heading5"/>
    <w:uiPriority w:val="9"/>
    <w:rsid w:val="00900E48"/>
    <w:rPr>
      <w:rFonts w:asciiTheme="majorHAnsi" w:eastAsiaTheme="majorEastAsia" w:hAnsiTheme="majorHAnsi" w:cstheme="majorBidi"/>
      <w:color w:val="0766A5" w:themeColor="accent1"/>
      <w:sz w:val="26"/>
      <w:szCs w:val="26"/>
    </w:rPr>
  </w:style>
  <w:style w:type="paragraph" w:styleId="Quote">
    <w:name w:val="Quote"/>
    <w:basedOn w:val="Normal"/>
    <w:next w:val="Normal"/>
    <w:link w:val="QuoteChar"/>
    <w:uiPriority w:val="29"/>
    <w:qFormat/>
    <w:rsid w:val="00BF6930"/>
    <w:pPr>
      <w:pBdr>
        <w:top w:val="single" w:sz="4" w:space="6" w:color="0766A5" w:themeColor="accent1"/>
        <w:bottom w:val="single" w:sz="4" w:space="6" w:color="0766A5" w:themeColor="accent1"/>
      </w:pBdr>
      <w:spacing w:before="240" w:after="240"/>
      <w:ind w:right="2835"/>
    </w:pPr>
    <w:rPr>
      <w:iCs/>
      <w:color w:val="000000" w:themeColor="text1"/>
      <w:sz w:val="22"/>
      <w:szCs w:val="24"/>
    </w:rPr>
  </w:style>
  <w:style w:type="character" w:customStyle="1" w:styleId="QuoteChar">
    <w:name w:val="Quote Char"/>
    <w:basedOn w:val="DefaultParagraphFont"/>
    <w:link w:val="Quote"/>
    <w:uiPriority w:val="29"/>
    <w:rsid w:val="00BF6930"/>
    <w:rPr>
      <w:iCs/>
      <w:color w:val="000000" w:themeColor="text1"/>
      <w:szCs w:val="24"/>
    </w:rPr>
  </w:style>
  <w:style w:type="character" w:styleId="Strong">
    <w:name w:val="Strong"/>
    <w:basedOn w:val="DefaultParagraphFont"/>
    <w:uiPriority w:val="22"/>
    <w:qFormat/>
    <w:rsid w:val="00B251DB"/>
    <w:rPr>
      <w:b/>
      <w:bCs/>
    </w:rPr>
  </w:style>
  <w:style w:type="character" w:styleId="Emphasis">
    <w:name w:val="Emphasis"/>
    <w:basedOn w:val="DefaultParagraphFont"/>
    <w:uiPriority w:val="20"/>
    <w:qFormat/>
    <w:rsid w:val="00B251DB"/>
    <w:rPr>
      <w:i/>
      <w:iCs/>
    </w:rPr>
  </w:style>
  <w:style w:type="paragraph" w:styleId="ListParagraph">
    <w:name w:val="List Paragraph"/>
    <w:basedOn w:val="Normal"/>
    <w:uiPriority w:val="34"/>
    <w:qFormat/>
    <w:rsid w:val="00090DDB"/>
    <w:pPr>
      <w:numPr>
        <w:numId w:val="1"/>
      </w:numPr>
      <w:spacing w:before="0"/>
    </w:pPr>
  </w:style>
  <w:style w:type="character" w:styleId="Hyperlink">
    <w:name w:val="Hyperlink"/>
    <w:basedOn w:val="DefaultParagraphFont"/>
    <w:uiPriority w:val="99"/>
    <w:unhideWhenUsed/>
    <w:rsid w:val="00BF6930"/>
    <w:rPr>
      <w:color w:val="0766A5" w:themeColor="accent1"/>
      <w:u w:val="single"/>
    </w:rPr>
  </w:style>
  <w:style w:type="table" w:styleId="TableGrid">
    <w:name w:val="Table Grid"/>
    <w:aliases w:val="DISR plain Table 1"/>
    <w:basedOn w:val="TableNormal"/>
    <w:uiPriority w:val="39"/>
    <w:rsid w:val="00577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StylePr>
  </w:style>
  <w:style w:type="table" w:styleId="PlainTable2">
    <w:name w:val="Plain Table 2"/>
    <w:basedOn w:val="TableNormal"/>
    <w:uiPriority w:val="42"/>
    <w:rsid w:val="0071134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7113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5777BC"/>
    <w:rPr>
      <w:b/>
      <w:iCs/>
      <w:szCs w:val="18"/>
    </w:rPr>
  </w:style>
  <w:style w:type="character" w:styleId="PlaceholderText">
    <w:name w:val="Placeholder Text"/>
    <w:basedOn w:val="DefaultParagraphFont"/>
    <w:uiPriority w:val="99"/>
    <w:semiHidden/>
    <w:rsid w:val="00BD0F8A"/>
    <w:rPr>
      <w:color w:val="808080"/>
    </w:rPr>
  </w:style>
  <w:style w:type="paragraph" w:styleId="NoSpacing">
    <w:name w:val="No Spacing"/>
    <w:link w:val="NoSpacingChar"/>
    <w:uiPriority w:val="1"/>
    <w:qFormat/>
    <w:rsid w:val="00671D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1D1D"/>
    <w:rPr>
      <w:rFonts w:eastAsiaTheme="minorEastAsia"/>
      <w:lang w:val="en-US"/>
    </w:rPr>
  </w:style>
  <w:style w:type="paragraph" w:styleId="TOCHeading">
    <w:name w:val="TOC Heading"/>
    <w:basedOn w:val="Heading2"/>
    <w:next w:val="Normal"/>
    <w:uiPriority w:val="39"/>
    <w:unhideWhenUsed/>
    <w:qFormat/>
    <w:rsid w:val="000F2564"/>
    <w:pPr>
      <w:spacing w:after="480"/>
      <w:outlineLvl w:val="9"/>
    </w:pPr>
    <w:rPr>
      <w:lang w:val="en-US"/>
    </w:rPr>
  </w:style>
  <w:style w:type="paragraph" w:styleId="TOC1">
    <w:name w:val="toc 1"/>
    <w:basedOn w:val="Normal"/>
    <w:next w:val="Normal"/>
    <w:autoRedefine/>
    <w:uiPriority w:val="39"/>
    <w:unhideWhenUsed/>
    <w:rsid w:val="000F2564"/>
    <w:pPr>
      <w:tabs>
        <w:tab w:val="right" w:leader="dot" w:pos="9016"/>
      </w:tabs>
      <w:spacing w:after="100"/>
    </w:pPr>
  </w:style>
  <w:style w:type="paragraph" w:styleId="TOC2">
    <w:name w:val="toc 2"/>
    <w:basedOn w:val="Normal"/>
    <w:next w:val="Normal"/>
    <w:autoRedefine/>
    <w:uiPriority w:val="39"/>
    <w:unhideWhenUsed/>
    <w:rsid w:val="0043720A"/>
    <w:pPr>
      <w:spacing w:after="100"/>
    </w:pPr>
  </w:style>
  <w:style w:type="paragraph" w:styleId="TOC3">
    <w:name w:val="toc 3"/>
    <w:basedOn w:val="Normal"/>
    <w:next w:val="Normal"/>
    <w:autoRedefine/>
    <w:uiPriority w:val="39"/>
    <w:unhideWhenUsed/>
    <w:rsid w:val="0043720A"/>
    <w:pPr>
      <w:spacing w:after="100"/>
      <w:ind w:left="221"/>
    </w:pPr>
  </w:style>
  <w:style w:type="paragraph" w:customStyle="1" w:styleId="Address">
    <w:name w:val="Address"/>
    <w:basedOn w:val="Subtitle"/>
    <w:qFormat/>
    <w:rsid w:val="009A549D"/>
    <w:pPr>
      <w:spacing w:after="0"/>
    </w:pPr>
    <w:rPr>
      <w:sz w:val="24"/>
    </w:rPr>
  </w:style>
  <w:style w:type="paragraph" w:styleId="BalloonText">
    <w:name w:val="Balloon Text"/>
    <w:basedOn w:val="Normal"/>
    <w:link w:val="BalloonTextChar"/>
    <w:uiPriority w:val="99"/>
    <w:semiHidden/>
    <w:unhideWhenUsed/>
    <w:rsid w:val="00E3027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27E"/>
    <w:rPr>
      <w:rFonts w:ascii="Segoe UI" w:hAnsi="Segoe UI" w:cs="Segoe UI"/>
      <w:sz w:val="18"/>
      <w:szCs w:val="18"/>
    </w:rPr>
  </w:style>
  <w:style w:type="table" w:styleId="ListTable3-Accent2">
    <w:name w:val="List Table 3 Accent 2"/>
    <w:basedOn w:val="TableNormal"/>
    <w:uiPriority w:val="48"/>
    <w:rsid w:val="00153C15"/>
    <w:pPr>
      <w:spacing w:after="0" w:line="240" w:lineRule="auto"/>
    </w:pPr>
    <w:tblPr>
      <w:tblStyleRowBandSize w:val="1"/>
      <w:tblStyleColBandSize w:val="1"/>
      <w:tblBorders>
        <w:top w:val="single" w:sz="4" w:space="0" w:color="960000" w:themeColor="accent2"/>
        <w:left w:val="single" w:sz="4" w:space="0" w:color="960000" w:themeColor="accent2"/>
        <w:bottom w:val="single" w:sz="4" w:space="0" w:color="960000" w:themeColor="accent2"/>
        <w:right w:val="single" w:sz="4" w:space="0" w:color="960000" w:themeColor="accent2"/>
      </w:tblBorders>
    </w:tblPr>
    <w:tblStylePr w:type="firstRow">
      <w:rPr>
        <w:b/>
        <w:bCs/>
        <w:color w:val="FFFFFF" w:themeColor="background1"/>
      </w:rPr>
      <w:tblPr/>
      <w:tcPr>
        <w:shd w:val="clear" w:color="auto" w:fill="960000" w:themeFill="accent2"/>
      </w:tcPr>
    </w:tblStylePr>
    <w:tblStylePr w:type="lastRow">
      <w:rPr>
        <w:b/>
        <w:bCs/>
      </w:rPr>
      <w:tblPr/>
      <w:tcPr>
        <w:tcBorders>
          <w:top w:val="double" w:sz="4" w:space="0" w:color="96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0000" w:themeColor="accent2"/>
          <w:right w:val="single" w:sz="4" w:space="0" w:color="960000" w:themeColor="accent2"/>
        </w:tcBorders>
      </w:tcPr>
    </w:tblStylePr>
    <w:tblStylePr w:type="band1Horz">
      <w:tblPr/>
      <w:tcPr>
        <w:tcBorders>
          <w:top w:val="single" w:sz="4" w:space="0" w:color="960000" w:themeColor="accent2"/>
          <w:bottom w:val="single" w:sz="4" w:space="0" w:color="96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0000" w:themeColor="accent2"/>
          <w:left w:val="nil"/>
        </w:tcBorders>
      </w:tcPr>
    </w:tblStylePr>
    <w:tblStylePr w:type="swCell">
      <w:tblPr/>
      <w:tcPr>
        <w:tcBorders>
          <w:top w:val="double" w:sz="4" w:space="0" w:color="960000" w:themeColor="accent2"/>
          <w:right w:val="nil"/>
        </w:tcBorders>
      </w:tcPr>
    </w:tblStylePr>
  </w:style>
  <w:style w:type="table" w:styleId="ListTable3-Accent3">
    <w:name w:val="List Table 3 Accent 3"/>
    <w:basedOn w:val="TableNormal"/>
    <w:uiPriority w:val="48"/>
    <w:rsid w:val="00153C15"/>
    <w:pPr>
      <w:spacing w:after="0" w:line="240" w:lineRule="auto"/>
    </w:pPr>
    <w:tblPr>
      <w:tblStyleRowBandSize w:val="1"/>
      <w:tblStyleColBandSize w:val="1"/>
      <w:tblBorders>
        <w:top w:val="single" w:sz="4" w:space="0" w:color="4999E1" w:themeColor="accent3"/>
        <w:left w:val="single" w:sz="4" w:space="0" w:color="4999E1" w:themeColor="accent3"/>
        <w:bottom w:val="single" w:sz="4" w:space="0" w:color="4999E1" w:themeColor="accent3"/>
        <w:right w:val="single" w:sz="4" w:space="0" w:color="4999E1" w:themeColor="accent3"/>
      </w:tblBorders>
    </w:tblPr>
    <w:tblStylePr w:type="firstRow">
      <w:rPr>
        <w:b/>
        <w:bCs/>
        <w:color w:val="FFFFFF" w:themeColor="background1"/>
      </w:rPr>
      <w:tblPr/>
      <w:tcPr>
        <w:shd w:val="clear" w:color="auto" w:fill="4999E1" w:themeFill="accent3"/>
      </w:tcPr>
    </w:tblStylePr>
    <w:tblStylePr w:type="lastRow">
      <w:rPr>
        <w:b/>
        <w:bCs/>
      </w:rPr>
      <w:tblPr/>
      <w:tcPr>
        <w:tcBorders>
          <w:top w:val="double" w:sz="4" w:space="0" w:color="4999E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999E1" w:themeColor="accent3"/>
          <w:right w:val="single" w:sz="4" w:space="0" w:color="4999E1" w:themeColor="accent3"/>
        </w:tcBorders>
      </w:tcPr>
    </w:tblStylePr>
    <w:tblStylePr w:type="band1Horz">
      <w:tblPr/>
      <w:tcPr>
        <w:tcBorders>
          <w:top w:val="single" w:sz="4" w:space="0" w:color="4999E1" w:themeColor="accent3"/>
          <w:bottom w:val="single" w:sz="4" w:space="0" w:color="4999E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999E1" w:themeColor="accent3"/>
          <w:left w:val="nil"/>
        </w:tcBorders>
      </w:tcPr>
    </w:tblStylePr>
    <w:tblStylePr w:type="swCell">
      <w:tblPr/>
      <w:tcPr>
        <w:tcBorders>
          <w:top w:val="double" w:sz="4" w:space="0" w:color="4999E1" w:themeColor="accent3"/>
          <w:right w:val="nil"/>
        </w:tcBorders>
      </w:tcPr>
    </w:tblStylePr>
  </w:style>
  <w:style w:type="paragraph" w:styleId="IntenseQuote">
    <w:name w:val="Intense Quote"/>
    <w:basedOn w:val="Normal"/>
    <w:next w:val="Normal"/>
    <w:link w:val="IntenseQuoteChar"/>
    <w:uiPriority w:val="30"/>
    <w:qFormat/>
    <w:rsid w:val="00BF6930"/>
    <w:pPr>
      <w:pBdr>
        <w:top w:val="single" w:sz="4" w:space="6" w:color="0766A5" w:themeColor="accent1"/>
        <w:bottom w:val="single" w:sz="4" w:space="6" w:color="0766A5" w:themeColor="accent1"/>
      </w:pBdr>
      <w:spacing w:before="360" w:after="360"/>
      <w:ind w:right="2835"/>
      <w:jc w:val="center"/>
    </w:pPr>
    <w:rPr>
      <w:b/>
      <w:iCs/>
      <w:sz w:val="24"/>
    </w:rPr>
  </w:style>
  <w:style w:type="character" w:customStyle="1" w:styleId="IntenseQuoteChar">
    <w:name w:val="Intense Quote Char"/>
    <w:basedOn w:val="DefaultParagraphFont"/>
    <w:link w:val="IntenseQuote"/>
    <w:uiPriority w:val="30"/>
    <w:rsid w:val="00BF6930"/>
    <w:rPr>
      <w:b/>
      <w:iCs/>
      <w:sz w:val="24"/>
    </w:rPr>
  </w:style>
  <w:style w:type="paragraph" w:customStyle="1" w:styleId="Calloutbox">
    <w:name w:val="Call out box"/>
    <w:basedOn w:val="Normal"/>
    <w:qFormat/>
    <w:rsid w:val="00BF6930"/>
    <w:pPr>
      <w:pBdr>
        <w:top w:val="single" w:sz="4" w:space="6" w:color="E2E1E1" w:themeColor="accent5" w:themeTint="33"/>
        <w:left w:val="single" w:sz="4" w:space="4" w:color="E2E1E1" w:themeColor="accent5" w:themeTint="33"/>
        <w:bottom w:val="single" w:sz="4" w:space="6" w:color="E2E1E1" w:themeColor="accent5" w:themeTint="33"/>
        <w:right w:val="single" w:sz="4" w:space="4" w:color="E2E1E1" w:themeColor="accent5" w:themeTint="33"/>
      </w:pBdr>
      <w:shd w:val="clear" w:color="auto" w:fill="E2E1E1" w:themeFill="accent5" w:themeFillTint="33"/>
    </w:pPr>
  </w:style>
  <w:style w:type="character" w:customStyle="1" w:styleId="Heading6Char">
    <w:name w:val="Heading 6 Char"/>
    <w:basedOn w:val="DefaultParagraphFont"/>
    <w:link w:val="Heading6"/>
    <w:uiPriority w:val="9"/>
    <w:rsid w:val="00C50A9A"/>
    <w:rPr>
      <w:rFonts w:asciiTheme="majorHAnsi" w:eastAsiaTheme="majorEastAsia" w:hAnsiTheme="majorHAnsi" w:cstheme="majorBidi"/>
      <w:color w:val="000000" w:themeColor="text1"/>
      <w:sz w:val="24"/>
    </w:rPr>
  </w:style>
  <w:style w:type="table" w:styleId="GridTable4-Accent2">
    <w:name w:val="Grid Table 4 Accent 2"/>
    <w:basedOn w:val="TableNormal"/>
    <w:uiPriority w:val="49"/>
    <w:rsid w:val="004D3B0F"/>
    <w:pPr>
      <w:spacing w:after="0" w:line="240" w:lineRule="auto"/>
    </w:pPr>
    <w:tblPr>
      <w:tblStyleRowBandSize w:val="1"/>
      <w:tblStyleColBandSize w:val="1"/>
      <w:tblBorders>
        <w:top w:val="single" w:sz="4" w:space="0" w:color="FF2727" w:themeColor="accent2" w:themeTint="99"/>
        <w:left w:val="single" w:sz="4" w:space="0" w:color="FF2727" w:themeColor="accent2" w:themeTint="99"/>
        <w:bottom w:val="single" w:sz="4" w:space="0" w:color="FF2727" w:themeColor="accent2" w:themeTint="99"/>
        <w:right w:val="single" w:sz="4" w:space="0" w:color="FF2727" w:themeColor="accent2" w:themeTint="99"/>
        <w:insideH w:val="single" w:sz="4" w:space="0" w:color="FF2727" w:themeColor="accent2" w:themeTint="99"/>
        <w:insideV w:val="single" w:sz="4" w:space="0" w:color="FF2727" w:themeColor="accent2" w:themeTint="99"/>
      </w:tblBorders>
    </w:tblPr>
    <w:tblStylePr w:type="firstRow">
      <w:rPr>
        <w:b/>
        <w:bCs/>
        <w:color w:val="FFFFFF" w:themeColor="background1"/>
      </w:rPr>
      <w:tblPr/>
      <w:tcPr>
        <w:tcBorders>
          <w:top w:val="single" w:sz="4" w:space="0" w:color="960000" w:themeColor="accent2"/>
          <w:left w:val="single" w:sz="4" w:space="0" w:color="960000" w:themeColor="accent2"/>
          <w:bottom w:val="single" w:sz="4" w:space="0" w:color="960000" w:themeColor="accent2"/>
          <w:right w:val="single" w:sz="4" w:space="0" w:color="960000" w:themeColor="accent2"/>
          <w:insideH w:val="nil"/>
          <w:insideV w:val="nil"/>
        </w:tcBorders>
        <w:shd w:val="clear" w:color="auto" w:fill="960000" w:themeFill="accent2"/>
      </w:tcPr>
    </w:tblStylePr>
    <w:tblStylePr w:type="lastRow">
      <w:rPr>
        <w:b/>
        <w:bCs/>
      </w:rPr>
      <w:tblPr/>
      <w:tcPr>
        <w:tcBorders>
          <w:top w:val="double" w:sz="4" w:space="0" w:color="960000" w:themeColor="accent2"/>
        </w:tcBorders>
      </w:tcPr>
    </w:tblStylePr>
    <w:tblStylePr w:type="firstCol">
      <w:rPr>
        <w:b/>
        <w:bCs/>
      </w:rPr>
    </w:tblStylePr>
    <w:tblStylePr w:type="lastCol">
      <w:rPr>
        <w:b/>
        <w:bCs/>
      </w:rPr>
    </w:tblStylePr>
    <w:tblStylePr w:type="band1Vert">
      <w:tblPr/>
      <w:tcPr>
        <w:shd w:val="clear" w:color="auto" w:fill="FFB7B7" w:themeFill="accent2" w:themeFillTint="33"/>
      </w:tcPr>
    </w:tblStylePr>
    <w:tblStylePr w:type="band1Horz">
      <w:tblPr/>
      <w:tcPr>
        <w:shd w:val="clear" w:color="auto" w:fill="FFB7B7" w:themeFill="accent2" w:themeFillTint="33"/>
      </w:tcPr>
    </w:tblStylePr>
  </w:style>
  <w:style w:type="table" w:styleId="GridTable1Light-Accent2">
    <w:name w:val="Grid Table 1 Light Accent 2"/>
    <w:basedOn w:val="TableNormal"/>
    <w:uiPriority w:val="46"/>
    <w:rsid w:val="004D3B0F"/>
    <w:pPr>
      <w:spacing w:after="0" w:line="240" w:lineRule="auto"/>
    </w:pPr>
    <w:tblPr>
      <w:tblStyleRowBandSize w:val="1"/>
      <w:tblStyleColBandSize w:val="1"/>
      <w:tblBorders>
        <w:top w:val="single" w:sz="4" w:space="0" w:color="FF6F6F" w:themeColor="accent2" w:themeTint="66"/>
        <w:left w:val="single" w:sz="4" w:space="0" w:color="FF6F6F" w:themeColor="accent2" w:themeTint="66"/>
        <w:bottom w:val="single" w:sz="4" w:space="0" w:color="FF6F6F" w:themeColor="accent2" w:themeTint="66"/>
        <w:right w:val="single" w:sz="4" w:space="0" w:color="FF6F6F" w:themeColor="accent2" w:themeTint="66"/>
        <w:insideH w:val="single" w:sz="4" w:space="0" w:color="FF6F6F" w:themeColor="accent2" w:themeTint="66"/>
        <w:insideV w:val="single" w:sz="4" w:space="0" w:color="FF6F6F" w:themeColor="accent2" w:themeTint="66"/>
      </w:tblBorders>
    </w:tblPr>
    <w:tblStylePr w:type="firstRow">
      <w:rPr>
        <w:b/>
        <w:bCs/>
      </w:rPr>
      <w:tblPr/>
      <w:tcPr>
        <w:tcBorders>
          <w:bottom w:val="single" w:sz="12" w:space="0" w:color="FF2727" w:themeColor="accent2" w:themeTint="99"/>
        </w:tcBorders>
      </w:tcPr>
    </w:tblStylePr>
    <w:tblStylePr w:type="lastRow">
      <w:rPr>
        <w:b/>
        <w:bCs/>
      </w:rPr>
      <w:tblPr/>
      <w:tcPr>
        <w:tcBorders>
          <w:top w:val="double" w:sz="2" w:space="0" w:color="FF2727" w:themeColor="accent2"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4D3B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3F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766A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766A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766A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766A5" w:themeFill="accent1"/>
      </w:tcPr>
    </w:tblStylePr>
    <w:tblStylePr w:type="band1Vert">
      <w:tblPr/>
      <w:tcPr>
        <w:shd w:val="clear" w:color="auto" w:fill="7DC7F9" w:themeFill="accent1" w:themeFillTint="66"/>
      </w:tcPr>
    </w:tblStylePr>
    <w:tblStylePr w:type="band1Horz">
      <w:tblPr/>
      <w:tcPr>
        <w:shd w:val="clear" w:color="auto" w:fill="7DC7F9" w:themeFill="accent1" w:themeFillTint="66"/>
      </w:tcPr>
    </w:tblStylePr>
  </w:style>
  <w:style w:type="table" w:styleId="GridTable4-Accent1">
    <w:name w:val="Grid Table 4 Accent 1"/>
    <w:basedOn w:val="TableNormal"/>
    <w:uiPriority w:val="49"/>
    <w:rsid w:val="00F32757"/>
    <w:pPr>
      <w:spacing w:after="0" w:line="240" w:lineRule="auto"/>
    </w:pPr>
    <w:tblPr>
      <w:tblStyleRowBandSize w:val="1"/>
      <w:tblStyleColBandSize w:val="1"/>
      <w:tblBorders>
        <w:top w:val="single" w:sz="4" w:space="0" w:color="3CACF6" w:themeColor="accent1" w:themeTint="99"/>
        <w:left w:val="single" w:sz="4" w:space="0" w:color="3CACF6" w:themeColor="accent1" w:themeTint="99"/>
        <w:bottom w:val="single" w:sz="4" w:space="0" w:color="3CACF6" w:themeColor="accent1" w:themeTint="99"/>
        <w:right w:val="single" w:sz="4" w:space="0" w:color="3CACF6" w:themeColor="accent1" w:themeTint="99"/>
        <w:insideH w:val="single" w:sz="4" w:space="0" w:color="3CACF6" w:themeColor="accent1" w:themeTint="99"/>
        <w:insideV w:val="single" w:sz="4" w:space="0" w:color="3CACF6" w:themeColor="accent1" w:themeTint="99"/>
      </w:tblBorders>
    </w:tblPr>
    <w:tblStylePr w:type="firstRow">
      <w:rPr>
        <w:b/>
        <w:bCs/>
        <w:color w:val="FFFFFF" w:themeColor="background1"/>
      </w:rPr>
      <w:tblPr/>
      <w:tcPr>
        <w:shd w:val="clear" w:color="auto" w:fill="054C7B" w:themeFill="accent1" w:themeFillShade="BF"/>
      </w:tcPr>
    </w:tblStylePr>
    <w:tblStylePr w:type="lastRow">
      <w:rPr>
        <w:b/>
        <w:bCs/>
      </w:rPr>
      <w:tblPr/>
      <w:tcPr>
        <w:tcBorders>
          <w:top w:val="double" w:sz="4" w:space="0" w:color="0766A5" w:themeColor="accent1"/>
        </w:tcBorders>
      </w:tcPr>
    </w:tblStylePr>
    <w:tblStylePr w:type="firstCol">
      <w:rPr>
        <w:b/>
        <w:bCs/>
      </w:rPr>
    </w:tblStylePr>
    <w:tblStylePr w:type="lastCol">
      <w:rPr>
        <w:b/>
        <w:bCs/>
      </w:rPr>
    </w:tblStylePr>
    <w:tblStylePr w:type="band1Vert">
      <w:tblPr/>
      <w:tcPr>
        <w:shd w:val="clear" w:color="auto" w:fill="BEE3FC" w:themeFill="accent1" w:themeFillTint="33"/>
      </w:tcPr>
    </w:tblStylePr>
    <w:tblStylePr w:type="band1Horz">
      <w:tblPr/>
      <w:tcPr>
        <w:shd w:val="clear" w:color="auto" w:fill="BEE3FC" w:themeFill="accent1" w:themeFillTint="33"/>
      </w:tcPr>
    </w:tblStylePr>
  </w:style>
  <w:style w:type="table" w:styleId="GridTable4-Accent5">
    <w:name w:val="Grid Table 4 Accent 5"/>
    <w:basedOn w:val="TableNormal"/>
    <w:uiPriority w:val="49"/>
    <w:rsid w:val="004D3B0F"/>
    <w:pPr>
      <w:spacing w:after="0" w:line="240" w:lineRule="auto"/>
    </w:pPr>
    <w:tblPr>
      <w:tblStyleRowBandSize w:val="1"/>
      <w:tblStyleColBandSize w:val="1"/>
      <w:tblBorders>
        <w:top w:val="single" w:sz="4" w:space="0" w:color="A9A7A7" w:themeColor="accent5" w:themeTint="99"/>
        <w:left w:val="single" w:sz="4" w:space="0" w:color="A9A7A7" w:themeColor="accent5" w:themeTint="99"/>
        <w:bottom w:val="single" w:sz="4" w:space="0" w:color="A9A7A7" w:themeColor="accent5" w:themeTint="99"/>
        <w:right w:val="single" w:sz="4" w:space="0" w:color="A9A7A7" w:themeColor="accent5" w:themeTint="99"/>
        <w:insideH w:val="single" w:sz="4" w:space="0" w:color="A9A7A7" w:themeColor="accent5" w:themeTint="99"/>
        <w:insideV w:val="single" w:sz="4" w:space="0" w:color="A9A7A7" w:themeColor="accent5" w:themeTint="99"/>
      </w:tblBorders>
    </w:tblPr>
    <w:tblStylePr w:type="firstRow">
      <w:rPr>
        <w:b/>
        <w:bCs/>
        <w:color w:val="FFFFFF" w:themeColor="background1"/>
      </w:rPr>
      <w:tblPr/>
      <w:tcPr>
        <w:tcBorders>
          <w:top w:val="single" w:sz="4" w:space="0" w:color="706E6E" w:themeColor="accent5"/>
          <w:left w:val="single" w:sz="4" w:space="0" w:color="706E6E" w:themeColor="accent5"/>
          <w:bottom w:val="single" w:sz="4" w:space="0" w:color="706E6E" w:themeColor="accent5"/>
          <w:right w:val="single" w:sz="4" w:space="0" w:color="706E6E" w:themeColor="accent5"/>
          <w:insideH w:val="nil"/>
          <w:insideV w:val="nil"/>
        </w:tcBorders>
        <w:shd w:val="clear" w:color="auto" w:fill="706E6E" w:themeFill="accent5"/>
      </w:tcPr>
    </w:tblStylePr>
    <w:tblStylePr w:type="lastRow">
      <w:rPr>
        <w:b/>
        <w:bCs/>
      </w:rPr>
      <w:tblPr/>
      <w:tcPr>
        <w:tcBorders>
          <w:top w:val="double" w:sz="4" w:space="0" w:color="706E6E" w:themeColor="accent5"/>
        </w:tcBorders>
      </w:tcPr>
    </w:tblStylePr>
    <w:tblStylePr w:type="firstCol">
      <w:rPr>
        <w:b/>
        <w:bCs/>
      </w:rPr>
    </w:tblStylePr>
    <w:tblStylePr w:type="lastCol">
      <w:rPr>
        <w:b/>
        <w:bCs/>
      </w:rPr>
    </w:tblStylePr>
    <w:tblStylePr w:type="band1Vert">
      <w:tblPr/>
      <w:tcPr>
        <w:shd w:val="clear" w:color="auto" w:fill="E2E1E1" w:themeFill="accent5" w:themeFillTint="33"/>
      </w:tcPr>
    </w:tblStylePr>
    <w:tblStylePr w:type="band1Horz">
      <w:tblPr/>
      <w:tcPr>
        <w:shd w:val="clear" w:color="auto" w:fill="E2E1E1" w:themeFill="accent5" w:themeFillTint="33"/>
      </w:tcPr>
    </w:tblStylePr>
  </w:style>
  <w:style w:type="table" w:styleId="GridTable4-Accent4">
    <w:name w:val="Grid Table 4 Accent 4"/>
    <w:aliases w:val="DISR banded - Table 2"/>
    <w:basedOn w:val="TableNormal"/>
    <w:uiPriority w:val="49"/>
    <w:rsid w:val="00BF6930"/>
    <w:pPr>
      <w:spacing w:after="0" w:line="240" w:lineRule="auto"/>
    </w:pPr>
    <w:tblPr>
      <w:tblStyleRowBandSize w:val="1"/>
      <w:tblStyleColBandSize w:val="1"/>
      <w:tblBorders>
        <w:top w:val="single" w:sz="4" w:space="0" w:color="0766A5" w:themeColor="accent1"/>
        <w:left w:val="single" w:sz="4" w:space="0" w:color="0766A5" w:themeColor="accent1"/>
        <w:bottom w:val="single" w:sz="4" w:space="0" w:color="0766A5" w:themeColor="accent1"/>
        <w:right w:val="single" w:sz="4" w:space="0" w:color="0766A5" w:themeColor="accent1"/>
        <w:insideH w:val="single" w:sz="4" w:space="0" w:color="0766A5" w:themeColor="accent1"/>
        <w:insideV w:val="single" w:sz="4" w:space="0" w:color="0766A5" w:themeColor="accent1"/>
      </w:tblBorders>
    </w:tblPr>
    <w:tblStylePr w:type="firstRow">
      <w:rPr>
        <w:b/>
        <w:bCs/>
        <w:color w:val="FFFFFF" w:themeColor="background1"/>
      </w:rPr>
      <w:tblPr/>
      <w:tcPr>
        <w:shd w:val="clear" w:color="auto" w:fill="0766A5" w:themeFill="accent1"/>
      </w:tcPr>
    </w:tblStylePr>
    <w:tblStylePr w:type="lastRow">
      <w:rPr>
        <w:b/>
        <w:bCs/>
      </w:rPr>
      <w:tblPr/>
      <w:tcPr>
        <w:tcBorders>
          <w:top w:val="single" w:sz="18" w:space="0" w:color="0B474D" w:themeColor="accent4"/>
        </w:tcBorders>
      </w:tcPr>
    </w:tblStylePr>
    <w:tblStylePr w:type="firstCol">
      <w:rPr>
        <w:b/>
        <w:bCs/>
      </w:rPr>
    </w:tblStylePr>
    <w:tblStylePr w:type="lastCol">
      <w:rPr>
        <w:b/>
        <w:bCs/>
      </w:rPr>
    </w:tblStylePr>
    <w:tblStylePr w:type="band1Vert">
      <w:tblPr/>
      <w:tcPr>
        <w:shd w:val="clear" w:color="auto" w:fill="B4EEF4" w:themeFill="accent4" w:themeFillTint="33"/>
      </w:tcPr>
    </w:tblStylePr>
    <w:tblStylePr w:type="band1Horz">
      <w:tblPr/>
      <w:tcPr>
        <w:shd w:val="clear" w:color="auto" w:fill="E2E1E1" w:themeFill="accent5" w:themeFillTint="33"/>
      </w:tcPr>
    </w:tblStylePr>
  </w:style>
  <w:style w:type="table" w:styleId="GridTable4-Accent3">
    <w:name w:val="Grid Table 4 Accent 3"/>
    <w:basedOn w:val="TableNormal"/>
    <w:uiPriority w:val="49"/>
    <w:rsid w:val="004D3B0F"/>
    <w:pPr>
      <w:spacing w:after="0" w:line="240" w:lineRule="auto"/>
    </w:pPr>
    <w:tblPr>
      <w:tblStyleRowBandSize w:val="1"/>
      <w:tblStyleColBandSize w:val="1"/>
      <w:tblBorders>
        <w:top w:val="single" w:sz="4" w:space="0" w:color="91C1ED" w:themeColor="accent3" w:themeTint="99"/>
        <w:left w:val="single" w:sz="4" w:space="0" w:color="91C1ED" w:themeColor="accent3" w:themeTint="99"/>
        <w:bottom w:val="single" w:sz="4" w:space="0" w:color="91C1ED" w:themeColor="accent3" w:themeTint="99"/>
        <w:right w:val="single" w:sz="4" w:space="0" w:color="91C1ED" w:themeColor="accent3" w:themeTint="99"/>
        <w:insideH w:val="single" w:sz="4" w:space="0" w:color="91C1ED" w:themeColor="accent3" w:themeTint="99"/>
        <w:insideV w:val="single" w:sz="4" w:space="0" w:color="91C1ED" w:themeColor="accent3" w:themeTint="99"/>
      </w:tblBorders>
    </w:tblPr>
    <w:tblStylePr w:type="firstRow">
      <w:rPr>
        <w:b/>
        <w:bCs/>
        <w:color w:val="FFFFFF" w:themeColor="background1"/>
      </w:rPr>
      <w:tblPr/>
      <w:tcPr>
        <w:tcBorders>
          <w:top w:val="single" w:sz="4" w:space="0" w:color="4999E1" w:themeColor="accent3"/>
          <w:left w:val="single" w:sz="4" w:space="0" w:color="4999E1" w:themeColor="accent3"/>
          <w:bottom w:val="single" w:sz="4" w:space="0" w:color="4999E1" w:themeColor="accent3"/>
          <w:right w:val="single" w:sz="4" w:space="0" w:color="4999E1" w:themeColor="accent3"/>
          <w:insideH w:val="nil"/>
          <w:insideV w:val="nil"/>
        </w:tcBorders>
        <w:shd w:val="clear" w:color="auto" w:fill="4999E1" w:themeFill="accent3"/>
      </w:tcPr>
    </w:tblStylePr>
    <w:tblStylePr w:type="lastRow">
      <w:rPr>
        <w:b/>
        <w:bCs/>
      </w:rPr>
      <w:tblPr/>
      <w:tcPr>
        <w:tcBorders>
          <w:top w:val="double" w:sz="4" w:space="0" w:color="4999E1" w:themeColor="accent3"/>
        </w:tcBorders>
      </w:tcPr>
    </w:tblStylePr>
    <w:tblStylePr w:type="firstCol">
      <w:rPr>
        <w:b/>
        <w:bCs/>
      </w:rPr>
    </w:tblStylePr>
    <w:tblStylePr w:type="lastCol">
      <w:rPr>
        <w:b/>
        <w:bCs/>
      </w:rPr>
    </w:tblStylePr>
    <w:tblStylePr w:type="band1Vert">
      <w:tblPr/>
      <w:tcPr>
        <w:shd w:val="clear" w:color="auto" w:fill="DAEAF9" w:themeFill="accent3" w:themeFillTint="33"/>
      </w:tcPr>
    </w:tblStylePr>
    <w:tblStylePr w:type="band1Horz">
      <w:tblPr/>
      <w:tcPr>
        <w:shd w:val="clear" w:color="auto" w:fill="DAEAF9" w:themeFill="accent3" w:themeFillTint="33"/>
      </w:tcPr>
    </w:tblStylePr>
  </w:style>
  <w:style w:type="paragraph" w:customStyle="1" w:styleId="Authoranddate">
    <w:name w:val="Author and date"/>
    <w:basedOn w:val="Subtitle"/>
    <w:link w:val="AuthoranddateChar"/>
    <w:qFormat/>
    <w:rsid w:val="001D51DA"/>
    <w:rPr>
      <w:szCs w:val="40"/>
    </w:rPr>
  </w:style>
  <w:style w:type="character" w:customStyle="1" w:styleId="AuthoranddateChar">
    <w:name w:val="Author and date Char"/>
    <w:basedOn w:val="SubtitleChar"/>
    <w:link w:val="Authoranddate"/>
    <w:rsid w:val="001D51DA"/>
    <w:rPr>
      <w:rFonts w:eastAsiaTheme="minorEastAsia"/>
      <w:color w:val="001B35" w:themeColor="background2"/>
      <w:sz w:val="40"/>
      <w:szCs w:val="40"/>
    </w:rPr>
  </w:style>
  <w:style w:type="character" w:customStyle="1" w:styleId="Heading7Char">
    <w:name w:val="Heading 7 Char"/>
    <w:basedOn w:val="DefaultParagraphFont"/>
    <w:link w:val="Heading7"/>
    <w:uiPriority w:val="9"/>
    <w:rsid w:val="00C50A9A"/>
    <w:rPr>
      <w:rFonts w:asciiTheme="majorHAnsi" w:eastAsiaTheme="majorEastAsia" w:hAnsiTheme="majorHAnsi" w:cstheme="majorBidi"/>
      <w:b/>
      <w:iCs/>
      <w:color w:val="0766A5" w:themeColor="accent1"/>
    </w:rPr>
  </w:style>
  <w:style w:type="character" w:styleId="UnresolvedMention">
    <w:name w:val="Unresolved Mention"/>
    <w:basedOn w:val="DefaultParagraphFont"/>
    <w:uiPriority w:val="99"/>
    <w:semiHidden/>
    <w:unhideWhenUsed/>
    <w:rsid w:val="00282ED3"/>
    <w:rPr>
      <w:color w:val="605E5C"/>
      <w:shd w:val="clear" w:color="auto" w:fill="E1DFDD"/>
    </w:rPr>
  </w:style>
  <w:style w:type="table" w:styleId="GridTable4">
    <w:name w:val="Grid Table 4"/>
    <w:basedOn w:val="TableNormal"/>
    <w:uiPriority w:val="49"/>
    <w:rsid w:val="0040603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4">
    <w:name w:val="List Table 3 Accent 4"/>
    <w:basedOn w:val="TableNormal"/>
    <w:uiPriority w:val="48"/>
    <w:rsid w:val="0031654A"/>
    <w:pPr>
      <w:spacing w:after="0" w:line="240" w:lineRule="auto"/>
    </w:pPr>
    <w:tblPr>
      <w:tblStyleRowBandSize w:val="1"/>
      <w:tblStyleColBandSize w:val="1"/>
      <w:tblBorders>
        <w:top w:val="single" w:sz="4" w:space="0" w:color="0B474D" w:themeColor="accent4"/>
        <w:left w:val="single" w:sz="4" w:space="0" w:color="0B474D" w:themeColor="accent4"/>
        <w:bottom w:val="single" w:sz="4" w:space="0" w:color="0B474D" w:themeColor="accent4"/>
        <w:right w:val="single" w:sz="4" w:space="0" w:color="0B474D" w:themeColor="accent4"/>
      </w:tblBorders>
    </w:tblPr>
    <w:tblStylePr w:type="firstRow">
      <w:rPr>
        <w:b/>
        <w:bCs/>
        <w:color w:val="FFFFFF" w:themeColor="background1"/>
      </w:rPr>
      <w:tblPr/>
      <w:tcPr>
        <w:shd w:val="clear" w:color="auto" w:fill="0B474D" w:themeFill="accent4"/>
      </w:tcPr>
    </w:tblStylePr>
    <w:tblStylePr w:type="lastRow">
      <w:rPr>
        <w:b/>
        <w:bCs/>
      </w:rPr>
      <w:tblPr/>
      <w:tcPr>
        <w:tcBorders>
          <w:top w:val="double" w:sz="4" w:space="0" w:color="0B474D"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B474D" w:themeColor="accent4"/>
          <w:right w:val="single" w:sz="4" w:space="0" w:color="0B474D" w:themeColor="accent4"/>
        </w:tcBorders>
      </w:tcPr>
    </w:tblStylePr>
    <w:tblStylePr w:type="band1Horz">
      <w:tblPr/>
      <w:tcPr>
        <w:tcBorders>
          <w:top w:val="single" w:sz="4" w:space="0" w:color="0B474D" w:themeColor="accent4"/>
          <w:bottom w:val="single" w:sz="4" w:space="0" w:color="0B474D"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B474D" w:themeColor="accent4"/>
          <w:left w:val="nil"/>
        </w:tcBorders>
      </w:tcPr>
    </w:tblStylePr>
    <w:tblStylePr w:type="swCell">
      <w:tblPr/>
      <w:tcPr>
        <w:tcBorders>
          <w:top w:val="double" w:sz="4" w:space="0" w:color="0B474D" w:themeColor="accent4"/>
          <w:right w:val="nil"/>
        </w:tcBorders>
      </w:tcPr>
    </w:tblStylePr>
  </w:style>
  <w:style w:type="paragraph" w:styleId="TOC4">
    <w:name w:val="toc 4"/>
    <w:basedOn w:val="Normal"/>
    <w:next w:val="Normal"/>
    <w:autoRedefine/>
    <w:uiPriority w:val="39"/>
    <w:unhideWhenUsed/>
    <w:rsid w:val="0043720A"/>
    <w:pPr>
      <w:spacing w:after="100"/>
      <w:ind w:left="442"/>
    </w:pPr>
  </w:style>
  <w:style w:type="paragraph" w:styleId="TOC5">
    <w:name w:val="toc 5"/>
    <w:basedOn w:val="Normal"/>
    <w:next w:val="Normal"/>
    <w:autoRedefine/>
    <w:uiPriority w:val="39"/>
    <w:unhideWhenUsed/>
    <w:rsid w:val="0043720A"/>
    <w:pPr>
      <w:spacing w:after="100"/>
      <w:ind w:left="601"/>
    </w:pPr>
  </w:style>
  <w:style w:type="paragraph" w:styleId="ListBullet">
    <w:name w:val="List Bullet"/>
    <w:basedOn w:val="Normal"/>
    <w:uiPriority w:val="99"/>
    <w:unhideWhenUsed/>
    <w:rsid w:val="00703734"/>
    <w:pPr>
      <w:numPr>
        <w:numId w:val="2"/>
      </w:numPr>
      <w:ind w:left="567" w:hanging="567"/>
      <w:contextualSpacing/>
    </w:pPr>
  </w:style>
  <w:style w:type="paragraph" w:styleId="ListBullet2">
    <w:name w:val="List Bullet 2"/>
    <w:basedOn w:val="Normal"/>
    <w:uiPriority w:val="99"/>
    <w:semiHidden/>
    <w:unhideWhenUsed/>
    <w:rsid w:val="00703734"/>
    <w:pPr>
      <w:numPr>
        <w:numId w:val="3"/>
      </w:numPr>
      <w:ind w:left="567" w:hanging="567"/>
      <w:contextualSpacing/>
    </w:pPr>
  </w:style>
  <w:style w:type="character" w:customStyle="1" w:styleId="Heading8Char">
    <w:name w:val="Heading 8 Char"/>
    <w:basedOn w:val="DefaultParagraphFont"/>
    <w:link w:val="Heading8"/>
    <w:uiPriority w:val="9"/>
    <w:rsid w:val="00C50A9A"/>
    <w:rPr>
      <w:rFonts w:asciiTheme="majorHAnsi" w:eastAsiaTheme="majorEastAsia" w:hAnsiTheme="majorHAnsi" w:cstheme="majorBidi"/>
      <w:color w:val="272727" w:themeColor="text1" w:themeTint="D8"/>
      <w:sz w:val="20"/>
      <w:szCs w:val="21"/>
    </w:rPr>
  </w:style>
  <w:style w:type="character" w:styleId="CommentReference">
    <w:name w:val="annotation reference"/>
    <w:basedOn w:val="DefaultParagraphFont"/>
    <w:uiPriority w:val="99"/>
    <w:semiHidden/>
    <w:unhideWhenUsed/>
    <w:rsid w:val="00FE4569"/>
    <w:rPr>
      <w:sz w:val="16"/>
      <w:szCs w:val="16"/>
    </w:rPr>
  </w:style>
  <w:style w:type="paragraph" w:styleId="CommentText">
    <w:name w:val="annotation text"/>
    <w:basedOn w:val="Normal"/>
    <w:link w:val="CommentTextChar"/>
    <w:uiPriority w:val="99"/>
    <w:unhideWhenUsed/>
    <w:rsid w:val="00FE4569"/>
    <w:rPr>
      <w:szCs w:val="20"/>
    </w:rPr>
  </w:style>
  <w:style w:type="character" w:customStyle="1" w:styleId="CommentTextChar">
    <w:name w:val="Comment Text Char"/>
    <w:basedOn w:val="DefaultParagraphFont"/>
    <w:link w:val="CommentText"/>
    <w:uiPriority w:val="99"/>
    <w:rsid w:val="00FE4569"/>
    <w:rPr>
      <w:sz w:val="20"/>
      <w:szCs w:val="20"/>
    </w:rPr>
  </w:style>
  <w:style w:type="paragraph" w:styleId="CommentSubject">
    <w:name w:val="annotation subject"/>
    <w:basedOn w:val="CommentText"/>
    <w:next w:val="CommentText"/>
    <w:link w:val="CommentSubjectChar"/>
    <w:uiPriority w:val="99"/>
    <w:semiHidden/>
    <w:unhideWhenUsed/>
    <w:rsid w:val="00FE4569"/>
    <w:rPr>
      <w:b/>
      <w:bCs/>
    </w:rPr>
  </w:style>
  <w:style w:type="character" w:customStyle="1" w:styleId="CommentSubjectChar">
    <w:name w:val="Comment Subject Char"/>
    <w:basedOn w:val="CommentTextChar"/>
    <w:link w:val="CommentSubject"/>
    <w:uiPriority w:val="99"/>
    <w:semiHidden/>
    <w:rsid w:val="00FE4569"/>
    <w:rPr>
      <w:b/>
      <w:bCs/>
      <w:sz w:val="20"/>
      <w:szCs w:val="20"/>
    </w:rPr>
  </w:style>
  <w:style w:type="table" w:styleId="ListTable3-Accent1">
    <w:name w:val="List Table 3 Accent 1"/>
    <w:basedOn w:val="TableNormal"/>
    <w:uiPriority w:val="48"/>
    <w:rsid w:val="00BF6930"/>
    <w:pPr>
      <w:spacing w:after="0" w:line="240" w:lineRule="auto"/>
    </w:pPr>
    <w:tblPr>
      <w:tblStyleRowBandSize w:val="1"/>
      <w:tblStyleColBandSize w:val="1"/>
      <w:tblBorders>
        <w:top w:val="single" w:sz="4" w:space="0" w:color="0766A5" w:themeColor="accent1"/>
        <w:left w:val="single" w:sz="4" w:space="0" w:color="0766A5" w:themeColor="accent1"/>
        <w:bottom w:val="single" w:sz="4" w:space="0" w:color="0766A5" w:themeColor="accent1"/>
        <w:right w:val="single" w:sz="4" w:space="0" w:color="0766A5" w:themeColor="accent1"/>
      </w:tblBorders>
    </w:tblPr>
    <w:tblStylePr w:type="firstRow">
      <w:rPr>
        <w:b/>
        <w:bCs/>
        <w:color w:val="FFFFFF" w:themeColor="background1"/>
      </w:rPr>
      <w:tblPr/>
      <w:tcPr>
        <w:shd w:val="clear" w:color="auto" w:fill="0766A5" w:themeFill="accent1"/>
      </w:tcPr>
    </w:tblStylePr>
    <w:tblStylePr w:type="lastRow">
      <w:rPr>
        <w:b/>
        <w:bCs/>
      </w:rPr>
      <w:tblPr/>
      <w:tcPr>
        <w:tcBorders>
          <w:top w:val="double" w:sz="4" w:space="0" w:color="0766A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766A5" w:themeColor="accent1"/>
          <w:right w:val="single" w:sz="4" w:space="0" w:color="0766A5" w:themeColor="accent1"/>
        </w:tcBorders>
      </w:tcPr>
    </w:tblStylePr>
    <w:tblStylePr w:type="band1Horz">
      <w:tblPr/>
      <w:tcPr>
        <w:tcBorders>
          <w:top w:val="single" w:sz="4" w:space="0" w:color="0766A5" w:themeColor="accent1"/>
          <w:bottom w:val="single" w:sz="4" w:space="0" w:color="0766A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766A5" w:themeColor="accent1"/>
          <w:left w:val="nil"/>
        </w:tcBorders>
      </w:tcPr>
    </w:tblStylePr>
    <w:tblStylePr w:type="swCell">
      <w:tblPr/>
      <w:tcPr>
        <w:tcBorders>
          <w:top w:val="double" w:sz="4" w:space="0" w:color="0766A5" w:themeColor="accent1"/>
          <w:right w:val="nil"/>
        </w:tcBorders>
      </w:tcPr>
    </w:tblStylePr>
  </w:style>
  <w:style w:type="paragraph" w:styleId="NormalWeb">
    <w:name w:val="Normal (Web)"/>
    <w:basedOn w:val="Normal"/>
    <w:uiPriority w:val="99"/>
    <w:semiHidden/>
    <w:unhideWhenUsed/>
    <w:rsid w:val="00FA2434"/>
    <w:pPr>
      <w:spacing w:before="100" w:beforeAutospacing="1" w:after="100" w:afterAutospacing="1"/>
    </w:pPr>
    <w:rPr>
      <w:rFonts w:ascii="Times New Roman" w:eastAsia="Times New Roman" w:hAnsi="Times New Roman" w:cs="Times New Roman"/>
      <w:sz w:val="24"/>
      <w:szCs w:val="24"/>
      <w:lang w:eastAsia="en-AU"/>
    </w:rPr>
  </w:style>
  <w:style w:type="paragraph" w:styleId="Revision">
    <w:name w:val="Revision"/>
    <w:hidden/>
    <w:uiPriority w:val="99"/>
    <w:semiHidden/>
    <w:rsid w:val="00311765"/>
    <w:pPr>
      <w:spacing w:after="0" w:line="240"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781">
      <w:bodyDiv w:val="1"/>
      <w:marLeft w:val="0"/>
      <w:marRight w:val="0"/>
      <w:marTop w:val="0"/>
      <w:marBottom w:val="0"/>
      <w:divBdr>
        <w:top w:val="none" w:sz="0" w:space="0" w:color="auto"/>
        <w:left w:val="none" w:sz="0" w:space="0" w:color="auto"/>
        <w:bottom w:val="none" w:sz="0" w:space="0" w:color="auto"/>
        <w:right w:val="none" w:sz="0" w:space="0" w:color="auto"/>
      </w:divBdr>
    </w:div>
    <w:div w:id="6953951">
      <w:bodyDiv w:val="1"/>
      <w:marLeft w:val="0"/>
      <w:marRight w:val="0"/>
      <w:marTop w:val="0"/>
      <w:marBottom w:val="0"/>
      <w:divBdr>
        <w:top w:val="none" w:sz="0" w:space="0" w:color="auto"/>
        <w:left w:val="none" w:sz="0" w:space="0" w:color="auto"/>
        <w:bottom w:val="none" w:sz="0" w:space="0" w:color="auto"/>
        <w:right w:val="none" w:sz="0" w:space="0" w:color="auto"/>
      </w:divBdr>
    </w:div>
    <w:div w:id="129977626">
      <w:bodyDiv w:val="1"/>
      <w:marLeft w:val="0"/>
      <w:marRight w:val="0"/>
      <w:marTop w:val="0"/>
      <w:marBottom w:val="0"/>
      <w:divBdr>
        <w:top w:val="none" w:sz="0" w:space="0" w:color="auto"/>
        <w:left w:val="none" w:sz="0" w:space="0" w:color="auto"/>
        <w:bottom w:val="none" w:sz="0" w:space="0" w:color="auto"/>
        <w:right w:val="none" w:sz="0" w:space="0" w:color="auto"/>
      </w:divBdr>
    </w:div>
    <w:div w:id="146671932">
      <w:bodyDiv w:val="1"/>
      <w:marLeft w:val="0"/>
      <w:marRight w:val="0"/>
      <w:marTop w:val="0"/>
      <w:marBottom w:val="0"/>
      <w:divBdr>
        <w:top w:val="none" w:sz="0" w:space="0" w:color="auto"/>
        <w:left w:val="none" w:sz="0" w:space="0" w:color="auto"/>
        <w:bottom w:val="none" w:sz="0" w:space="0" w:color="auto"/>
        <w:right w:val="none" w:sz="0" w:space="0" w:color="auto"/>
      </w:divBdr>
    </w:div>
    <w:div w:id="182593347">
      <w:bodyDiv w:val="1"/>
      <w:marLeft w:val="0"/>
      <w:marRight w:val="0"/>
      <w:marTop w:val="0"/>
      <w:marBottom w:val="0"/>
      <w:divBdr>
        <w:top w:val="none" w:sz="0" w:space="0" w:color="auto"/>
        <w:left w:val="none" w:sz="0" w:space="0" w:color="auto"/>
        <w:bottom w:val="none" w:sz="0" w:space="0" w:color="auto"/>
        <w:right w:val="none" w:sz="0" w:space="0" w:color="auto"/>
      </w:divBdr>
    </w:div>
    <w:div w:id="221059593">
      <w:bodyDiv w:val="1"/>
      <w:marLeft w:val="0"/>
      <w:marRight w:val="0"/>
      <w:marTop w:val="0"/>
      <w:marBottom w:val="0"/>
      <w:divBdr>
        <w:top w:val="none" w:sz="0" w:space="0" w:color="auto"/>
        <w:left w:val="none" w:sz="0" w:space="0" w:color="auto"/>
        <w:bottom w:val="none" w:sz="0" w:space="0" w:color="auto"/>
        <w:right w:val="none" w:sz="0" w:space="0" w:color="auto"/>
      </w:divBdr>
    </w:div>
    <w:div w:id="241333136">
      <w:bodyDiv w:val="1"/>
      <w:marLeft w:val="0"/>
      <w:marRight w:val="0"/>
      <w:marTop w:val="0"/>
      <w:marBottom w:val="0"/>
      <w:divBdr>
        <w:top w:val="none" w:sz="0" w:space="0" w:color="auto"/>
        <w:left w:val="none" w:sz="0" w:space="0" w:color="auto"/>
        <w:bottom w:val="none" w:sz="0" w:space="0" w:color="auto"/>
        <w:right w:val="none" w:sz="0" w:space="0" w:color="auto"/>
      </w:divBdr>
    </w:div>
    <w:div w:id="278414761">
      <w:bodyDiv w:val="1"/>
      <w:marLeft w:val="0"/>
      <w:marRight w:val="0"/>
      <w:marTop w:val="0"/>
      <w:marBottom w:val="0"/>
      <w:divBdr>
        <w:top w:val="none" w:sz="0" w:space="0" w:color="auto"/>
        <w:left w:val="none" w:sz="0" w:space="0" w:color="auto"/>
        <w:bottom w:val="none" w:sz="0" w:space="0" w:color="auto"/>
        <w:right w:val="none" w:sz="0" w:space="0" w:color="auto"/>
      </w:divBdr>
    </w:div>
    <w:div w:id="365302300">
      <w:bodyDiv w:val="1"/>
      <w:marLeft w:val="0"/>
      <w:marRight w:val="0"/>
      <w:marTop w:val="0"/>
      <w:marBottom w:val="0"/>
      <w:divBdr>
        <w:top w:val="none" w:sz="0" w:space="0" w:color="auto"/>
        <w:left w:val="none" w:sz="0" w:space="0" w:color="auto"/>
        <w:bottom w:val="none" w:sz="0" w:space="0" w:color="auto"/>
        <w:right w:val="none" w:sz="0" w:space="0" w:color="auto"/>
      </w:divBdr>
    </w:div>
    <w:div w:id="399600072">
      <w:bodyDiv w:val="1"/>
      <w:marLeft w:val="0"/>
      <w:marRight w:val="0"/>
      <w:marTop w:val="0"/>
      <w:marBottom w:val="0"/>
      <w:divBdr>
        <w:top w:val="none" w:sz="0" w:space="0" w:color="auto"/>
        <w:left w:val="none" w:sz="0" w:space="0" w:color="auto"/>
        <w:bottom w:val="none" w:sz="0" w:space="0" w:color="auto"/>
        <w:right w:val="none" w:sz="0" w:space="0" w:color="auto"/>
      </w:divBdr>
    </w:div>
    <w:div w:id="429009989">
      <w:bodyDiv w:val="1"/>
      <w:marLeft w:val="0"/>
      <w:marRight w:val="0"/>
      <w:marTop w:val="0"/>
      <w:marBottom w:val="0"/>
      <w:divBdr>
        <w:top w:val="none" w:sz="0" w:space="0" w:color="auto"/>
        <w:left w:val="none" w:sz="0" w:space="0" w:color="auto"/>
        <w:bottom w:val="none" w:sz="0" w:space="0" w:color="auto"/>
        <w:right w:val="none" w:sz="0" w:space="0" w:color="auto"/>
      </w:divBdr>
    </w:div>
    <w:div w:id="510416490">
      <w:bodyDiv w:val="1"/>
      <w:marLeft w:val="0"/>
      <w:marRight w:val="0"/>
      <w:marTop w:val="0"/>
      <w:marBottom w:val="0"/>
      <w:divBdr>
        <w:top w:val="none" w:sz="0" w:space="0" w:color="auto"/>
        <w:left w:val="none" w:sz="0" w:space="0" w:color="auto"/>
        <w:bottom w:val="none" w:sz="0" w:space="0" w:color="auto"/>
        <w:right w:val="none" w:sz="0" w:space="0" w:color="auto"/>
      </w:divBdr>
      <w:divsChild>
        <w:div w:id="1850831111">
          <w:marLeft w:val="360"/>
          <w:marRight w:val="0"/>
          <w:marTop w:val="120"/>
          <w:marBottom w:val="120"/>
          <w:divBdr>
            <w:top w:val="none" w:sz="0" w:space="0" w:color="auto"/>
            <w:left w:val="none" w:sz="0" w:space="0" w:color="auto"/>
            <w:bottom w:val="none" w:sz="0" w:space="0" w:color="auto"/>
            <w:right w:val="none" w:sz="0" w:space="0" w:color="auto"/>
          </w:divBdr>
        </w:div>
        <w:div w:id="2002272641">
          <w:marLeft w:val="360"/>
          <w:marRight w:val="0"/>
          <w:marTop w:val="120"/>
          <w:marBottom w:val="120"/>
          <w:divBdr>
            <w:top w:val="none" w:sz="0" w:space="0" w:color="auto"/>
            <w:left w:val="none" w:sz="0" w:space="0" w:color="auto"/>
            <w:bottom w:val="none" w:sz="0" w:space="0" w:color="auto"/>
            <w:right w:val="none" w:sz="0" w:space="0" w:color="auto"/>
          </w:divBdr>
        </w:div>
      </w:divsChild>
    </w:div>
    <w:div w:id="540437952">
      <w:bodyDiv w:val="1"/>
      <w:marLeft w:val="0"/>
      <w:marRight w:val="0"/>
      <w:marTop w:val="0"/>
      <w:marBottom w:val="0"/>
      <w:divBdr>
        <w:top w:val="none" w:sz="0" w:space="0" w:color="auto"/>
        <w:left w:val="none" w:sz="0" w:space="0" w:color="auto"/>
        <w:bottom w:val="none" w:sz="0" w:space="0" w:color="auto"/>
        <w:right w:val="none" w:sz="0" w:space="0" w:color="auto"/>
      </w:divBdr>
    </w:div>
    <w:div w:id="694619287">
      <w:bodyDiv w:val="1"/>
      <w:marLeft w:val="0"/>
      <w:marRight w:val="0"/>
      <w:marTop w:val="0"/>
      <w:marBottom w:val="0"/>
      <w:divBdr>
        <w:top w:val="none" w:sz="0" w:space="0" w:color="auto"/>
        <w:left w:val="none" w:sz="0" w:space="0" w:color="auto"/>
        <w:bottom w:val="none" w:sz="0" w:space="0" w:color="auto"/>
        <w:right w:val="none" w:sz="0" w:space="0" w:color="auto"/>
      </w:divBdr>
      <w:divsChild>
        <w:div w:id="241917156">
          <w:marLeft w:val="360"/>
          <w:marRight w:val="0"/>
          <w:marTop w:val="120"/>
          <w:marBottom w:val="120"/>
          <w:divBdr>
            <w:top w:val="none" w:sz="0" w:space="0" w:color="auto"/>
            <w:left w:val="none" w:sz="0" w:space="0" w:color="auto"/>
            <w:bottom w:val="none" w:sz="0" w:space="0" w:color="auto"/>
            <w:right w:val="none" w:sz="0" w:space="0" w:color="auto"/>
          </w:divBdr>
        </w:div>
        <w:div w:id="468596983">
          <w:marLeft w:val="360"/>
          <w:marRight w:val="0"/>
          <w:marTop w:val="120"/>
          <w:marBottom w:val="120"/>
          <w:divBdr>
            <w:top w:val="none" w:sz="0" w:space="0" w:color="auto"/>
            <w:left w:val="none" w:sz="0" w:space="0" w:color="auto"/>
            <w:bottom w:val="none" w:sz="0" w:space="0" w:color="auto"/>
            <w:right w:val="none" w:sz="0" w:space="0" w:color="auto"/>
          </w:divBdr>
        </w:div>
        <w:div w:id="1459378534">
          <w:marLeft w:val="360"/>
          <w:marRight w:val="0"/>
          <w:marTop w:val="120"/>
          <w:marBottom w:val="120"/>
          <w:divBdr>
            <w:top w:val="none" w:sz="0" w:space="0" w:color="auto"/>
            <w:left w:val="none" w:sz="0" w:space="0" w:color="auto"/>
            <w:bottom w:val="none" w:sz="0" w:space="0" w:color="auto"/>
            <w:right w:val="none" w:sz="0" w:space="0" w:color="auto"/>
          </w:divBdr>
        </w:div>
      </w:divsChild>
    </w:div>
    <w:div w:id="753862242">
      <w:bodyDiv w:val="1"/>
      <w:marLeft w:val="0"/>
      <w:marRight w:val="0"/>
      <w:marTop w:val="0"/>
      <w:marBottom w:val="0"/>
      <w:divBdr>
        <w:top w:val="none" w:sz="0" w:space="0" w:color="auto"/>
        <w:left w:val="none" w:sz="0" w:space="0" w:color="auto"/>
        <w:bottom w:val="none" w:sz="0" w:space="0" w:color="auto"/>
        <w:right w:val="none" w:sz="0" w:space="0" w:color="auto"/>
      </w:divBdr>
    </w:div>
    <w:div w:id="803547821">
      <w:bodyDiv w:val="1"/>
      <w:marLeft w:val="0"/>
      <w:marRight w:val="0"/>
      <w:marTop w:val="0"/>
      <w:marBottom w:val="0"/>
      <w:divBdr>
        <w:top w:val="none" w:sz="0" w:space="0" w:color="auto"/>
        <w:left w:val="none" w:sz="0" w:space="0" w:color="auto"/>
        <w:bottom w:val="none" w:sz="0" w:space="0" w:color="auto"/>
        <w:right w:val="none" w:sz="0" w:space="0" w:color="auto"/>
      </w:divBdr>
    </w:div>
    <w:div w:id="863327493">
      <w:bodyDiv w:val="1"/>
      <w:marLeft w:val="0"/>
      <w:marRight w:val="0"/>
      <w:marTop w:val="0"/>
      <w:marBottom w:val="0"/>
      <w:divBdr>
        <w:top w:val="none" w:sz="0" w:space="0" w:color="auto"/>
        <w:left w:val="none" w:sz="0" w:space="0" w:color="auto"/>
        <w:bottom w:val="none" w:sz="0" w:space="0" w:color="auto"/>
        <w:right w:val="none" w:sz="0" w:space="0" w:color="auto"/>
      </w:divBdr>
    </w:div>
    <w:div w:id="917523489">
      <w:bodyDiv w:val="1"/>
      <w:marLeft w:val="0"/>
      <w:marRight w:val="0"/>
      <w:marTop w:val="0"/>
      <w:marBottom w:val="0"/>
      <w:divBdr>
        <w:top w:val="none" w:sz="0" w:space="0" w:color="auto"/>
        <w:left w:val="none" w:sz="0" w:space="0" w:color="auto"/>
        <w:bottom w:val="none" w:sz="0" w:space="0" w:color="auto"/>
        <w:right w:val="none" w:sz="0" w:space="0" w:color="auto"/>
      </w:divBdr>
    </w:div>
    <w:div w:id="937370373">
      <w:bodyDiv w:val="1"/>
      <w:marLeft w:val="0"/>
      <w:marRight w:val="0"/>
      <w:marTop w:val="0"/>
      <w:marBottom w:val="0"/>
      <w:divBdr>
        <w:top w:val="none" w:sz="0" w:space="0" w:color="auto"/>
        <w:left w:val="none" w:sz="0" w:space="0" w:color="auto"/>
        <w:bottom w:val="none" w:sz="0" w:space="0" w:color="auto"/>
        <w:right w:val="none" w:sz="0" w:space="0" w:color="auto"/>
      </w:divBdr>
    </w:div>
    <w:div w:id="960920062">
      <w:bodyDiv w:val="1"/>
      <w:marLeft w:val="0"/>
      <w:marRight w:val="0"/>
      <w:marTop w:val="0"/>
      <w:marBottom w:val="0"/>
      <w:divBdr>
        <w:top w:val="none" w:sz="0" w:space="0" w:color="auto"/>
        <w:left w:val="none" w:sz="0" w:space="0" w:color="auto"/>
        <w:bottom w:val="none" w:sz="0" w:space="0" w:color="auto"/>
        <w:right w:val="none" w:sz="0" w:space="0" w:color="auto"/>
      </w:divBdr>
    </w:div>
    <w:div w:id="1047418297">
      <w:bodyDiv w:val="1"/>
      <w:marLeft w:val="0"/>
      <w:marRight w:val="0"/>
      <w:marTop w:val="0"/>
      <w:marBottom w:val="0"/>
      <w:divBdr>
        <w:top w:val="none" w:sz="0" w:space="0" w:color="auto"/>
        <w:left w:val="none" w:sz="0" w:space="0" w:color="auto"/>
        <w:bottom w:val="none" w:sz="0" w:space="0" w:color="auto"/>
        <w:right w:val="none" w:sz="0" w:space="0" w:color="auto"/>
      </w:divBdr>
    </w:div>
    <w:div w:id="1136027059">
      <w:bodyDiv w:val="1"/>
      <w:marLeft w:val="0"/>
      <w:marRight w:val="0"/>
      <w:marTop w:val="0"/>
      <w:marBottom w:val="0"/>
      <w:divBdr>
        <w:top w:val="none" w:sz="0" w:space="0" w:color="auto"/>
        <w:left w:val="none" w:sz="0" w:space="0" w:color="auto"/>
        <w:bottom w:val="none" w:sz="0" w:space="0" w:color="auto"/>
        <w:right w:val="none" w:sz="0" w:space="0" w:color="auto"/>
      </w:divBdr>
    </w:div>
    <w:div w:id="1414742486">
      <w:bodyDiv w:val="1"/>
      <w:marLeft w:val="0"/>
      <w:marRight w:val="0"/>
      <w:marTop w:val="0"/>
      <w:marBottom w:val="0"/>
      <w:divBdr>
        <w:top w:val="none" w:sz="0" w:space="0" w:color="auto"/>
        <w:left w:val="none" w:sz="0" w:space="0" w:color="auto"/>
        <w:bottom w:val="none" w:sz="0" w:space="0" w:color="auto"/>
        <w:right w:val="none" w:sz="0" w:space="0" w:color="auto"/>
      </w:divBdr>
    </w:div>
    <w:div w:id="1422603160">
      <w:bodyDiv w:val="1"/>
      <w:marLeft w:val="0"/>
      <w:marRight w:val="0"/>
      <w:marTop w:val="0"/>
      <w:marBottom w:val="0"/>
      <w:divBdr>
        <w:top w:val="none" w:sz="0" w:space="0" w:color="auto"/>
        <w:left w:val="none" w:sz="0" w:space="0" w:color="auto"/>
        <w:bottom w:val="none" w:sz="0" w:space="0" w:color="auto"/>
        <w:right w:val="none" w:sz="0" w:space="0" w:color="auto"/>
      </w:divBdr>
    </w:div>
    <w:div w:id="1439063441">
      <w:bodyDiv w:val="1"/>
      <w:marLeft w:val="0"/>
      <w:marRight w:val="0"/>
      <w:marTop w:val="0"/>
      <w:marBottom w:val="0"/>
      <w:divBdr>
        <w:top w:val="none" w:sz="0" w:space="0" w:color="auto"/>
        <w:left w:val="none" w:sz="0" w:space="0" w:color="auto"/>
        <w:bottom w:val="none" w:sz="0" w:space="0" w:color="auto"/>
        <w:right w:val="none" w:sz="0" w:space="0" w:color="auto"/>
      </w:divBdr>
    </w:div>
    <w:div w:id="1461534661">
      <w:bodyDiv w:val="1"/>
      <w:marLeft w:val="0"/>
      <w:marRight w:val="0"/>
      <w:marTop w:val="0"/>
      <w:marBottom w:val="0"/>
      <w:divBdr>
        <w:top w:val="none" w:sz="0" w:space="0" w:color="auto"/>
        <w:left w:val="none" w:sz="0" w:space="0" w:color="auto"/>
        <w:bottom w:val="none" w:sz="0" w:space="0" w:color="auto"/>
        <w:right w:val="none" w:sz="0" w:space="0" w:color="auto"/>
      </w:divBdr>
    </w:div>
    <w:div w:id="1501189896">
      <w:bodyDiv w:val="1"/>
      <w:marLeft w:val="0"/>
      <w:marRight w:val="0"/>
      <w:marTop w:val="0"/>
      <w:marBottom w:val="0"/>
      <w:divBdr>
        <w:top w:val="none" w:sz="0" w:space="0" w:color="auto"/>
        <w:left w:val="none" w:sz="0" w:space="0" w:color="auto"/>
        <w:bottom w:val="none" w:sz="0" w:space="0" w:color="auto"/>
        <w:right w:val="none" w:sz="0" w:space="0" w:color="auto"/>
      </w:divBdr>
    </w:div>
    <w:div w:id="1594432692">
      <w:bodyDiv w:val="1"/>
      <w:marLeft w:val="0"/>
      <w:marRight w:val="0"/>
      <w:marTop w:val="0"/>
      <w:marBottom w:val="0"/>
      <w:divBdr>
        <w:top w:val="none" w:sz="0" w:space="0" w:color="auto"/>
        <w:left w:val="none" w:sz="0" w:space="0" w:color="auto"/>
        <w:bottom w:val="none" w:sz="0" w:space="0" w:color="auto"/>
        <w:right w:val="none" w:sz="0" w:space="0" w:color="auto"/>
      </w:divBdr>
    </w:div>
    <w:div w:id="1611426220">
      <w:bodyDiv w:val="1"/>
      <w:marLeft w:val="0"/>
      <w:marRight w:val="0"/>
      <w:marTop w:val="0"/>
      <w:marBottom w:val="0"/>
      <w:divBdr>
        <w:top w:val="none" w:sz="0" w:space="0" w:color="auto"/>
        <w:left w:val="none" w:sz="0" w:space="0" w:color="auto"/>
        <w:bottom w:val="none" w:sz="0" w:space="0" w:color="auto"/>
        <w:right w:val="none" w:sz="0" w:space="0" w:color="auto"/>
      </w:divBdr>
    </w:div>
    <w:div w:id="1786582538">
      <w:bodyDiv w:val="1"/>
      <w:marLeft w:val="0"/>
      <w:marRight w:val="0"/>
      <w:marTop w:val="0"/>
      <w:marBottom w:val="0"/>
      <w:divBdr>
        <w:top w:val="none" w:sz="0" w:space="0" w:color="auto"/>
        <w:left w:val="none" w:sz="0" w:space="0" w:color="auto"/>
        <w:bottom w:val="none" w:sz="0" w:space="0" w:color="auto"/>
        <w:right w:val="none" w:sz="0" w:space="0" w:color="auto"/>
      </w:divBdr>
    </w:div>
    <w:div w:id="1801072375">
      <w:bodyDiv w:val="1"/>
      <w:marLeft w:val="0"/>
      <w:marRight w:val="0"/>
      <w:marTop w:val="0"/>
      <w:marBottom w:val="0"/>
      <w:divBdr>
        <w:top w:val="none" w:sz="0" w:space="0" w:color="auto"/>
        <w:left w:val="none" w:sz="0" w:space="0" w:color="auto"/>
        <w:bottom w:val="none" w:sz="0" w:space="0" w:color="auto"/>
        <w:right w:val="none" w:sz="0" w:space="0" w:color="auto"/>
      </w:divBdr>
    </w:div>
    <w:div w:id="1836529095">
      <w:bodyDiv w:val="1"/>
      <w:marLeft w:val="0"/>
      <w:marRight w:val="0"/>
      <w:marTop w:val="0"/>
      <w:marBottom w:val="0"/>
      <w:divBdr>
        <w:top w:val="none" w:sz="0" w:space="0" w:color="auto"/>
        <w:left w:val="none" w:sz="0" w:space="0" w:color="auto"/>
        <w:bottom w:val="none" w:sz="0" w:space="0" w:color="auto"/>
        <w:right w:val="none" w:sz="0" w:space="0" w:color="auto"/>
      </w:divBdr>
    </w:div>
    <w:div w:id="1899054828">
      <w:bodyDiv w:val="1"/>
      <w:marLeft w:val="0"/>
      <w:marRight w:val="0"/>
      <w:marTop w:val="0"/>
      <w:marBottom w:val="0"/>
      <w:divBdr>
        <w:top w:val="none" w:sz="0" w:space="0" w:color="auto"/>
        <w:left w:val="none" w:sz="0" w:space="0" w:color="auto"/>
        <w:bottom w:val="none" w:sz="0" w:space="0" w:color="auto"/>
        <w:right w:val="none" w:sz="0" w:space="0" w:color="auto"/>
      </w:divBdr>
    </w:div>
    <w:div w:id="1982692475">
      <w:bodyDiv w:val="1"/>
      <w:marLeft w:val="0"/>
      <w:marRight w:val="0"/>
      <w:marTop w:val="0"/>
      <w:marBottom w:val="0"/>
      <w:divBdr>
        <w:top w:val="none" w:sz="0" w:space="0" w:color="auto"/>
        <w:left w:val="none" w:sz="0" w:space="0" w:color="auto"/>
        <w:bottom w:val="none" w:sz="0" w:space="0" w:color="auto"/>
        <w:right w:val="none" w:sz="0" w:space="0" w:color="auto"/>
      </w:divBdr>
    </w:div>
    <w:div w:id="2001813306">
      <w:bodyDiv w:val="1"/>
      <w:marLeft w:val="0"/>
      <w:marRight w:val="0"/>
      <w:marTop w:val="0"/>
      <w:marBottom w:val="0"/>
      <w:divBdr>
        <w:top w:val="none" w:sz="0" w:space="0" w:color="auto"/>
        <w:left w:val="none" w:sz="0" w:space="0" w:color="auto"/>
        <w:bottom w:val="none" w:sz="0" w:space="0" w:color="auto"/>
        <w:right w:val="none" w:sz="0" w:space="0" w:color="auto"/>
      </w:divBdr>
    </w:div>
    <w:div w:id="2030183697">
      <w:bodyDiv w:val="1"/>
      <w:marLeft w:val="0"/>
      <w:marRight w:val="0"/>
      <w:marTop w:val="0"/>
      <w:marBottom w:val="0"/>
      <w:divBdr>
        <w:top w:val="none" w:sz="0" w:space="0" w:color="auto"/>
        <w:left w:val="none" w:sz="0" w:space="0" w:color="auto"/>
        <w:bottom w:val="none" w:sz="0" w:space="0" w:color="auto"/>
        <w:right w:val="none" w:sz="0" w:space="0" w:color="auto"/>
      </w:divBdr>
    </w:div>
    <w:div w:id="2066679720">
      <w:bodyDiv w:val="1"/>
      <w:marLeft w:val="0"/>
      <w:marRight w:val="0"/>
      <w:marTop w:val="0"/>
      <w:marBottom w:val="0"/>
      <w:divBdr>
        <w:top w:val="none" w:sz="0" w:space="0" w:color="auto"/>
        <w:left w:val="none" w:sz="0" w:space="0" w:color="auto"/>
        <w:bottom w:val="none" w:sz="0" w:space="0" w:color="auto"/>
        <w:right w:val="none" w:sz="0" w:space="0" w:color="auto"/>
      </w:divBdr>
    </w:div>
    <w:div w:id="2080864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DISR Charting">
      <a:dk1>
        <a:sysClr val="windowText" lastClr="000000"/>
      </a:dk1>
      <a:lt1>
        <a:sysClr val="window" lastClr="FFFFFF"/>
      </a:lt1>
      <a:dk2>
        <a:srgbClr val="CE5958"/>
      </a:dk2>
      <a:lt2>
        <a:srgbClr val="001B35"/>
      </a:lt2>
      <a:accent1>
        <a:srgbClr val="0766A5"/>
      </a:accent1>
      <a:accent2>
        <a:srgbClr val="960000"/>
      </a:accent2>
      <a:accent3>
        <a:srgbClr val="4999E1"/>
      </a:accent3>
      <a:accent4>
        <a:srgbClr val="0B474D"/>
      </a:accent4>
      <a:accent5>
        <a:srgbClr val="706E6E"/>
      </a:accent5>
      <a:accent6>
        <a:srgbClr val="61008E"/>
      </a:accent6>
      <a:hlink>
        <a:srgbClr val="0766A5"/>
      </a:hlink>
      <a:folHlink>
        <a:srgbClr val="001B35"/>
      </a:folHlink>
    </a:clrScheme>
    <a:fontScheme name="DISR Aptos 2023 v2">
      <a:majorFont>
        <a:latin typeface="Aptos SemiBold"/>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e01a212754b1438da5efe472214e8f8c xmlns="ffe4b66e-8ed7-4886-ace9-ed890174e4d2">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1077e141-03cb-4307-8c0f-d43dc85f509f</TermId>
        </TermInfo>
      </Terms>
    </e01a212754b1438da5efe472214e8f8c>
    <p9e7fb3d639e4ffc803a4b8f6549f0f5 xmlns="ffe4b66e-8ed7-4886-ace9-ed890174e4d2">
      <Terms xmlns="http://schemas.microsoft.com/office/infopath/2007/PartnerControls">
        <TermInfo xmlns="http://schemas.microsoft.com/office/infopath/2007/PartnerControls">
          <TermName xmlns="http://schemas.microsoft.com/office/infopath/2007/PartnerControls">Terms of Reference</TermName>
          <TermId xmlns="http://schemas.microsoft.com/office/infopath/2007/PartnerControls">0e4ffc82-aee6-4cc8-abc1-bef8d7f110a4</TermId>
        </TermInfo>
      </Terms>
    </p9e7fb3d639e4ffc803a4b8f6549f0f5>
    <TaxCatchAll xmlns="ffe4b66e-8ed7-4886-ace9-ed890174e4d2">
      <Value>48</Value>
      <Value>59</Value>
      <Value>1</Value>
    </TaxCatchAll>
    <d7f9728f260c46379b933ee06bc0d6bc xmlns="ffe4b66e-8ed7-4886-ace9-ed890174e4d2">
      <Terms xmlns="http://schemas.microsoft.com/office/infopath/2007/PartnerControls"/>
    </d7f9728f260c46379b933ee06bc0d6bc>
    <o8e9f6b000bf46b78855917f10dbdcbb xmlns="ffe4b66e-8ed7-4886-ace9-ed890174e4d2">
      <Terms xmlns="http://schemas.microsoft.com/office/infopath/2007/PartnerControls">
        <TermInfo xmlns="http://schemas.microsoft.com/office/infopath/2007/PartnerControls">
          <TermName xmlns="http://schemas.microsoft.com/office/infopath/2007/PartnerControls">Review</TermName>
          <TermId xmlns="http://schemas.microsoft.com/office/infopath/2007/PartnerControls">b1cbb98d-d863-4e82-8932-4b5b7fac7fe3</TermId>
        </TermInfo>
      </Terms>
    </o8e9f6b000bf46b78855917f10dbdcbb>
    <Comment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A68894BE1511F4A823305668349867B" ma:contentTypeVersion="17" ma:contentTypeDescription="Create a new document." ma:contentTypeScope="" ma:versionID="17f887f42342017811625a9e6d202280">
  <xsd:schema xmlns:xsd="http://www.w3.org/2001/XMLSchema" xmlns:xs="http://www.w3.org/2001/XMLSchema" xmlns:p="http://schemas.microsoft.com/office/2006/metadata/properties" xmlns:ns1="http://schemas.microsoft.com/sharepoint/v3" xmlns:ns2="ffe4b66e-8ed7-4886-ace9-ed890174e4d2" xmlns:ns3="432a0cde-abb2-4efc-8c60-3b06426b5a79" targetNamespace="http://schemas.microsoft.com/office/2006/metadata/properties" ma:root="true" ma:fieldsID="7bd547378264d8a6c475c08a5f3b1009" ns1:_="" ns2:_="" ns3:_="">
    <xsd:import namespace="http://schemas.microsoft.com/sharepoint/v3"/>
    <xsd:import namespace="ffe4b66e-8ed7-4886-ace9-ed890174e4d2"/>
    <xsd:import namespace="432a0cde-abb2-4efc-8c60-3b06426b5a79"/>
    <xsd:element name="properties">
      <xsd:complexType>
        <xsd:sequence>
          <xsd:element name="documentManagement">
            <xsd:complexType>
              <xsd:all>
                <xsd:element ref="ns2:p9e7fb3d639e4ffc803a4b8f6549f0f5" minOccurs="0"/>
                <xsd:element ref="ns2:TaxCatchAll" minOccurs="0"/>
                <xsd:element ref="ns2:o8e9f6b000bf46b78855917f10dbdcbb" minOccurs="0"/>
                <xsd:element ref="ns2:e01a212754b1438da5efe472214e8f8c" minOccurs="0"/>
                <xsd:element ref="ns2:d7f9728f260c46379b933ee06bc0d6bc" minOccurs="0"/>
                <xsd:element ref="ns1:Comment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7" nillable="true" ma:displayName="Comments"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e4b66e-8ed7-4886-ace9-ed890174e4d2" elementFormDefault="qualified">
    <xsd:import namespace="http://schemas.microsoft.com/office/2006/documentManagement/types"/>
    <xsd:import namespace="http://schemas.microsoft.com/office/infopath/2007/PartnerControls"/>
    <xsd:element name="p9e7fb3d639e4ffc803a4b8f6549f0f5" ma:index="9" ma:taxonomy="true" ma:internalName="p9e7fb3d639e4ffc803a4b8f6549f0f5" ma:taxonomyFieldName="Stratus_DocumentType" ma:displayName="Document Type" ma:fieldId="{99e7fb3d-639e-4ffc-803a-4b8f6549f0f5}" ma:sspId="b6206a2c-5ee7-4d50-b3ee-2668e744af9d" ma:termSetId="988248fe-9e4c-4dbd-93c7-83e60647dfac"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1b37ba2-fe49-46e6-9adc-c405e2c217a9}" ma:internalName="TaxCatchAll" ma:showField="CatchAllData" ma:web="ffe4b66e-8ed7-4886-ace9-ed890174e4d2">
      <xsd:complexType>
        <xsd:complexContent>
          <xsd:extension base="dms:MultiChoiceLookup">
            <xsd:sequence>
              <xsd:element name="Value" type="dms:Lookup" maxOccurs="unbounded" minOccurs="0" nillable="true"/>
            </xsd:sequence>
          </xsd:extension>
        </xsd:complexContent>
      </xsd:complexType>
    </xsd:element>
    <xsd:element name="o8e9f6b000bf46b78855917f10dbdcbb" ma:index="12" nillable="true" ma:taxonomy="true" ma:internalName="o8e9f6b000bf46b78855917f10dbdcbb" ma:taxonomyFieldName="Stratus_WorkActivity" ma:displayName="Work Activity" ma:fieldId="{88e9f6b0-00bf-46b7-8855-917f10dbdcbb}" ma:sspId="b6206a2c-5ee7-4d50-b3ee-2668e744af9d" ma:termSetId="37573e98-7115-49e8-b54b-ceee115a914b" ma:anchorId="00000000-0000-0000-0000-000000000000" ma:open="false" ma:isKeyword="false">
      <xsd:complexType>
        <xsd:sequence>
          <xsd:element ref="pc:Terms" minOccurs="0" maxOccurs="1"/>
        </xsd:sequence>
      </xsd:complexType>
    </xsd:element>
    <xsd:element name="e01a212754b1438da5efe472214e8f8c" ma:index="14" ma:taxonomy="true" ma:internalName="e01a212754b1438da5efe472214e8f8c" ma:taxonomyFieldName="Stratus_SecurityClassification" ma:displayName="Security Classification" ma:fieldId="{e01a2127-54b1-438d-a5ef-e472214e8f8c}" ma:sspId="b6206a2c-5ee7-4d50-b3ee-2668e744af9d" ma:termSetId="4e44dabb-2ab0-4d6c-970e-3d57b9f48e0e" ma:anchorId="00000000-0000-0000-0000-000000000000" ma:open="false" ma:isKeyword="false">
      <xsd:complexType>
        <xsd:sequence>
          <xsd:element ref="pc:Terms" minOccurs="0" maxOccurs="1"/>
        </xsd:sequence>
      </xsd:complexType>
    </xsd:element>
    <xsd:element name="d7f9728f260c46379b933ee06bc0d6bc" ma:index="16" nillable="true" ma:taxonomy="true" ma:internalName="d7f9728f260c46379b933ee06bc0d6bc" ma:taxonomyFieldName="Stratus_Year" ma:displayName="Year" ma:fieldId="{d7f9728f-260c-4637-9b93-3ee06bc0d6bc}" ma:sspId="b6206a2c-5ee7-4d50-b3ee-2668e744af9d" ma:termSetId="519f67bf-e7ac-413a-9b70-b55ecf9bb31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32a0cde-abb2-4efc-8c60-3b06426b5a79" elementFormDefault="qualified">
    <xsd:import namespace="http://schemas.microsoft.com/office/2006/documentManagement/types"/>
    <xsd:import namespace="http://schemas.microsoft.com/office/infopath/2007/PartnerControls"/>
    <xsd:element name="MediaServiceMetadata" ma:index="18" nillable="true" ma:displayName="MediaServiceMetadata" ma:hidden="true" ma:internalName="MediaServiceMetadata" ma:readOnly="true">
      <xsd:simpleType>
        <xsd:restriction base="dms:Note"/>
      </xsd:simpleType>
    </xsd:element>
    <xsd:element name="MediaServiceFastMetadata" ma:index="19" nillable="true" ma:displayName="MediaServiceFastMetadata" ma:hidden="true" ma:internalName="MediaServiceFastMetadata"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5AE6EB-A8D4-4D9D-8D6C-A552C96C0E4C}">
  <ds:schemaRefs>
    <ds:schemaRef ds:uri="http://schemas.microsoft.com/sharepoint/v3/contenttype/forms"/>
  </ds:schemaRefs>
</ds:datastoreItem>
</file>

<file path=customXml/itemProps2.xml><?xml version="1.0" encoding="utf-8"?>
<ds:datastoreItem xmlns:ds="http://schemas.openxmlformats.org/officeDocument/2006/customXml" ds:itemID="{5218A426-2293-4A07-8069-76989BF31193}">
  <ds:schemaRefs>
    <ds:schemaRef ds:uri="http://schemas.openxmlformats.org/officeDocument/2006/bibliography"/>
  </ds:schemaRefs>
</ds:datastoreItem>
</file>

<file path=customXml/itemProps3.xml><?xml version="1.0" encoding="utf-8"?>
<ds:datastoreItem xmlns:ds="http://schemas.openxmlformats.org/officeDocument/2006/customXml" ds:itemID="{297BCF5D-ECED-40B9-848C-61973DAC72C5}">
  <ds:schemaRefs>
    <ds:schemaRef ds:uri="http://schemas.microsoft.com/office/2006/metadata/properties"/>
    <ds:schemaRef ds:uri="http://schemas.microsoft.com/office/infopath/2007/PartnerControls"/>
    <ds:schemaRef ds:uri="ffe4b66e-8ed7-4886-ace9-ed890174e4d2"/>
    <ds:schemaRef ds:uri="http://schemas.microsoft.com/sharepoint/v3"/>
  </ds:schemaRefs>
</ds:datastoreItem>
</file>

<file path=customXml/itemProps4.xml><?xml version="1.0" encoding="utf-8"?>
<ds:datastoreItem xmlns:ds="http://schemas.openxmlformats.org/officeDocument/2006/customXml" ds:itemID="{E4E00BEF-4FE5-456E-AF5D-53EEDCBF8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fe4b66e-8ed7-4886-ace9-ed890174e4d2"/>
    <ds:schemaRef ds:uri="432a0cde-abb2-4efc-8c60-3b06426b5a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788632b-1377-4314-aac5-af7281e8e760}" enabled="1" method="Privileged" siteId="{8f73f427-32e5-4a3b-8d42-b369b956a96b}" removed="0"/>
</clbl:labelList>
</file>

<file path=docProps/app.xml><?xml version="1.0" encoding="utf-8"?>
<Properties xmlns="http://schemas.openxmlformats.org/officeDocument/2006/extended-properties" xmlns:vt="http://schemas.openxmlformats.org/officeDocument/2006/docPropsVTypes">
  <Template>Normal.dotm</Template>
  <TotalTime>20</TotalTime>
  <Pages>3</Pages>
  <Words>1188</Words>
  <Characters>6774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Riley</dc:creator>
  <cp:keywords/>
  <dc:description/>
  <cp:lastModifiedBy>Murray, Matt</cp:lastModifiedBy>
  <cp:revision>18</cp:revision>
  <cp:lastPrinted>2025-07-23T22:15:00Z</cp:lastPrinted>
  <dcterms:created xsi:type="dcterms:W3CDTF">2026-01-09T00:14:00Z</dcterms:created>
  <dcterms:modified xsi:type="dcterms:W3CDTF">2026-09-11T06:02:00Z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0x0101007A68894BE1511F4A823305668349867B</vt:lpwstr>
  </property>
  <property fmtid="{D5CDD505-2E9C-101B-9397-08002B2CF9AE}" pid="3" name="MediaServiceImageTags">
    <vt:lpwstr/>
  </property>
  <property fmtid="{D5CDD505-2E9C-101B-9397-08002B2CF9AE}" pid="4" name="ClassificationContentMarkingHeaderShapeIds">
    <vt:lpwstr>4cdbd567,2326aac5,4eab0c10</vt:lpwstr>
  </property>
  <property fmtid="{D5CDD505-2E9C-101B-9397-08002B2CF9AE}" pid="5" name="ClassificationContentMarkingHeaderFontProps">
    <vt:lpwstr>#c00000,12,Calibri</vt:lpwstr>
  </property>
  <property fmtid="{D5CDD505-2E9C-101B-9397-08002B2CF9AE}" pid="6" name="ClassificationContentMarkingHeaderText">
    <vt:lpwstr>OFFICIAL</vt:lpwstr>
  </property>
  <property fmtid="{D5CDD505-2E9C-101B-9397-08002B2CF9AE}" pid="7" name="ClassificationContentMarkingFooterShapeIds">
    <vt:lpwstr>5e20f062,40b5d0fa,598c4883</vt:lpwstr>
  </property>
  <property fmtid="{D5CDD505-2E9C-101B-9397-08002B2CF9AE}" pid="8" name="ClassificationContentMarkingFooterFontProps">
    <vt:lpwstr>#c00000,12,Calibri</vt:lpwstr>
  </property>
  <property fmtid="{D5CDD505-2E9C-101B-9397-08002B2CF9AE}" pid="9" name="ClassificationContentMarkingFooterText">
    <vt:lpwstr>OFFICIAL</vt:lpwstr>
  </property>
  <property fmtid="{D5CDD505-2E9C-101B-9397-08002B2CF9AE}" pid="10" name="Stratus_WorkActivity">
    <vt:lpwstr>48;#Review|b1cbb98d-d863-4e82-8932-4b5b7fac7fe3</vt:lpwstr>
  </property>
  <property fmtid="{D5CDD505-2E9C-101B-9397-08002B2CF9AE}" pid="11" name="Stratus_Year">
    <vt:lpwstr/>
  </property>
  <property fmtid="{D5CDD505-2E9C-101B-9397-08002B2CF9AE}" pid="12" name="Stratus_DocumentType">
    <vt:lpwstr>59;#Terms of Reference|0e4ffc82-aee6-4cc8-abc1-bef8d7f110a4</vt:lpwstr>
  </property>
  <property fmtid="{D5CDD505-2E9C-101B-9397-08002B2CF9AE}" pid="13" name="Stratus_SecurityClassification">
    <vt:lpwstr>1;#OFFICIAL|1077e141-03cb-4307-8c0f-d43dc85f509f</vt:lpwstr>
  </property>
  <property fmtid="{D5CDD505-2E9C-101B-9397-08002B2CF9AE}" pid="14" name="docLang">
    <vt:lpwstr>en</vt:lpwstr>
  </property>
</Properties>
</file>