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44911604" w:displacedByCustomXml="next"/>
    <w:bookmarkEnd w:id="0" w:displacedByCustomXml="next"/>
    <w:bookmarkStart w:id="1" w:name="_Toc155176735" w:displacedByCustomXml="next"/>
    <w:bookmarkEnd w:id="1" w:displacedByCustomXml="next"/>
    <w:sdt>
      <w:sdtPr>
        <w:rPr>
          <w:rFonts w:eastAsiaTheme="minorEastAsia"/>
          <w:color w:val="001B35" w:themeColor="background2"/>
          <w:sz w:val="22"/>
        </w:rPr>
        <w:id w:val="-2088995269"/>
        <w:docPartObj>
          <w:docPartGallery w:val="Cover Pages"/>
          <w:docPartUnique/>
        </w:docPartObj>
      </w:sdtPr>
      <w:sdtEndPr>
        <w:rPr>
          <w:sz w:val="40"/>
          <w:szCs w:val="40"/>
        </w:rPr>
      </w:sdtEndPr>
      <w:sdtContent>
        <w:sdt>
          <w:sdtPr>
            <w:rPr>
              <w:rFonts w:eastAsiaTheme="minorEastAsia"/>
              <w:color w:val="001B35" w:themeColor="background2"/>
              <w:sz w:val="40"/>
              <w:szCs w:val="40"/>
            </w:rPr>
            <w:id w:val="1132907911"/>
            <w:docPartObj>
              <w:docPartGallery w:val="Cover Pages"/>
              <w:docPartUnique/>
            </w:docPartObj>
          </w:sdtPr>
          <w:sdtContent>
            <w:p w14:paraId="5370865B" w14:textId="729433F4" w:rsidR="00A46BD6" w:rsidRPr="0008462E" w:rsidRDefault="00A46BD6" w:rsidP="0008462E">
              <w:pPr>
                <w:jc w:val="right"/>
                <w:rPr>
                  <w:rFonts w:ascii="Arial" w:eastAsia="Calibri" w:hAnsi="Arial" w:cs="Arial"/>
                  <w:b/>
                  <w:bCs/>
                  <w:sz w:val="22"/>
                </w:rPr>
              </w:pPr>
            </w:p>
            <w:p w14:paraId="2E2AF48E" w14:textId="4804F061" w:rsidR="001A5161" w:rsidRPr="007F4DEE" w:rsidRDefault="001A5161" w:rsidP="001A5161">
              <w:pPr>
                <w:pStyle w:val="Heading1"/>
              </w:pPr>
              <w:r>
                <w:t xml:space="preserve">NOPSEMA </w:t>
              </w:r>
              <w:r w:rsidR="00A46BD6">
                <w:t>Statutory R</w:t>
              </w:r>
              <w:r>
                <w:t>eview</w:t>
              </w:r>
            </w:p>
            <w:p w14:paraId="08E21CCD" w14:textId="494C714B" w:rsidR="002F60C0" w:rsidRPr="00090DDB" w:rsidRDefault="001A5161" w:rsidP="00A405FA">
              <w:pPr>
                <w:pStyle w:val="Subtitle"/>
                <w:spacing w:after="480"/>
              </w:pPr>
              <w:r>
                <w:t>Terms of Reference</w:t>
              </w:r>
            </w:p>
          </w:sdtContent>
        </w:sdt>
      </w:sdtContent>
    </w:sdt>
    <w:p w14:paraId="26405E22" w14:textId="2CB36CD0" w:rsidR="00C27CB3" w:rsidRDefault="005109BF" w:rsidP="00C27CB3">
      <w:pPr>
        <w:pStyle w:val="Heading4"/>
      </w:pPr>
      <w:bookmarkStart w:id="2" w:name="_Toc144911608"/>
      <w:bookmarkStart w:id="3" w:name="_Toc155176736"/>
      <w:bookmarkStart w:id="4" w:name="_Toc19023741"/>
      <w:bookmarkStart w:id="5" w:name="_Hlk155189889"/>
      <w:r>
        <w:t xml:space="preserve">Legislative </w:t>
      </w:r>
      <w:r w:rsidR="001A5161">
        <w:t>c</w:t>
      </w:r>
      <w:r>
        <w:t>ontext</w:t>
      </w:r>
      <w:r w:rsidR="00C27CB3">
        <w:t xml:space="preserve"> </w:t>
      </w:r>
    </w:p>
    <w:p w14:paraId="0738A6E3" w14:textId="3BBE0EF7" w:rsidR="001F02B9" w:rsidRDefault="001F02B9" w:rsidP="001F02B9">
      <w:r>
        <w:t xml:space="preserve">Under </w:t>
      </w:r>
      <w:r w:rsidR="008F70D5">
        <w:t>s</w:t>
      </w:r>
      <w:r>
        <w:t>ection 695</w:t>
      </w:r>
      <w:r w:rsidR="5F0DAC17">
        <w:t>(1)</w:t>
      </w:r>
      <w:r w:rsidR="00440982">
        <w:t xml:space="preserve"> </w:t>
      </w:r>
      <w:r>
        <w:t xml:space="preserve">of the </w:t>
      </w:r>
      <w:r w:rsidRPr="49AF15DC">
        <w:rPr>
          <w:i/>
          <w:iCs/>
        </w:rPr>
        <w:t xml:space="preserve">Offshore Petroleum and Greenhouse Gas Storage Act 2006 </w:t>
      </w:r>
      <w:r>
        <w:t>(</w:t>
      </w:r>
      <w:r w:rsidR="0055737A">
        <w:t xml:space="preserve">the </w:t>
      </w:r>
      <w:r>
        <w:t xml:space="preserve">Act) the responsible Commonwealth Minister must cause to be conducted </w:t>
      </w:r>
      <w:r w:rsidR="00503B83">
        <w:t xml:space="preserve">a </w:t>
      </w:r>
      <w:r>
        <w:t xml:space="preserve">review of the operation of </w:t>
      </w:r>
      <w:r w:rsidR="53EA1175">
        <w:t xml:space="preserve">the </w:t>
      </w:r>
      <w:r>
        <w:t>National Offshore Petroleum Safety and Environmental Management Authority (NOPSEMA).</w:t>
      </w:r>
    </w:p>
    <w:p w14:paraId="3ABA60ED" w14:textId="7E5BDB1D" w:rsidR="00503B83" w:rsidRDefault="00503B83" w:rsidP="00503B83">
      <w:r>
        <w:t xml:space="preserve">The Act requires that the review will relate to the 5-year period of 1 January 2020 to 31 December 2024. </w:t>
      </w:r>
    </w:p>
    <w:p w14:paraId="11837CDD" w14:textId="6AE1E16B" w:rsidR="00503B83" w:rsidRDefault="00503B83" w:rsidP="00386058">
      <w:pPr>
        <w:pStyle w:val="Heading4"/>
      </w:pPr>
      <w:bookmarkStart w:id="6" w:name="_Hlk219204134"/>
      <w:r>
        <w:t>Timeframes</w:t>
      </w:r>
    </w:p>
    <w:p w14:paraId="73E1F7A6" w14:textId="18AB107C" w:rsidR="00503B83" w:rsidRPr="00503B83" w:rsidRDefault="00503B83" w:rsidP="00503B83">
      <w:bookmarkStart w:id="7" w:name="_Hlk219204173"/>
      <w:bookmarkEnd w:id="6"/>
      <w:r>
        <w:t xml:space="preserve">The Review will commence on the date that is announced by the responsible Commonwealth Minister and be completed within six-months of this date. </w:t>
      </w:r>
    </w:p>
    <w:bookmarkEnd w:id="7"/>
    <w:p w14:paraId="6B6B67A6" w14:textId="70EEBADC" w:rsidR="00386058" w:rsidRDefault="00503B83" w:rsidP="00386058">
      <w:pPr>
        <w:pStyle w:val="Heading4"/>
      </w:pPr>
      <w:r>
        <w:t>Roles and responsibilities</w:t>
      </w:r>
    </w:p>
    <w:p w14:paraId="12743BB3" w14:textId="25C4E4DA" w:rsidR="00386058" w:rsidRPr="004867E9" w:rsidRDefault="00386058" w:rsidP="00386058">
      <w:pPr>
        <w:pStyle w:val="Heading4"/>
        <w:rPr>
          <w:rFonts w:asciiTheme="minorHAnsi" w:eastAsiaTheme="minorHAnsi" w:hAnsiTheme="minorHAnsi" w:cstheme="minorBidi"/>
          <w:iCs w:val="0"/>
          <w:color w:val="auto"/>
          <w:sz w:val="20"/>
          <w:szCs w:val="22"/>
        </w:rPr>
      </w:pPr>
      <w:r w:rsidRPr="004867E9">
        <w:rPr>
          <w:rFonts w:asciiTheme="minorHAnsi" w:eastAsiaTheme="minorHAnsi" w:hAnsiTheme="minorHAnsi" w:cstheme="minorBidi"/>
          <w:iCs w:val="0"/>
          <w:color w:val="auto"/>
          <w:sz w:val="20"/>
          <w:szCs w:val="22"/>
        </w:rPr>
        <w:t>The review will be led by a Head of Review</w:t>
      </w:r>
      <w:r w:rsidR="00503B83">
        <w:rPr>
          <w:rFonts w:asciiTheme="minorHAnsi" w:eastAsiaTheme="minorHAnsi" w:hAnsiTheme="minorHAnsi" w:cstheme="minorBidi"/>
          <w:iCs w:val="0"/>
          <w:color w:val="auto"/>
          <w:sz w:val="20"/>
          <w:szCs w:val="22"/>
        </w:rPr>
        <w:t xml:space="preserve"> appointed by the responsible Commonwealth Minister</w:t>
      </w:r>
      <w:r w:rsidRPr="004867E9">
        <w:rPr>
          <w:rFonts w:asciiTheme="minorHAnsi" w:eastAsiaTheme="minorHAnsi" w:hAnsiTheme="minorHAnsi" w:cstheme="minorBidi"/>
          <w:iCs w:val="0"/>
          <w:color w:val="auto"/>
          <w:sz w:val="20"/>
          <w:szCs w:val="22"/>
        </w:rPr>
        <w:t xml:space="preserve">, supported by a Secretariat within the Department of Industry, Science and Resources. The Head of Review will be responsible for </w:t>
      </w:r>
      <w:r w:rsidR="00FC37CC">
        <w:rPr>
          <w:rFonts w:asciiTheme="minorHAnsi" w:eastAsiaTheme="minorHAnsi" w:hAnsiTheme="minorHAnsi" w:cstheme="minorBidi"/>
          <w:iCs w:val="0"/>
          <w:color w:val="auto"/>
          <w:sz w:val="20"/>
          <w:szCs w:val="22"/>
        </w:rPr>
        <w:t xml:space="preserve">leading the reviews and </w:t>
      </w:r>
      <w:r w:rsidRPr="004867E9">
        <w:rPr>
          <w:rFonts w:asciiTheme="minorHAnsi" w:eastAsiaTheme="minorHAnsi" w:hAnsiTheme="minorHAnsi" w:cstheme="minorBidi"/>
          <w:iCs w:val="0"/>
          <w:color w:val="auto"/>
          <w:sz w:val="20"/>
          <w:szCs w:val="22"/>
        </w:rPr>
        <w:t xml:space="preserve">delivering the findings and recommendations to the </w:t>
      </w:r>
      <w:r w:rsidR="004057F8">
        <w:rPr>
          <w:rFonts w:asciiTheme="minorHAnsi" w:eastAsiaTheme="minorHAnsi" w:hAnsiTheme="minorHAnsi" w:cstheme="minorBidi"/>
          <w:iCs w:val="0"/>
          <w:color w:val="auto"/>
          <w:sz w:val="20"/>
          <w:szCs w:val="22"/>
        </w:rPr>
        <w:t>Government</w:t>
      </w:r>
      <w:r w:rsidRPr="004867E9">
        <w:rPr>
          <w:rFonts w:asciiTheme="minorHAnsi" w:eastAsiaTheme="minorHAnsi" w:hAnsiTheme="minorHAnsi" w:cstheme="minorBidi"/>
          <w:iCs w:val="0"/>
          <w:color w:val="auto"/>
          <w:sz w:val="20"/>
          <w:szCs w:val="22"/>
        </w:rPr>
        <w:t>.</w:t>
      </w:r>
    </w:p>
    <w:p w14:paraId="45F71534" w14:textId="6AF8153B" w:rsidR="00C27CB3" w:rsidRDefault="003B13D3" w:rsidP="00C27CB3">
      <w:pPr>
        <w:pStyle w:val="Heading4"/>
      </w:pPr>
      <w:r>
        <w:t xml:space="preserve">Purpose and </w:t>
      </w:r>
      <w:r w:rsidR="001A5161">
        <w:t>s</w:t>
      </w:r>
      <w:r w:rsidR="005109BF">
        <w:t>cope</w:t>
      </w:r>
    </w:p>
    <w:p w14:paraId="1F729BEE" w14:textId="6AB31564" w:rsidR="001F02B9" w:rsidRDefault="001F02B9" w:rsidP="001F02B9">
      <w:r w:rsidRPr="006407F4">
        <w:t>The</w:t>
      </w:r>
      <w:r>
        <w:t xml:space="preserve"> </w:t>
      </w:r>
      <w:r w:rsidRPr="006407F4">
        <w:t>review</w:t>
      </w:r>
      <w:r>
        <w:t xml:space="preserve"> of operations of NOPSEMA </w:t>
      </w:r>
      <w:r w:rsidRPr="006407F4">
        <w:t>come</w:t>
      </w:r>
      <w:r w:rsidR="00D51B5B">
        <w:t>s</w:t>
      </w:r>
      <w:r w:rsidRPr="006407F4">
        <w:t xml:space="preserve"> at a time where the adaptability of </w:t>
      </w:r>
      <w:r w:rsidR="00A6529B">
        <w:t xml:space="preserve">the </w:t>
      </w:r>
      <w:r w:rsidRPr="006407F4">
        <w:t xml:space="preserve">regulator to a rapidly changing economic, technological and regulatory environment is critical. This is particularly important given the significance of the resources sector to the Australian economy and the role it will play in achieving net zero. </w:t>
      </w:r>
      <w:r>
        <w:t xml:space="preserve">The review will </w:t>
      </w:r>
      <w:r w:rsidRPr="006407F4">
        <w:t>provide</w:t>
      </w:r>
      <w:r>
        <w:t xml:space="preserve"> </w:t>
      </w:r>
      <w:r w:rsidRPr="006407F4">
        <w:t xml:space="preserve">government with an opportunity to consider whether </w:t>
      </w:r>
      <w:r>
        <w:t>NOPSEMA is</w:t>
      </w:r>
      <w:r w:rsidRPr="006407F4">
        <w:t xml:space="preserve"> operating effectively and appropriately equipped to manage current and emerging challenges. </w:t>
      </w:r>
    </w:p>
    <w:p w14:paraId="24120225" w14:textId="3F98DC9A" w:rsidR="00242351" w:rsidRDefault="001F02B9" w:rsidP="001F02B9">
      <w:r w:rsidRPr="6A11651C">
        <w:t>In accordance with section 695 of the</w:t>
      </w:r>
      <w:r>
        <w:t xml:space="preserve"> </w:t>
      </w:r>
      <w:r w:rsidRPr="6A11651C">
        <w:t xml:space="preserve">Act, the </w:t>
      </w:r>
      <w:r w:rsidRPr="00977E62">
        <w:t>review of operations of NOPSEMA</w:t>
      </w:r>
      <w:r w:rsidR="00F270C3">
        <w:t xml:space="preserve"> </w:t>
      </w:r>
      <w:r w:rsidR="00440E47">
        <w:t>must include</w:t>
      </w:r>
      <w:r w:rsidR="00F270C3">
        <w:t>:</w:t>
      </w:r>
    </w:p>
    <w:p w14:paraId="2971C7DD" w14:textId="3B2FB62C" w:rsidR="001F02B9" w:rsidRPr="00BF764D" w:rsidRDefault="00386058" w:rsidP="00100239">
      <w:pPr>
        <w:pStyle w:val="ListParagraph"/>
        <w:numPr>
          <w:ilvl w:val="0"/>
          <w:numId w:val="13"/>
        </w:numPr>
        <w:spacing w:after="160" w:line="278" w:lineRule="auto"/>
        <w:contextualSpacing/>
      </w:pPr>
      <w:r>
        <w:t>A</w:t>
      </w:r>
      <w:r w:rsidR="001F02B9">
        <w:t>n assessment of the effectiveness of NOPSEMA</w:t>
      </w:r>
      <w:r w:rsidR="001F02B9" w:rsidRPr="001F02B9">
        <w:t xml:space="preserve"> </w:t>
      </w:r>
      <w:r w:rsidR="001F02B9">
        <w:t>in b</w:t>
      </w:r>
      <w:r w:rsidR="001F02B9" w:rsidRPr="6A11651C">
        <w:t>ringing about improvements in:</w:t>
      </w:r>
    </w:p>
    <w:p w14:paraId="0D0D3651" w14:textId="766D0DB6" w:rsidR="001F02B9" w:rsidRPr="00BF764D" w:rsidRDefault="001F02B9" w:rsidP="00100239">
      <w:pPr>
        <w:pStyle w:val="ListParagraph"/>
        <w:numPr>
          <w:ilvl w:val="1"/>
          <w:numId w:val="13"/>
        </w:numPr>
        <w:spacing w:after="160" w:line="278" w:lineRule="auto"/>
        <w:contextualSpacing/>
      </w:pPr>
      <w:r w:rsidRPr="6A11651C">
        <w:t>The occupational health and safety of persons engaged in offshore petroleum operations or offshore greenhouse has storage operations</w:t>
      </w:r>
      <w:r>
        <w:t>.</w:t>
      </w:r>
    </w:p>
    <w:p w14:paraId="4EE96A69" w14:textId="77777777" w:rsidR="001F02B9" w:rsidRPr="00BF764D" w:rsidRDefault="001F02B9" w:rsidP="00100239">
      <w:pPr>
        <w:pStyle w:val="ListParagraph"/>
        <w:numPr>
          <w:ilvl w:val="1"/>
          <w:numId w:val="13"/>
        </w:numPr>
        <w:spacing w:after="160" w:line="278" w:lineRule="auto"/>
        <w:contextualSpacing/>
      </w:pPr>
      <w:r w:rsidRPr="6A11651C">
        <w:t>The structural integrity of facilities, wells and well-related equipment</w:t>
      </w:r>
      <w:r>
        <w:t>.</w:t>
      </w:r>
    </w:p>
    <w:p w14:paraId="6BA425B1" w14:textId="77777777" w:rsidR="001F02B9" w:rsidRPr="00BF764D" w:rsidRDefault="001F02B9" w:rsidP="00100239">
      <w:pPr>
        <w:pStyle w:val="ListParagraph"/>
        <w:numPr>
          <w:ilvl w:val="1"/>
          <w:numId w:val="13"/>
        </w:numPr>
        <w:spacing w:after="160" w:line="278" w:lineRule="auto"/>
        <w:contextualSpacing/>
      </w:pPr>
      <w:r w:rsidRPr="6A11651C">
        <w:t>Offshore petroleum environmental management</w:t>
      </w:r>
      <w:r>
        <w:t>.</w:t>
      </w:r>
    </w:p>
    <w:p w14:paraId="1346F88E" w14:textId="77777777" w:rsidR="001F02B9" w:rsidRPr="00BF764D" w:rsidRDefault="001F02B9" w:rsidP="00100239">
      <w:pPr>
        <w:pStyle w:val="ListParagraph"/>
        <w:numPr>
          <w:ilvl w:val="1"/>
          <w:numId w:val="13"/>
        </w:numPr>
        <w:spacing w:after="160" w:line="278" w:lineRule="auto"/>
        <w:contextualSpacing/>
      </w:pPr>
      <w:r w:rsidRPr="6A11651C">
        <w:t>Offshore greenhouse gas storage environmental management.</w:t>
      </w:r>
    </w:p>
    <w:p w14:paraId="25A32221" w14:textId="19DD61B4" w:rsidR="00CC088C" w:rsidRDefault="00CC088C" w:rsidP="00CC088C">
      <w:r>
        <w:t>In the context of the Act and regulations, including the legislated functions of NOPSEMA across both petroleum and greenhouse gas functions, this review will consider, assess and provide recommendations in relation to:</w:t>
      </w:r>
    </w:p>
    <w:p w14:paraId="6FD8FBB5" w14:textId="0D52BD99" w:rsidR="008D2484" w:rsidRDefault="008D2484" w:rsidP="003321B4">
      <w:pPr>
        <w:pStyle w:val="ListParagraph"/>
        <w:numPr>
          <w:ilvl w:val="0"/>
          <w:numId w:val="13"/>
        </w:numPr>
        <w:spacing w:before="160" w:after="160" w:line="278" w:lineRule="auto"/>
        <w:ind w:left="714" w:hanging="357"/>
      </w:pPr>
      <w:r>
        <w:t xml:space="preserve">The efficiency and effectiveness of NOPSEMA’s </w:t>
      </w:r>
      <w:r w:rsidR="00F87FBD">
        <w:t xml:space="preserve">application, assessment and </w:t>
      </w:r>
      <w:r>
        <w:t xml:space="preserve">approvals processes, </w:t>
      </w:r>
      <w:r w:rsidR="00F87FBD">
        <w:t>including</w:t>
      </w:r>
      <w:r>
        <w:t>:</w:t>
      </w:r>
    </w:p>
    <w:p w14:paraId="0D0237DD" w14:textId="306C9392" w:rsidR="00DA3725" w:rsidRDefault="00DA3725" w:rsidP="00DA3725">
      <w:pPr>
        <w:pStyle w:val="ListParagraph"/>
        <w:numPr>
          <w:ilvl w:val="1"/>
          <w:numId w:val="13"/>
        </w:numPr>
        <w:spacing w:after="160" w:line="278" w:lineRule="auto"/>
        <w:contextualSpacing/>
      </w:pPr>
      <w:r>
        <w:t xml:space="preserve">Regulatory approval timeframes, including </w:t>
      </w:r>
      <w:r w:rsidR="002D558D">
        <w:t xml:space="preserve">internal </w:t>
      </w:r>
      <w:r>
        <w:t>systems and procedures to support timely decision-making and any bottlenecks or inefficiencies.</w:t>
      </w:r>
    </w:p>
    <w:p w14:paraId="77C8DB7E" w14:textId="77777777" w:rsidR="000314A0" w:rsidRDefault="000314A0" w:rsidP="000314A0">
      <w:pPr>
        <w:pStyle w:val="ListParagraph"/>
        <w:numPr>
          <w:ilvl w:val="1"/>
          <w:numId w:val="13"/>
        </w:numPr>
        <w:spacing w:after="160" w:line="278" w:lineRule="auto"/>
        <w:contextualSpacing/>
      </w:pPr>
      <w:r>
        <w:lastRenderedPageBreak/>
        <w:t>How regulatory approvals are progressed and managed, including application tracking, documentation and record-keeping practices and decision-making.</w:t>
      </w:r>
    </w:p>
    <w:p w14:paraId="1AD45C69" w14:textId="77777777" w:rsidR="00BD5ED0" w:rsidRDefault="00AC75CB" w:rsidP="00BD5ED0">
      <w:pPr>
        <w:pStyle w:val="ListParagraph"/>
        <w:numPr>
          <w:ilvl w:val="1"/>
          <w:numId w:val="13"/>
        </w:numPr>
        <w:spacing w:after="160" w:line="278" w:lineRule="auto"/>
        <w:contextualSpacing/>
      </w:pPr>
      <w:r>
        <w:t>Knowledge sharing, training and assurance procedures and whether these are sufficient to support consistent and timely decision-making</w:t>
      </w:r>
      <w:r w:rsidR="000F21EB">
        <w:t>.</w:t>
      </w:r>
    </w:p>
    <w:p w14:paraId="4CD05851" w14:textId="17DCDCBD" w:rsidR="008D2484" w:rsidRDefault="003F4E17" w:rsidP="00F92E10">
      <w:pPr>
        <w:pStyle w:val="ListParagraph"/>
        <w:numPr>
          <w:ilvl w:val="1"/>
          <w:numId w:val="13"/>
        </w:numPr>
        <w:spacing w:after="160" w:line="278" w:lineRule="auto"/>
        <w:ind w:left="1434" w:hanging="357"/>
      </w:pPr>
      <w:r>
        <w:t>O</w:t>
      </w:r>
      <w:r w:rsidR="008D2484">
        <w:t>pportunities for process improvement to support efficient and transparent regulatory outcomes.</w:t>
      </w:r>
    </w:p>
    <w:p w14:paraId="3C035EA7" w14:textId="6473E2CA" w:rsidR="001F02B9" w:rsidRPr="009A1B7B" w:rsidRDefault="001F02B9" w:rsidP="003321B4">
      <w:pPr>
        <w:pStyle w:val="ListParagraph"/>
        <w:numPr>
          <w:ilvl w:val="0"/>
          <w:numId w:val="13"/>
        </w:numPr>
        <w:spacing w:before="160" w:after="160" w:line="278" w:lineRule="auto"/>
        <w:ind w:left="714" w:hanging="357"/>
      </w:pPr>
      <w:r>
        <w:t>The</w:t>
      </w:r>
      <w:r w:rsidRPr="6A11651C">
        <w:t xml:space="preserve"> extent to which NOP</w:t>
      </w:r>
      <w:r>
        <w:t>SEMA’s</w:t>
      </w:r>
      <w:r w:rsidRPr="6A11651C">
        <w:t xml:space="preserve"> interpretation and exercise of its legislative powers aligns with the intent of the Act</w:t>
      </w:r>
      <w:r w:rsidR="003513F7">
        <w:t xml:space="preserve">. This </w:t>
      </w:r>
      <w:r w:rsidR="000E7743">
        <w:t>is to consider NOPSEMA’s:</w:t>
      </w:r>
    </w:p>
    <w:p w14:paraId="5CF85383" w14:textId="252C1619" w:rsidR="008A64CF" w:rsidRPr="000F18C3" w:rsidRDefault="008A64CF" w:rsidP="004843B9">
      <w:pPr>
        <w:pStyle w:val="ListParagraph"/>
        <w:numPr>
          <w:ilvl w:val="1"/>
          <w:numId w:val="13"/>
        </w:numPr>
        <w:spacing w:after="160" w:line="278" w:lineRule="auto"/>
        <w:contextualSpacing/>
      </w:pPr>
      <w:r w:rsidRPr="000F18C3">
        <w:t>Interpretation of its legislative power and how this influences its approach</w:t>
      </w:r>
      <w:r>
        <w:t>,</w:t>
      </w:r>
      <w:r w:rsidRPr="000F18C3">
        <w:t xml:space="preserve"> including whether there is scope for greater flexibility</w:t>
      </w:r>
      <w:r>
        <w:t xml:space="preserve"> while maintaining </w:t>
      </w:r>
      <w:r w:rsidR="005C3116">
        <w:t xml:space="preserve">its regulatory requirements under the </w:t>
      </w:r>
      <w:r>
        <w:t>Act.</w:t>
      </w:r>
    </w:p>
    <w:p w14:paraId="1D9F9ED7" w14:textId="5AD0907E" w:rsidR="008A59E5" w:rsidRDefault="008A64CF" w:rsidP="008A59E5">
      <w:pPr>
        <w:pStyle w:val="ListParagraph"/>
        <w:numPr>
          <w:ilvl w:val="1"/>
          <w:numId w:val="13"/>
        </w:numPr>
        <w:spacing w:after="160" w:line="278" w:lineRule="auto"/>
        <w:ind w:left="1434" w:hanging="357"/>
      </w:pPr>
      <w:r w:rsidRPr="000F18C3">
        <w:t xml:space="preserve">Understanding of how its advice and expertise informs broader policy and decision making, including to support the </w:t>
      </w:r>
      <w:r w:rsidR="004057F8">
        <w:t>Government</w:t>
      </w:r>
      <w:r w:rsidRPr="000F18C3">
        <w:t xml:space="preserve"> achieve its objectives.</w:t>
      </w:r>
    </w:p>
    <w:p w14:paraId="6253C640" w14:textId="21ABA13B" w:rsidR="00EC0FAF" w:rsidRPr="00BF764D" w:rsidRDefault="00EC0FAF" w:rsidP="00EC0FAF">
      <w:pPr>
        <w:pStyle w:val="ListParagraph"/>
        <w:numPr>
          <w:ilvl w:val="0"/>
          <w:numId w:val="13"/>
        </w:numPr>
        <w:spacing w:before="160" w:after="160" w:line="278" w:lineRule="auto"/>
        <w:ind w:left="714" w:hanging="357"/>
      </w:pPr>
      <w:r w:rsidRPr="6A11651C">
        <w:t>The effectiveness of NOPSEMA’s compliance, monitoring and enforcement activities</w:t>
      </w:r>
      <w:r w:rsidR="0064626B">
        <w:t xml:space="preserve"> in line with its legislative </w:t>
      </w:r>
      <w:r w:rsidR="00880C35">
        <w:t xml:space="preserve">remit for these activities and </w:t>
      </w:r>
      <w:r w:rsidRPr="6A11651C">
        <w:t>considering:</w:t>
      </w:r>
    </w:p>
    <w:p w14:paraId="42E98082" w14:textId="50661CDB" w:rsidR="00EC0FAF" w:rsidRDefault="008F6336" w:rsidP="00EC0FAF">
      <w:pPr>
        <w:pStyle w:val="ListParagraph"/>
        <w:numPr>
          <w:ilvl w:val="1"/>
          <w:numId w:val="13"/>
        </w:numPr>
        <w:spacing w:after="160" w:line="278" w:lineRule="auto"/>
        <w:contextualSpacing/>
      </w:pPr>
      <w:r>
        <w:t>H</w:t>
      </w:r>
      <w:r w:rsidR="00EC0FAF" w:rsidRPr="006E58C6">
        <w:t xml:space="preserve">ow compliance, monitoring and enforcement activities have been </w:t>
      </w:r>
      <w:r w:rsidR="00EC0FAF">
        <w:t>conducted</w:t>
      </w:r>
      <w:r w:rsidR="00EC0FAF" w:rsidRPr="006E58C6">
        <w:t xml:space="preserve"> </w:t>
      </w:r>
      <w:r w:rsidR="00EC0FAF">
        <w:t>during the review period</w:t>
      </w:r>
      <w:r w:rsidR="00EC0FAF" w:rsidRPr="006E58C6">
        <w:t>.</w:t>
      </w:r>
    </w:p>
    <w:p w14:paraId="7A8C6925" w14:textId="0A8F24E8" w:rsidR="00881ADC" w:rsidRDefault="00881ADC" w:rsidP="00881ADC">
      <w:pPr>
        <w:pStyle w:val="ListParagraph"/>
        <w:numPr>
          <w:ilvl w:val="1"/>
          <w:numId w:val="13"/>
        </w:numPr>
        <w:spacing w:after="160" w:line="278" w:lineRule="auto"/>
        <w:contextualSpacing/>
      </w:pPr>
      <w:r>
        <w:t>The effectiveness of compliance, monitoring and enforcement activities and reporting mechanisms, including the process for notifying the responsible Commonwealth Minister (where relevant) and the Commonwealth Director of Public Prosecution.</w:t>
      </w:r>
    </w:p>
    <w:p w14:paraId="5EBE347D" w14:textId="6CB3B3A6" w:rsidR="00EC0FAF" w:rsidRDefault="00732735" w:rsidP="00EC0FAF">
      <w:pPr>
        <w:pStyle w:val="ListParagraph"/>
        <w:numPr>
          <w:ilvl w:val="1"/>
          <w:numId w:val="13"/>
        </w:numPr>
        <w:spacing w:after="160" w:line="278" w:lineRule="auto"/>
        <w:contextualSpacing/>
      </w:pPr>
      <w:r>
        <w:t>T</w:t>
      </w:r>
      <w:r w:rsidR="00EC0FAF">
        <w:t xml:space="preserve">he appropriateness </w:t>
      </w:r>
      <w:r>
        <w:t xml:space="preserve">and effectiveness </w:t>
      </w:r>
      <w:r w:rsidR="00EC0FAF">
        <w:t>of systems in place to support compliance and enforcement measures and any adjustments necessary for continuous improvement.</w:t>
      </w:r>
    </w:p>
    <w:p w14:paraId="2BEA940F" w14:textId="356E8D3D" w:rsidR="00732735" w:rsidRDefault="00732735" w:rsidP="00732735">
      <w:pPr>
        <w:pStyle w:val="ListParagraph"/>
        <w:numPr>
          <w:ilvl w:val="2"/>
          <w:numId w:val="13"/>
        </w:numPr>
        <w:spacing w:after="160" w:line="278" w:lineRule="auto"/>
        <w:contextualSpacing/>
      </w:pPr>
      <w:r>
        <w:t>This should consider the process in place with NOPTA to report matters of compliance to NOPSEMA.</w:t>
      </w:r>
    </w:p>
    <w:p w14:paraId="41F08EFB" w14:textId="58878D98" w:rsidR="00EC0FAF" w:rsidRPr="006E58C6" w:rsidRDefault="00EC0FAF" w:rsidP="00EC0FAF">
      <w:pPr>
        <w:pStyle w:val="ListParagraph"/>
        <w:numPr>
          <w:ilvl w:val="1"/>
          <w:numId w:val="13"/>
        </w:numPr>
        <w:spacing w:after="160" w:line="278" w:lineRule="auto"/>
        <w:ind w:left="1434" w:hanging="357"/>
      </w:pPr>
      <w:r>
        <w:t xml:space="preserve">NOPSEMA’s </w:t>
      </w:r>
      <w:r w:rsidR="006F3CBE">
        <w:t xml:space="preserve">proactiveness in taking </w:t>
      </w:r>
      <w:r>
        <w:t>compliance and enforcement action, including any factors that may limit or deter NOPSEMA from responding effectively to non-compliance</w:t>
      </w:r>
      <w:r w:rsidR="00484B70">
        <w:t xml:space="preserve"> matters identified by NOPSEMA or by NOPTA.</w:t>
      </w:r>
    </w:p>
    <w:p w14:paraId="709D1CAC" w14:textId="59C42017" w:rsidR="0080401C" w:rsidRDefault="00690F6A" w:rsidP="0080401C">
      <w:pPr>
        <w:pStyle w:val="ListParagraph"/>
        <w:numPr>
          <w:ilvl w:val="0"/>
          <w:numId w:val="13"/>
        </w:numPr>
        <w:spacing w:before="160" w:after="160" w:line="278" w:lineRule="auto"/>
      </w:pPr>
      <w:r>
        <w:t>T</w:t>
      </w:r>
      <w:r w:rsidRPr="6A11651C">
        <w:t xml:space="preserve">he capacity and capability of NOPSEMA, including </w:t>
      </w:r>
      <w:r w:rsidR="00DB2232" w:rsidRPr="00DB2232">
        <w:t xml:space="preserve">whether it has the right resources, expertise, staffing and organisational </w:t>
      </w:r>
      <w:r w:rsidR="004867E9" w:rsidRPr="00DB2232">
        <w:t>structure to</w:t>
      </w:r>
      <w:r w:rsidRPr="6A11651C">
        <w:t xml:space="preserve"> respond to varying levels of industry activity, support the policy functions</w:t>
      </w:r>
      <w:r w:rsidR="00F92E10">
        <w:t xml:space="preserve"> and strategic priorities</w:t>
      </w:r>
      <w:r w:rsidRPr="6A11651C">
        <w:t xml:space="preserve"> of government and to </w:t>
      </w:r>
      <w:r>
        <w:t xml:space="preserve">address </w:t>
      </w:r>
      <w:r w:rsidRPr="6A11651C">
        <w:t>new technologies and other emerging issues</w:t>
      </w:r>
      <w:r w:rsidR="006D2437">
        <w:t>.</w:t>
      </w:r>
      <w:r w:rsidR="00045EEA">
        <w:t xml:space="preserve"> This should consider:</w:t>
      </w:r>
    </w:p>
    <w:p w14:paraId="45F5ED5C" w14:textId="586CD0C0" w:rsidR="00FD2B7A" w:rsidRDefault="00045EEA" w:rsidP="00FD2B7A">
      <w:pPr>
        <w:pStyle w:val="ListParagraph"/>
        <w:numPr>
          <w:ilvl w:val="1"/>
          <w:numId w:val="13"/>
        </w:numPr>
        <w:spacing w:before="160" w:after="160" w:line="278" w:lineRule="auto"/>
        <w:ind w:left="1434" w:hanging="357"/>
        <w:contextualSpacing/>
      </w:pPr>
      <w:r>
        <w:t>H</w:t>
      </w:r>
      <w:r w:rsidR="00690F6A">
        <w:t xml:space="preserve">ow NOPSEMA’s resourcing, expertise and structure </w:t>
      </w:r>
      <w:r w:rsidR="00DB2232">
        <w:t xml:space="preserve">enables it </w:t>
      </w:r>
      <w:r w:rsidR="00690F6A">
        <w:t>to meet government expectations on key issues.</w:t>
      </w:r>
    </w:p>
    <w:p w14:paraId="32D4B489" w14:textId="2C9F8566" w:rsidR="00FD2B7A" w:rsidRDefault="00FD2B7A" w:rsidP="00FD2B7A">
      <w:pPr>
        <w:pStyle w:val="ListParagraph"/>
        <w:numPr>
          <w:ilvl w:val="1"/>
          <w:numId w:val="13"/>
        </w:numPr>
        <w:spacing w:before="160" w:after="160" w:line="278" w:lineRule="auto"/>
      </w:pPr>
      <w:r>
        <w:t>Any opportunities to improve efficiencies across NOPSEMA.</w:t>
      </w:r>
    </w:p>
    <w:p w14:paraId="20F54037" w14:textId="1E2873FF" w:rsidR="00E236D8" w:rsidRDefault="00040F6C" w:rsidP="7333E22C">
      <w:pPr>
        <w:pStyle w:val="ListParagraph"/>
        <w:numPr>
          <w:ilvl w:val="0"/>
          <w:numId w:val="13"/>
        </w:numPr>
        <w:spacing w:before="160" w:after="160" w:line="278" w:lineRule="auto"/>
        <w:rPr>
          <w:szCs w:val="20"/>
        </w:rPr>
      </w:pPr>
      <w:r>
        <w:t>How NOP</w:t>
      </w:r>
      <w:r w:rsidR="000C4BA5">
        <w:t xml:space="preserve">SEMA </w:t>
      </w:r>
      <w:r>
        <w:t xml:space="preserve">has responded and adjusted its practices following </w:t>
      </w:r>
      <w:r w:rsidR="00F71666">
        <w:t xml:space="preserve">court cases and legislative and </w:t>
      </w:r>
      <w:r>
        <w:t>regulatory amendments, such as the</w:t>
      </w:r>
      <w:r w:rsidR="00671889">
        <w:t xml:space="preserve"> </w:t>
      </w:r>
      <w:r w:rsidR="00E236D8">
        <w:t>Offshore Petroleum and Greenhouse Gas (Safety) Regulations 2024</w:t>
      </w:r>
      <w:r w:rsidR="2E70C6C9">
        <w:t xml:space="preserve">, </w:t>
      </w:r>
      <w:r w:rsidR="2E70C6C9" w:rsidRPr="50D7C4A9">
        <w:rPr>
          <w:rFonts w:ascii="Aptos" w:eastAsia="Aptos" w:hAnsi="Aptos" w:cs="Aptos"/>
          <w:i/>
          <w:iCs/>
          <w:color w:val="000000" w:themeColor="text1"/>
          <w:szCs w:val="20"/>
        </w:rPr>
        <w:t xml:space="preserve">Offshore Petroleum and Greenhouse Gas Storage Amendment (Titles Administration and Other Measures) </w:t>
      </w:r>
      <w:r w:rsidR="000B56BA">
        <w:rPr>
          <w:rFonts w:ascii="Aptos" w:eastAsia="Aptos" w:hAnsi="Aptos" w:cs="Aptos"/>
          <w:i/>
          <w:iCs/>
          <w:color w:val="000000" w:themeColor="text1"/>
          <w:szCs w:val="20"/>
        </w:rPr>
        <w:t>Act</w:t>
      </w:r>
      <w:r w:rsidR="2E70C6C9" w:rsidRPr="50D7C4A9">
        <w:rPr>
          <w:rFonts w:ascii="Aptos" w:eastAsia="Aptos" w:hAnsi="Aptos" w:cs="Aptos"/>
          <w:i/>
          <w:iCs/>
          <w:color w:val="000000" w:themeColor="text1"/>
          <w:szCs w:val="20"/>
        </w:rPr>
        <w:t xml:space="preserve"> 2021</w:t>
      </w:r>
      <w:r w:rsidR="00E236D8">
        <w:t xml:space="preserve"> and the Offshore Petroleum and Greenhouse Gas (Environment) Regulations 2023.</w:t>
      </w:r>
    </w:p>
    <w:p w14:paraId="2CBBD76B" w14:textId="2EA79E49" w:rsidR="000C4BA5" w:rsidRDefault="000C4BA5" w:rsidP="000C4BA5">
      <w:pPr>
        <w:pStyle w:val="ListParagraph"/>
        <w:numPr>
          <w:ilvl w:val="0"/>
          <w:numId w:val="13"/>
        </w:numPr>
        <w:spacing w:after="160" w:line="278" w:lineRule="auto"/>
      </w:pPr>
      <w:r>
        <w:t>The appropriateness of NOPSEMA’s approach to risk identification and management, including if NOPSEMA’s risk tolerance settings influence the exercise of its functions and engagement across the broader government.</w:t>
      </w:r>
      <w:r w:rsidR="005C03F2">
        <w:t xml:space="preserve"> This should also consider:</w:t>
      </w:r>
    </w:p>
    <w:p w14:paraId="2AC45F8E" w14:textId="10F6D18F" w:rsidR="005C03F2" w:rsidRDefault="005C03F2" w:rsidP="005C03F2">
      <w:pPr>
        <w:pStyle w:val="ListParagraph"/>
        <w:numPr>
          <w:ilvl w:val="1"/>
          <w:numId w:val="13"/>
        </w:numPr>
        <w:spacing w:after="160" w:line="278" w:lineRule="auto"/>
      </w:pPr>
      <w:r>
        <w:t>NOPSEMA</w:t>
      </w:r>
      <w:r w:rsidR="00DB2232">
        <w:t>’s approach</w:t>
      </w:r>
      <w:r w:rsidR="0023089B">
        <w:t xml:space="preserve"> </w:t>
      </w:r>
      <w:r>
        <w:t xml:space="preserve">to risk management </w:t>
      </w:r>
      <w:r w:rsidR="00BA2C90">
        <w:t>in relation to oil spill preparedness and</w:t>
      </w:r>
      <w:r w:rsidR="000C6D5B">
        <w:t xml:space="preserve"> processes to ensure companies </w:t>
      </w:r>
      <w:r w:rsidR="000E74B5">
        <w:t>are appropriately to equipped to respond if necessary.</w:t>
      </w:r>
    </w:p>
    <w:p w14:paraId="4C628421" w14:textId="67D21F35" w:rsidR="00E627A2" w:rsidRDefault="00E627A2" w:rsidP="00E627A2">
      <w:pPr>
        <w:pStyle w:val="ListParagraph"/>
        <w:numPr>
          <w:ilvl w:val="1"/>
          <w:numId w:val="13"/>
        </w:numPr>
        <w:spacing w:after="160" w:line="278" w:lineRule="auto"/>
      </w:pPr>
      <w:r>
        <w:lastRenderedPageBreak/>
        <w:t>NOPSEMA</w:t>
      </w:r>
      <w:r w:rsidR="00DB2232">
        <w:t>’s approach</w:t>
      </w:r>
      <w:r>
        <w:t xml:space="preserve"> to risk management in relation to ongoing legal proceedings.</w:t>
      </w:r>
    </w:p>
    <w:p w14:paraId="3DCBB57C" w14:textId="5D84B896" w:rsidR="001C6468" w:rsidRPr="00BF764D" w:rsidRDefault="001C6468" w:rsidP="001C6468">
      <w:pPr>
        <w:pStyle w:val="ListParagraph"/>
        <w:numPr>
          <w:ilvl w:val="0"/>
          <w:numId w:val="13"/>
        </w:numPr>
        <w:spacing w:before="160" w:after="160" w:line="278" w:lineRule="auto"/>
        <w:ind w:left="714" w:hanging="357"/>
      </w:pPr>
      <w:r w:rsidRPr="6A11651C">
        <w:t xml:space="preserve">The </w:t>
      </w:r>
      <w:r>
        <w:t>e</w:t>
      </w:r>
      <w:r w:rsidRPr="6A11651C">
        <w:t>ffectiveness of NOPSEMA</w:t>
      </w:r>
      <w:r>
        <w:t>’s</w:t>
      </w:r>
      <w:r w:rsidRPr="6A11651C">
        <w:t xml:space="preserve"> </w:t>
      </w:r>
      <w:r>
        <w:t xml:space="preserve">communication and </w:t>
      </w:r>
      <w:r w:rsidRPr="6A11651C">
        <w:t>co-operat</w:t>
      </w:r>
      <w:r>
        <w:t>ion</w:t>
      </w:r>
      <w:r w:rsidRPr="6A11651C">
        <w:t xml:space="preserve"> with </w:t>
      </w:r>
      <w:r w:rsidR="001A5C0D">
        <w:t>other</w:t>
      </w:r>
      <w:r w:rsidR="00DE4055">
        <w:t xml:space="preserve"> government regulators, </w:t>
      </w:r>
      <w:r w:rsidRPr="6A11651C">
        <w:t>NOPTA, as well as other Commonwealth</w:t>
      </w:r>
      <w:r w:rsidR="001B65E9">
        <w:t xml:space="preserve"> </w:t>
      </w:r>
      <w:r w:rsidRPr="6A11651C">
        <w:t xml:space="preserve">agencies </w:t>
      </w:r>
      <w:r w:rsidR="001B65E9">
        <w:t>and organisations on</w:t>
      </w:r>
      <w:r w:rsidRPr="6A11651C">
        <w:t xml:space="preserve"> matters related to the administration and enforcement of the Act and its associated regulations</w:t>
      </w:r>
      <w:r w:rsidR="003F48E1">
        <w:t xml:space="preserve">. </w:t>
      </w:r>
      <w:r w:rsidR="00666644">
        <w:t>This should consider:</w:t>
      </w:r>
    </w:p>
    <w:p w14:paraId="4AFE3E59" w14:textId="001E4F9F" w:rsidR="001C6468" w:rsidRDefault="00666644" w:rsidP="001C6468">
      <w:pPr>
        <w:pStyle w:val="ListParagraph"/>
        <w:numPr>
          <w:ilvl w:val="1"/>
          <w:numId w:val="13"/>
        </w:numPr>
        <w:spacing w:after="160" w:line="278" w:lineRule="auto"/>
        <w:ind w:left="1434" w:hanging="357"/>
      </w:pPr>
      <w:r>
        <w:t>T</w:t>
      </w:r>
      <w:r w:rsidR="001C6468">
        <w:t xml:space="preserve">he organisational culture of NOPSEMA and the extent to which this impacts its interactions </w:t>
      </w:r>
      <w:r>
        <w:t>across government.</w:t>
      </w:r>
    </w:p>
    <w:p w14:paraId="6BDA5A59" w14:textId="799340C9" w:rsidR="00931964" w:rsidRDefault="00931964" w:rsidP="00931964">
      <w:pPr>
        <w:pStyle w:val="ListParagraph"/>
        <w:numPr>
          <w:ilvl w:val="1"/>
          <w:numId w:val="13"/>
        </w:numPr>
        <w:spacing w:after="160" w:line="278" w:lineRule="auto"/>
      </w:pPr>
      <w:r>
        <w:t>How this</w:t>
      </w:r>
      <w:r w:rsidRPr="00EC17D0">
        <w:t xml:space="preserve"> impacts</w:t>
      </w:r>
      <w:r>
        <w:t xml:space="preserve"> and supports</w:t>
      </w:r>
      <w:r w:rsidRPr="00EC17D0">
        <w:t xml:space="preserve"> regulatory</w:t>
      </w:r>
      <w:r w:rsidR="00D26202">
        <w:t xml:space="preserve"> and</w:t>
      </w:r>
      <w:r w:rsidR="006E2529">
        <w:t xml:space="preserve"> </w:t>
      </w:r>
      <w:r>
        <w:t>policy</w:t>
      </w:r>
      <w:r w:rsidRPr="00EC17D0">
        <w:t xml:space="preserve"> outcomes, broader policy development </w:t>
      </w:r>
      <w:r w:rsidR="006E2529">
        <w:t xml:space="preserve">by government </w:t>
      </w:r>
      <w:r w:rsidRPr="00EC17D0">
        <w:t>and decision-making processes.</w:t>
      </w:r>
    </w:p>
    <w:p w14:paraId="4E7F4589" w14:textId="10DE1481" w:rsidR="00371D9B" w:rsidRDefault="00371D9B" w:rsidP="00371D9B">
      <w:pPr>
        <w:pStyle w:val="ListParagraph"/>
        <w:numPr>
          <w:ilvl w:val="0"/>
          <w:numId w:val="13"/>
        </w:numPr>
        <w:spacing w:after="160" w:line="278" w:lineRule="auto"/>
      </w:pPr>
      <w:r>
        <w:t>The effectiveness of NOPSEMA’s</w:t>
      </w:r>
      <w:r w:rsidRPr="6A11651C">
        <w:t xml:space="preserve"> communication, engagement and relationships with</w:t>
      </w:r>
      <w:r>
        <w:t xml:space="preserve"> </w:t>
      </w:r>
      <w:r w:rsidRPr="6A11651C">
        <w:t xml:space="preserve">external </w:t>
      </w:r>
      <w:r>
        <w:t xml:space="preserve">stakeholders, </w:t>
      </w:r>
      <w:r w:rsidRPr="6A11651C">
        <w:t>including</w:t>
      </w:r>
      <w:r>
        <w:t xml:space="preserve"> but not limited to</w:t>
      </w:r>
      <w:r w:rsidRPr="6A11651C">
        <w:t xml:space="preserve"> state and territory government</w:t>
      </w:r>
      <w:r>
        <w:t>s</w:t>
      </w:r>
      <w:r w:rsidRPr="6A11651C">
        <w:t xml:space="preserve">, </w:t>
      </w:r>
      <w:r>
        <w:t xml:space="preserve">oil, gas, greenhouse gas </w:t>
      </w:r>
      <w:r w:rsidRPr="6A11651C">
        <w:t>industr</w:t>
      </w:r>
      <w:r>
        <w:t>ies and First Nations stakeholders. This should consider how NOP</w:t>
      </w:r>
      <w:r w:rsidR="00D7475C">
        <w:t>SEMA</w:t>
      </w:r>
      <w:r>
        <w:t>:</w:t>
      </w:r>
    </w:p>
    <w:p w14:paraId="2FB8CA60" w14:textId="77777777" w:rsidR="00D7475C" w:rsidRDefault="00D7475C" w:rsidP="00F92E10">
      <w:pPr>
        <w:pStyle w:val="ListParagraph"/>
        <w:numPr>
          <w:ilvl w:val="1"/>
          <w:numId w:val="13"/>
        </w:numPr>
        <w:spacing w:before="160" w:after="160" w:line="278" w:lineRule="auto"/>
        <w:ind w:left="1434" w:hanging="357"/>
        <w:contextualSpacing/>
      </w:pPr>
      <w:r>
        <w:t xml:space="preserve">Conveys </w:t>
      </w:r>
      <w:r w:rsidR="001C6468">
        <w:t>information to stakeholders, including making information publicly available to stakeholders and the community and the ease of use and accessibility of the information.</w:t>
      </w:r>
    </w:p>
    <w:p w14:paraId="15DC706A" w14:textId="77777777" w:rsidR="001A4CDB" w:rsidRDefault="001A4CDB" w:rsidP="00F92E10">
      <w:pPr>
        <w:pStyle w:val="ListParagraph"/>
        <w:numPr>
          <w:ilvl w:val="1"/>
          <w:numId w:val="13"/>
        </w:numPr>
        <w:spacing w:before="160" w:after="160" w:line="278" w:lineRule="auto"/>
        <w:ind w:left="1434" w:hanging="357"/>
        <w:contextualSpacing/>
      </w:pPr>
      <w:r>
        <w:t>Contributes to and maintains community confidence through its engagement activities.</w:t>
      </w:r>
    </w:p>
    <w:p w14:paraId="44D1623B" w14:textId="65150A48" w:rsidR="001A4CDB" w:rsidRDefault="001A4CDB" w:rsidP="00F92E10">
      <w:pPr>
        <w:pStyle w:val="ListParagraph"/>
        <w:numPr>
          <w:ilvl w:val="1"/>
          <w:numId w:val="13"/>
        </w:numPr>
        <w:spacing w:before="160" w:after="160" w:line="278" w:lineRule="auto"/>
        <w:ind w:left="1434" w:hanging="357"/>
        <w:contextualSpacing/>
      </w:pPr>
      <w:r>
        <w:t>R</w:t>
      </w:r>
      <w:r w:rsidRPr="6A11651C">
        <w:t>espond</w:t>
      </w:r>
      <w:r>
        <w:t>s</w:t>
      </w:r>
      <w:r w:rsidRPr="6A11651C">
        <w:t xml:space="preserve"> to community concerns and other matters </w:t>
      </w:r>
      <w:r>
        <w:t>within an appropriate timeframe and ensuring the department and/or the Responsible Commonwealth Minister are aware of these matters in a timely manner</w:t>
      </w:r>
      <w:r w:rsidRPr="6A11651C">
        <w:t>.</w:t>
      </w:r>
    </w:p>
    <w:p w14:paraId="7B2EFA2A" w14:textId="0F28EED9" w:rsidR="001C6468" w:rsidRDefault="00E40AE8" w:rsidP="00F92E10">
      <w:pPr>
        <w:pStyle w:val="ListParagraph"/>
        <w:numPr>
          <w:ilvl w:val="1"/>
          <w:numId w:val="13"/>
        </w:numPr>
        <w:spacing w:before="160" w:after="160" w:line="278" w:lineRule="auto"/>
        <w:ind w:left="1434" w:hanging="357"/>
        <w:contextualSpacing/>
      </w:pPr>
      <w:r>
        <w:t xml:space="preserve">The transparency </w:t>
      </w:r>
      <w:r w:rsidR="00B8615B">
        <w:t xml:space="preserve">of </w:t>
      </w:r>
      <w:r w:rsidR="00383F1E">
        <w:t xml:space="preserve">NOPSEMA’s regulatory </w:t>
      </w:r>
      <w:r w:rsidR="002E4207">
        <w:t>assessment</w:t>
      </w:r>
      <w:r w:rsidR="00383F1E">
        <w:t xml:space="preserve"> processes</w:t>
      </w:r>
      <w:r w:rsidR="002E4207">
        <w:t>, monitoring, compliance and enforcement activities</w:t>
      </w:r>
      <w:r w:rsidR="001C6468">
        <w:t xml:space="preserve"> </w:t>
      </w:r>
      <w:r w:rsidR="00383F1E">
        <w:t>to</w:t>
      </w:r>
      <w:r w:rsidR="001C6468">
        <w:t xml:space="preserve"> maintain community confidence that these processes are undertaken with appropriate regulatory oversight.</w:t>
      </w:r>
    </w:p>
    <w:p w14:paraId="3A3B6F1A" w14:textId="2A25EC32" w:rsidR="001C6468" w:rsidRPr="00BF764D" w:rsidRDefault="001A4CDB" w:rsidP="00F92E10">
      <w:pPr>
        <w:pStyle w:val="ListParagraph"/>
        <w:numPr>
          <w:ilvl w:val="1"/>
          <w:numId w:val="13"/>
        </w:numPr>
        <w:spacing w:before="160" w:after="160" w:line="278" w:lineRule="auto"/>
        <w:ind w:left="1434" w:hanging="357"/>
      </w:pPr>
      <w:r>
        <w:t>C</w:t>
      </w:r>
      <w:r w:rsidR="001C6468">
        <w:t xml:space="preserve">ollaborates internationally to improve </w:t>
      </w:r>
      <w:r w:rsidR="00383F1E">
        <w:t xml:space="preserve">its </w:t>
      </w:r>
      <w:r w:rsidR="001C6468">
        <w:t>regulatory practice</w:t>
      </w:r>
      <w:r w:rsidR="00383F1E">
        <w:t>s</w:t>
      </w:r>
      <w:r w:rsidR="00D3644C">
        <w:t>.</w:t>
      </w:r>
    </w:p>
    <w:p w14:paraId="31EF7413" w14:textId="2C6A3571" w:rsidR="00493E63" w:rsidRPr="00865BA7" w:rsidRDefault="00493E63" w:rsidP="00493E63">
      <w:pPr>
        <w:pStyle w:val="ListParagraph"/>
        <w:numPr>
          <w:ilvl w:val="0"/>
          <w:numId w:val="13"/>
        </w:numPr>
        <w:spacing w:before="160" w:after="160" w:line="278" w:lineRule="auto"/>
      </w:pPr>
      <w:r w:rsidRPr="00852F8A">
        <w:t xml:space="preserve">The </w:t>
      </w:r>
      <w:r w:rsidRPr="00865BA7">
        <w:t>provision</w:t>
      </w:r>
      <w:r w:rsidRPr="00852F8A">
        <w:t xml:space="preserve"> of information</w:t>
      </w:r>
      <w:r w:rsidR="00116006">
        <w:t xml:space="preserve"> and </w:t>
      </w:r>
      <w:r w:rsidRPr="00852F8A">
        <w:t xml:space="preserve">advice to </w:t>
      </w:r>
      <w:r>
        <w:t xml:space="preserve">the relevant </w:t>
      </w:r>
      <w:r w:rsidRPr="00852F8A">
        <w:t>Joint Authorit</w:t>
      </w:r>
      <w:r>
        <w:t>y</w:t>
      </w:r>
      <w:r w:rsidR="004F59C0">
        <w:t xml:space="preserve"> (where </w:t>
      </w:r>
      <w:r w:rsidR="00255C32">
        <w:t>applicable</w:t>
      </w:r>
      <w:r w:rsidR="004F59C0">
        <w:t>)</w:t>
      </w:r>
      <w:r>
        <w:t xml:space="preserve"> and/or </w:t>
      </w:r>
      <w:r w:rsidRPr="00852F8A">
        <w:t xml:space="preserve">the </w:t>
      </w:r>
      <w:r>
        <w:t>r</w:t>
      </w:r>
      <w:r w:rsidRPr="00852F8A">
        <w:t xml:space="preserve">esponsible Commonwealth Minister </w:t>
      </w:r>
      <w:r>
        <w:t>and/or NOPTA on</w:t>
      </w:r>
      <w:r w:rsidRPr="00852F8A">
        <w:t xml:space="preserve"> compliance</w:t>
      </w:r>
      <w:r>
        <w:t>, monitoring</w:t>
      </w:r>
      <w:r w:rsidR="00722A75">
        <w:t xml:space="preserve"> and enforcement </w:t>
      </w:r>
      <w:r w:rsidRPr="00852F8A">
        <w:t>and other related matters.</w:t>
      </w:r>
      <w:r w:rsidRPr="00865BA7">
        <w:t xml:space="preserve"> This should consider:</w:t>
      </w:r>
    </w:p>
    <w:p w14:paraId="4A44BC71" w14:textId="0304204E" w:rsidR="00493E63" w:rsidRDefault="00493E63" w:rsidP="00493E63">
      <w:pPr>
        <w:pStyle w:val="ListParagraph"/>
        <w:numPr>
          <w:ilvl w:val="1"/>
          <w:numId w:val="13"/>
        </w:numPr>
        <w:spacing w:after="160"/>
      </w:pPr>
      <w:r>
        <w:t>W</w:t>
      </w:r>
      <w:r w:rsidRPr="00852F8A">
        <w:t xml:space="preserve">hether the scope, method and efficiency </w:t>
      </w:r>
      <w:r>
        <w:t>of the</w:t>
      </w:r>
      <w:r w:rsidRPr="00852F8A">
        <w:t xml:space="preserve"> information</w:t>
      </w:r>
      <w:r>
        <w:t xml:space="preserve"> provided meets</w:t>
      </w:r>
      <w:r w:rsidRPr="00852F8A">
        <w:t xml:space="preserve"> needs</w:t>
      </w:r>
      <w:r>
        <w:t xml:space="preserve"> of the end user and </w:t>
      </w:r>
      <w:r w:rsidR="00DB2232">
        <w:t>aligns</w:t>
      </w:r>
      <w:r>
        <w:t xml:space="preserve"> with the </w:t>
      </w:r>
      <w:r w:rsidR="003F3D6F">
        <w:t>broader government policies</w:t>
      </w:r>
      <w:r>
        <w:t xml:space="preserve"> (where relevant).</w:t>
      </w:r>
    </w:p>
    <w:p w14:paraId="708CD983" w14:textId="6560204C" w:rsidR="00525410" w:rsidRDefault="00525410" w:rsidP="00525410">
      <w:pPr>
        <w:pStyle w:val="ListParagraph"/>
        <w:numPr>
          <w:ilvl w:val="0"/>
          <w:numId w:val="13"/>
        </w:numPr>
        <w:spacing w:after="160" w:line="278" w:lineRule="auto"/>
      </w:pPr>
      <w:r>
        <w:t>The suitability of current cost recovery arrangements outlined in the current</w:t>
      </w:r>
      <w:r w:rsidRPr="00B507FE">
        <w:t xml:space="preserve"> </w:t>
      </w:r>
      <w:r w:rsidRPr="00A7150A">
        <w:t>Cost Recovery Impact Statement</w:t>
      </w:r>
      <w:r>
        <w:t>, to determine whether the levies and fees collected by NOPSEMA are adequate to support NOPSEMA in performing its functions. This should also consider:</w:t>
      </w:r>
    </w:p>
    <w:p w14:paraId="668177C4" w14:textId="37B74FE9" w:rsidR="00525410" w:rsidRDefault="00525410" w:rsidP="00525410">
      <w:pPr>
        <w:pStyle w:val="ListParagraph"/>
        <w:numPr>
          <w:ilvl w:val="0"/>
          <w:numId w:val="32"/>
        </w:numPr>
        <w:spacing w:after="0"/>
        <w:contextualSpacing/>
      </w:pPr>
      <w:r>
        <w:t>O</w:t>
      </w:r>
      <w:r w:rsidRPr="002A3853">
        <w:t>pportunities where NOP</w:t>
      </w:r>
      <w:r>
        <w:t>SEMA</w:t>
      </w:r>
      <w:r w:rsidRPr="002A3853">
        <w:t xml:space="preserve"> can reduce </w:t>
      </w:r>
      <w:r>
        <w:t xml:space="preserve">its </w:t>
      </w:r>
      <w:r w:rsidRPr="002A3853">
        <w:t>operating costs, increase efficienc</w:t>
      </w:r>
      <w:r>
        <w:t>ies across the organisation</w:t>
      </w:r>
      <w:r w:rsidRPr="002A3853">
        <w:t xml:space="preserve"> and streamline functions</w:t>
      </w:r>
      <w:r>
        <w:t xml:space="preserve"> </w:t>
      </w:r>
      <w:r w:rsidRPr="002A3853">
        <w:t>to reduce the financial burden on industry</w:t>
      </w:r>
      <w:r>
        <w:t>.</w:t>
      </w:r>
    </w:p>
    <w:p w14:paraId="0FDC79BD" w14:textId="77777777" w:rsidR="00525410" w:rsidRDefault="00525410" w:rsidP="00525410">
      <w:pPr>
        <w:pStyle w:val="ListParagraph"/>
        <w:numPr>
          <w:ilvl w:val="0"/>
          <w:numId w:val="32"/>
        </w:numPr>
        <w:spacing w:after="0"/>
        <w:contextualSpacing/>
      </w:pPr>
      <w:r>
        <w:t>The utilisation and allocation of cost recovery funds over the review period.</w:t>
      </w:r>
    </w:p>
    <w:p w14:paraId="410DCC68" w14:textId="5B29D926" w:rsidR="00E837A3" w:rsidRDefault="00E837A3" w:rsidP="0080401C">
      <w:pPr>
        <w:pStyle w:val="ListParagraph"/>
        <w:numPr>
          <w:ilvl w:val="0"/>
          <w:numId w:val="13"/>
        </w:numPr>
        <w:spacing w:before="160" w:after="160" w:line="278" w:lineRule="auto"/>
        <w:ind w:left="714" w:hanging="357"/>
      </w:pPr>
      <w:r>
        <w:t>The role and functions of the NOPSEMA Board and the skills and experience</w:t>
      </w:r>
      <w:r w:rsidR="76CC286E">
        <w:t xml:space="preserve"> </w:t>
      </w:r>
      <w:r>
        <w:t xml:space="preserve">of Board members, to determine whether the current structure is the best mechanism to support </w:t>
      </w:r>
      <w:r w:rsidR="00DB2232">
        <w:t xml:space="preserve">its </w:t>
      </w:r>
      <w:r>
        <w:t>CEO and the responsible Commonwealth Minister in performing their functions under the Act.</w:t>
      </w:r>
      <w:r w:rsidR="00720E5F">
        <w:t xml:space="preserve"> This should also consider:</w:t>
      </w:r>
    </w:p>
    <w:p w14:paraId="3A779D07" w14:textId="6F7C7A57" w:rsidR="00720E5F" w:rsidRPr="009A1B7B" w:rsidRDefault="00720E5F" w:rsidP="00720E5F">
      <w:pPr>
        <w:pStyle w:val="ListParagraph"/>
        <w:numPr>
          <w:ilvl w:val="1"/>
          <w:numId w:val="13"/>
        </w:numPr>
        <w:spacing w:before="160" w:after="160" w:line="278" w:lineRule="auto"/>
      </w:pPr>
      <w:r>
        <w:t xml:space="preserve">The </w:t>
      </w:r>
      <w:r w:rsidR="004107BF">
        <w:t xml:space="preserve">appropriateness, </w:t>
      </w:r>
      <w:r>
        <w:t>rol</w:t>
      </w:r>
      <w:r w:rsidR="002359F2">
        <w:t>e and</w:t>
      </w:r>
      <w:r w:rsidR="004107BF">
        <w:t xml:space="preserve"> </w:t>
      </w:r>
      <w:r>
        <w:t>function of an advisory board to support</w:t>
      </w:r>
      <w:r w:rsidR="00D8056D">
        <w:t xml:space="preserve"> </w:t>
      </w:r>
      <w:r w:rsidR="001B7DF5">
        <w:t>NOPSEMA</w:t>
      </w:r>
      <w:r w:rsidR="004107BF">
        <w:t>.</w:t>
      </w:r>
    </w:p>
    <w:p w14:paraId="74ADF73F" w14:textId="07ED6B79" w:rsidR="00C27CB3" w:rsidRDefault="001F02B9" w:rsidP="00C27CB3">
      <w:pPr>
        <w:pStyle w:val="Heading4"/>
      </w:pPr>
      <w:r>
        <w:t>Out of scope</w:t>
      </w:r>
    </w:p>
    <w:p w14:paraId="5CA20611" w14:textId="0BF364A8" w:rsidR="001F02B9" w:rsidRDefault="001F02B9" w:rsidP="001F02B9">
      <w:pPr>
        <w:pStyle w:val="ListParagraph"/>
        <w:numPr>
          <w:ilvl w:val="0"/>
          <w:numId w:val="15"/>
        </w:numPr>
      </w:pPr>
      <w:r>
        <w:t xml:space="preserve">NOPSEMA’s role in the regulation of offshore infrastructure under the </w:t>
      </w:r>
      <w:r w:rsidRPr="00266AA7">
        <w:rPr>
          <w:i/>
        </w:rPr>
        <w:t>Offshore Electricity Infrastructure Act 2021</w:t>
      </w:r>
      <w:r>
        <w:t>.</w:t>
      </w:r>
    </w:p>
    <w:p w14:paraId="2D04EABE" w14:textId="2F88A2B9" w:rsidR="001F02B9" w:rsidRPr="001F02B9" w:rsidRDefault="001F02B9" w:rsidP="001F02B9">
      <w:pPr>
        <w:pStyle w:val="ListParagraph"/>
        <w:numPr>
          <w:ilvl w:val="0"/>
          <w:numId w:val="15"/>
        </w:numPr>
      </w:pPr>
      <w:r>
        <w:lastRenderedPageBreak/>
        <w:t xml:space="preserve">NOPSEMA’s progress in achieving the objective of the Endorsed Program Report under the </w:t>
      </w:r>
      <w:r w:rsidRPr="00266AA7">
        <w:rPr>
          <w:i/>
        </w:rPr>
        <w:t>Environment Protection and Biodiversity Conservation Act 1999</w:t>
      </w:r>
      <w:r w:rsidR="0078004B">
        <w:t>.</w:t>
      </w:r>
    </w:p>
    <w:p w14:paraId="28A91829" w14:textId="146DAA79" w:rsidR="00C27CB3" w:rsidRDefault="272910D1" w:rsidP="540F5B7C">
      <w:pPr>
        <w:pStyle w:val="Heading4"/>
      </w:pPr>
      <w:bookmarkStart w:id="8" w:name="_Hlk155191883"/>
      <w:r>
        <w:t xml:space="preserve">Related </w:t>
      </w:r>
      <w:r w:rsidR="002359F2">
        <w:t>matters</w:t>
      </w:r>
    </w:p>
    <w:p w14:paraId="3D995CE5" w14:textId="77777777" w:rsidR="001F02B9" w:rsidRDefault="001F02B9" w:rsidP="001F02B9">
      <w:r w:rsidRPr="6A11651C">
        <w:t xml:space="preserve">The review </w:t>
      </w:r>
      <w:r>
        <w:t xml:space="preserve">should have regard to the findings of related reviews including the: </w:t>
      </w:r>
    </w:p>
    <w:p w14:paraId="6B02EEAC" w14:textId="01C84733" w:rsidR="0018547D" w:rsidRPr="00445E32" w:rsidRDefault="0018547D" w:rsidP="0018547D">
      <w:pPr>
        <w:pStyle w:val="ListParagraph"/>
        <w:numPr>
          <w:ilvl w:val="0"/>
          <w:numId w:val="16"/>
        </w:numPr>
        <w:spacing w:after="160" w:line="279" w:lineRule="auto"/>
        <w:contextualSpacing/>
      </w:pPr>
      <w:r w:rsidRPr="00D64DC1">
        <w:rPr>
          <w:lang w:val="en-US"/>
        </w:rPr>
        <w:t>Future Gas Strategy</w:t>
      </w:r>
      <w:r w:rsidR="0061765D">
        <w:rPr>
          <w:lang w:val="en-US"/>
        </w:rPr>
        <w:t xml:space="preserve"> </w:t>
      </w:r>
      <w:r w:rsidR="0078004B">
        <w:rPr>
          <w:lang w:val="en-US"/>
        </w:rPr>
        <w:t>.</w:t>
      </w:r>
    </w:p>
    <w:p w14:paraId="3F8D8DE4" w14:textId="6A8B24B5" w:rsidR="001F02B9" w:rsidRDefault="001F02B9" w:rsidP="001F02B9">
      <w:pPr>
        <w:pStyle w:val="ListParagraph"/>
        <w:numPr>
          <w:ilvl w:val="0"/>
          <w:numId w:val="16"/>
        </w:numPr>
        <w:spacing w:after="160" w:line="279" w:lineRule="auto"/>
        <w:contextualSpacing/>
      </w:pPr>
      <w:r>
        <w:t xml:space="preserve">2020 </w:t>
      </w:r>
      <w:r w:rsidRPr="6A11651C">
        <w:t>Independent review into the circumstances leading to the administration and liquidation of Northern Oil and Gas Australia</w:t>
      </w:r>
      <w:r>
        <w:t>.</w:t>
      </w:r>
    </w:p>
    <w:p w14:paraId="12478F82" w14:textId="77777777" w:rsidR="0018547D" w:rsidRDefault="001F02B9" w:rsidP="001F02B9">
      <w:pPr>
        <w:pStyle w:val="ListParagraph"/>
        <w:numPr>
          <w:ilvl w:val="0"/>
          <w:numId w:val="16"/>
        </w:numPr>
        <w:spacing w:after="160" w:line="279" w:lineRule="auto"/>
        <w:contextualSpacing/>
      </w:pPr>
      <w:r w:rsidRPr="00801E82">
        <w:t>2020 Productivity Commission review into resources sector regulation.</w:t>
      </w:r>
    </w:p>
    <w:p w14:paraId="34892F5B" w14:textId="3500D230" w:rsidR="001F02B9" w:rsidRPr="008C2179" w:rsidRDefault="001F02B9" w:rsidP="001F02B9">
      <w:pPr>
        <w:pStyle w:val="ListParagraph"/>
        <w:numPr>
          <w:ilvl w:val="0"/>
          <w:numId w:val="16"/>
        </w:numPr>
        <w:spacing w:after="160" w:line="279" w:lineRule="auto"/>
        <w:contextualSpacing/>
      </w:pPr>
      <w:r>
        <w:t xml:space="preserve">Relevant </w:t>
      </w:r>
      <w:r w:rsidR="0061765D">
        <w:t>S</w:t>
      </w:r>
      <w:r>
        <w:t>enate inquiry reports from the review period.</w:t>
      </w:r>
    </w:p>
    <w:p w14:paraId="0DEA937F" w14:textId="3EEEA47C" w:rsidR="001F02B9" w:rsidRPr="00FD76E2" w:rsidRDefault="001F02B9" w:rsidP="001F02B9">
      <w:pPr>
        <w:pStyle w:val="ListParagraph"/>
        <w:numPr>
          <w:ilvl w:val="0"/>
          <w:numId w:val="16"/>
        </w:numPr>
        <w:spacing w:after="160" w:line="279" w:lineRule="auto"/>
        <w:contextualSpacing/>
      </w:pPr>
      <w:r w:rsidRPr="00FD76E2">
        <w:t xml:space="preserve">2020 </w:t>
      </w:r>
      <w:r w:rsidR="00A94555">
        <w:t>review of operations</w:t>
      </w:r>
      <w:r w:rsidRPr="00FD76E2">
        <w:t xml:space="preserve"> of NOPSEMA</w:t>
      </w:r>
      <w:r w:rsidRPr="00F81FDA">
        <w:t>.</w:t>
      </w:r>
    </w:p>
    <w:p w14:paraId="2BFD0689" w14:textId="2581B0CC" w:rsidR="00A94555" w:rsidRPr="00FD76E2" w:rsidRDefault="00A94555" w:rsidP="00A94555">
      <w:pPr>
        <w:pStyle w:val="ListParagraph"/>
        <w:numPr>
          <w:ilvl w:val="0"/>
          <w:numId w:val="16"/>
        </w:numPr>
        <w:spacing w:after="160" w:line="279" w:lineRule="auto"/>
        <w:contextualSpacing/>
      </w:pPr>
      <w:r w:rsidRPr="00FD76E2">
        <w:t>20</w:t>
      </w:r>
      <w:r>
        <w:t>15</w:t>
      </w:r>
      <w:r w:rsidRPr="00FD76E2">
        <w:t xml:space="preserve"> </w:t>
      </w:r>
      <w:r>
        <w:t>review of operations</w:t>
      </w:r>
      <w:r w:rsidRPr="00FD76E2">
        <w:t xml:space="preserve"> of NOPSEMA</w:t>
      </w:r>
      <w:r w:rsidRPr="00F81FDA">
        <w:t>.</w:t>
      </w:r>
    </w:p>
    <w:p w14:paraId="1AA49522" w14:textId="5716357A" w:rsidR="001F02B9" w:rsidRDefault="001F02B9" w:rsidP="001F02B9">
      <w:pPr>
        <w:pStyle w:val="ListParagraph"/>
        <w:numPr>
          <w:ilvl w:val="0"/>
          <w:numId w:val="16"/>
        </w:numPr>
        <w:spacing w:after="160" w:line="279" w:lineRule="auto"/>
        <w:contextualSpacing/>
      </w:pPr>
      <w:r>
        <w:t xml:space="preserve">Relevant government responses to previous </w:t>
      </w:r>
      <w:r w:rsidR="0075755A">
        <w:t xml:space="preserve">statutory </w:t>
      </w:r>
      <w:r>
        <w:t>reviews.</w:t>
      </w:r>
    </w:p>
    <w:p w14:paraId="63A19FEB" w14:textId="4395F3C5" w:rsidR="002359F2" w:rsidRPr="00FD76E2" w:rsidRDefault="00FD669C" w:rsidP="001F02B9">
      <w:pPr>
        <w:pStyle w:val="ListParagraph"/>
        <w:numPr>
          <w:ilvl w:val="0"/>
          <w:numId w:val="16"/>
        </w:numPr>
        <w:spacing w:after="160" w:line="279" w:lineRule="auto"/>
        <w:contextualSpacing/>
      </w:pPr>
      <w:r>
        <w:t>Relevant court judgements relating to NOPSEMA during the review period.</w:t>
      </w:r>
    </w:p>
    <w:p w14:paraId="26B6DA8C" w14:textId="647117DB" w:rsidR="00445E32" w:rsidRPr="00445E32" w:rsidRDefault="001F02B9" w:rsidP="00266AA7">
      <w:pPr>
        <w:pStyle w:val="ListParagraph"/>
        <w:numPr>
          <w:ilvl w:val="0"/>
          <w:numId w:val="16"/>
        </w:numPr>
        <w:spacing w:after="160" w:line="279" w:lineRule="auto"/>
        <w:contextualSpacing/>
      </w:pPr>
      <w:r>
        <w:t>2014 ANAO Report in the Establishment and Administration of NOPSEMA.</w:t>
      </w:r>
      <w:bookmarkEnd w:id="2"/>
      <w:bookmarkEnd w:id="3"/>
      <w:bookmarkEnd w:id="4"/>
      <w:bookmarkEnd w:id="5"/>
      <w:bookmarkEnd w:id="8"/>
    </w:p>
    <w:sectPr w:rsidR="00445E32" w:rsidRPr="00445E32" w:rsidSect="004A7856">
      <w:headerReference w:type="even" r:id="rId11"/>
      <w:footerReference w:type="even" r:id="rId12"/>
      <w:footerReference w:type="default" r:id="rId13"/>
      <w:footerReference w:type="first" r:id="rId14"/>
      <w:pgSz w:w="11906" w:h="16838"/>
      <w:pgMar w:top="1276" w:right="1440" w:bottom="1440" w:left="1440"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75C7C" w14:textId="77777777" w:rsidR="00E54512" w:rsidRDefault="00E54512" w:rsidP="00B251DB">
      <w:pPr>
        <w:spacing w:after="0"/>
      </w:pPr>
      <w:r>
        <w:separator/>
      </w:r>
    </w:p>
  </w:endnote>
  <w:endnote w:type="continuationSeparator" w:id="0">
    <w:p w14:paraId="5F3F4848" w14:textId="77777777" w:rsidR="00E54512" w:rsidRDefault="00E54512" w:rsidP="00B251DB">
      <w:pPr>
        <w:spacing w:after="0"/>
      </w:pPr>
      <w:r>
        <w:continuationSeparator/>
      </w:r>
    </w:p>
  </w:endnote>
  <w:endnote w:type="continuationNotice" w:id="1">
    <w:p w14:paraId="2F653534" w14:textId="77777777" w:rsidR="00E54512" w:rsidRDefault="00E5451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SemiBold">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9F1AC" w14:textId="2A42603B" w:rsidR="005109BF" w:rsidRDefault="005109BF">
    <w:pPr>
      <w:pStyle w:val="Footer"/>
    </w:pPr>
    <w:r>
      <w:rPr>
        <w:noProof/>
      </w:rPr>
      <mc:AlternateContent>
        <mc:Choice Requires="wps">
          <w:drawing>
            <wp:anchor distT="0" distB="0" distL="0" distR="0" simplePos="0" relativeHeight="251657728" behindDoc="0" locked="0" layoutInCell="1" allowOverlap="1" wp14:anchorId="4F72783F" wp14:editId="2427DF6C">
              <wp:simplePos x="635" y="635"/>
              <wp:positionH relativeFrom="page">
                <wp:align>center</wp:align>
              </wp:positionH>
              <wp:positionV relativeFrom="page">
                <wp:align>bottom</wp:align>
              </wp:positionV>
              <wp:extent cx="551815" cy="452755"/>
              <wp:effectExtent l="0" t="0" r="635" b="0"/>
              <wp:wrapNone/>
              <wp:docPr id="171184760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52755"/>
                      </a:xfrm>
                      <a:prstGeom prst="rect">
                        <a:avLst/>
                      </a:prstGeom>
                      <a:noFill/>
                      <a:ln>
                        <a:noFill/>
                      </a:ln>
                    </wps:spPr>
                    <wps:txbx>
                      <w:txbxContent>
                        <w:p w14:paraId="1C0A1E52" w14:textId="4B39F579" w:rsidR="005109BF" w:rsidRPr="005109BF" w:rsidRDefault="005109BF" w:rsidP="005109BF">
                          <w:pPr>
                            <w:spacing w:after="0"/>
                            <w:rPr>
                              <w:rFonts w:ascii="Calibri" w:eastAsia="Calibri" w:hAnsi="Calibri" w:cs="Calibri"/>
                              <w:noProof/>
                              <w:color w:val="C00000"/>
                              <w:sz w:val="24"/>
                              <w:szCs w:val="24"/>
                            </w:rPr>
                          </w:pPr>
                          <w:r w:rsidRPr="005109BF">
                            <w:rPr>
                              <w:rFonts w:ascii="Calibri" w:eastAsia="Calibri" w:hAnsi="Calibri" w:cs="Calibri"/>
                              <w:noProof/>
                              <w:color w:val="C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72783F" id="_x0000_t202" coordsize="21600,21600" o:spt="202" path="m,l,21600r21600,l21600,xe">
              <v:stroke joinstyle="miter"/>
              <v:path gradientshapeok="t" o:connecttype="rect"/>
            </v:shapetype>
            <v:shape id="Text Box 5" o:spid="_x0000_s1027" type="#_x0000_t202" alt="OFFICIAL" style="position:absolute;margin-left:0;margin-top:0;width:43.45pt;height:35.65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" filled="f" stroked="f">
              <v:textbox style="mso-fit-shape-to-text:t" inset="0,0,0,15pt">
                <w:txbxContent>
                  <w:p w14:paraId="1C0A1E52" w14:textId="4B39F579" w:rsidR="005109BF" w:rsidRPr="005109BF" w:rsidRDefault="005109BF" w:rsidP="005109BF">
                    <w:pPr>
                      <w:spacing w:after="0"/>
                      <w:rPr>
                        <w:rFonts w:ascii="Calibri" w:eastAsia="Calibri" w:hAnsi="Calibri" w:cs="Calibri"/>
                        <w:noProof/>
                        <w:color w:val="C00000"/>
                        <w:sz w:val="24"/>
                        <w:szCs w:val="24"/>
                      </w:rPr>
                    </w:pPr>
                    <w:r w:rsidRPr="005109BF">
                      <w:rPr>
                        <w:rFonts w:ascii="Calibri" w:eastAsia="Calibri" w:hAnsi="Calibri" w:cs="Calibri"/>
                        <w:noProof/>
                        <w:color w:val="C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827E1" w14:textId="24988B20" w:rsidR="00194586" w:rsidRDefault="00BD0F8A" w:rsidP="0080401C">
    <w:pPr>
      <w:pStyle w:val="Footer"/>
      <w:jc w:val="right"/>
      <w:rPr>
        <w:noProof/>
      </w:rPr>
    </w:pPr>
    <w:r>
      <w:tab/>
    </w:r>
    <w:sdt>
      <w:sdtPr>
        <w:id w:val="-1044901746"/>
        <w:docPartObj>
          <w:docPartGallery w:val="Page Numbers (Bottom of Page)"/>
          <w:docPartUnique/>
        </w:docPartObj>
      </w:sdtPr>
      <w:sdtEndPr>
        <w:rPr>
          <w:noProof/>
        </w:rPr>
      </w:sdtEndPr>
      <w:sdtContent>
        <w:r>
          <w:rPr>
            <w:noProof/>
          </w:rPr>
          <w:fldChar w:fldCharType="begin"/>
        </w:r>
        <w:r>
          <w:instrText xml:space="preserve"> PAGE   \* MERGEFORMAT </w:instrText>
        </w:r>
        <w:r>
          <w:fldChar w:fldCharType="separate"/>
        </w:r>
        <w:r w:rsidR="13DAD45B">
          <w:rPr>
            <w:noProof/>
          </w:rPr>
          <w:t>7</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A37AF" w14:textId="56030B3D" w:rsidR="00194586" w:rsidRDefault="00000000" w:rsidP="00A804E5">
    <w:pPr>
      <w:pStyle w:val="Footer"/>
      <w:jc w:val="right"/>
      <w:rPr>
        <w:noProof/>
      </w:rPr>
    </w:pPr>
    <w:sdt>
      <w:sdtPr>
        <w:id w:val="1655647692"/>
        <w:docPartObj>
          <w:docPartGallery w:val="Page Numbers (Bottom of Page)"/>
          <w:docPartUnique/>
        </w:docPartObj>
      </w:sdtPr>
      <w:sdtEndPr>
        <w:rPr>
          <w:noProof/>
        </w:rPr>
      </w:sdtEndPr>
      <w:sdtContent>
        <w:r w:rsidR="004A7856" w:rsidRPr="13DAD45B">
          <w:fldChar w:fldCharType="begin"/>
        </w:r>
        <w:r w:rsidR="004A7856">
          <w:instrText xml:space="preserve"> PAGE   \* MERGEFORMAT </w:instrText>
        </w:r>
        <w:r w:rsidR="004A7856" w:rsidRPr="13DAD45B">
          <w:fldChar w:fldCharType="separate"/>
        </w:r>
        <w:r w:rsidR="13DAD45B">
          <w:t>1</w:t>
        </w:r>
        <w:r w:rsidR="004A7856" w:rsidRPr="13DAD45B">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E0C48" w14:textId="77777777" w:rsidR="00E54512" w:rsidRDefault="00E54512" w:rsidP="00B251DB">
      <w:pPr>
        <w:spacing w:after="0"/>
      </w:pPr>
      <w:r>
        <w:separator/>
      </w:r>
    </w:p>
  </w:footnote>
  <w:footnote w:type="continuationSeparator" w:id="0">
    <w:p w14:paraId="7D2B27DF" w14:textId="77777777" w:rsidR="00E54512" w:rsidRDefault="00E54512" w:rsidP="00B251DB">
      <w:pPr>
        <w:spacing w:after="0"/>
      </w:pPr>
      <w:r>
        <w:continuationSeparator/>
      </w:r>
    </w:p>
  </w:footnote>
  <w:footnote w:type="continuationNotice" w:id="1">
    <w:p w14:paraId="1B0D6751" w14:textId="77777777" w:rsidR="00E54512" w:rsidRDefault="00E5451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3F1CF" w14:textId="7116C253" w:rsidR="005109BF" w:rsidRDefault="005109BF">
    <w:pPr>
      <w:pStyle w:val="Header"/>
    </w:pPr>
    <w:r>
      <w:rPr>
        <w:noProof/>
      </w:rPr>
      <mc:AlternateContent>
        <mc:Choice Requires="wps">
          <w:drawing>
            <wp:anchor distT="0" distB="0" distL="0" distR="0" simplePos="0" relativeHeight="251656704" behindDoc="0" locked="0" layoutInCell="1" allowOverlap="1" wp14:anchorId="1129E4D0" wp14:editId="04F9F955">
              <wp:simplePos x="635" y="635"/>
              <wp:positionH relativeFrom="page">
                <wp:align>center</wp:align>
              </wp:positionH>
              <wp:positionV relativeFrom="page">
                <wp:align>top</wp:align>
              </wp:positionV>
              <wp:extent cx="551815" cy="452755"/>
              <wp:effectExtent l="0" t="0" r="635" b="4445"/>
              <wp:wrapNone/>
              <wp:docPr id="128113387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52755"/>
                      </a:xfrm>
                      <a:prstGeom prst="rect">
                        <a:avLst/>
                      </a:prstGeom>
                      <a:noFill/>
                      <a:ln>
                        <a:noFill/>
                      </a:ln>
                    </wps:spPr>
                    <wps:txbx>
                      <w:txbxContent>
                        <w:p w14:paraId="524E2243" w14:textId="1A854EE5" w:rsidR="005109BF" w:rsidRPr="005109BF" w:rsidRDefault="005109BF" w:rsidP="005109BF">
                          <w:pPr>
                            <w:spacing w:after="0"/>
                            <w:rPr>
                              <w:rFonts w:ascii="Calibri" w:eastAsia="Calibri" w:hAnsi="Calibri" w:cs="Calibri"/>
                              <w:noProof/>
                              <w:color w:val="C00000"/>
                              <w:sz w:val="24"/>
                              <w:szCs w:val="24"/>
                            </w:rPr>
                          </w:pPr>
                          <w:r w:rsidRPr="005109BF">
                            <w:rPr>
                              <w:rFonts w:ascii="Calibri" w:eastAsia="Calibri" w:hAnsi="Calibri" w:cs="Calibri"/>
                              <w:noProof/>
                              <w:color w:val="C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29E4D0" id="_x0000_t202" coordsize="21600,21600" o:spt="202" path="m,l,21600r21600,l21600,xe">
              <v:stroke joinstyle="miter"/>
              <v:path gradientshapeok="t" o:connecttype="rect"/>
            </v:shapetype>
            <v:shape id="Text Box 2" o:spid="_x0000_s1026" type="#_x0000_t202" alt="OFFICIAL" style="position:absolute;margin-left:0;margin-top:0;width:43.45pt;height:35.65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" filled="f" stroked="f">
              <v:textbox style="mso-fit-shape-to-text:t" inset="0,15pt,0,0">
                <w:txbxContent>
                  <w:p w14:paraId="524E2243" w14:textId="1A854EE5" w:rsidR="005109BF" w:rsidRPr="005109BF" w:rsidRDefault="005109BF" w:rsidP="005109BF">
                    <w:pPr>
                      <w:spacing w:after="0"/>
                      <w:rPr>
                        <w:rFonts w:ascii="Calibri" w:eastAsia="Calibri" w:hAnsi="Calibri" w:cs="Calibri"/>
                        <w:noProof/>
                        <w:color w:val="C00000"/>
                        <w:sz w:val="24"/>
                        <w:szCs w:val="24"/>
                      </w:rPr>
                    </w:pPr>
                    <w:r w:rsidRPr="005109BF">
                      <w:rPr>
                        <w:rFonts w:ascii="Calibri" w:eastAsia="Calibri" w:hAnsi="Calibri" w:cs="Calibri"/>
                        <w:noProof/>
                        <w:color w:val="C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83E0FB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00CCF41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FD66B7"/>
    <w:multiLevelType w:val="multilevel"/>
    <w:tmpl w:val="6CE6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A5BE3"/>
    <w:multiLevelType w:val="multilevel"/>
    <w:tmpl w:val="0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4D74F4"/>
    <w:multiLevelType w:val="hybridMultilevel"/>
    <w:tmpl w:val="D6283F8E"/>
    <w:lvl w:ilvl="0" w:tplc="6A00F20A">
      <w:start w:val="1"/>
      <w:numFmt w:val="bullet"/>
      <w:lvlText w:val=""/>
      <w:lvlJc w:val="left"/>
      <w:pPr>
        <w:ind w:left="567" w:hanging="567"/>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FE7DEC"/>
    <w:multiLevelType w:val="hybridMultilevel"/>
    <w:tmpl w:val="9028F14A"/>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F551D3"/>
    <w:multiLevelType w:val="hybridMultilevel"/>
    <w:tmpl w:val="629C787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BF078C0"/>
    <w:multiLevelType w:val="hybridMultilevel"/>
    <w:tmpl w:val="6A641E4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26A415EB"/>
    <w:multiLevelType w:val="hybridMultilevel"/>
    <w:tmpl w:val="6C4AD15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B97046"/>
    <w:multiLevelType w:val="hybridMultilevel"/>
    <w:tmpl w:val="22B4C1D0"/>
    <w:lvl w:ilvl="0" w:tplc="CB40E79E">
      <w:numFmt w:val="none"/>
      <w:lvlText w:val=""/>
      <w:lvlJc w:val="left"/>
      <w:pPr>
        <w:tabs>
          <w:tab w:val="num" w:pos="360"/>
        </w:tabs>
      </w:pPr>
    </w:lvl>
    <w:lvl w:ilvl="1" w:tplc="2E98098A">
      <w:start w:val="1"/>
      <w:numFmt w:val="lowerLetter"/>
      <w:lvlText w:val="%2."/>
      <w:lvlJc w:val="left"/>
      <w:pPr>
        <w:ind w:left="1440" w:hanging="360"/>
      </w:pPr>
    </w:lvl>
    <w:lvl w:ilvl="2" w:tplc="40B495E4">
      <w:start w:val="1"/>
      <w:numFmt w:val="lowerRoman"/>
      <w:lvlText w:val="%3."/>
      <w:lvlJc w:val="right"/>
      <w:pPr>
        <w:ind w:left="2160" w:hanging="180"/>
      </w:pPr>
    </w:lvl>
    <w:lvl w:ilvl="3" w:tplc="CD6C2332">
      <w:start w:val="1"/>
      <w:numFmt w:val="decimal"/>
      <w:lvlText w:val="%4."/>
      <w:lvlJc w:val="left"/>
      <w:pPr>
        <w:ind w:left="2880" w:hanging="360"/>
      </w:pPr>
    </w:lvl>
    <w:lvl w:ilvl="4" w:tplc="9CD2D33C">
      <w:start w:val="1"/>
      <w:numFmt w:val="lowerLetter"/>
      <w:lvlText w:val="%5."/>
      <w:lvlJc w:val="left"/>
      <w:pPr>
        <w:ind w:left="3600" w:hanging="360"/>
      </w:pPr>
    </w:lvl>
    <w:lvl w:ilvl="5" w:tplc="505A1170">
      <w:start w:val="1"/>
      <w:numFmt w:val="lowerRoman"/>
      <w:lvlText w:val="%6."/>
      <w:lvlJc w:val="right"/>
      <w:pPr>
        <w:ind w:left="4320" w:hanging="180"/>
      </w:pPr>
    </w:lvl>
    <w:lvl w:ilvl="6" w:tplc="5A365BC0">
      <w:start w:val="1"/>
      <w:numFmt w:val="decimal"/>
      <w:lvlText w:val="%7."/>
      <w:lvlJc w:val="left"/>
      <w:pPr>
        <w:ind w:left="5040" w:hanging="360"/>
      </w:pPr>
    </w:lvl>
    <w:lvl w:ilvl="7" w:tplc="487A0672">
      <w:start w:val="1"/>
      <w:numFmt w:val="lowerLetter"/>
      <w:lvlText w:val="%8."/>
      <w:lvlJc w:val="left"/>
      <w:pPr>
        <w:ind w:left="5760" w:hanging="360"/>
      </w:pPr>
    </w:lvl>
    <w:lvl w:ilvl="8" w:tplc="AD6C9D34">
      <w:start w:val="1"/>
      <w:numFmt w:val="lowerRoman"/>
      <w:lvlText w:val="%9."/>
      <w:lvlJc w:val="right"/>
      <w:pPr>
        <w:ind w:left="6480" w:hanging="180"/>
      </w:pPr>
    </w:lvl>
  </w:abstractNum>
  <w:abstractNum w:abstractNumId="10" w15:restartNumberingAfterBreak="0">
    <w:nsid w:val="3ABD1CB3"/>
    <w:multiLevelType w:val="hybridMultilevel"/>
    <w:tmpl w:val="55C84CAA"/>
    <w:lvl w:ilvl="0" w:tplc="0C090017">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F6A078A"/>
    <w:multiLevelType w:val="hybridMultilevel"/>
    <w:tmpl w:val="E9305ECE"/>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467F4B1A"/>
    <w:multiLevelType w:val="hybridMultilevel"/>
    <w:tmpl w:val="7A22CA2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480950B5"/>
    <w:multiLevelType w:val="hybridMultilevel"/>
    <w:tmpl w:val="B186E0F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4A305039"/>
    <w:multiLevelType w:val="hybridMultilevel"/>
    <w:tmpl w:val="AFE440F6"/>
    <w:lvl w:ilvl="0" w:tplc="8A9E7376">
      <w:start w:val="1"/>
      <w:numFmt w:val="bullet"/>
      <w:lvlText w:val="•"/>
      <w:lvlJc w:val="left"/>
      <w:pPr>
        <w:tabs>
          <w:tab w:val="num" w:pos="720"/>
        </w:tabs>
        <w:ind w:left="720" w:hanging="360"/>
      </w:pPr>
      <w:rPr>
        <w:rFonts w:ascii="Arial" w:hAnsi="Arial" w:hint="default"/>
      </w:rPr>
    </w:lvl>
    <w:lvl w:ilvl="1" w:tplc="EC44B51E" w:tentative="1">
      <w:start w:val="1"/>
      <w:numFmt w:val="bullet"/>
      <w:lvlText w:val="•"/>
      <w:lvlJc w:val="left"/>
      <w:pPr>
        <w:tabs>
          <w:tab w:val="num" w:pos="1440"/>
        </w:tabs>
        <w:ind w:left="1440" w:hanging="360"/>
      </w:pPr>
      <w:rPr>
        <w:rFonts w:ascii="Arial" w:hAnsi="Arial" w:hint="default"/>
      </w:rPr>
    </w:lvl>
    <w:lvl w:ilvl="2" w:tplc="F30A5B74" w:tentative="1">
      <w:start w:val="1"/>
      <w:numFmt w:val="bullet"/>
      <w:lvlText w:val="•"/>
      <w:lvlJc w:val="left"/>
      <w:pPr>
        <w:tabs>
          <w:tab w:val="num" w:pos="2160"/>
        </w:tabs>
        <w:ind w:left="2160" w:hanging="360"/>
      </w:pPr>
      <w:rPr>
        <w:rFonts w:ascii="Arial" w:hAnsi="Arial" w:hint="default"/>
      </w:rPr>
    </w:lvl>
    <w:lvl w:ilvl="3" w:tplc="EE5AA906" w:tentative="1">
      <w:start w:val="1"/>
      <w:numFmt w:val="bullet"/>
      <w:lvlText w:val="•"/>
      <w:lvlJc w:val="left"/>
      <w:pPr>
        <w:tabs>
          <w:tab w:val="num" w:pos="2880"/>
        </w:tabs>
        <w:ind w:left="2880" w:hanging="360"/>
      </w:pPr>
      <w:rPr>
        <w:rFonts w:ascii="Arial" w:hAnsi="Arial" w:hint="default"/>
      </w:rPr>
    </w:lvl>
    <w:lvl w:ilvl="4" w:tplc="DECA6484" w:tentative="1">
      <w:start w:val="1"/>
      <w:numFmt w:val="bullet"/>
      <w:lvlText w:val="•"/>
      <w:lvlJc w:val="left"/>
      <w:pPr>
        <w:tabs>
          <w:tab w:val="num" w:pos="3600"/>
        </w:tabs>
        <w:ind w:left="3600" w:hanging="360"/>
      </w:pPr>
      <w:rPr>
        <w:rFonts w:ascii="Arial" w:hAnsi="Arial" w:hint="default"/>
      </w:rPr>
    </w:lvl>
    <w:lvl w:ilvl="5" w:tplc="85383BD0" w:tentative="1">
      <w:start w:val="1"/>
      <w:numFmt w:val="bullet"/>
      <w:lvlText w:val="•"/>
      <w:lvlJc w:val="left"/>
      <w:pPr>
        <w:tabs>
          <w:tab w:val="num" w:pos="4320"/>
        </w:tabs>
        <w:ind w:left="4320" w:hanging="360"/>
      </w:pPr>
      <w:rPr>
        <w:rFonts w:ascii="Arial" w:hAnsi="Arial" w:hint="default"/>
      </w:rPr>
    </w:lvl>
    <w:lvl w:ilvl="6" w:tplc="0B18D63A" w:tentative="1">
      <w:start w:val="1"/>
      <w:numFmt w:val="bullet"/>
      <w:lvlText w:val="•"/>
      <w:lvlJc w:val="left"/>
      <w:pPr>
        <w:tabs>
          <w:tab w:val="num" w:pos="5040"/>
        </w:tabs>
        <w:ind w:left="5040" w:hanging="360"/>
      </w:pPr>
      <w:rPr>
        <w:rFonts w:ascii="Arial" w:hAnsi="Arial" w:hint="default"/>
      </w:rPr>
    </w:lvl>
    <w:lvl w:ilvl="7" w:tplc="EE68C1F2" w:tentative="1">
      <w:start w:val="1"/>
      <w:numFmt w:val="bullet"/>
      <w:lvlText w:val="•"/>
      <w:lvlJc w:val="left"/>
      <w:pPr>
        <w:tabs>
          <w:tab w:val="num" w:pos="5760"/>
        </w:tabs>
        <w:ind w:left="5760" w:hanging="360"/>
      </w:pPr>
      <w:rPr>
        <w:rFonts w:ascii="Arial" w:hAnsi="Arial" w:hint="default"/>
      </w:rPr>
    </w:lvl>
    <w:lvl w:ilvl="8" w:tplc="F71211E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52E10FD"/>
    <w:multiLevelType w:val="hybridMultilevel"/>
    <w:tmpl w:val="66D46394"/>
    <w:lvl w:ilvl="0" w:tplc="E2F097D6">
      <w:numFmt w:val="bullet"/>
      <w:lvlText w:val=""/>
      <w:lvlJc w:val="left"/>
      <w:pPr>
        <w:ind w:left="567" w:hanging="567"/>
      </w:pPr>
      <w:rPr>
        <w:rFonts w:ascii="Symbol" w:eastAsiaTheme="minorHAnsi" w:hAnsi="Symbol" w:cstheme="minorBidi" w:hint="default"/>
      </w:rPr>
    </w:lvl>
    <w:lvl w:ilvl="1" w:tplc="6606920E">
      <w:numFmt w:val="bullet"/>
      <w:lvlText w:val="-"/>
      <w:lvlJc w:val="left"/>
      <w:pPr>
        <w:ind w:left="1134" w:hanging="567"/>
      </w:pPr>
      <w:rPr>
        <w:rFonts w:ascii="Calibri" w:eastAsiaTheme="minorHAnsi" w:hAnsi="Calibri" w:hint="default"/>
      </w:rPr>
    </w:lvl>
    <w:lvl w:ilvl="2" w:tplc="75C69B6E">
      <w:start w:val="1"/>
      <w:numFmt w:val="bullet"/>
      <w:lvlText w:val=""/>
      <w:lvlJc w:val="left"/>
      <w:pPr>
        <w:ind w:left="1701" w:hanging="567"/>
      </w:pPr>
      <w:rPr>
        <w:rFonts w:ascii="Wingdings" w:hAnsi="Wingdings" w:hint="default"/>
      </w:rPr>
    </w:lvl>
    <w:lvl w:ilvl="3" w:tplc="B84A8EA2">
      <w:start w:val="1"/>
      <w:numFmt w:val="bullet"/>
      <w:lvlText w:val=""/>
      <w:lvlJc w:val="left"/>
      <w:pPr>
        <w:ind w:left="2268" w:hanging="567"/>
      </w:pPr>
      <w:rPr>
        <w:rFonts w:ascii="Symbol" w:hAnsi="Symbol" w:hint="default"/>
      </w:rPr>
    </w:lvl>
    <w:lvl w:ilvl="4" w:tplc="9E469228">
      <w:start w:val="1"/>
      <w:numFmt w:val="bullet"/>
      <w:lvlText w:val="o"/>
      <w:lvlJc w:val="left"/>
      <w:pPr>
        <w:ind w:left="2835" w:hanging="567"/>
      </w:pPr>
      <w:rPr>
        <w:rFonts w:ascii="Courier New" w:hAnsi="Courier New" w:hint="default"/>
      </w:rPr>
    </w:lvl>
    <w:lvl w:ilvl="5" w:tplc="406CF0B6">
      <w:start w:val="1"/>
      <w:numFmt w:val="bullet"/>
      <w:lvlText w:val=""/>
      <w:lvlJc w:val="left"/>
      <w:pPr>
        <w:ind w:left="3402" w:hanging="567"/>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75E78A8"/>
    <w:multiLevelType w:val="hybridMultilevel"/>
    <w:tmpl w:val="CF22F768"/>
    <w:lvl w:ilvl="0" w:tplc="0D524BF0">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645845B0"/>
    <w:multiLevelType w:val="hybridMultilevel"/>
    <w:tmpl w:val="615679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55074E5"/>
    <w:multiLevelType w:val="hybridMultilevel"/>
    <w:tmpl w:val="15CA3E48"/>
    <w:lvl w:ilvl="0" w:tplc="93BAD356">
      <w:start w:val="1"/>
      <w:numFmt w:val="decimal"/>
      <w:lvlText w:val="%1."/>
      <w:lvlJc w:val="left"/>
      <w:pPr>
        <w:ind w:left="567" w:hanging="567"/>
      </w:pPr>
      <w:rPr>
        <w:rFonts w:hint="default"/>
      </w:rPr>
    </w:lvl>
    <w:lvl w:ilvl="1" w:tplc="D2E408C2">
      <w:start w:val="1"/>
      <w:numFmt w:val="lowerLetter"/>
      <w:lvlText w:val="%2."/>
      <w:lvlJc w:val="left"/>
      <w:pPr>
        <w:ind w:left="1134" w:hanging="567"/>
      </w:pPr>
      <w:rPr>
        <w:rFonts w:hint="default"/>
      </w:rPr>
    </w:lvl>
    <w:lvl w:ilvl="2" w:tplc="528088D0">
      <w:start w:val="1"/>
      <w:numFmt w:val="lowerRoman"/>
      <w:lvlText w:val="%3."/>
      <w:lvlJc w:val="right"/>
      <w:pPr>
        <w:ind w:left="1701" w:hanging="567"/>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AB453AE"/>
    <w:multiLevelType w:val="hybridMultilevel"/>
    <w:tmpl w:val="28D24720"/>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num w:numId="1" w16cid:durableId="1784110528">
    <w:abstractNumId w:val="9"/>
  </w:num>
  <w:num w:numId="2" w16cid:durableId="1422605387">
    <w:abstractNumId w:val="15"/>
  </w:num>
  <w:num w:numId="3" w16cid:durableId="648444589">
    <w:abstractNumId w:val="18"/>
  </w:num>
  <w:num w:numId="4" w16cid:durableId="1474374502">
    <w:abstractNumId w:val="3"/>
  </w:num>
  <w:num w:numId="5" w16cid:durableId="660547498">
    <w:abstractNumId w:val="1"/>
  </w:num>
  <w:num w:numId="6" w16cid:durableId="1405948882">
    <w:abstractNumId w:val="0"/>
  </w:num>
  <w:num w:numId="7" w16cid:durableId="1770931210">
    <w:abstractNumId w:val="4"/>
  </w:num>
  <w:num w:numId="8" w16cid:durableId="1514956900">
    <w:abstractNumId w:val="7"/>
  </w:num>
  <w:num w:numId="9" w16cid:durableId="1928151220">
    <w:abstractNumId w:val="16"/>
  </w:num>
  <w:num w:numId="10" w16cid:durableId="1919442051">
    <w:abstractNumId w:val="12"/>
  </w:num>
  <w:num w:numId="11" w16cid:durableId="1203635149">
    <w:abstractNumId w:val="14"/>
  </w:num>
  <w:num w:numId="12" w16cid:durableId="707145328">
    <w:abstractNumId w:val="10"/>
  </w:num>
  <w:num w:numId="13" w16cid:durableId="1506701714">
    <w:abstractNumId w:val="5"/>
  </w:num>
  <w:num w:numId="14" w16cid:durableId="1345980534">
    <w:abstractNumId w:val="15"/>
  </w:num>
  <w:num w:numId="15" w16cid:durableId="52435357">
    <w:abstractNumId w:val="17"/>
  </w:num>
  <w:num w:numId="16" w16cid:durableId="712077506">
    <w:abstractNumId w:val="6"/>
  </w:num>
  <w:num w:numId="17" w16cid:durableId="1618952508">
    <w:abstractNumId w:val="15"/>
  </w:num>
  <w:num w:numId="18" w16cid:durableId="1277641582">
    <w:abstractNumId w:val="15"/>
  </w:num>
  <w:num w:numId="19" w16cid:durableId="394938149">
    <w:abstractNumId w:val="15"/>
  </w:num>
  <w:num w:numId="20" w16cid:durableId="1734888142">
    <w:abstractNumId w:val="15"/>
  </w:num>
  <w:num w:numId="21" w16cid:durableId="622230423">
    <w:abstractNumId w:val="15"/>
  </w:num>
  <w:num w:numId="22" w16cid:durableId="1842425556">
    <w:abstractNumId w:val="15"/>
  </w:num>
  <w:num w:numId="23" w16cid:durableId="1712220720">
    <w:abstractNumId w:val="15"/>
  </w:num>
  <w:num w:numId="24" w16cid:durableId="57941696">
    <w:abstractNumId w:val="15"/>
  </w:num>
  <w:num w:numId="25" w16cid:durableId="318314831">
    <w:abstractNumId w:val="15"/>
  </w:num>
  <w:num w:numId="26" w16cid:durableId="2088921298">
    <w:abstractNumId w:val="15"/>
  </w:num>
  <w:num w:numId="27" w16cid:durableId="369377141">
    <w:abstractNumId w:val="8"/>
  </w:num>
  <w:num w:numId="28" w16cid:durableId="1524630177">
    <w:abstractNumId w:val="15"/>
  </w:num>
  <w:num w:numId="29" w16cid:durableId="2104303029">
    <w:abstractNumId w:val="19"/>
  </w:num>
  <w:num w:numId="30" w16cid:durableId="725883810">
    <w:abstractNumId w:val="2"/>
  </w:num>
  <w:num w:numId="31" w16cid:durableId="1699430635">
    <w:abstractNumId w:val="11"/>
  </w:num>
  <w:num w:numId="32" w16cid:durableId="1908370033">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proofState w:spelling="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9BF"/>
    <w:rsid w:val="0000328C"/>
    <w:rsid w:val="00003766"/>
    <w:rsid w:val="0000608B"/>
    <w:rsid w:val="00007C32"/>
    <w:rsid w:val="00011733"/>
    <w:rsid w:val="00014BF6"/>
    <w:rsid w:val="00014F37"/>
    <w:rsid w:val="00015A0A"/>
    <w:rsid w:val="00016C0E"/>
    <w:rsid w:val="0001732E"/>
    <w:rsid w:val="00020240"/>
    <w:rsid w:val="0002121E"/>
    <w:rsid w:val="00023810"/>
    <w:rsid w:val="00025528"/>
    <w:rsid w:val="00027994"/>
    <w:rsid w:val="000314A0"/>
    <w:rsid w:val="0003288D"/>
    <w:rsid w:val="00032995"/>
    <w:rsid w:val="00033081"/>
    <w:rsid w:val="000331F9"/>
    <w:rsid w:val="00034867"/>
    <w:rsid w:val="000358A2"/>
    <w:rsid w:val="0004060C"/>
    <w:rsid w:val="00040F6C"/>
    <w:rsid w:val="00043F36"/>
    <w:rsid w:val="0004434D"/>
    <w:rsid w:val="00045EEA"/>
    <w:rsid w:val="00047112"/>
    <w:rsid w:val="00047DD9"/>
    <w:rsid w:val="000504F0"/>
    <w:rsid w:val="00052684"/>
    <w:rsid w:val="000552B3"/>
    <w:rsid w:val="00056F25"/>
    <w:rsid w:val="00057FD4"/>
    <w:rsid w:val="00060148"/>
    <w:rsid w:val="0006055C"/>
    <w:rsid w:val="00060EDF"/>
    <w:rsid w:val="00061DD7"/>
    <w:rsid w:val="0006431A"/>
    <w:rsid w:val="0006464A"/>
    <w:rsid w:val="00064795"/>
    <w:rsid w:val="00064A30"/>
    <w:rsid w:val="000655DE"/>
    <w:rsid w:val="00065BBC"/>
    <w:rsid w:val="00067022"/>
    <w:rsid w:val="0007067B"/>
    <w:rsid w:val="00071A79"/>
    <w:rsid w:val="00071CF6"/>
    <w:rsid w:val="00073F73"/>
    <w:rsid w:val="00076C0C"/>
    <w:rsid w:val="00077CAF"/>
    <w:rsid w:val="0008167B"/>
    <w:rsid w:val="00081D07"/>
    <w:rsid w:val="00083AD4"/>
    <w:rsid w:val="0008462E"/>
    <w:rsid w:val="00087957"/>
    <w:rsid w:val="00090DDB"/>
    <w:rsid w:val="00092A9D"/>
    <w:rsid w:val="00093708"/>
    <w:rsid w:val="00095848"/>
    <w:rsid w:val="000A04B0"/>
    <w:rsid w:val="000A0E73"/>
    <w:rsid w:val="000A1B82"/>
    <w:rsid w:val="000A2174"/>
    <w:rsid w:val="000A5CE5"/>
    <w:rsid w:val="000A75CB"/>
    <w:rsid w:val="000B047C"/>
    <w:rsid w:val="000B51C1"/>
    <w:rsid w:val="000B56BA"/>
    <w:rsid w:val="000B6C60"/>
    <w:rsid w:val="000C02FD"/>
    <w:rsid w:val="000C0ED6"/>
    <w:rsid w:val="000C2EF3"/>
    <w:rsid w:val="000C3494"/>
    <w:rsid w:val="000C4BA5"/>
    <w:rsid w:val="000C6D5B"/>
    <w:rsid w:val="000C71AF"/>
    <w:rsid w:val="000D2A2E"/>
    <w:rsid w:val="000D2BDB"/>
    <w:rsid w:val="000D3D90"/>
    <w:rsid w:val="000D4C9B"/>
    <w:rsid w:val="000D5D47"/>
    <w:rsid w:val="000E0F53"/>
    <w:rsid w:val="000E1700"/>
    <w:rsid w:val="000E1792"/>
    <w:rsid w:val="000E26A9"/>
    <w:rsid w:val="000E3E06"/>
    <w:rsid w:val="000E599A"/>
    <w:rsid w:val="000E5B6C"/>
    <w:rsid w:val="000E5C60"/>
    <w:rsid w:val="000E74B5"/>
    <w:rsid w:val="000E7743"/>
    <w:rsid w:val="000F156E"/>
    <w:rsid w:val="000F2078"/>
    <w:rsid w:val="000F21EB"/>
    <w:rsid w:val="000F2564"/>
    <w:rsid w:val="000F4F46"/>
    <w:rsid w:val="000F661E"/>
    <w:rsid w:val="000F7DED"/>
    <w:rsid w:val="000F7F07"/>
    <w:rsid w:val="00100239"/>
    <w:rsid w:val="0010142D"/>
    <w:rsid w:val="001041FD"/>
    <w:rsid w:val="00116006"/>
    <w:rsid w:val="0011648A"/>
    <w:rsid w:val="001168A2"/>
    <w:rsid w:val="0012235E"/>
    <w:rsid w:val="00122377"/>
    <w:rsid w:val="00124774"/>
    <w:rsid w:val="00127D0B"/>
    <w:rsid w:val="00133899"/>
    <w:rsid w:val="00136BB4"/>
    <w:rsid w:val="0014378A"/>
    <w:rsid w:val="001440B0"/>
    <w:rsid w:val="001448BE"/>
    <w:rsid w:val="00147A59"/>
    <w:rsid w:val="00151565"/>
    <w:rsid w:val="00152A9F"/>
    <w:rsid w:val="00153C15"/>
    <w:rsid w:val="00162F8E"/>
    <w:rsid w:val="0016629B"/>
    <w:rsid w:val="00170915"/>
    <w:rsid w:val="00171757"/>
    <w:rsid w:val="00171BDD"/>
    <w:rsid w:val="00171DF7"/>
    <w:rsid w:val="0017393F"/>
    <w:rsid w:val="001756D9"/>
    <w:rsid w:val="00181AD4"/>
    <w:rsid w:val="00183F48"/>
    <w:rsid w:val="00184060"/>
    <w:rsid w:val="0018547D"/>
    <w:rsid w:val="0018753C"/>
    <w:rsid w:val="0018792B"/>
    <w:rsid w:val="001933BD"/>
    <w:rsid w:val="00193F92"/>
    <w:rsid w:val="00194586"/>
    <w:rsid w:val="00196B49"/>
    <w:rsid w:val="00197CB5"/>
    <w:rsid w:val="001A2385"/>
    <w:rsid w:val="001A34D6"/>
    <w:rsid w:val="001A38CC"/>
    <w:rsid w:val="001A4CDB"/>
    <w:rsid w:val="001A5161"/>
    <w:rsid w:val="001A5C0D"/>
    <w:rsid w:val="001A61EB"/>
    <w:rsid w:val="001A7E9B"/>
    <w:rsid w:val="001B314C"/>
    <w:rsid w:val="001B3A0D"/>
    <w:rsid w:val="001B65E9"/>
    <w:rsid w:val="001B7DF5"/>
    <w:rsid w:val="001C0F4B"/>
    <w:rsid w:val="001C175C"/>
    <w:rsid w:val="001C6468"/>
    <w:rsid w:val="001C67CF"/>
    <w:rsid w:val="001D1648"/>
    <w:rsid w:val="001D216A"/>
    <w:rsid w:val="001D2E82"/>
    <w:rsid w:val="001D2F82"/>
    <w:rsid w:val="001D51DA"/>
    <w:rsid w:val="001E5855"/>
    <w:rsid w:val="001E5A27"/>
    <w:rsid w:val="001E65A8"/>
    <w:rsid w:val="001F02B9"/>
    <w:rsid w:val="001F0975"/>
    <w:rsid w:val="001F0CCA"/>
    <w:rsid w:val="001F107F"/>
    <w:rsid w:val="001F2442"/>
    <w:rsid w:val="001F3C9B"/>
    <w:rsid w:val="001F3CB0"/>
    <w:rsid w:val="001F5AB1"/>
    <w:rsid w:val="002037F5"/>
    <w:rsid w:val="00205DF3"/>
    <w:rsid w:val="002072D9"/>
    <w:rsid w:val="00210F91"/>
    <w:rsid w:val="002117EA"/>
    <w:rsid w:val="00213211"/>
    <w:rsid w:val="0021418F"/>
    <w:rsid w:val="00214862"/>
    <w:rsid w:val="002160CD"/>
    <w:rsid w:val="00216E9D"/>
    <w:rsid w:val="00216ED6"/>
    <w:rsid w:val="0022083E"/>
    <w:rsid w:val="00221C84"/>
    <w:rsid w:val="002223D4"/>
    <w:rsid w:val="00222D0B"/>
    <w:rsid w:val="0022412F"/>
    <w:rsid w:val="00226107"/>
    <w:rsid w:val="00226F4E"/>
    <w:rsid w:val="0023089B"/>
    <w:rsid w:val="00232EC2"/>
    <w:rsid w:val="00233E3B"/>
    <w:rsid w:val="00233F39"/>
    <w:rsid w:val="002359F2"/>
    <w:rsid w:val="00235B74"/>
    <w:rsid w:val="00236C8B"/>
    <w:rsid w:val="00237B52"/>
    <w:rsid w:val="00241D3D"/>
    <w:rsid w:val="00242351"/>
    <w:rsid w:val="0024238C"/>
    <w:rsid w:val="0025136B"/>
    <w:rsid w:val="00252BCA"/>
    <w:rsid w:val="00253325"/>
    <w:rsid w:val="00254DA8"/>
    <w:rsid w:val="00255C32"/>
    <w:rsid w:val="00256905"/>
    <w:rsid w:val="00256E58"/>
    <w:rsid w:val="00263B77"/>
    <w:rsid w:val="00266AA7"/>
    <w:rsid w:val="00266F7C"/>
    <w:rsid w:val="002671A0"/>
    <w:rsid w:val="0027264B"/>
    <w:rsid w:val="00272B04"/>
    <w:rsid w:val="00273232"/>
    <w:rsid w:val="00273806"/>
    <w:rsid w:val="00274C94"/>
    <w:rsid w:val="0027638C"/>
    <w:rsid w:val="00281988"/>
    <w:rsid w:val="00282ED3"/>
    <w:rsid w:val="0028659F"/>
    <w:rsid w:val="0028673A"/>
    <w:rsid w:val="00287004"/>
    <w:rsid w:val="00292E8D"/>
    <w:rsid w:val="00295C2A"/>
    <w:rsid w:val="00296011"/>
    <w:rsid w:val="002965AE"/>
    <w:rsid w:val="002A101F"/>
    <w:rsid w:val="002A1D53"/>
    <w:rsid w:val="002A3B3B"/>
    <w:rsid w:val="002A58EC"/>
    <w:rsid w:val="002B0869"/>
    <w:rsid w:val="002B32B8"/>
    <w:rsid w:val="002B3A3A"/>
    <w:rsid w:val="002B58CA"/>
    <w:rsid w:val="002B5C69"/>
    <w:rsid w:val="002B7132"/>
    <w:rsid w:val="002B75ED"/>
    <w:rsid w:val="002C0CDF"/>
    <w:rsid w:val="002C2DB5"/>
    <w:rsid w:val="002C3721"/>
    <w:rsid w:val="002C4F0F"/>
    <w:rsid w:val="002C5F77"/>
    <w:rsid w:val="002C7750"/>
    <w:rsid w:val="002D0AE0"/>
    <w:rsid w:val="002D1A35"/>
    <w:rsid w:val="002D230B"/>
    <w:rsid w:val="002D4F6B"/>
    <w:rsid w:val="002D558D"/>
    <w:rsid w:val="002D5CF5"/>
    <w:rsid w:val="002D6601"/>
    <w:rsid w:val="002E11E3"/>
    <w:rsid w:val="002E3DC8"/>
    <w:rsid w:val="002E4207"/>
    <w:rsid w:val="002E4D79"/>
    <w:rsid w:val="002F20E2"/>
    <w:rsid w:val="002F2927"/>
    <w:rsid w:val="002F2C95"/>
    <w:rsid w:val="002F4BBB"/>
    <w:rsid w:val="002F4D71"/>
    <w:rsid w:val="002F5897"/>
    <w:rsid w:val="002F60C0"/>
    <w:rsid w:val="003008CD"/>
    <w:rsid w:val="00302BB2"/>
    <w:rsid w:val="003039A2"/>
    <w:rsid w:val="0030439C"/>
    <w:rsid w:val="003056DE"/>
    <w:rsid w:val="00307A81"/>
    <w:rsid w:val="0031048E"/>
    <w:rsid w:val="00311967"/>
    <w:rsid w:val="003160A5"/>
    <w:rsid w:val="0031654A"/>
    <w:rsid w:val="00320A5D"/>
    <w:rsid w:val="00320ADF"/>
    <w:rsid w:val="00321729"/>
    <w:rsid w:val="00324159"/>
    <w:rsid w:val="00325A2A"/>
    <w:rsid w:val="00325C80"/>
    <w:rsid w:val="0032632A"/>
    <w:rsid w:val="003304B9"/>
    <w:rsid w:val="00330C0B"/>
    <w:rsid w:val="003321B4"/>
    <w:rsid w:val="00337286"/>
    <w:rsid w:val="00342883"/>
    <w:rsid w:val="00343400"/>
    <w:rsid w:val="00343974"/>
    <w:rsid w:val="00345489"/>
    <w:rsid w:val="00346DC9"/>
    <w:rsid w:val="003513F7"/>
    <w:rsid w:val="0035140F"/>
    <w:rsid w:val="003527F7"/>
    <w:rsid w:val="00354573"/>
    <w:rsid w:val="00355DB4"/>
    <w:rsid w:val="0035633A"/>
    <w:rsid w:val="003572F7"/>
    <w:rsid w:val="00363D5C"/>
    <w:rsid w:val="00365B03"/>
    <w:rsid w:val="00365E6B"/>
    <w:rsid w:val="0036768F"/>
    <w:rsid w:val="00371D9B"/>
    <w:rsid w:val="00372FBD"/>
    <w:rsid w:val="003741D8"/>
    <w:rsid w:val="00375ED0"/>
    <w:rsid w:val="00383092"/>
    <w:rsid w:val="00383F1E"/>
    <w:rsid w:val="00386058"/>
    <w:rsid w:val="00386BEE"/>
    <w:rsid w:val="00390004"/>
    <w:rsid w:val="00391D59"/>
    <w:rsid w:val="003930B8"/>
    <w:rsid w:val="00393784"/>
    <w:rsid w:val="00393CD3"/>
    <w:rsid w:val="00396001"/>
    <w:rsid w:val="003960D4"/>
    <w:rsid w:val="003A0684"/>
    <w:rsid w:val="003A0C22"/>
    <w:rsid w:val="003A0E7F"/>
    <w:rsid w:val="003A33BB"/>
    <w:rsid w:val="003A4783"/>
    <w:rsid w:val="003A609D"/>
    <w:rsid w:val="003A72C6"/>
    <w:rsid w:val="003A7828"/>
    <w:rsid w:val="003B0314"/>
    <w:rsid w:val="003B13D3"/>
    <w:rsid w:val="003B2295"/>
    <w:rsid w:val="003B28AE"/>
    <w:rsid w:val="003C4455"/>
    <w:rsid w:val="003C44BE"/>
    <w:rsid w:val="003D0FEA"/>
    <w:rsid w:val="003D3688"/>
    <w:rsid w:val="003D38ED"/>
    <w:rsid w:val="003D44C5"/>
    <w:rsid w:val="003D5294"/>
    <w:rsid w:val="003D56F7"/>
    <w:rsid w:val="003D747D"/>
    <w:rsid w:val="003D7C89"/>
    <w:rsid w:val="003E1869"/>
    <w:rsid w:val="003E470C"/>
    <w:rsid w:val="003E77C6"/>
    <w:rsid w:val="003F2B50"/>
    <w:rsid w:val="003F3D6F"/>
    <w:rsid w:val="003F48E1"/>
    <w:rsid w:val="003F4E17"/>
    <w:rsid w:val="003F5D18"/>
    <w:rsid w:val="003F60F9"/>
    <w:rsid w:val="003F69D8"/>
    <w:rsid w:val="003F785F"/>
    <w:rsid w:val="00401924"/>
    <w:rsid w:val="004035E0"/>
    <w:rsid w:val="004057F8"/>
    <w:rsid w:val="00406032"/>
    <w:rsid w:val="004107BF"/>
    <w:rsid w:val="0041207E"/>
    <w:rsid w:val="00412097"/>
    <w:rsid w:val="004144E0"/>
    <w:rsid w:val="00415212"/>
    <w:rsid w:val="0042046D"/>
    <w:rsid w:val="00421F24"/>
    <w:rsid w:val="00423676"/>
    <w:rsid w:val="00423B2E"/>
    <w:rsid w:val="00423D13"/>
    <w:rsid w:val="004242AD"/>
    <w:rsid w:val="004256EA"/>
    <w:rsid w:val="004271A7"/>
    <w:rsid w:val="0042734F"/>
    <w:rsid w:val="004273F8"/>
    <w:rsid w:val="00431D76"/>
    <w:rsid w:val="00432235"/>
    <w:rsid w:val="0043400A"/>
    <w:rsid w:val="00434656"/>
    <w:rsid w:val="0043708B"/>
    <w:rsid w:val="0043720A"/>
    <w:rsid w:val="00440982"/>
    <w:rsid w:val="00440E47"/>
    <w:rsid w:val="00441740"/>
    <w:rsid w:val="004440CA"/>
    <w:rsid w:val="00445AEC"/>
    <w:rsid w:val="00445B00"/>
    <w:rsid w:val="00445E32"/>
    <w:rsid w:val="00450B62"/>
    <w:rsid w:val="004528B3"/>
    <w:rsid w:val="004574A6"/>
    <w:rsid w:val="00461A2B"/>
    <w:rsid w:val="004632E9"/>
    <w:rsid w:val="0046428F"/>
    <w:rsid w:val="0046678C"/>
    <w:rsid w:val="0046752B"/>
    <w:rsid w:val="00472147"/>
    <w:rsid w:val="00476A56"/>
    <w:rsid w:val="004772DB"/>
    <w:rsid w:val="0048236F"/>
    <w:rsid w:val="004843B9"/>
    <w:rsid w:val="00484596"/>
    <w:rsid w:val="00484A0A"/>
    <w:rsid w:val="00484B6A"/>
    <w:rsid w:val="00484B70"/>
    <w:rsid w:val="004867E9"/>
    <w:rsid w:val="0048760E"/>
    <w:rsid w:val="00487D3A"/>
    <w:rsid w:val="00490641"/>
    <w:rsid w:val="00490900"/>
    <w:rsid w:val="00490B21"/>
    <w:rsid w:val="00492560"/>
    <w:rsid w:val="00492BE4"/>
    <w:rsid w:val="0049353B"/>
    <w:rsid w:val="00493E63"/>
    <w:rsid w:val="00497411"/>
    <w:rsid w:val="004A7856"/>
    <w:rsid w:val="004A7E3E"/>
    <w:rsid w:val="004B2402"/>
    <w:rsid w:val="004B2A67"/>
    <w:rsid w:val="004B37E4"/>
    <w:rsid w:val="004B4254"/>
    <w:rsid w:val="004B7402"/>
    <w:rsid w:val="004C07AC"/>
    <w:rsid w:val="004C1FC5"/>
    <w:rsid w:val="004C4FAC"/>
    <w:rsid w:val="004C5881"/>
    <w:rsid w:val="004D1EB4"/>
    <w:rsid w:val="004D39D1"/>
    <w:rsid w:val="004D3B0F"/>
    <w:rsid w:val="004D6AF8"/>
    <w:rsid w:val="004E0709"/>
    <w:rsid w:val="004E1D00"/>
    <w:rsid w:val="004E23A9"/>
    <w:rsid w:val="004E2DA6"/>
    <w:rsid w:val="004E30A4"/>
    <w:rsid w:val="004E4CC7"/>
    <w:rsid w:val="004E504E"/>
    <w:rsid w:val="004E5181"/>
    <w:rsid w:val="004E67FC"/>
    <w:rsid w:val="004E75D2"/>
    <w:rsid w:val="004E783C"/>
    <w:rsid w:val="004F0619"/>
    <w:rsid w:val="004F3665"/>
    <w:rsid w:val="004F42C9"/>
    <w:rsid w:val="004F4527"/>
    <w:rsid w:val="004F59C0"/>
    <w:rsid w:val="004F5BB1"/>
    <w:rsid w:val="004F6087"/>
    <w:rsid w:val="004F60AE"/>
    <w:rsid w:val="00500660"/>
    <w:rsid w:val="00500884"/>
    <w:rsid w:val="00503B83"/>
    <w:rsid w:val="0050694B"/>
    <w:rsid w:val="0050742D"/>
    <w:rsid w:val="005075CE"/>
    <w:rsid w:val="005109BF"/>
    <w:rsid w:val="00512004"/>
    <w:rsid w:val="00512647"/>
    <w:rsid w:val="005150CC"/>
    <w:rsid w:val="00516B0E"/>
    <w:rsid w:val="0052399E"/>
    <w:rsid w:val="00525410"/>
    <w:rsid w:val="005269D4"/>
    <w:rsid w:val="00527381"/>
    <w:rsid w:val="00527D3A"/>
    <w:rsid w:val="005348A0"/>
    <w:rsid w:val="00535154"/>
    <w:rsid w:val="0053743E"/>
    <w:rsid w:val="00541035"/>
    <w:rsid w:val="005419C2"/>
    <w:rsid w:val="00544A50"/>
    <w:rsid w:val="00545609"/>
    <w:rsid w:val="00545660"/>
    <w:rsid w:val="00546CD1"/>
    <w:rsid w:val="00550FFF"/>
    <w:rsid w:val="00552801"/>
    <w:rsid w:val="00553F61"/>
    <w:rsid w:val="0055419E"/>
    <w:rsid w:val="0055737A"/>
    <w:rsid w:val="005578E1"/>
    <w:rsid w:val="005623B7"/>
    <w:rsid w:val="005623C6"/>
    <w:rsid w:val="00562699"/>
    <w:rsid w:val="0056303F"/>
    <w:rsid w:val="00563CA7"/>
    <w:rsid w:val="005656B0"/>
    <w:rsid w:val="005657AE"/>
    <w:rsid w:val="00565AED"/>
    <w:rsid w:val="00570017"/>
    <w:rsid w:val="005706FD"/>
    <w:rsid w:val="00570890"/>
    <w:rsid w:val="00571A64"/>
    <w:rsid w:val="00572521"/>
    <w:rsid w:val="00572D15"/>
    <w:rsid w:val="005738E3"/>
    <w:rsid w:val="00574825"/>
    <w:rsid w:val="00574885"/>
    <w:rsid w:val="00574F42"/>
    <w:rsid w:val="00575236"/>
    <w:rsid w:val="00575ACE"/>
    <w:rsid w:val="00577691"/>
    <w:rsid w:val="005777BC"/>
    <w:rsid w:val="0058446A"/>
    <w:rsid w:val="005849E0"/>
    <w:rsid w:val="00584B74"/>
    <w:rsid w:val="00584F77"/>
    <w:rsid w:val="00586801"/>
    <w:rsid w:val="0059149C"/>
    <w:rsid w:val="00592066"/>
    <w:rsid w:val="00594420"/>
    <w:rsid w:val="00594F22"/>
    <w:rsid w:val="005A1B5C"/>
    <w:rsid w:val="005A1F02"/>
    <w:rsid w:val="005A48CF"/>
    <w:rsid w:val="005B1083"/>
    <w:rsid w:val="005B1283"/>
    <w:rsid w:val="005B29C7"/>
    <w:rsid w:val="005B6349"/>
    <w:rsid w:val="005B64F6"/>
    <w:rsid w:val="005B7153"/>
    <w:rsid w:val="005C0096"/>
    <w:rsid w:val="005C03F2"/>
    <w:rsid w:val="005C3116"/>
    <w:rsid w:val="005C5B02"/>
    <w:rsid w:val="005C61D2"/>
    <w:rsid w:val="005C6F24"/>
    <w:rsid w:val="005D086C"/>
    <w:rsid w:val="005D27F7"/>
    <w:rsid w:val="005D40BD"/>
    <w:rsid w:val="005E0717"/>
    <w:rsid w:val="005E4324"/>
    <w:rsid w:val="005E5F5F"/>
    <w:rsid w:val="005E62DB"/>
    <w:rsid w:val="005E7880"/>
    <w:rsid w:val="005F23DA"/>
    <w:rsid w:val="005F277C"/>
    <w:rsid w:val="005F40E3"/>
    <w:rsid w:val="006027AC"/>
    <w:rsid w:val="00602B09"/>
    <w:rsid w:val="00603576"/>
    <w:rsid w:val="00603DDF"/>
    <w:rsid w:val="006041FE"/>
    <w:rsid w:val="00607188"/>
    <w:rsid w:val="00610425"/>
    <w:rsid w:val="0061143F"/>
    <w:rsid w:val="006129D3"/>
    <w:rsid w:val="00613501"/>
    <w:rsid w:val="0061765D"/>
    <w:rsid w:val="00621BEB"/>
    <w:rsid w:val="00624928"/>
    <w:rsid w:val="00624D8C"/>
    <w:rsid w:val="00625040"/>
    <w:rsid w:val="006276AE"/>
    <w:rsid w:val="0063010C"/>
    <w:rsid w:val="00630852"/>
    <w:rsid w:val="006337C7"/>
    <w:rsid w:val="0063733D"/>
    <w:rsid w:val="00645A33"/>
    <w:rsid w:val="00645AD8"/>
    <w:rsid w:val="0064621B"/>
    <w:rsid w:val="0064626B"/>
    <w:rsid w:val="006479E7"/>
    <w:rsid w:val="00652056"/>
    <w:rsid w:val="00652599"/>
    <w:rsid w:val="00653994"/>
    <w:rsid w:val="00655C71"/>
    <w:rsid w:val="00655FE6"/>
    <w:rsid w:val="00657D61"/>
    <w:rsid w:val="00657EFE"/>
    <w:rsid w:val="00660ED2"/>
    <w:rsid w:val="00662BDD"/>
    <w:rsid w:val="00663B26"/>
    <w:rsid w:val="006658FC"/>
    <w:rsid w:val="00666470"/>
    <w:rsid w:val="00666547"/>
    <w:rsid w:val="00666644"/>
    <w:rsid w:val="00667762"/>
    <w:rsid w:val="00667F6A"/>
    <w:rsid w:val="00670F2D"/>
    <w:rsid w:val="00671889"/>
    <w:rsid w:val="00671D1D"/>
    <w:rsid w:val="00671FC8"/>
    <w:rsid w:val="0067322C"/>
    <w:rsid w:val="00673B7B"/>
    <w:rsid w:val="00673C08"/>
    <w:rsid w:val="00674CFF"/>
    <w:rsid w:val="0068006D"/>
    <w:rsid w:val="0068286F"/>
    <w:rsid w:val="00683308"/>
    <w:rsid w:val="006853D0"/>
    <w:rsid w:val="0068694F"/>
    <w:rsid w:val="00686D2E"/>
    <w:rsid w:val="00690F6A"/>
    <w:rsid w:val="00691B5B"/>
    <w:rsid w:val="00691E6C"/>
    <w:rsid w:val="00692963"/>
    <w:rsid w:val="00695B12"/>
    <w:rsid w:val="00697567"/>
    <w:rsid w:val="00697629"/>
    <w:rsid w:val="00697C73"/>
    <w:rsid w:val="006A2154"/>
    <w:rsid w:val="006A22B2"/>
    <w:rsid w:val="006A2F45"/>
    <w:rsid w:val="006A3CF8"/>
    <w:rsid w:val="006A3E0C"/>
    <w:rsid w:val="006A3F29"/>
    <w:rsid w:val="006A4741"/>
    <w:rsid w:val="006A4B22"/>
    <w:rsid w:val="006A50D5"/>
    <w:rsid w:val="006A5554"/>
    <w:rsid w:val="006A6027"/>
    <w:rsid w:val="006B096C"/>
    <w:rsid w:val="006B10E0"/>
    <w:rsid w:val="006B10E1"/>
    <w:rsid w:val="006B2CFC"/>
    <w:rsid w:val="006B6107"/>
    <w:rsid w:val="006B6A45"/>
    <w:rsid w:val="006B6D81"/>
    <w:rsid w:val="006C1B41"/>
    <w:rsid w:val="006C29E2"/>
    <w:rsid w:val="006C35E5"/>
    <w:rsid w:val="006C4C9C"/>
    <w:rsid w:val="006C6933"/>
    <w:rsid w:val="006D2221"/>
    <w:rsid w:val="006D2437"/>
    <w:rsid w:val="006D263D"/>
    <w:rsid w:val="006D2F69"/>
    <w:rsid w:val="006D6136"/>
    <w:rsid w:val="006E1636"/>
    <w:rsid w:val="006E1E6A"/>
    <w:rsid w:val="006E2529"/>
    <w:rsid w:val="006E2857"/>
    <w:rsid w:val="006E2EAE"/>
    <w:rsid w:val="006E37B4"/>
    <w:rsid w:val="006E4001"/>
    <w:rsid w:val="006E51F2"/>
    <w:rsid w:val="006E5AC9"/>
    <w:rsid w:val="006E6BC3"/>
    <w:rsid w:val="006E6EF1"/>
    <w:rsid w:val="006F036E"/>
    <w:rsid w:val="006F0564"/>
    <w:rsid w:val="006F0B82"/>
    <w:rsid w:val="006F3CBE"/>
    <w:rsid w:val="006F4433"/>
    <w:rsid w:val="006F58A5"/>
    <w:rsid w:val="006F5F1C"/>
    <w:rsid w:val="006F6A66"/>
    <w:rsid w:val="00703734"/>
    <w:rsid w:val="00706524"/>
    <w:rsid w:val="00706B96"/>
    <w:rsid w:val="00707800"/>
    <w:rsid w:val="00711349"/>
    <w:rsid w:val="007118C1"/>
    <w:rsid w:val="00712123"/>
    <w:rsid w:val="00717D8D"/>
    <w:rsid w:val="00720E5F"/>
    <w:rsid w:val="00722A75"/>
    <w:rsid w:val="00723C5D"/>
    <w:rsid w:val="00723DD9"/>
    <w:rsid w:val="00725A1F"/>
    <w:rsid w:val="00727DF9"/>
    <w:rsid w:val="0073228A"/>
    <w:rsid w:val="00732735"/>
    <w:rsid w:val="00732B0B"/>
    <w:rsid w:val="0073362E"/>
    <w:rsid w:val="0074297F"/>
    <w:rsid w:val="00742ED9"/>
    <w:rsid w:val="007500A9"/>
    <w:rsid w:val="0075398D"/>
    <w:rsid w:val="00753BB9"/>
    <w:rsid w:val="007540A4"/>
    <w:rsid w:val="007562A5"/>
    <w:rsid w:val="0075755A"/>
    <w:rsid w:val="00757A8C"/>
    <w:rsid w:val="00760BD8"/>
    <w:rsid w:val="00761CBA"/>
    <w:rsid w:val="00762ECE"/>
    <w:rsid w:val="00763164"/>
    <w:rsid w:val="00765F34"/>
    <w:rsid w:val="00766670"/>
    <w:rsid w:val="00766D4A"/>
    <w:rsid w:val="00767E2B"/>
    <w:rsid w:val="0077336C"/>
    <w:rsid w:val="00777431"/>
    <w:rsid w:val="0078004B"/>
    <w:rsid w:val="00780F30"/>
    <w:rsid w:val="007823B8"/>
    <w:rsid w:val="007833EE"/>
    <w:rsid w:val="00784ABA"/>
    <w:rsid w:val="00785FC4"/>
    <w:rsid w:val="00792028"/>
    <w:rsid w:val="00794986"/>
    <w:rsid w:val="00795870"/>
    <w:rsid w:val="00796280"/>
    <w:rsid w:val="00796CE5"/>
    <w:rsid w:val="00797054"/>
    <w:rsid w:val="007A046F"/>
    <w:rsid w:val="007A1739"/>
    <w:rsid w:val="007A339B"/>
    <w:rsid w:val="007A598E"/>
    <w:rsid w:val="007B0AA5"/>
    <w:rsid w:val="007B2BB9"/>
    <w:rsid w:val="007B353E"/>
    <w:rsid w:val="007B553F"/>
    <w:rsid w:val="007C11A9"/>
    <w:rsid w:val="007C46B2"/>
    <w:rsid w:val="007C684C"/>
    <w:rsid w:val="007C6C4A"/>
    <w:rsid w:val="007D2542"/>
    <w:rsid w:val="007D29D7"/>
    <w:rsid w:val="007D3C8A"/>
    <w:rsid w:val="007D415A"/>
    <w:rsid w:val="007D4D5F"/>
    <w:rsid w:val="007D523C"/>
    <w:rsid w:val="007D54FE"/>
    <w:rsid w:val="007E45C1"/>
    <w:rsid w:val="007E73A5"/>
    <w:rsid w:val="007F1A38"/>
    <w:rsid w:val="007F416D"/>
    <w:rsid w:val="007F4B25"/>
    <w:rsid w:val="007F4BFF"/>
    <w:rsid w:val="0080047C"/>
    <w:rsid w:val="008015C9"/>
    <w:rsid w:val="00803C1F"/>
    <w:rsid w:val="0080401C"/>
    <w:rsid w:val="008046E8"/>
    <w:rsid w:val="00804C2C"/>
    <w:rsid w:val="00805A6C"/>
    <w:rsid w:val="00806473"/>
    <w:rsid w:val="008065B6"/>
    <w:rsid w:val="00807F47"/>
    <w:rsid w:val="008157EA"/>
    <w:rsid w:val="00821B0A"/>
    <w:rsid w:val="00822A12"/>
    <w:rsid w:val="008260FC"/>
    <w:rsid w:val="00826293"/>
    <w:rsid w:val="008311D0"/>
    <w:rsid w:val="00831DDC"/>
    <w:rsid w:val="00832869"/>
    <w:rsid w:val="00841075"/>
    <w:rsid w:val="008422A0"/>
    <w:rsid w:val="00842515"/>
    <w:rsid w:val="00842B7A"/>
    <w:rsid w:val="00842CA6"/>
    <w:rsid w:val="008476DF"/>
    <w:rsid w:val="0084797F"/>
    <w:rsid w:val="00847FDE"/>
    <w:rsid w:val="00850CFE"/>
    <w:rsid w:val="008530E8"/>
    <w:rsid w:val="008534D6"/>
    <w:rsid w:val="00853A24"/>
    <w:rsid w:val="00853A7A"/>
    <w:rsid w:val="00853DF0"/>
    <w:rsid w:val="008554A2"/>
    <w:rsid w:val="00856539"/>
    <w:rsid w:val="00856E5A"/>
    <w:rsid w:val="008579F0"/>
    <w:rsid w:val="008610A9"/>
    <w:rsid w:val="00861C9F"/>
    <w:rsid w:val="00861D7C"/>
    <w:rsid w:val="00862852"/>
    <w:rsid w:val="008653E9"/>
    <w:rsid w:val="0086584A"/>
    <w:rsid w:val="00866E0F"/>
    <w:rsid w:val="00872DFF"/>
    <w:rsid w:val="00877DAF"/>
    <w:rsid w:val="00880C35"/>
    <w:rsid w:val="00881052"/>
    <w:rsid w:val="00881ADC"/>
    <w:rsid w:val="00883EDD"/>
    <w:rsid w:val="00883FAA"/>
    <w:rsid w:val="00885319"/>
    <w:rsid w:val="008874E6"/>
    <w:rsid w:val="00890F91"/>
    <w:rsid w:val="00892B6E"/>
    <w:rsid w:val="00893641"/>
    <w:rsid w:val="00894358"/>
    <w:rsid w:val="008947A5"/>
    <w:rsid w:val="00894C08"/>
    <w:rsid w:val="0089692E"/>
    <w:rsid w:val="008A0C83"/>
    <w:rsid w:val="008A54F3"/>
    <w:rsid w:val="008A59E5"/>
    <w:rsid w:val="008A64CF"/>
    <w:rsid w:val="008B14D7"/>
    <w:rsid w:val="008B787E"/>
    <w:rsid w:val="008B7B1E"/>
    <w:rsid w:val="008C0DFC"/>
    <w:rsid w:val="008C1563"/>
    <w:rsid w:val="008C23C0"/>
    <w:rsid w:val="008C2718"/>
    <w:rsid w:val="008C28D1"/>
    <w:rsid w:val="008C2CE0"/>
    <w:rsid w:val="008C3B21"/>
    <w:rsid w:val="008C470B"/>
    <w:rsid w:val="008C4718"/>
    <w:rsid w:val="008C74E3"/>
    <w:rsid w:val="008D1C38"/>
    <w:rsid w:val="008D244C"/>
    <w:rsid w:val="008D2484"/>
    <w:rsid w:val="008D3AED"/>
    <w:rsid w:val="008D3BEF"/>
    <w:rsid w:val="008D4C94"/>
    <w:rsid w:val="008D50B9"/>
    <w:rsid w:val="008E0657"/>
    <w:rsid w:val="008E0AD3"/>
    <w:rsid w:val="008E180B"/>
    <w:rsid w:val="008E3C31"/>
    <w:rsid w:val="008E5E4B"/>
    <w:rsid w:val="008F145F"/>
    <w:rsid w:val="008F1E9F"/>
    <w:rsid w:val="008F2049"/>
    <w:rsid w:val="008F2744"/>
    <w:rsid w:val="008F4826"/>
    <w:rsid w:val="008F5135"/>
    <w:rsid w:val="008F5325"/>
    <w:rsid w:val="008F6336"/>
    <w:rsid w:val="008F6ACA"/>
    <w:rsid w:val="008F70D5"/>
    <w:rsid w:val="008F7E8F"/>
    <w:rsid w:val="00900E48"/>
    <w:rsid w:val="00902FB0"/>
    <w:rsid w:val="00904184"/>
    <w:rsid w:val="009045C2"/>
    <w:rsid w:val="00904994"/>
    <w:rsid w:val="00905832"/>
    <w:rsid w:val="009059E9"/>
    <w:rsid w:val="00905EE3"/>
    <w:rsid w:val="00907A31"/>
    <w:rsid w:val="00907EBA"/>
    <w:rsid w:val="00911457"/>
    <w:rsid w:val="00911F11"/>
    <w:rsid w:val="00912F8E"/>
    <w:rsid w:val="009139EE"/>
    <w:rsid w:val="00914750"/>
    <w:rsid w:val="0091556D"/>
    <w:rsid w:val="00915A26"/>
    <w:rsid w:val="00915EFE"/>
    <w:rsid w:val="00917329"/>
    <w:rsid w:val="00921345"/>
    <w:rsid w:val="00923CF0"/>
    <w:rsid w:val="00925B99"/>
    <w:rsid w:val="00925C17"/>
    <w:rsid w:val="00931964"/>
    <w:rsid w:val="0093316D"/>
    <w:rsid w:val="00935E8A"/>
    <w:rsid w:val="00942013"/>
    <w:rsid w:val="009427E1"/>
    <w:rsid w:val="00944AC7"/>
    <w:rsid w:val="009457B9"/>
    <w:rsid w:val="009465E2"/>
    <w:rsid w:val="009514FB"/>
    <w:rsid w:val="0095318F"/>
    <w:rsid w:val="009607E5"/>
    <w:rsid w:val="009609C9"/>
    <w:rsid w:val="00960D98"/>
    <w:rsid w:val="00961AC7"/>
    <w:rsid w:val="0096216E"/>
    <w:rsid w:val="0096425F"/>
    <w:rsid w:val="00964C6F"/>
    <w:rsid w:val="0097362E"/>
    <w:rsid w:val="009813A7"/>
    <w:rsid w:val="009820E3"/>
    <w:rsid w:val="009830D1"/>
    <w:rsid w:val="00984BC8"/>
    <w:rsid w:val="00986BC6"/>
    <w:rsid w:val="00986C80"/>
    <w:rsid w:val="009924A2"/>
    <w:rsid w:val="009942C1"/>
    <w:rsid w:val="00996A4C"/>
    <w:rsid w:val="00997C56"/>
    <w:rsid w:val="009A040E"/>
    <w:rsid w:val="009A12F9"/>
    <w:rsid w:val="009A1CF5"/>
    <w:rsid w:val="009A25FC"/>
    <w:rsid w:val="009A48E6"/>
    <w:rsid w:val="009A549D"/>
    <w:rsid w:val="009A64AF"/>
    <w:rsid w:val="009B3F63"/>
    <w:rsid w:val="009C0120"/>
    <w:rsid w:val="009C26FD"/>
    <w:rsid w:val="009C4CE9"/>
    <w:rsid w:val="009C53C7"/>
    <w:rsid w:val="009C60B9"/>
    <w:rsid w:val="009C7016"/>
    <w:rsid w:val="009D1047"/>
    <w:rsid w:val="009D2A61"/>
    <w:rsid w:val="009E3952"/>
    <w:rsid w:val="009E39E6"/>
    <w:rsid w:val="009E4518"/>
    <w:rsid w:val="009E5BA8"/>
    <w:rsid w:val="009E693B"/>
    <w:rsid w:val="009E7B05"/>
    <w:rsid w:val="009F0569"/>
    <w:rsid w:val="009F0733"/>
    <w:rsid w:val="009F187B"/>
    <w:rsid w:val="009F44C1"/>
    <w:rsid w:val="009F4ED5"/>
    <w:rsid w:val="00A0138A"/>
    <w:rsid w:val="00A032EC"/>
    <w:rsid w:val="00A077FB"/>
    <w:rsid w:val="00A20BFB"/>
    <w:rsid w:val="00A21D87"/>
    <w:rsid w:val="00A272AA"/>
    <w:rsid w:val="00A30010"/>
    <w:rsid w:val="00A34359"/>
    <w:rsid w:val="00A375EB"/>
    <w:rsid w:val="00A404C5"/>
    <w:rsid w:val="00A405FA"/>
    <w:rsid w:val="00A419DB"/>
    <w:rsid w:val="00A46BD6"/>
    <w:rsid w:val="00A52F3D"/>
    <w:rsid w:val="00A552CC"/>
    <w:rsid w:val="00A5591E"/>
    <w:rsid w:val="00A56C86"/>
    <w:rsid w:val="00A57D62"/>
    <w:rsid w:val="00A60DE5"/>
    <w:rsid w:val="00A61682"/>
    <w:rsid w:val="00A61699"/>
    <w:rsid w:val="00A6365B"/>
    <w:rsid w:val="00A64B74"/>
    <w:rsid w:val="00A6529B"/>
    <w:rsid w:val="00A65702"/>
    <w:rsid w:val="00A66E9F"/>
    <w:rsid w:val="00A67CC6"/>
    <w:rsid w:val="00A70659"/>
    <w:rsid w:val="00A71A19"/>
    <w:rsid w:val="00A731BB"/>
    <w:rsid w:val="00A75449"/>
    <w:rsid w:val="00A758A6"/>
    <w:rsid w:val="00A804E5"/>
    <w:rsid w:val="00A811CD"/>
    <w:rsid w:val="00A92A21"/>
    <w:rsid w:val="00A94555"/>
    <w:rsid w:val="00A945CF"/>
    <w:rsid w:val="00A94B32"/>
    <w:rsid w:val="00A94DE3"/>
    <w:rsid w:val="00AA0144"/>
    <w:rsid w:val="00AA0683"/>
    <w:rsid w:val="00AA186F"/>
    <w:rsid w:val="00AA2EAB"/>
    <w:rsid w:val="00AA740C"/>
    <w:rsid w:val="00AA7DFC"/>
    <w:rsid w:val="00AB0988"/>
    <w:rsid w:val="00AB0ED5"/>
    <w:rsid w:val="00AB6830"/>
    <w:rsid w:val="00AB75D9"/>
    <w:rsid w:val="00AC2EFA"/>
    <w:rsid w:val="00AC75CB"/>
    <w:rsid w:val="00AD08F8"/>
    <w:rsid w:val="00AD0C2A"/>
    <w:rsid w:val="00AD1564"/>
    <w:rsid w:val="00AD22BA"/>
    <w:rsid w:val="00AD3B5A"/>
    <w:rsid w:val="00AD5FC1"/>
    <w:rsid w:val="00AD6003"/>
    <w:rsid w:val="00AE168E"/>
    <w:rsid w:val="00AF0364"/>
    <w:rsid w:val="00AF1D33"/>
    <w:rsid w:val="00AF2EF7"/>
    <w:rsid w:val="00AF2F1E"/>
    <w:rsid w:val="00AF3475"/>
    <w:rsid w:val="00AF516C"/>
    <w:rsid w:val="00AF6C99"/>
    <w:rsid w:val="00B01D7C"/>
    <w:rsid w:val="00B0319E"/>
    <w:rsid w:val="00B0507E"/>
    <w:rsid w:val="00B11D41"/>
    <w:rsid w:val="00B12796"/>
    <w:rsid w:val="00B132F0"/>
    <w:rsid w:val="00B1584F"/>
    <w:rsid w:val="00B15C01"/>
    <w:rsid w:val="00B16A99"/>
    <w:rsid w:val="00B17B99"/>
    <w:rsid w:val="00B2404E"/>
    <w:rsid w:val="00B251DB"/>
    <w:rsid w:val="00B26C25"/>
    <w:rsid w:val="00B31C5B"/>
    <w:rsid w:val="00B3288F"/>
    <w:rsid w:val="00B33A65"/>
    <w:rsid w:val="00B35C0C"/>
    <w:rsid w:val="00B40A60"/>
    <w:rsid w:val="00B42387"/>
    <w:rsid w:val="00B4272E"/>
    <w:rsid w:val="00B4556C"/>
    <w:rsid w:val="00B45729"/>
    <w:rsid w:val="00B45B98"/>
    <w:rsid w:val="00B46965"/>
    <w:rsid w:val="00B46A62"/>
    <w:rsid w:val="00B50CCA"/>
    <w:rsid w:val="00B536F8"/>
    <w:rsid w:val="00B53B44"/>
    <w:rsid w:val="00B549C6"/>
    <w:rsid w:val="00B54E62"/>
    <w:rsid w:val="00B564B6"/>
    <w:rsid w:val="00B60C63"/>
    <w:rsid w:val="00B65578"/>
    <w:rsid w:val="00B66130"/>
    <w:rsid w:val="00B6649B"/>
    <w:rsid w:val="00B6766A"/>
    <w:rsid w:val="00B67B27"/>
    <w:rsid w:val="00B7483B"/>
    <w:rsid w:val="00B768A2"/>
    <w:rsid w:val="00B77D0E"/>
    <w:rsid w:val="00B8615B"/>
    <w:rsid w:val="00B87E72"/>
    <w:rsid w:val="00B91BD3"/>
    <w:rsid w:val="00B91DD5"/>
    <w:rsid w:val="00B920BB"/>
    <w:rsid w:val="00B9632C"/>
    <w:rsid w:val="00B972D1"/>
    <w:rsid w:val="00BA06FF"/>
    <w:rsid w:val="00BA0C27"/>
    <w:rsid w:val="00BA0EF7"/>
    <w:rsid w:val="00BA2C90"/>
    <w:rsid w:val="00BA34FD"/>
    <w:rsid w:val="00BA3E93"/>
    <w:rsid w:val="00BA57A5"/>
    <w:rsid w:val="00BA71C4"/>
    <w:rsid w:val="00BA7CB7"/>
    <w:rsid w:val="00BB2190"/>
    <w:rsid w:val="00BB2B52"/>
    <w:rsid w:val="00BB2E80"/>
    <w:rsid w:val="00BB350F"/>
    <w:rsid w:val="00BB5F81"/>
    <w:rsid w:val="00BB64A6"/>
    <w:rsid w:val="00BC14E2"/>
    <w:rsid w:val="00BC2311"/>
    <w:rsid w:val="00BC2C0C"/>
    <w:rsid w:val="00BC2FD6"/>
    <w:rsid w:val="00BD0F8A"/>
    <w:rsid w:val="00BD114F"/>
    <w:rsid w:val="00BD41DB"/>
    <w:rsid w:val="00BD5ED0"/>
    <w:rsid w:val="00BE00F3"/>
    <w:rsid w:val="00BE1C6A"/>
    <w:rsid w:val="00BE1CB4"/>
    <w:rsid w:val="00BE43F3"/>
    <w:rsid w:val="00BE4BA8"/>
    <w:rsid w:val="00BE53C7"/>
    <w:rsid w:val="00BE6EEA"/>
    <w:rsid w:val="00BE753D"/>
    <w:rsid w:val="00BF016E"/>
    <w:rsid w:val="00BF188F"/>
    <w:rsid w:val="00BF1EBA"/>
    <w:rsid w:val="00BF281A"/>
    <w:rsid w:val="00BF39C4"/>
    <w:rsid w:val="00BF48C6"/>
    <w:rsid w:val="00BF6930"/>
    <w:rsid w:val="00C01A75"/>
    <w:rsid w:val="00C0265B"/>
    <w:rsid w:val="00C02AE5"/>
    <w:rsid w:val="00C03F40"/>
    <w:rsid w:val="00C14473"/>
    <w:rsid w:val="00C145B2"/>
    <w:rsid w:val="00C16062"/>
    <w:rsid w:val="00C16BEE"/>
    <w:rsid w:val="00C2027D"/>
    <w:rsid w:val="00C21987"/>
    <w:rsid w:val="00C27CB3"/>
    <w:rsid w:val="00C31687"/>
    <w:rsid w:val="00C356CC"/>
    <w:rsid w:val="00C366D4"/>
    <w:rsid w:val="00C40218"/>
    <w:rsid w:val="00C42F09"/>
    <w:rsid w:val="00C43BEA"/>
    <w:rsid w:val="00C43D48"/>
    <w:rsid w:val="00C43E30"/>
    <w:rsid w:val="00C45727"/>
    <w:rsid w:val="00C50A9A"/>
    <w:rsid w:val="00C555E1"/>
    <w:rsid w:val="00C601BC"/>
    <w:rsid w:val="00C61322"/>
    <w:rsid w:val="00C65E4E"/>
    <w:rsid w:val="00C7280F"/>
    <w:rsid w:val="00C74300"/>
    <w:rsid w:val="00C74EE9"/>
    <w:rsid w:val="00C80BB6"/>
    <w:rsid w:val="00C83449"/>
    <w:rsid w:val="00C83804"/>
    <w:rsid w:val="00C8540B"/>
    <w:rsid w:val="00C8545E"/>
    <w:rsid w:val="00C865E0"/>
    <w:rsid w:val="00C901CC"/>
    <w:rsid w:val="00C9121C"/>
    <w:rsid w:val="00C9186F"/>
    <w:rsid w:val="00C95D04"/>
    <w:rsid w:val="00CA1469"/>
    <w:rsid w:val="00CA36E9"/>
    <w:rsid w:val="00CA3F2E"/>
    <w:rsid w:val="00CA6ACF"/>
    <w:rsid w:val="00CA6DDE"/>
    <w:rsid w:val="00CA7374"/>
    <w:rsid w:val="00CB2DE1"/>
    <w:rsid w:val="00CB50EA"/>
    <w:rsid w:val="00CB6026"/>
    <w:rsid w:val="00CB65FD"/>
    <w:rsid w:val="00CB7499"/>
    <w:rsid w:val="00CC0234"/>
    <w:rsid w:val="00CC088C"/>
    <w:rsid w:val="00CC705E"/>
    <w:rsid w:val="00CD38FD"/>
    <w:rsid w:val="00CD469E"/>
    <w:rsid w:val="00CD4EE8"/>
    <w:rsid w:val="00CD5E3B"/>
    <w:rsid w:val="00CE4789"/>
    <w:rsid w:val="00CE516C"/>
    <w:rsid w:val="00CE63BC"/>
    <w:rsid w:val="00CE6BBD"/>
    <w:rsid w:val="00CE7405"/>
    <w:rsid w:val="00CE7F17"/>
    <w:rsid w:val="00CF353B"/>
    <w:rsid w:val="00CF41AE"/>
    <w:rsid w:val="00CF5AE7"/>
    <w:rsid w:val="00CF79FC"/>
    <w:rsid w:val="00CF7FCC"/>
    <w:rsid w:val="00D025DC"/>
    <w:rsid w:val="00D029E9"/>
    <w:rsid w:val="00D02A8C"/>
    <w:rsid w:val="00D05294"/>
    <w:rsid w:val="00D05DAF"/>
    <w:rsid w:val="00D12808"/>
    <w:rsid w:val="00D12B41"/>
    <w:rsid w:val="00D139CE"/>
    <w:rsid w:val="00D1400E"/>
    <w:rsid w:val="00D1597E"/>
    <w:rsid w:val="00D17060"/>
    <w:rsid w:val="00D2059F"/>
    <w:rsid w:val="00D220CF"/>
    <w:rsid w:val="00D25F0C"/>
    <w:rsid w:val="00D25F7D"/>
    <w:rsid w:val="00D26018"/>
    <w:rsid w:val="00D261D4"/>
    <w:rsid w:val="00D26202"/>
    <w:rsid w:val="00D27B99"/>
    <w:rsid w:val="00D342EB"/>
    <w:rsid w:val="00D3644C"/>
    <w:rsid w:val="00D372A5"/>
    <w:rsid w:val="00D4085C"/>
    <w:rsid w:val="00D43562"/>
    <w:rsid w:val="00D44C5B"/>
    <w:rsid w:val="00D50348"/>
    <w:rsid w:val="00D51B5B"/>
    <w:rsid w:val="00D51F95"/>
    <w:rsid w:val="00D55B58"/>
    <w:rsid w:val="00D571C2"/>
    <w:rsid w:val="00D623B5"/>
    <w:rsid w:val="00D64BFA"/>
    <w:rsid w:val="00D651C9"/>
    <w:rsid w:val="00D73187"/>
    <w:rsid w:val="00D7475C"/>
    <w:rsid w:val="00D75EF9"/>
    <w:rsid w:val="00D8056D"/>
    <w:rsid w:val="00D841E9"/>
    <w:rsid w:val="00D87C3A"/>
    <w:rsid w:val="00D909CA"/>
    <w:rsid w:val="00D9122B"/>
    <w:rsid w:val="00D95E13"/>
    <w:rsid w:val="00D96069"/>
    <w:rsid w:val="00D9695C"/>
    <w:rsid w:val="00DA14AE"/>
    <w:rsid w:val="00DA309A"/>
    <w:rsid w:val="00DA315F"/>
    <w:rsid w:val="00DA3725"/>
    <w:rsid w:val="00DA44A4"/>
    <w:rsid w:val="00DB0F4B"/>
    <w:rsid w:val="00DB1B46"/>
    <w:rsid w:val="00DB2232"/>
    <w:rsid w:val="00DB5AD0"/>
    <w:rsid w:val="00DC0A9A"/>
    <w:rsid w:val="00DC1211"/>
    <w:rsid w:val="00DC3787"/>
    <w:rsid w:val="00DC3B56"/>
    <w:rsid w:val="00DC6E10"/>
    <w:rsid w:val="00DC7178"/>
    <w:rsid w:val="00DC72D3"/>
    <w:rsid w:val="00DC72D9"/>
    <w:rsid w:val="00DD0084"/>
    <w:rsid w:val="00DD12DC"/>
    <w:rsid w:val="00DD3118"/>
    <w:rsid w:val="00DD371A"/>
    <w:rsid w:val="00DD684E"/>
    <w:rsid w:val="00DD7069"/>
    <w:rsid w:val="00DE04A8"/>
    <w:rsid w:val="00DE1060"/>
    <w:rsid w:val="00DE317A"/>
    <w:rsid w:val="00DE4055"/>
    <w:rsid w:val="00DE7E52"/>
    <w:rsid w:val="00DF365A"/>
    <w:rsid w:val="00DF39B6"/>
    <w:rsid w:val="00DF52E6"/>
    <w:rsid w:val="00E0031A"/>
    <w:rsid w:val="00E00AB1"/>
    <w:rsid w:val="00E00EFE"/>
    <w:rsid w:val="00E01D7D"/>
    <w:rsid w:val="00E03311"/>
    <w:rsid w:val="00E04DA0"/>
    <w:rsid w:val="00E0558D"/>
    <w:rsid w:val="00E056E3"/>
    <w:rsid w:val="00E0638E"/>
    <w:rsid w:val="00E06C62"/>
    <w:rsid w:val="00E07F2B"/>
    <w:rsid w:val="00E10278"/>
    <w:rsid w:val="00E11B00"/>
    <w:rsid w:val="00E13424"/>
    <w:rsid w:val="00E15B97"/>
    <w:rsid w:val="00E22837"/>
    <w:rsid w:val="00E236D8"/>
    <w:rsid w:val="00E24B69"/>
    <w:rsid w:val="00E3027E"/>
    <w:rsid w:val="00E3084E"/>
    <w:rsid w:val="00E31E22"/>
    <w:rsid w:val="00E36986"/>
    <w:rsid w:val="00E37443"/>
    <w:rsid w:val="00E40AE8"/>
    <w:rsid w:val="00E41D47"/>
    <w:rsid w:val="00E44134"/>
    <w:rsid w:val="00E44A5F"/>
    <w:rsid w:val="00E46787"/>
    <w:rsid w:val="00E51EC5"/>
    <w:rsid w:val="00E52D97"/>
    <w:rsid w:val="00E54512"/>
    <w:rsid w:val="00E547BC"/>
    <w:rsid w:val="00E54A60"/>
    <w:rsid w:val="00E61A7E"/>
    <w:rsid w:val="00E627A2"/>
    <w:rsid w:val="00E63409"/>
    <w:rsid w:val="00E6554A"/>
    <w:rsid w:val="00E657FF"/>
    <w:rsid w:val="00E67017"/>
    <w:rsid w:val="00E67124"/>
    <w:rsid w:val="00E72689"/>
    <w:rsid w:val="00E73DBE"/>
    <w:rsid w:val="00E8056E"/>
    <w:rsid w:val="00E8097B"/>
    <w:rsid w:val="00E837A3"/>
    <w:rsid w:val="00E85C00"/>
    <w:rsid w:val="00E865F4"/>
    <w:rsid w:val="00E873FB"/>
    <w:rsid w:val="00E93C74"/>
    <w:rsid w:val="00E95372"/>
    <w:rsid w:val="00EA05F1"/>
    <w:rsid w:val="00EA0739"/>
    <w:rsid w:val="00EA256A"/>
    <w:rsid w:val="00EA3487"/>
    <w:rsid w:val="00EA3B1D"/>
    <w:rsid w:val="00EA4609"/>
    <w:rsid w:val="00EA5CDF"/>
    <w:rsid w:val="00EA714F"/>
    <w:rsid w:val="00EB0A52"/>
    <w:rsid w:val="00EB1A4C"/>
    <w:rsid w:val="00EB1E79"/>
    <w:rsid w:val="00EB2A69"/>
    <w:rsid w:val="00EB49CE"/>
    <w:rsid w:val="00EB727B"/>
    <w:rsid w:val="00EC0FAF"/>
    <w:rsid w:val="00EC2A55"/>
    <w:rsid w:val="00EC61FB"/>
    <w:rsid w:val="00ED173E"/>
    <w:rsid w:val="00ED1ADE"/>
    <w:rsid w:val="00ED3919"/>
    <w:rsid w:val="00EE0074"/>
    <w:rsid w:val="00EE0192"/>
    <w:rsid w:val="00EE0482"/>
    <w:rsid w:val="00EE1F4B"/>
    <w:rsid w:val="00EE290A"/>
    <w:rsid w:val="00EE43BB"/>
    <w:rsid w:val="00EE4718"/>
    <w:rsid w:val="00EE7C38"/>
    <w:rsid w:val="00EF3C67"/>
    <w:rsid w:val="00EF7844"/>
    <w:rsid w:val="00F027FA"/>
    <w:rsid w:val="00F052C3"/>
    <w:rsid w:val="00F0549D"/>
    <w:rsid w:val="00F06E55"/>
    <w:rsid w:val="00F101E8"/>
    <w:rsid w:val="00F1441E"/>
    <w:rsid w:val="00F14AAE"/>
    <w:rsid w:val="00F16FE0"/>
    <w:rsid w:val="00F1730C"/>
    <w:rsid w:val="00F20381"/>
    <w:rsid w:val="00F219D3"/>
    <w:rsid w:val="00F22BB9"/>
    <w:rsid w:val="00F23214"/>
    <w:rsid w:val="00F24B04"/>
    <w:rsid w:val="00F25B90"/>
    <w:rsid w:val="00F270C3"/>
    <w:rsid w:val="00F31548"/>
    <w:rsid w:val="00F31F59"/>
    <w:rsid w:val="00F32757"/>
    <w:rsid w:val="00F3409A"/>
    <w:rsid w:val="00F366F1"/>
    <w:rsid w:val="00F377ED"/>
    <w:rsid w:val="00F4006D"/>
    <w:rsid w:val="00F42B1D"/>
    <w:rsid w:val="00F50FA6"/>
    <w:rsid w:val="00F557A7"/>
    <w:rsid w:val="00F607C5"/>
    <w:rsid w:val="00F62B4E"/>
    <w:rsid w:val="00F6343E"/>
    <w:rsid w:val="00F63FB4"/>
    <w:rsid w:val="00F669E4"/>
    <w:rsid w:val="00F66A4B"/>
    <w:rsid w:val="00F67449"/>
    <w:rsid w:val="00F67A91"/>
    <w:rsid w:val="00F7026A"/>
    <w:rsid w:val="00F705A1"/>
    <w:rsid w:val="00F71666"/>
    <w:rsid w:val="00F753A4"/>
    <w:rsid w:val="00F765C5"/>
    <w:rsid w:val="00F76CCF"/>
    <w:rsid w:val="00F80826"/>
    <w:rsid w:val="00F808E3"/>
    <w:rsid w:val="00F84255"/>
    <w:rsid w:val="00F87FBD"/>
    <w:rsid w:val="00F90EB5"/>
    <w:rsid w:val="00F92B41"/>
    <w:rsid w:val="00F92E09"/>
    <w:rsid w:val="00F92E10"/>
    <w:rsid w:val="00F93AEE"/>
    <w:rsid w:val="00F93DC0"/>
    <w:rsid w:val="00F95B7A"/>
    <w:rsid w:val="00FA0649"/>
    <w:rsid w:val="00FA2434"/>
    <w:rsid w:val="00FA5013"/>
    <w:rsid w:val="00FB6F94"/>
    <w:rsid w:val="00FC0B7A"/>
    <w:rsid w:val="00FC106D"/>
    <w:rsid w:val="00FC1382"/>
    <w:rsid w:val="00FC37CC"/>
    <w:rsid w:val="00FC49A6"/>
    <w:rsid w:val="00FC5212"/>
    <w:rsid w:val="00FD2434"/>
    <w:rsid w:val="00FD2B7A"/>
    <w:rsid w:val="00FD669C"/>
    <w:rsid w:val="00FE206A"/>
    <w:rsid w:val="00FE4569"/>
    <w:rsid w:val="00FE6D45"/>
    <w:rsid w:val="00FE7DB2"/>
    <w:rsid w:val="00FE7E44"/>
    <w:rsid w:val="00FF1B95"/>
    <w:rsid w:val="00FF6D2F"/>
    <w:rsid w:val="021C4BDE"/>
    <w:rsid w:val="04D60A2C"/>
    <w:rsid w:val="057A3D5F"/>
    <w:rsid w:val="08974BE6"/>
    <w:rsid w:val="09CF20CE"/>
    <w:rsid w:val="0CBE1E33"/>
    <w:rsid w:val="0F634332"/>
    <w:rsid w:val="0F8090D9"/>
    <w:rsid w:val="0FB828E2"/>
    <w:rsid w:val="119F95A5"/>
    <w:rsid w:val="13DAD45B"/>
    <w:rsid w:val="14797F73"/>
    <w:rsid w:val="180C864D"/>
    <w:rsid w:val="1940B18F"/>
    <w:rsid w:val="1A02D4A7"/>
    <w:rsid w:val="1B577DBB"/>
    <w:rsid w:val="208AAAA3"/>
    <w:rsid w:val="272910D1"/>
    <w:rsid w:val="28C75009"/>
    <w:rsid w:val="29CCBB38"/>
    <w:rsid w:val="2D5C40F5"/>
    <w:rsid w:val="2E70C6C9"/>
    <w:rsid w:val="31775ED3"/>
    <w:rsid w:val="32B2680D"/>
    <w:rsid w:val="33FBC91D"/>
    <w:rsid w:val="35F54B88"/>
    <w:rsid w:val="3672962A"/>
    <w:rsid w:val="3716CDBB"/>
    <w:rsid w:val="3B2FBCC8"/>
    <w:rsid w:val="3B8702ED"/>
    <w:rsid w:val="3BE6DBD4"/>
    <w:rsid w:val="3C1D27F3"/>
    <w:rsid w:val="3CC30826"/>
    <w:rsid w:val="3DD35BF2"/>
    <w:rsid w:val="3E5FEC94"/>
    <w:rsid w:val="49AF15DC"/>
    <w:rsid w:val="4B8EB035"/>
    <w:rsid w:val="503A36C3"/>
    <w:rsid w:val="50D7C4A9"/>
    <w:rsid w:val="534EFB97"/>
    <w:rsid w:val="53EA1175"/>
    <w:rsid w:val="540F5B7C"/>
    <w:rsid w:val="568E6A45"/>
    <w:rsid w:val="56932767"/>
    <w:rsid w:val="56F7CF52"/>
    <w:rsid w:val="57A5382C"/>
    <w:rsid w:val="5F0DAC17"/>
    <w:rsid w:val="5F5951AB"/>
    <w:rsid w:val="60AAC9B8"/>
    <w:rsid w:val="616B0AEC"/>
    <w:rsid w:val="62609775"/>
    <w:rsid w:val="6378BE27"/>
    <w:rsid w:val="6550FAAE"/>
    <w:rsid w:val="655E8EFB"/>
    <w:rsid w:val="65BC45DF"/>
    <w:rsid w:val="6608DB85"/>
    <w:rsid w:val="67E99AB4"/>
    <w:rsid w:val="6A0FFA3A"/>
    <w:rsid w:val="73280392"/>
    <w:rsid w:val="7333E22C"/>
    <w:rsid w:val="76CC286E"/>
    <w:rsid w:val="7808B77B"/>
    <w:rsid w:val="7C8A5257"/>
    <w:rsid w:val="7E97353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AFEA5"/>
  <w15:chartTrackingRefBased/>
  <w15:docId w15:val="{305C8117-F9D4-479A-8E6B-075FAAA3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434"/>
    <w:pPr>
      <w:spacing w:before="120" w:after="120" w:line="240" w:lineRule="auto"/>
    </w:pPr>
    <w:rPr>
      <w:sz w:val="20"/>
    </w:rPr>
  </w:style>
  <w:style w:type="paragraph" w:styleId="Heading1">
    <w:name w:val="heading 1"/>
    <w:basedOn w:val="Normal"/>
    <w:next w:val="Normal"/>
    <w:link w:val="Heading1Char"/>
    <w:uiPriority w:val="9"/>
    <w:qFormat/>
    <w:rsid w:val="00917329"/>
    <w:pPr>
      <w:keepNext/>
      <w:keepLines/>
      <w:contextualSpacing/>
      <w:outlineLvl w:val="0"/>
    </w:pPr>
    <w:rPr>
      <w:rFonts w:asciiTheme="majorHAnsi" w:eastAsiaTheme="majorEastAsia" w:hAnsiTheme="majorHAnsi" w:cstheme="majorBidi"/>
      <w:color w:val="0766A5" w:themeColor="accent1"/>
      <w:sz w:val="72"/>
      <w:szCs w:val="32"/>
    </w:rPr>
  </w:style>
  <w:style w:type="paragraph" w:styleId="Heading2">
    <w:name w:val="heading 2"/>
    <w:basedOn w:val="Normal"/>
    <w:next w:val="Normal"/>
    <w:link w:val="Heading2Char"/>
    <w:uiPriority w:val="9"/>
    <w:unhideWhenUsed/>
    <w:qFormat/>
    <w:rsid w:val="00BF6930"/>
    <w:pPr>
      <w:keepNext/>
      <w:keepLines/>
      <w:spacing w:before="360"/>
      <w:outlineLvl w:val="1"/>
    </w:pPr>
    <w:rPr>
      <w:rFonts w:asciiTheme="majorHAnsi" w:eastAsiaTheme="majorEastAsia" w:hAnsiTheme="majorHAnsi" w:cstheme="majorBidi"/>
      <w:color w:val="0766A5" w:themeColor="accent1"/>
      <w:sz w:val="48"/>
      <w:szCs w:val="48"/>
    </w:rPr>
  </w:style>
  <w:style w:type="paragraph" w:styleId="Heading3">
    <w:name w:val="heading 3"/>
    <w:basedOn w:val="Normal"/>
    <w:next w:val="Normal"/>
    <w:link w:val="Heading3Char"/>
    <w:uiPriority w:val="9"/>
    <w:unhideWhenUsed/>
    <w:qFormat/>
    <w:rsid w:val="00BF6930"/>
    <w:pPr>
      <w:keepNext/>
      <w:keepLines/>
      <w:spacing w:before="240"/>
      <w:outlineLvl w:val="2"/>
    </w:pPr>
    <w:rPr>
      <w:rFonts w:asciiTheme="majorHAnsi" w:eastAsiaTheme="majorEastAsia" w:hAnsiTheme="majorHAnsi" w:cstheme="majorBidi"/>
      <w:color w:val="0766A5" w:themeColor="accent1"/>
      <w:sz w:val="40"/>
      <w:szCs w:val="40"/>
    </w:rPr>
  </w:style>
  <w:style w:type="paragraph" w:styleId="Heading4">
    <w:name w:val="heading 4"/>
    <w:basedOn w:val="Normal"/>
    <w:next w:val="Normal"/>
    <w:link w:val="Heading4Char"/>
    <w:uiPriority w:val="9"/>
    <w:unhideWhenUsed/>
    <w:qFormat/>
    <w:rsid w:val="00BF6930"/>
    <w:pPr>
      <w:keepNext/>
      <w:keepLines/>
      <w:spacing w:before="240"/>
      <w:outlineLvl w:val="3"/>
    </w:pPr>
    <w:rPr>
      <w:rFonts w:asciiTheme="majorHAnsi" w:eastAsiaTheme="majorEastAsia" w:hAnsiTheme="majorHAnsi" w:cstheme="majorBidi"/>
      <w:iCs/>
      <w:color w:val="0766A5" w:themeColor="accent1"/>
      <w:sz w:val="32"/>
      <w:szCs w:val="28"/>
    </w:rPr>
  </w:style>
  <w:style w:type="paragraph" w:styleId="Heading5">
    <w:name w:val="heading 5"/>
    <w:basedOn w:val="Normal"/>
    <w:next w:val="Normal"/>
    <w:link w:val="Heading5Char"/>
    <w:uiPriority w:val="9"/>
    <w:unhideWhenUsed/>
    <w:qFormat/>
    <w:rsid w:val="00900E48"/>
    <w:pPr>
      <w:keepNext/>
      <w:keepLines/>
      <w:spacing w:before="240"/>
      <w:outlineLvl w:val="4"/>
    </w:pPr>
    <w:rPr>
      <w:rFonts w:asciiTheme="majorHAnsi" w:eastAsiaTheme="majorEastAsia" w:hAnsiTheme="majorHAnsi" w:cstheme="majorBidi"/>
      <w:color w:val="0766A5" w:themeColor="accent1"/>
      <w:sz w:val="26"/>
      <w:szCs w:val="26"/>
    </w:rPr>
  </w:style>
  <w:style w:type="paragraph" w:styleId="Heading6">
    <w:name w:val="heading 6"/>
    <w:basedOn w:val="Normal"/>
    <w:next w:val="Normal"/>
    <w:link w:val="Heading6Char"/>
    <w:uiPriority w:val="9"/>
    <w:unhideWhenUsed/>
    <w:qFormat/>
    <w:rsid w:val="00C50A9A"/>
    <w:pPr>
      <w:keepNext/>
      <w:keepLines/>
      <w:spacing w:before="240"/>
      <w:outlineLvl w:val="5"/>
    </w:pPr>
    <w:rPr>
      <w:rFonts w:asciiTheme="majorHAnsi" w:eastAsiaTheme="majorEastAsia" w:hAnsiTheme="majorHAnsi" w:cstheme="majorBidi"/>
      <w:color w:val="000000" w:themeColor="text1"/>
      <w:sz w:val="24"/>
    </w:rPr>
  </w:style>
  <w:style w:type="paragraph" w:styleId="Heading7">
    <w:name w:val="heading 7"/>
    <w:basedOn w:val="Normal"/>
    <w:next w:val="Normal"/>
    <w:link w:val="Heading7Char"/>
    <w:uiPriority w:val="9"/>
    <w:unhideWhenUsed/>
    <w:qFormat/>
    <w:rsid w:val="00C50A9A"/>
    <w:pPr>
      <w:keepNext/>
      <w:keepLines/>
      <w:spacing w:before="240"/>
      <w:outlineLvl w:val="6"/>
    </w:pPr>
    <w:rPr>
      <w:rFonts w:asciiTheme="majorHAnsi" w:eastAsiaTheme="majorEastAsia" w:hAnsiTheme="majorHAnsi" w:cstheme="majorBidi"/>
      <w:b/>
      <w:iCs/>
      <w:color w:val="0766A5" w:themeColor="accent1"/>
      <w:sz w:val="22"/>
    </w:rPr>
  </w:style>
  <w:style w:type="paragraph" w:styleId="Heading8">
    <w:name w:val="heading 8"/>
    <w:basedOn w:val="Normal"/>
    <w:next w:val="Normal"/>
    <w:link w:val="Heading8Char"/>
    <w:uiPriority w:val="9"/>
    <w:unhideWhenUsed/>
    <w:qFormat/>
    <w:rsid w:val="00C50A9A"/>
    <w:pPr>
      <w:keepNext/>
      <w:keepLines/>
      <w:spacing w:before="240"/>
      <w:outlineLvl w:val="7"/>
    </w:pPr>
    <w:rPr>
      <w:rFonts w:asciiTheme="majorHAnsi" w:eastAsiaTheme="majorEastAsia" w:hAnsiTheme="majorHAnsi"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1DB"/>
    <w:pPr>
      <w:tabs>
        <w:tab w:val="center" w:pos="4513"/>
        <w:tab w:val="right" w:pos="9026"/>
      </w:tabs>
      <w:spacing w:after="0"/>
    </w:pPr>
  </w:style>
  <w:style w:type="character" w:customStyle="1" w:styleId="HeaderChar">
    <w:name w:val="Header Char"/>
    <w:basedOn w:val="DefaultParagraphFont"/>
    <w:link w:val="Header"/>
    <w:uiPriority w:val="99"/>
    <w:rsid w:val="00B251DB"/>
  </w:style>
  <w:style w:type="paragraph" w:styleId="Footer">
    <w:name w:val="footer"/>
    <w:basedOn w:val="Normal"/>
    <w:link w:val="FooterChar"/>
    <w:uiPriority w:val="99"/>
    <w:unhideWhenUsed/>
    <w:rsid w:val="00B251DB"/>
    <w:pPr>
      <w:tabs>
        <w:tab w:val="center" w:pos="4513"/>
        <w:tab w:val="right" w:pos="9026"/>
      </w:tabs>
      <w:spacing w:after="0"/>
    </w:pPr>
  </w:style>
  <w:style w:type="character" w:customStyle="1" w:styleId="FooterChar">
    <w:name w:val="Footer Char"/>
    <w:basedOn w:val="DefaultParagraphFont"/>
    <w:link w:val="Footer"/>
    <w:uiPriority w:val="99"/>
    <w:rsid w:val="00B251DB"/>
  </w:style>
  <w:style w:type="character" w:customStyle="1" w:styleId="Heading1Char">
    <w:name w:val="Heading 1 Char"/>
    <w:basedOn w:val="DefaultParagraphFont"/>
    <w:link w:val="Heading1"/>
    <w:uiPriority w:val="9"/>
    <w:rsid w:val="00917329"/>
    <w:rPr>
      <w:rFonts w:asciiTheme="majorHAnsi" w:eastAsiaTheme="majorEastAsia" w:hAnsiTheme="majorHAnsi" w:cstheme="majorBidi"/>
      <w:color w:val="0766A5" w:themeColor="accent1"/>
      <w:sz w:val="72"/>
      <w:szCs w:val="32"/>
    </w:rPr>
  </w:style>
  <w:style w:type="table" w:customStyle="1" w:styleId="Verticaltable">
    <w:name w:val="Vertical table"/>
    <w:basedOn w:val="TableNormal"/>
    <w:uiPriority w:val="99"/>
    <w:rsid w:val="00BF6930"/>
    <w:pPr>
      <w:spacing w:after="0" w:line="240" w:lineRule="auto"/>
    </w:pPr>
    <w:tblPr>
      <w:tblBorders>
        <w:top w:val="single" w:sz="4" w:space="0" w:color="001B35" w:themeColor="background2"/>
        <w:left w:val="single" w:sz="4" w:space="0" w:color="001B35" w:themeColor="background2"/>
        <w:bottom w:val="single" w:sz="4" w:space="0" w:color="001B35" w:themeColor="background2"/>
        <w:right w:val="single" w:sz="4" w:space="0" w:color="001B35" w:themeColor="background2"/>
        <w:insideH w:val="single" w:sz="4" w:space="0" w:color="001B35" w:themeColor="background2"/>
        <w:insideV w:val="single" w:sz="4" w:space="0" w:color="001B35" w:themeColor="background2"/>
      </w:tblBorders>
    </w:tblPr>
    <w:tblStylePr w:type="lastRow">
      <w:rPr>
        <w:b w:val="0"/>
      </w:rPr>
    </w:tblStylePr>
    <w:tblStylePr w:type="firstCol">
      <w:rPr>
        <w:b/>
        <w:color w:val="FFFFFF" w:themeColor="background1"/>
      </w:rPr>
      <w:tblPr/>
      <w:tcPr>
        <w:shd w:val="clear" w:color="auto" w:fill="0766A5" w:themeFill="accent1"/>
      </w:tcPr>
    </w:tblStylePr>
  </w:style>
  <w:style w:type="character" w:styleId="FollowedHyperlink">
    <w:name w:val="FollowedHyperlink"/>
    <w:basedOn w:val="DefaultParagraphFont"/>
    <w:uiPriority w:val="99"/>
    <w:semiHidden/>
    <w:unhideWhenUsed/>
    <w:rsid w:val="00872DFF"/>
    <w:rPr>
      <w:color w:val="001B35" w:themeColor="followedHyperlink"/>
      <w:u w:val="single"/>
    </w:rPr>
  </w:style>
  <w:style w:type="paragraph" w:styleId="Subtitle">
    <w:name w:val="Subtitle"/>
    <w:basedOn w:val="Normal"/>
    <w:next w:val="Normal"/>
    <w:link w:val="SubtitleChar"/>
    <w:uiPriority w:val="11"/>
    <w:qFormat/>
    <w:rsid w:val="00BF6930"/>
    <w:pPr>
      <w:numPr>
        <w:ilvl w:val="1"/>
      </w:numPr>
    </w:pPr>
    <w:rPr>
      <w:rFonts w:eastAsiaTheme="minorEastAsia"/>
      <w:color w:val="001B35" w:themeColor="background2"/>
      <w:sz w:val="40"/>
    </w:rPr>
  </w:style>
  <w:style w:type="character" w:customStyle="1" w:styleId="SubtitleChar">
    <w:name w:val="Subtitle Char"/>
    <w:basedOn w:val="DefaultParagraphFont"/>
    <w:link w:val="Subtitle"/>
    <w:uiPriority w:val="11"/>
    <w:rsid w:val="00BF6930"/>
    <w:rPr>
      <w:rFonts w:eastAsiaTheme="minorEastAsia"/>
      <w:color w:val="001B35" w:themeColor="background2"/>
      <w:sz w:val="40"/>
    </w:rPr>
  </w:style>
  <w:style w:type="character" w:customStyle="1" w:styleId="Heading2Char">
    <w:name w:val="Heading 2 Char"/>
    <w:basedOn w:val="DefaultParagraphFont"/>
    <w:link w:val="Heading2"/>
    <w:uiPriority w:val="9"/>
    <w:rsid w:val="00BF6930"/>
    <w:rPr>
      <w:rFonts w:asciiTheme="majorHAnsi" w:eastAsiaTheme="majorEastAsia" w:hAnsiTheme="majorHAnsi" w:cstheme="majorBidi"/>
      <w:color w:val="0766A5" w:themeColor="accent1"/>
      <w:sz w:val="48"/>
      <w:szCs w:val="48"/>
    </w:rPr>
  </w:style>
  <w:style w:type="character" w:customStyle="1" w:styleId="Heading3Char">
    <w:name w:val="Heading 3 Char"/>
    <w:basedOn w:val="DefaultParagraphFont"/>
    <w:link w:val="Heading3"/>
    <w:uiPriority w:val="9"/>
    <w:rsid w:val="00BF6930"/>
    <w:rPr>
      <w:rFonts w:asciiTheme="majorHAnsi" w:eastAsiaTheme="majorEastAsia" w:hAnsiTheme="majorHAnsi" w:cstheme="majorBidi"/>
      <w:color w:val="0766A5" w:themeColor="accent1"/>
      <w:sz w:val="40"/>
      <w:szCs w:val="40"/>
    </w:rPr>
  </w:style>
  <w:style w:type="character" w:customStyle="1" w:styleId="Heading4Char">
    <w:name w:val="Heading 4 Char"/>
    <w:basedOn w:val="DefaultParagraphFont"/>
    <w:link w:val="Heading4"/>
    <w:uiPriority w:val="9"/>
    <w:rsid w:val="00BF6930"/>
    <w:rPr>
      <w:rFonts w:asciiTheme="majorHAnsi" w:eastAsiaTheme="majorEastAsia" w:hAnsiTheme="majorHAnsi" w:cstheme="majorBidi"/>
      <w:iCs/>
      <w:color w:val="0766A5" w:themeColor="accent1"/>
      <w:sz w:val="32"/>
      <w:szCs w:val="28"/>
    </w:rPr>
  </w:style>
  <w:style w:type="character" w:customStyle="1" w:styleId="Heading5Char">
    <w:name w:val="Heading 5 Char"/>
    <w:basedOn w:val="DefaultParagraphFont"/>
    <w:link w:val="Heading5"/>
    <w:uiPriority w:val="9"/>
    <w:rsid w:val="00900E48"/>
    <w:rPr>
      <w:rFonts w:asciiTheme="majorHAnsi" w:eastAsiaTheme="majorEastAsia" w:hAnsiTheme="majorHAnsi" w:cstheme="majorBidi"/>
      <w:color w:val="0766A5" w:themeColor="accent1"/>
      <w:sz w:val="26"/>
      <w:szCs w:val="26"/>
    </w:rPr>
  </w:style>
  <w:style w:type="paragraph" w:styleId="Quote">
    <w:name w:val="Quote"/>
    <w:basedOn w:val="Normal"/>
    <w:next w:val="Normal"/>
    <w:link w:val="QuoteChar"/>
    <w:uiPriority w:val="29"/>
    <w:qFormat/>
    <w:rsid w:val="00BF6930"/>
    <w:pPr>
      <w:pBdr>
        <w:top w:val="single" w:sz="4" w:space="6" w:color="0766A5" w:themeColor="accent1"/>
        <w:bottom w:val="single" w:sz="4" w:space="6" w:color="0766A5" w:themeColor="accent1"/>
      </w:pBdr>
      <w:spacing w:before="240" w:after="240"/>
      <w:ind w:right="2835"/>
    </w:pPr>
    <w:rPr>
      <w:iCs/>
      <w:color w:val="000000" w:themeColor="text1"/>
      <w:sz w:val="22"/>
      <w:szCs w:val="24"/>
    </w:rPr>
  </w:style>
  <w:style w:type="character" w:customStyle="1" w:styleId="QuoteChar">
    <w:name w:val="Quote Char"/>
    <w:basedOn w:val="DefaultParagraphFont"/>
    <w:link w:val="Quote"/>
    <w:uiPriority w:val="29"/>
    <w:rsid w:val="00BF6930"/>
    <w:rPr>
      <w:iCs/>
      <w:color w:val="000000" w:themeColor="text1"/>
      <w:szCs w:val="24"/>
    </w:rPr>
  </w:style>
  <w:style w:type="character" w:styleId="Strong">
    <w:name w:val="Strong"/>
    <w:basedOn w:val="DefaultParagraphFont"/>
    <w:uiPriority w:val="22"/>
    <w:qFormat/>
    <w:rsid w:val="00B251DB"/>
    <w:rPr>
      <w:b/>
      <w:bCs/>
    </w:rPr>
  </w:style>
  <w:style w:type="character" w:styleId="Emphasis">
    <w:name w:val="Emphasis"/>
    <w:basedOn w:val="DefaultParagraphFont"/>
    <w:uiPriority w:val="20"/>
    <w:qFormat/>
    <w:rsid w:val="00B251DB"/>
    <w:rPr>
      <w:i/>
      <w:iCs/>
    </w:rPr>
  </w:style>
  <w:style w:type="paragraph" w:styleId="ListParagraph">
    <w:name w:val="List Paragraph"/>
    <w:basedOn w:val="Normal"/>
    <w:uiPriority w:val="34"/>
    <w:qFormat/>
    <w:rsid w:val="00090DDB"/>
    <w:pPr>
      <w:spacing w:before="0"/>
    </w:pPr>
  </w:style>
  <w:style w:type="character" w:styleId="Hyperlink">
    <w:name w:val="Hyperlink"/>
    <w:basedOn w:val="DefaultParagraphFont"/>
    <w:uiPriority w:val="99"/>
    <w:unhideWhenUsed/>
    <w:rsid w:val="00BF6930"/>
    <w:rPr>
      <w:color w:val="0766A5" w:themeColor="accent1"/>
      <w:u w:val="single"/>
    </w:rPr>
  </w:style>
  <w:style w:type="table" w:styleId="TableGrid">
    <w:name w:val="Table Grid"/>
    <w:aliases w:val="DISR plain Table 1"/>
    <w:basedOn w:val="TableNormal"/>
    <w:uiPriority w:val="39"/>
    <w:rsid w:val="00577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StylePr>
  </w:style>
  <w:style w:type="table" w:styleId="PlainTable2">
    <w:name w:val="Plain Table 2"/>
    <w:basedOn w:val="TableNormal"/>
    <w:uiPriority w:val="42"/>
    <w:rsid w:val="0071134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7113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5777BC"/>
    <w:rPr>
      <w:b/>
      <w:iCs/>
      <w:szCs w:val="18"/>
    </w:rPr>
  </w:style>
  <w:style w:type="character" w:styleId="PlaceholderText">
    <w:name w:val="Placeholder Text"/>
    <w:basedOn w:val="DefaultParagraphFont"/>
    <w:uiPriority w:val="99"/>
    <w:semiHidden/>
    <w:rsid w:val="00BD0F8A"/>
    <w:rPr>
      <w:color w:val="808080"/>
    </w:rPr>
  </w:style>
  <w:style w:type="paragraph" w:styleId="NoSpacing">
    <w:name w:val="No Spacing"/>
    <w:link w:val="NoSpacingChar"/>
    <w:uiPriority w:val="1"/>
    <w:qFormat/>
    <w:rsid w:val="00671D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1D1D"/>
    <w:rPr>
      <w:rFonts w:eastAsiaTheme="minorEastAsia"/>
      <w:lang w:val="en-US"/>
    </w:rPr>
  </w:style>
  <w:style w:type="paragraph" w:styleId="TOCHeading">
    <w:name w:val="TOC Heading"/>
    <w:basedOn w:val="Heading2"/>
    <w:next w:val="Normal"/>
    <w:uiPriority w:val="39"/>
    <w:unhideWhenUsed/>
    <w:qFormat/>
    <w:rsid w:val="000F2564"/>
    <w:pPr>
      <w:spacing w:after="480"/>
      <w:outlineLvl w:val="9"/>
    </w:pPr>
    <w:rPr>
      <w:lang w:val="en-US"/>
    </w:rPr>
  </w:style>
  <w:style w:type="paragraph" w:styleId="TOC1">
    <w:name w:val="toc 1"/>
    <w:basedOn w:val="Normal"/>
    <w:next w:val="Normal"/>
    <w:autoRedefine/>
    <w:uiPriority w:val="39"/>
    <w:unhideWhenUsed/>
    <w:rsid w:val="000F2564"/>
    <w:pPr>
      <w:tabs>
        <w:tab w:val="right" w:leader="dot" w:pos="9016"/>
      </w:tabs>
      <w:spacing w:after="100"/>
    </w:pPr>
  </w:style>
  <w:style w:type="paragraph" w:styleId="TOC2">
    <w:name w:val="toc 2"/>
    <w:basedOn w:val="Normal"/>
    <w:next w:val="Normal"/>
    <w:autoRedefine/>
    <w:uiPriority w:val="39"/>
    <w:unhideWhenUsed/>
    <w:rsid w:val="0043720A"/>
    <w:pPr>
      <w:spacing w:after="100"/>
    </w:pPr>
  </w:style>
  <w:style w:type="paragraph" w:styleId="TOC3">
    <w:name w:val="toc 3"/>
    <w:basedOn w:val="Normal"/>
    <w:next w:val="Normal"/>
    <w:autoRedefine/>
    <w:uiPriority w:val="39"/>
    <w:unhideWhenUsed/>
    <w:rsid w:val="0043720A"/>
    <w:pPr>
      <w:spacing w:after="100"/>
      <w:ind w:left="221"/>
    </w:pPr>
  </w:style>
  <w:style w:type="paragraph" w:customStyle="1" w:styleId="Address">
    <w:name w:val="Address"/>
    <w:basedOn w:val="Subtitle"/>
    <w:qFormat/>
    <w:rsid w:val="009A549D"/>
    <w:pPr>
      <w:spacing w:after="0"/>
    </w:pPr>
    <w:rPr>
      <w:sz w:val="24"/>
    </w:rPr>
  </w:style>
  <w:style w:type="paragraph" w:styleId="BalloonText">
    <w:name w:val="Balloon Text"/>
    <w:basedOn w:val="Normal"/>
    <w:link w:val="BalloonTextChar"/>
    <w:uiPriority w:val="99"/>
    <w:semiHidden/>
    <w:unhideWhenUsed/>
    <w:rsid w:val="00E3027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27E"/>
    <w:rPr>
      <w:rFonts w:ascii="Segoe UI" w:hAnsi="Segoe UI" w:cs="Segoe UI"/>
      <w:sz w:val="18"/>
      <w:szCs w:val="18"/>
    </w:rPr>
  </w:style>
  <w:style w:type="table" w:styleId="ListTable3-Accent2">
    <w:name w:val="List Table 3 Accent 2"/>
    <w:basedOn w:val="TableNormal"/>
    <w:uiPriority w:val="48"/>
    <w:rsid w:val="00153C15"/>
    <w:pPr>
      <w:spacing w:after="0" w:line="240" w:lineRule="auto"/>
    </w:pPr>
    <w:tblPr>
      <w:tblStyleRowBandSize w:val="1"/>
      <w:tblStyleColBandSize w:val="1"/>
      <w:tblBorders>
        <w:top w:val="single" w:sz="4" w:space="0" w:color="960000" w:themeColor="accent2"/>
        <w:left w:val="single" w:sz="4" w:space="0" w:color="960000" w:themeColor="accent2"/>
        <w:bottom w:val="single" w:sz="4" w:space="0" w:color="960000" w:themeColor="accent2"/>
        <w:right w:val="single" w:sz="4" w:space="0" w:color="960000" w:themeColor="accent2"/>
      </w:tblBorders>
    </w:tblPr>
    <w:tblStylePr w:type="firstRow">
      <w:rPr>
        <w:b/>
        <w:bCs/>
        <w:color w:val="FFFFFF" w:themeColor="background1"/>
      </w:rPr>
      <w:tblPr/>
      <w:tcPr>
        <w:shd w:val="clear" w:color="auto" w:fill="960000" w:themeFill="accent2"/>
      </w:tcPr>
    </w:tblStylePr>
    <w:tblStylePr w:type="lastRow">
      <w:rPr>
        <w:b/>
        <w:bCs/>
      </w:rPr>
      <w:tblPr/>
      <w:tcPr>
        <w:tcBorders>
          <w:top w:val="double" w:sz="4" w:space="0" w:color="96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0000" w:themeColor="accent2"/>
          <w:right w:val="single" w:sz="4" w:space="0" w:color="960000" w:themeColor="accent2"/>
        </w:tcBorders>
      </w:tcPr>
    </w:tblStylePr>
    <w:tblStylePr w:type="band1Horz">
      <w:tblPr/>
      <w:tcPr>
        <w:tcBorders>
          <w:top w:val="single" w:sz="4" w:space="0" w:color="960000" w:themeColor="accent2"/>
          <w:bottom w:val="single" w:sz="4" w:space="0" w:color="96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0000" w:themeColor="accent2"/>
          <w:left w:val="nil"/>
        </w:tcBorders>
      </w:tcPr>
    </w:tblStylePr>
    <w:tblStylePr w:type="swCell">
      <w:tblPr/>
      <w:tcPr>
        <w:tcBorders>
          <w:top w:val="double" w:sz="4" w:space="0" w:color="960000" w:themeColor="accent2"/>
          <w:right w:val="nil"/>
        </w:tcBorders>
      </w:tcPr>
    </w:tblStylePr>
  </w:style>
  <w:style w:type="table" w:styleId="ListTable3-Accent3">
    <w:name w:val="List Table 3 Accent 3"/>
    <w:basedOn w:val="TableNormal"/>
    <w:uiPriority w:val="48"/>
    <w:rsid w:val="00153C15"/>
    <w:pPr>
      <w:spacing w:after="0" w:line="240" w:lineRule="auto"/>
    </w:pPr>
    <w:tblPr>
      <w:tblStyleRowBandSize w:val="1"/>
      <w:tblStyleColBandSize w:val="1"/>
      <w:tblBorders>
        <w:top w:val="single" w:sz="4" w:space="0" w:color="4999E1" w:themeColor="accent3"/>
        <w:left w:val="single" w:sz="4" w:space="0" w:color="4999E1" w:themeColor="accent3"/>
        <w:bottom w:val="single" w:sz="4" w:space="0" w:color="4999E1" w:themeColor="accent3"/>
        <w:right w:val="single" w:sz="4" w:space="0" w:color="4999E1" w:themeColor="accent3"/>
      </w:tblBorders>
    </w:tblPr>
    <w:tblStylePr w:type="firstRow">
      <w:rPr>
        <w:b/>
        <w:bCs/>
        <w:color w:val="FFFFFF" w:themeColor="background1"/>
      </w:rPr>
      <w:tblPr/>
      <w:tcPr>
        <w:shd w:val="clear" w:color="auto" w:fill="4999E1" w:themeFill="accent3"/>
      </w:tcPr>
    </w:tblStylePr>
    <w:tblStylePr w:type="lastRow">
      <w:rPr>
        <w:b/>
        <w:bCs/>
      </w:rPr>
      <w:tblPr/>
      <w:tcPr>
        <w:tcBorders>
          <w:top w:val="double" w:sz="4" w:space="0" w:color="4999E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999E1" w:themeColor="accent3"/>
          <w:right w:val="single" w:sz="4" w:space="0" w:color="4999E1" w:themeColor="accent3"/>
        </w:tcBorders>
      </w:tcPr>
    </w:tblStylePr>
    <w:tblStylePr w:type="band1Horz">
      <w:tblPr/>
      <w:tcPr>
        <w:tcBorders>
          <w:top w:val="single" w:sz="4" w:space="0" w:color="4999E1" w:themeColor="accent3"/>
          <w:bottom w:val="single" w:sz="4" w:space="0" w:color="4999E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999E1" w:themeColor="accent3"/>
          <w:left w:val="nil"/>
        </w:tcBorders>
      </w:tcPr>
    </w:tblStylePr>
    <w:tblStylePr w:type="swCell">
      <w:tblPr/>
      <w:tcPr>
        <w:tcBorders>
          <w:top w:val="double" w:sz="4" w:space="0" w:color="4999E1" w:themeColor="accent3"/>
          <w:right w:val="nil"/>
        </w:tcBorders>
      </w:tcPr>
    </w:tblStylePr>
  </w:style>
  <w:style w:type="paragraph" w:styleId="IntenseQuote">
    <w:name w:val="Intense Quote"/>
    <w:basedOn w:val="Normal"/>
    <w:next w:val="Normal"/>
    <w:link w:val="IntenseQuoteChar"/>
    <w:uiPriority w:val="30"/>
    <w:qFormat/>
    <w:rsid w:val="00BF6930"/>
    <w:pPr>
      <w:pBdr>
        <w:top w:val="single" w:sz="4" w:space="6" w:color="0766A5" w:themeColor="accent1"/>
        <w:bottom w:val="single" w:sz="4" w:space="6" w:color="0766A5" w:themeColor="accent1"/>
      </w:pBdr>
      <w:spacing w:before="360" w:after="360"/>
      <w:ind w:right="2835"/>
      <w:jc w:val="center"/>
    </w:pPr>
    <w:rPr>
      <w:b/>
      <w:iCs/>
      <w:sz w:val="24"/>
    </w:rPr>
  </w:style>
  <w:style w:type="character" w:customStyle="1" w:styleId="IntenseQuoteChar">
    <w:name w:val="Intense Quote Char"/>
    <w:basedOn w:val="DefaultParagraphFont"/>
    <w:link w:val="IntenseQuote"/>
    <w:uiPriority w:val="30"/>
    <w:rsid w:val="00BF6930"/>
    <w:rPr>
      <w:b/>
      <w:iCs/>
      <w:sz w:val="24"/>
    </w:rPr>
  </w:style>
  <w:style w:type="paragraph" w:customStyle="1" w:styleId="Calloutbox">
    <w:name w:val="Call out box"/>
    <w:basedOn w:val="Normal"/>
    <w:qFormat/>
    <w:rsid w:val="00BF6930"/>
    <w:pPr>
      <w:pBdr>
        <w:top w:val="single" w:sz="4" w:space="6" w:color="E2E1E1" w:themeColor="accent5" w:themeTint="33"/>
        <w:left w:val="single" w:sz="4" w:space="4" w:color="E2E1E1" w:themeColor="accent5" w:themeTint="33"/>
        <w:bottom w:val="single" w:sz="4" w:space="6" w:color="E2E1E1" w:themeColor="accent5" w:themeTint="33"/>
        <w:right w:val="single" w:sz="4" w:space="4" w:color="E2E1E1" w:themeColor="accent5" w:themeTint="33"/>
      </w:pBdr>
      <w:shd w:val="clear" w:color="auto" w:fill="E2E1E1" w:themeFill="accent5" w:themeFillTint="33"/>
    </w:pPr>
  </w:style>
  <w:style w:type="character" w:customStyle="1" w:styleId="Heading6Char">
    <w:name w:val="Heading 6 Char"/>
    <w:basedOn w:val="DefaultParagraphFont"/>
    <w:link w:val="Heading6"/>
    <w:uiPriority w:val="9"/>
    <w:rsid w:val="00C50A9A"/>
    <w:rPr>
      <w:rFonts w:asciiTheme="majorHAnsi" w:eastAsiaTheme="majorEastAsia" w:hAnsiTheme="majorHAnsi" w:cstheme="majorBidi"/>
      <w:color w:val="000000" w:themeColor="text1"/>
      <w:sz w:val="24"/>
    </w:rPr>
  </w:style>
  <w:style w:type="table" w:styleId="GridTable4-Accent2">
    <w:name w:val="Grid Table 4 Accent 2"/>
    <w:basedOn w:val="TableNormal"/>
    <w:uiPriority w:val="49"/>
    <w:rsid w:val="004D3B0F"/>
    <w:pPr>
      <w:spacing w:after="0" w:line="240" w:lineRule="auto"/>
    </w:pPr>
    <w:tblPr>
      <w:tblStyleRowBandSize w:val="1"/>
      <w:tblStyleColBandSize w:val="1"/>
      <w:tblBorders>
        <w:top w:val="single" w:sz="4" w:space="0" w:color="FF2727" w:themeColor="accent2" w:themeTint="99"/>
        <w:left w:val="single" w:sz="4" w:space="0" w:color="FF2727" w:themeColor="accent2" w:themeTint="99"/>
        <w:bottom w:val="single" w:sz="4" w:space="0" w:color="FF2727" w:themeColor="accent2" w:themeTint="99"/>
        <w:right w:val="single" w:sz="4" w:space="0" w:color="FF2727" w:themeColor="accent2" w:themeTint="99"/>
        <w:insideH w:val="single" w:sz="4" w:space="0" w:color="FF2727" w:themeColor="accent2" w:themeTint="99"/>
        <w:insideV w:val="single" w:sz="4" w:space="0" w:color="FF2727" w:themeColor="accent2" w:themeTint="99"/>
      </w:tblBorders>
    </w:tblPr>
    <w:tblStylePr w:type="firstRow">
      <w:rPr>
        <w:b/>
        <w:bCs/>
        <w:color w:val="FFFFFF" w:themeColor="background1"/>
      </w:rPr>
      <w:tblPr/>
      <w:tcPr>
        <w:tcBorders>
          <w:top w:val="single" w:sz="4" w:space="0" w:color="960000" w:themeColor="accent2"/>
          <w:left w:val="single" w:sz="4" w:space="0" w:color="960000" w:themeColor="accent2"/>
          <w:bottom w:val="single" w:sz="4" w:space="0" w:color="960000" w:themeColor="accent2"/>
          <w:right w:val="single" w:sz="4" w:space="0" w:color="960000" w:themeColor="accent2"/>
          <w:insideH w:val="nil"/>
          <w:insideV w:val="nil"/>
        </w:tcBorders>
        <w:shd w:val="clear" w:color="auto" w:fill="960000" w:themeFill="accent2"/>
      </w:tcPr>
    </w:tblStylePr>
    <w:tblStylePr w:type="lastRow">
      <w:rPr>
        <w:b/>
        <w:bCs/>
      </w:rPr>
      <w:tblPr/>
      <w:tcPr>
        <w:tcBorders>
          <w:top w:val="double" w:sz="4" w:space="0" w:color="960000" w:themeColor="accent2"/>
        </w:tcBorders>
      </w:tcPr>
    </w:tblStylePr>
    <w:tblStylePr w:type="firstCol">
      <w:rPr>
        <w:b/>
        <w:bCs/>
      </w:rPr>
    </w:tblStylePr>
    <w:tblStylePr w:type="lastCol">
      <w:rPr>
        <w:b/>
        <w:bCs/>
      </w:rPr>
    </w:tblStylePr>
    <w:tblStylePr w:type="band1Vert">
      <w:tblPr/>
      <w:tcPr>
        <w:shd w:val="clear" w:color="auto" w:fill="FFB7B7" w:themeFill="accent2" w:themeFillTint="33"/>
      </w:tcPr>
    </w:tblStylePr>
    <w:tblStylePr w:type="band1Horz">
      <w:tblPr/>
      <w:tcPr>
        <w:shd w:val="clear" w:color="auto" w:fill="FFB7B7" w:themeFill="accent2" w:themeFillTint="33"/>
      </w:tcPr>
    </w:tblStylePr>
  </w:style>
  <w:style w:type="table" w:styleId="GridTable1Light-Accent2">
    <w:name w:val="Grid Table 1 Light Accent 2"/>
    <w:basedOn w:val="TableNormal"/>
    <w:uiPriority w:val="46"/>
    <w:rsid w:val="004D3B0F"/>
    <w:pPr>
      <w:spacing w:after="0" w:line="240" w:lineRule="auto"/>
    </w:pPr>
    <w:tblPr>
      <w:tblStyleRowBandSize w:val="1"/>
      <w:tblStyleColBandSize w:val="1"/>
      <w:tblBorders>
        <w:top w:val="single" w:sz="4" w:space="0" w:color="FF6F6F" w:themeColor="accent2" w:themeTint="66"/>
        <w:left w:val="single" w:sz="4" w:space="0" w:color="FF6F6F" w:themeColor="accent2" w:themeTint="66"/>
        <w:bottom w:val="single" w:sz="4" w:space="0" w:color="FF6F6F" w:themeColor="accent2" w:themeTint="66"/>
        <w:right w:val="single" w:sz="4" w:space="0" w:color="FF6F6F" w:themeColor="accent2" w:themeTint="66"/>
        <w:insideH w:val="single" w:sz="4" w:space="0" w:color="FF6F6F" w:themeColor="accent2" w:themeTint="66"/>
        <w:insideV w:val="single" w:sz="4" w:space="0" w:color="FF6F6F" w:themeColor="accent2" w:themeTint="66"/>
      </w:tblBorders>
    </w:tblPr>
    <w:tblStylePr w:type="firstRow">
      <w:rPr>
        <w:b/>
        <w:bCs/>
      </w:rPr>
      <w:tblPr/>
      <w:tcPr>
        <w:tcBorders>
          <w:bottom w:val="single" w:sz="12" w:space="0" w:color="FF2727" w:themeColor="accent2" w:themeTint="99"/>
        </w:tcBorders>
      </w:tcPr>
    </w:tblStylePr>
    <w:tblStylePr w:type="lastRow">
      <w:rPr>
        <w:b/>
        <w:bCs/>
      </w:rPr>
      <w:tblPr/>
      <w:tcPr>
        <w:tcBorders>
          <w:top w:val="double" w:sz="2" w:space="0" w:color="FF2727" w:themeColor="accent2"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4D3B0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3F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766A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766A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766A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766A5" w:themeFill="accent1"/>
      </w:tcPr>
    </w:tblStylePr>
    <w:tblStylePr w:type="band1Vert">
      <w:tblPr/>
      <w:tcPr>
        <w:shd w:val="clear" w:color="auto" w:fill="7DC7F9" w:themeFill="accent1" w:themeFillTint="66"/>
      </w:tcPr>
    </w:tblStylePr>
    <w:tblStylePr w:type="band1Horz">
      <w:tblPr/>
      <w:tcPr>
        <w:shd w:val="clear" w:color="auto" w:fill="7DC7F9" w:themeFill="accent1" w:themeFillTint="66"/>
      </w:tcPr>
    </w:tblStylePr>
  </w:style>
  <w:style w:type="table" w:styleId="GridTable4-Accent1">
    <w:name w:val="Grid Table 4 Accent 1"/>
    <w:basedOn w:val="TableNormal"/>
    <w:uiPriority w:val="49"/>
    <w:rsid w:val="00F32757"/>
    <w:pPr>
      <w:spacing w:after="0" w:line="240" w:lineRule="auto"/>
    </w:pPr>
    <w:tblPr>
      <w:tblStyleRowBandSize w:val="1"/>
      <w:tblStyleColBandSize w:val="1"/>
      <w:tblBorders>
        <w:top w:val="single" w:sz="4" w:space="0" w:color="3CACF6" w:themeColor="accent1" w:themeTint="99"/>
        <w:left w:val="single" w:sz="4" w:space="0" w:color="3CACF6" w:themeColor="accent1" w:themeTint="99"/>
        <w:bottom w:val="single" w:sz="4" w:space="0" w:color="3CACF6" w:themeColor="accent1" w:themeTint="99"/>
        <w:right w:val="single" w:sz="4" w:space="0" w:color="3CACF6" w:themeColor="accent1" w:themeTint="99"/>
        <w:insideH w:val="single" w:sz="4" w:space="0" w:color="3CACF6" w:themeColor="accent1" w:themeTint="99"/>
        <w:insideV w:val="single" w:sz="4" w:space="0" w:color="3CACF6" w:themeColor="accent1" w:themeTint="99"/>
      </w:tblBorders>
    </w:tblPr>
    <w:tblStylePr w:type="firstRow">
      <w:rPr>
        <w:b/>
        <w:bCs/>
        <w:color w:val="FFFFFF" w:themeColor="background1"/>
      </w:rPr>
      <w:tblPr/>
      <w:tcPr>
        <w:shd w:val="clear" w:color="auto" w:fill="054C7B" w:themeFill="accent1" w:themeFillShade="BF"/>
      </w:tcPr>
    </w:tblStylePr>
    <w:tblStylePr w:type="lastRow">
      <w:rPr>
        <w:b/>
        <w:bCs/>
      </w:rPr>
      <w:tblPr/>
      <w:tcPr>
        <w:tcBorders>
          <w:top w:val="double" w:sz="4" w:space="0" w:color="0766A5" w:themeColor="accent1"/>
        </w:tcBorders>
      </w:tcPr>
    </w:tblStylePr>
    <w:tblStylePr w:type="firstCol">
      <w:rPr>
        <w:b/>
        <w:bCs/>
      </w:rPr>
    </w:tblStylePr>
    <w:tblStylePr w:type="lastCol">
      <w:rPr>
        <w:b/>
        <w:bCs/>
      </w:rPr>
    </w:tblStylePr>
    <w:tblStylePr w:type="band1Vert">
      <w:tblPr/>
      <w:tcPr>
        <w:shd w:val="clear" w:color="auto" w:fill="BEE3FC" w:themeFill="accent1" w:themeFillTint="33"/>
      </w:tcPr>
    </w:tblStylePr>
    <w:tblStylePr w:type="band1Horz">
      <w:tblPr/>
      <w:tcPr>
        <w:shd w:val="clear" w:color="auto" w:fill="BEE3FC" w:themeFill="accent1" w:themeFillTint="33"/>
      </w:tcPr>
    </w:tblStylePr>
  </w:style>
  <w:style w:type="table" w:styleId="GridTable4-Accent5">
    <w:name w:val="Grid Table 4 Accent 5"/>
    <w:basedOn w:val="TableNormal"/>
    <w:uiPriority w:val="49"/>
    <w:rsid w:val="004D3B0F"/>
    <w:pPr>
      <w:spacing w:after="0" w:line="240" w:lineRule="auto"/>
    </w:pPr>
    <w:tblPr>
      <w:tblStyleRowBandSize w:val="1"/>
      <w:tblStyleColBandSize w:val="1"/>
      <w:tblBorders>
        <w:top w:val="single" w:sz="4" w:space="0" w:color="A9A7A7" w:themeColor="accent5" w:themeTint="99"/>
        <w:left w:val="single" w:sz="4" w:space="0" w:color="A9A7A7" w:themeColor="accent5" w:themeTint="99"/>
        <w:bottom w:val="single" w:sz="4" w:space="0" w:color="A9A7A7" w:themeColor="accent5" w:themeTint="99"/>
        <w:right w:val="single" w:sz="4" w:space="0" w:color="A9A7A7" w:themeColor="accent5" w:themeTint="99"/>
        <w:insideH w:val="single" w:sz="4" w:space="0" w:color="A9A7A7" w:themeColor="accent5" w:themeTint="99"/>
        <w:insideV w:val="single" w:sz="4" w:space="0" w:color="A9A7A7" w:themeColor="accent5" w:themeTint="99"/>
      </w:tblBorders>
    </w:tblPr>
    <w:tblStylePr w:type="firstRow">
      <w:rPr>
        <w:b/>
        <w:bCs/>
        <w:color w:val="FFFFFF" w:themeColor="background1"/>
      </w:rPr>
      <w:tblPr/>
      <w:tcPr>
        <w:tcBorders>
          <w:top w:val="single" w:sz="4" w:space="0" w:color="706E6E" w:themeColor="accent5"/>
          <w:left w:val="single" w:sz="4" w:space="0" w:color="706E6E" w:themeColor="accent5"/>
          <w:bottom w:val="single" w:sz="4" w:space="0" w:color="706E6E" w:themeColor="accent5"/>
          <w:right w:val="single" w:sz="4" w:space="0" w:color="706E6E" w:themeColor="accent5"/>
          <w:insideH w:val="nil"/>
          <w:insideV w:val="nil"/>
        </w:tcBorders>
        <w:shd w:val="clear" w:color="auto" w:fill="706E6E" w:themeFill="accent5"/>
      </w:tcPr>
    </w:tblStylePr>
    <w:tblStylePr w:type="lastRow">
      <w:rPr>
        <w:b/>
        <w:bCs/>
      </w:rPr>
      <w:tblPr/>
      <w:tcPr>
        <w:tcBorders>
          <w:top w:val="double" w:sz="4" w:space="0" w:color="706E6E" w:themeColor="accent5"/>
        </w:tcBorders>
      </w:tcPr>
    </w:tblStylePr>
    <w:tblStylePr w:type="firstCol">
      <w:rPr>
        <w:b/>
        <w:bCs/>
      </w:rPr>
    </w:tblStylePr>
    <w:tblStylePr w:type="lastCol">
      <w:rPr>
        <w:b/>
        <w:bCs/>
      </w:rPr>
    </w:tblStylePr>
    <w:tblStylePr w:type="band1Vert">
      <w:tblPr/>
      <w:tcPr>
        <w:shd w:val="clear" w:color="auto" w:fill="E2E1E1" w:themeFill="accent5" w:themeFillTint="33"/>
      </w:tcPr>
    </w:tblStylePr>
    <w:tblStylePr w:type="band1Horz">
      <w:tblPr/>
      <w:tcPr>
        <w:shd w:val="clear" w:color="auto" w:fill="E2E1E1" w:themeFill="accent5" w:themeFillTint="33"/>
      </w:tcPr>
    </w:tblStylePr>
  </w:style>
  <w:style w:type="table" w:styleId="GridTable4-Accent4">
    <w:name w:val="Grid Table 4 Accent 4"/>
    <w:aliases w:val="DISR banded - Table 2"/>
    <w:basedOn w:val="TableNormal"/>
    <w:uiPriority w:val="49"/>
    <w:rsid w:val="00BF6930"/>
    <w:pPr>
      <w:spacing w:after="0" w:line="240" w:lineRule="auto"/>
    </w:pPr>
    <w:tblPr>
      <w:tblStyleRowBandSize w:val="1"/>
      <w:tblStyleColBandSize w:val="1"/>
      <w:tblBorders>
        <w:top w:val="single" w:sz="4" w:space="0" w:color="0766A5" w:themeColor="accent1"/>
        <w:left w:val="single" w:sz="4" w:space="0" w:color="0766A5" w:themeColor="accent1"/>
        <w:bottom w:val="single" w:sz="4" w:space="0" w:color="0766A5" w:themeColor="accent1"/>
        <w:right w:val="single" w:sz="4" w:space="0" w:color="0766A5" w:themeColor="accent1"/>
        <w:insideH w:val="single" w:sz="4" w:space="0" w:color="0766A5" w:themeColor="accent1"/>
        <w:insideV w:val="single" w:sz="4" w:space="0" w:color="0766A5" w:themeColor="accent1"/>
      </w:tblBorders>
    </w:tblPr>
    <w:tblStylePr w:type="firstRow">
      <w:rPr>
        <w:b/>
        <w:bCs/>
        <w:color w:val="FFFFFF" w:themeColor="background1"/>
      </w:rPr>
      <w:tblPr/>
      <w:tcPr>
        <w:shd w:val="clear" w:color="auto" w:fill="0766A5" w:themeFill="accent1"/>
      </w:tcPr>
    </w:tblStylePr>
    <w:tblStylePr w:type="lastRow">
      <w:rPr>
        <w:b/>
        <w:bCs/>
      </w:rPr>
      <w:tblPr/>
      <w:tcPr>
        <w:tcBorders>
          <w:top w:val="single" w:sz="18" w:space="0" w:color="0B474D" w:themeColor="accent4"/>
        </w:tcBorders>
      </w:tcPr>
    </w:tblStylePr>
    <w:tblStylePr w:type="firstCol">
      <w:rPr>
        <w:b/>
        <w:bCs/>
      </w:rPr>
    </w:tblStylePr>
    <w:tblStylePr w:type="lastCol">
      <w:rPr>
        <w:b/>
        <w:bCs/>
      </w:rPr>
    </w:tblStylePr>
    <w:tblStylePr w:type="band1Vert">
      <w:tblPr/>
      <w:tcPr>
        <w:shd w:val="clear" w:color="auto" w:fill="B4EEF4" w:themeFill="accent4" w:themeFillTint="33"/>
      </w:tcPr>
    </w:tblStylePr>
    <w:tblStylePr w:type="band1Horz">
      <w:tblPr/>
      <w:tcPr>
        <w:shd w:val="clear" w:color="auto" w:fill="E2E1E1" w:themeFill="accent5" w:themeFillTint="33"/>
      </w:tcPr>
    </w:tblStylePr>
  </w:style>
  <w:style w:type="table" w:styleId="GridTable4-Accent3">
    <w:name w:val="Grid Table 4 Accent 3"/>
    <w:basedOn w:val="TableNormal"/>
    <w:uiPriority w:val="49"/>
    <w:rsid w:val="004D3B0F"/>
    <w:pPr>
      <w:spacing w:after="0" w:line="240" w:lineRule="auto"/>
    </w:pPr>
    <w:tblPr>
      <w:tblStyleRowBandSize w:val="1"/>
      <w:tblStyleColBandSize w:val="1"/>
      <w:tblBorders>
        <w:top w:val="single" w:sz="4" w:space="0" w:color="91C1ED" w:themeColor="accent3" w:themeTint="99"/>
        <w:left w:val="single" w:sz="4" w:space="0" w:color="91C1ED" w:themeColor="accent3" w:themeTint="99"/>
        <w:bottom w:val="single" w:sz="4" w:space="0" w:color="91C1ED" w:themeColor="accent3" w:themeTint="99"/>
        <w:right w:val="single" w:sz="4" w:space="0" w:color="91C1ED" w:themeColor="accent3" w:themeTint="99"/>
        <w:insideH w:val="single" w:sz="4" w:space="0" w:color="91C1ED" w:themeColor="accent3" w:themeTint="99"/>
        <w:insideV w:val="single" w:sz="4" w:space="0" w:color="91C1ED" w:themeColor="accent3" w:themeTint="99"/>
      </w:tblBorders>
    </w:tblPr>
    <w:tblStylePr w:type="firstRow">
      <w:rPr>
        <w:b/>
        <w:bCs/>
        <w:color w:val="FFFFFF" w:themeColor="background1"/>
      </w:rPr>
      <w:tblPr/>
      <w:tcPr>
        <w:tcBorders>
          <w:top w:val="single" w:sz="4" w:space="0" w:color="4999E1" w:themeColor="accent3"/>
          <w:left w:val="single" w:sz="4" w:space="0" w:color="4999E1" w:themeColor="accent3"/>
          <w:bottom w:val="single" w:sz="4" w:space="0" w:color="4999E1" w:themeColor="accent3"/>
          <w:right w:val="single" w:sz="4" w:space="0" w:color="4999E1" w:themeColor="accent3"/>
          <w:insideH w:val="nil"/>
          <w:insideV w:val="nil"/>
        </w:tcBorders>
        <w:shd w:val="clear" w:color="auto" w:fill="4999E1" w:themeFill="accent3"/>
      </w:tcPr>
    </w:tblStylePr>
    <w:tblStylePr w:type="lastRow">
      <w:rPr>
        <w:b/>
        <w:bCs/>
      </w:rPr>
      <w:tblPr/>
      <w:tcPr>
        <w:tcBorders>
          <w:top w:val="double" w:sz="4" w:space="0" w:color="4999E1" w:themeColor="accent3"/>
        </w:tcBorders>
      </w:tcPr>
    </w:tblStylePr>
    <w:tblStylePr w:type="firstCol">
      <w:rPr>
        <w:b/>
        <w:bCs/>
      </w:rPr>
    </w:tblStylePr>
    <w:tblStylePr w:type="lastCol">
      <w:rPr>
        <w:b/>
        <w:bCs/>
      </w:rPr>
    </w:tblStylePr>
    <w:tblStylePr w:type="band1Vert">
      <w:tblPr/>
      <w:tcPr>
        <w:shd w:val="clear" w:color="auto" w:fill="DAEAF9" w:themeFill="accent3" w:themeFillTint="33"/>
      </w:tcPr>
    </w:tblStylePr>
    <w:tblStylePr w:type="band1Horz">
      <w:tblPr/>
      <w:tcPr>
        <w:shd w:val="clear" w:color="auto" w:fill="DAEAF9" w:themeFill="accent3" w:themeFillTint="33"/>
      </w:tcPr>
    </w:tblStylePr>
  </w:style>
  <w:style w:type="paragraph" w:customStyle="1" w:styleId="Authoranddate">
    <w:name w:val="Author and date"/>
    <w:basedOn w:val="Subtitle"/>
    <w:link w:val="AuthoranddateChar"/>
    <w:qFormat/>
    <w:rsid w:val="001D51DA"/>
    <w:rPr>
      <w:szCs w:val="40"/>
    </w:rPr>
  </w:style>
  <w:style w:type="character" w:customStyle="1" w:styleId="AuthoranddateChar">
    <w:name w:val="Author and date Char"/>
    <w:basedOn w:val="SubtitleChar"/>
    <w:link w:val="Authoranddate"/>
    <w:rsid w:val="001D51DA"/>
    <w:rPr>
      <w:rFonts w:eastAsiaTheme="minorEastAsia"/>
      <w:color w:val="001B35" w:themeColor="background2"/>
      <w:sz w:val="40"/>
      <w:szCs w:val="40"/>
    </w:rPr>
  </w:style>
  <w:style w:type="character" w:customStyle="1" w:styleId="Heading7Char">
    <w:name w:val="Heading 7 Char"/>
    <w:basedOn w:val="DefaultParagraphFont"/>
    <w:link w:val="Heading7"/>
    <w:uiPriority w:val="9"/>
    <w:rsid w:val="00C50A9A"/>
    <w:rPr>
      <w:rFonts w:asciiTheme="majorHAnsi" w:eastAsiaTheme="majorEastAsia" w:hAnsiTheme="majorHAnsi" w:cstheme="majorBidi"/>
      <w:b/>
      <w:iCs/>
      <w:color w:val="0766A5" w:themeColor="accent1"/>
    </w:rPr>
  </w:style>
  <w:style w:type="character" w:styleId="UnresolvedMention">
    <w:name w:val="Unresolved Mention"/>
    <w:basedOn w:val="DefaultParagraphFont"/>
    <w:uiPriority w:val="99"/>
    <w:semiHidden/>
    <w:unhideWhenUsed/>
    <w:rsid w:val="00282ED3"/>
    <w:rPr>
      <w:color w:val="605E5C"/>
      <w:shd w:val="clear" w:color="auto" w:fill="E1DFDD"/>
    </w:rPr>
  </w:style>
  <w:style w:type="table" w:styleId="GridTable4">
    <w:name w:val="Grid Table 4"/>
    <w:basedOn w:val="TableNormal"/>
    <w:uiPriority w:val="49"/>
    <w:rsid w:val="0040603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4">
    <w:name w:val="List Table 3 Accent 4"/>
    <w:basedOn w:val="TableNormal"/>
    <w:uiPriority w:val="48"/>
    <w:rsid w:val="0031654A"/>
    <w:pPr>
      <w:spacing w:after="0" w:line="240" w:lineRule="auto"/>
    </w:pPr>
    <w:tblPr>
      <w:tblStyleRowBandSize w:val="1"/>
      <w:tblStyleColBandSize w:val="1"/>
      <w:tblBorders>
        <w:top w:val="single" w:sz="4" w:space="0" w:color="0B474D" w:themeColor="accent4"/>
        <w:left w:val="single" w:sz="4" w:space="0" w:color="0B474D" w:themeColor="accent4"/>
        <w:bottom w:val="single" w:sz="4" w:space="0" w:color="0B474D" w:themeColor="accent4"/>
        <w:right w:val="single" w:sz="4" w:space="0" w:color="0B474D" w:themeColor="accent4"/>
      </w:tblBorders>
    </w:tblPr>
    <w:tblStylePr w:type="firstRow">
      <w:rPr>
        <w:b/>
        <w:bCs/>
        <w:color w:val="FFFFFF" w:themeColor="background1"/>
      </w:rPr>
      <w:tblPr/>
      <w:tcPr>
        <w:shd w:val="clear" w:color="auto" w:fill="0B474D" w:themeFill="accent4"/>
      </w:tcPr>
    </w:tblStylePr>
    <w:tblStylePr w:type="lastRow">
      <w:rPr>
        <w:b/>
        <w:bCs/>
      </w:rPr>
      <w:tblPr/>
      <w:tcPr>
        <w:tcBorders>
          <w:top w:val="double" w:sz="4" w:space="0" w:color="0B474D"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B474D" w:themeColor="accent4"/>
          <w:right w:val="single" w:sz="4" w:space="0" w:color="0B474D" w:themeColor="accent4"/>
        </w:tcBorders>
      </w:tcPr>
    </w:tblStylePr>
    <w:tblStylePr w:type="band1Horz">
      <w:tblPr/>
      <w:tcPr>
        <w:tcBorders>
          <w:top w:val="single" w:sz="4" w:space="0" w:color="0B474D" w:themeColor="accent4"/>
          <w:bottom w:val="single" w:sz="4" w:space="0" w:color="0B474D"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B474D" w:themeColor="accent4"/>
          <w:left w:val="nil"/>
        </w:tcBorders>
      </w:tcPr>
    </w:tblStylePr>
    <w:tblStylePr w:type="swCell">
      <w:tblPr/>
      <w:tcPr>
        <w:tcBorders>
          <w:top w:val="double" w:sz="4" w:space="0" w:color="0B474D" w:themeColor="accent4"/>
          <w:right w:val="nil"/>
        </w:tcBorders>
      </w:tcPr>
    </w:tblStylePr>
  </w:style>
  <w:style w:type="paragraph" w:styleId="TOC4">
    <w:name w:val="toc 4"/>
    <w:basedOn w:val="Normal"/>
    <w:next w:val="Normal"/>
    <w:autoRedefine/>
    <w:uiPriority w:val="39"/>
    <w:unhideWhenUsed/>
    <w:rsid w:val="0043720A"/>
    <w:pPr>
      <w:spacing w:after="100"/>
      <w:ind w:left="442"/>
    </w:pPr>
  </w:style>
  <w:style w:type="paragraph" w:styleId="TOC5">
    <w:name w:val="toc 5"/>
    <w:basedOn w:val="Normal"/>
    <w:next w:val="Normal"/>
    <w:autoRedefine/>
    <w:uiPriority w:val="39"/>
    <w:unhideWhenUsed/>
    <w:rsid w:val="0043720A"/>
    <w:pPr>
      <w:spacing w:after="100"/>
      <w:ind w:left="601"/>
    </w:pPr>
  </w:style>
  <w:style w:type="paragraph" w:styleId="ListBullet">
    <w:name w:val="List Bullet"/>
    <w:basedOn w:val="Normal"/>
    <w:uiPriority w:val="99"/>
    <w:unhideWhenUsed/>
    <w:rsid w:val="00703734"/>
    <w:pPr>
      <w:numPr>
        <w:numId w:val="5"/>
      </w:numPr>
      <w:ind w:left="567" w:hanging="567"/>
      <w:contextualSpacing/>
    </w:pPr>
  </w:style>
  <w:style w:type="paragraph" w:styleId="ListBullet2">
    <w:name w:val="List Bullet 2"/>
    <w:basedOn w:val="Normal"/>
    <w:uiPriority w:val="99"/>
    <w:semiHidden/>
    <w:unhideWhenUsed/>
    <w:rsid w:val="00703734"/>
    <w:pPr>
      <w:numPr>
        <w:numId w:val="6"/>
      </w:numPr>
      <w:ind w:left="567" w:hanging="567"/>
      <w:contextualSpacing/>
    </w:pPr>
  </w:style>
  <w:style w:type="character" w:customStyle="1" w:styleId="Heading8Char">
    <w:name w:val="Heading 8 Char"/>
    <w:basedOn w:val="DefaultParagraphFont"/>
    <w:link w:val="Heading8"/>
    <w:uiPriority w:val="9"/>
    <w:rsid w:val="00C50A9A"/>
    <w:rPr>
      <w:rFonts w:asciiTheme="majorHAnsi" w:eastAsiaTheme="majorEastAsia" w:hAnsiTheme="majorHAnsi" w:cstheme="majorBidi"/>
      <w:color w:val="272727" w:themeColor="text1" w:themeTint="D8"/>
      <w:sz w:val="20"/>
      <w:szCs w:val="21"/>
    </w:rPr>
  </w:style>
  <w:style w:type="character" w:styleId="CommentReference">
    <w:name w:val="annotation reference"/>
    <w:basedOn w:val="DefaultParagraphFont"/>
    <w:uiPriority w:val="99"/>
    <w:semiHidden/>
    <w:unhideWhenUsed/>
    <w:rsid w:val="00FE4569"/>
    <w:rPr>
      <w:sz w:val="16"/>
      <w:szCs w:val="16"/>
    </w:rPr>
  </w:style>
  <w:style w:type="paragraph" w:styleId="CommentText">
    <w:name w:val="annotation text"/>
    <w:basedOn w:val="Normal"/>
    <w:link w:val="CommentTextChar"/>
    <w:uiPriority w:val="99"/>
    <w:unhideWhenUsed/>
    <w:rsid w:val="00FE4569"/>
    <w:rPr>
      <w:szCs w:val="20"/>
    </w:rPr>
  </w:style>
  <w:style w:type="character" w:customStyle="1" w:styleId="CommentTextChar">
    <w:name w:val="Comment Text Char"/>
    <w:basedOn w:val="DefaultParagraphFont"/>
    <w:link w:val="CommentText"/>
    <w:uiPriority w:val="99"/>
    <w:rsid w:val="00FE4569"/>
    <w:rPr>
      <w:sz w:val="20"/>
      <w:szCs w:val="20"/>
    </w:rPr>
  </w:style>
  <w:style w:type="paragraph" w:styleId="CommentSubject">
    <w:name w:val="annotation subject"/>
    <w:basedOn w:val="CommentText"/>
    <w:next w:val="CommentText"/>
    <w:link w:val="CommentSubjectChar"/>
    <w:uiPriority w:val="99"/>
    <w:semiHidden/>
    <w:unhideWhenUsed/>
    <w:rsid w:val="00FE4569"/>
    <w:rPr>
      <w:b/>
      <w:bCs/>
    </w:rPr>
  </w:style>
  <w:style w:type="character" w:customStyle="1" w:styleId="CommentSubjectChar">
    <w:name w:val="Comment Subject Char"/>
    <w:basedOn w:val="CommentTextChar"/>
    <w:link w:val="CommentSubject"/>
    <w:uiPriority w:val="99"/>
    <w:semiHidden/>
    <w:rsid w:val="00FE4569"/>
    <w:rPr>
      <w:b/>
      <w:bCs/>
      <w:sz w:val="20"/>
      <w:szCs w:val="20"/>
    </w:rPr>
  </w:style>
  <w:style w:type="table" w:styleId="ListTable3-Accent1">
    <w:name w:val="List Table 3 Accent 1"/>
    <w:basedOn w:val="TableNormal"/>
    <w:uiPriority w:val="48"/>
    <w:rsid w:val="00BF6930"/>
    <w:pPr>
      <w:spacing w:after="0" w:line="240" w:lineRule="auto"/>
    </w:pPr>
    <w:tblPr>
      <w:tblStyleRowBandSize w:val="1"/>
      <w:tblStyleColBandSize w:val="1"/>
      <w:tblBorders>
        <w:top w:val="single" w:sz="4" w:space="0" w:color="0766A5" w:themeColor="accent1"/>
        <w:left w:val="single" w:sz="4" w:space="0" w:color="0766A5" w:themeColor="accent1"/>
        <w:bottom w:val="single" w:sz="4" w:space="0" w:color="0766A5" w:themeColor="accent1"/>
        <w:right w:val="single" w:sz="4" w:space="0" w:color="0766A5" w:themeColor="accent1"/>
      </w:tblBorders>
    </w:tblPr>
    <w:tblStylePr w:type="firstRow">
      <w:rPr>
        <w:b/>
        <w:bCs/>
        <w:color w:val="FFFFFF" w:themeColor="background1"/>
      </w:rPr>
      <w:tblPr/>
      <w:tcPr>
        <w:shd w:val="clear" w:color="auto" w:fill="0766A5" w:themeFill="accent1"/>
      </w:tcPr>
    </w:tblStylePr>
    <w:tblStylePr w:type="lastRow">
      <w:rPr>
        <w:b/>
        <w:bCs/>
      </w:rPr>
      <w:tblPr/>
      <w:tcPr>
        <w:tcBorders>
          <w:top w:val="double" w:sz="4" w:space="0" w:color="0766A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766A5" w:themeColor="accent1"/>
          <w:right w:val="single" w:sz="4" w:space="0" w:color="0766A5" w:themeColor="accent1"/>
        </w:tcBorders>
      </w:tcPr>
    </w:tblStylePr>
    <w:tblStylePr w:type="band1Horz">
      <w:tblPr/>
      <w:tcPr>
        <w:tcBorders>
          <w:top w:val="single" w:sz="4" w:space="0" w:color="0766A5" w:themeColor="accent1"/>
          <w:bottom w:val="single" w:sz="4" w:space="0" w:color="0766A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766A5" w:themeColor="accent1"/>
          <w:left w:val="nil"/>
        </w:tcBorders>
      </w:tcPr>
    </w:tblStylePr>
    <w:tblStylePr w:type="swCell">
      <w:tblPr/>
      <w:tcPr>
        <w:tcBorders>
          <w:top w:val="double" w:sz="4" w:space="0" w:color="0766A5" w:themeColor="accent1"/>
          <w:right w:val="nil"/>
        </w:tcBorders>
      </w:tcPr>
    </w:tblStylePr>
  </w:style>
  <w:style w:type="paragraph" w:styleId="NormalWeb">
    <w:name w:val="Normal (Web)"/>
    <w:basedOn w:val="Normal"/>
    <w:uiPriority w:val="99"/>
    <w:semiHidden/>
    <w:unhideWhenUsed/>
    <w:rsid w:val="00FA2434"/>
    <w:pPr>
      <w:spacing w:before="100" w:beforeAutospacing="1" w:after="100" w:afterAutospacing="1"/>
    </w:pPr>
    <w:rPr>
      <w:rFonts w:ascii="Times New Roman" w:eastAsia="Times New Roman" w:hAnsi="Times New Roman" w:cs="Times New Roman"/>
      <w:sz w:val="24"/>
      <w:szCs w:val="24"/>
      <w:lang w:eastAsia="en-AU"/>
    </w:rPr>
  </w:style>
  <w:style w:type="paragraph" w:styleId="Revision">
    <w:name w:val="Revision"/>
    <w:hidden/>
    <w:uiPriority w:val="99"/>
    <w:semiHidden/>
    <w:rsid w:val="00C16BEE"/>
    <w:pPr>
      <w:spacing w:after="0" w:line="24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781">
      <w:bodyDiv w:val="1"/>
      <w:marLeft w:val="0"/>
      <w:marRight w:val="0"/>
      <w:marTop w:val="0"/>
      <w:marBottom w:val="0"/>
      <w:divBdr>
        <w:top w:val="none" w:sz="0" w:space="0" w:color="auto"/>
        <w:left w:val="none" w:sz="0" w:space="0" w:color="auto"/>
        <w:bottom w:val="none" w:sz="0" w:space="0" w:color="auto"/>
        <w:right w:val="none" w:sz="0" w:space="0" w:color="auto"/>
      </w:divBdr>
    </w:div>
    <w:div w:id="6953951">
      <w:bodyDiv w:val="1"/>
      <w:marLeft w:val="0"/>
      <w:marRight w:val="0"/>
      <w:marTop w:val="0"/>
      <w:marBottom w:val="0"/>
      <w:divBdr>
        <w:top w:val="none" w:sz="0" w:space="0" w:color="auto"/>
        <w:left w:val="none" w:sz="0" w:space="0" w:color="auto"/>
        <w:bottom w:val="none" w:sz="0" w:space="0" w:color="auto"/>
        <w:right w:val="none" w:sz="0" w:space="0" w:color="auto"/>
      </w:divBdr>
    </w:div>
    <w:div w:id="129977626">
      <w:bodyDiv w:val="1"/>
      <w:marLeft w:val="0"/>
      <w:marRight w:val="0"/>
      <w:marTop w:val="0"/>
      <w:marBottom w:val="0"/>
      <w:divBdr>
        <w:top w:val="none" w:sz="0" w:space="0" w:color="auto"/>
        <w:left w:val="none" w:sz="0" w:space="0" w:color="auto"/>
        <w:bottom w:val="none" w:sz="0" w:space="0" w:color="auto"/>
        <w:right w:val="none" w:sz="0" w:space="0" w:color="auto"/>
      </w:divBdr>
    </w:div>
    <w:div w:id="146671932">
      <w:bodyDiv w:val="1"/>
      <w:marLeft w:val="0"/>
      <w:marRight w:val="0"/>
      <w:marTop w:val="0"/>
      <w:marBottom w:val="0"/>
      <w:divBdr>
        <w:top w:val="none" w:sz="0" w:space="0" w:color="auto"/>
        <w:left w:val="none" w:sz="0" w:space="0" w:color="auto"/>
        <w:bottom w:val="none" w:sz="0" w:space="0" w:color="auto"/>
        <w:right w:val="none" w:sz="0" w:space="0" w:color="auto"/>
      </w:divBdr>
    </w:div>
    <w:div w:id="182593347">
      <w:bodyDiv w:val="1"/>
      <w:marLeft w:val="0"/>
      <w:marRight w:val="0"/>
      <w:marTop w:val="0"/>
      <w:marBottom w:val="0"/>
      <w:divBdr>
        <w:top w:val="none" w:sz="0" w:space="0" w:color="auto"/>
        <w:left w:val="none" w:sz="0" w:space="0" w:color="auto"/>
        <w:bottom w:val="none" w:sz="0" w:space="0" w:color="auto"/>
        <w:right w:val="none" w:sz="0" w:space="0" w:color="auto"/>
      </w:divBdr>
    </w:div>
    <w:div w:id="241333136">
      <w:bodyDiv w:val="1"/>
      <w:marLeft w:val="0"/>
      <w:marRight w:val="0"/>
      <w:marTop w:val="0"/>
      <w:marBottom w:val="0"/>
      <w:divBdr>
        <w:top w:val="none" w:sz="0" w:space="0" w:color="auto"/>
        <w:left w:val="none" w:sz="0" w:space="0" w:color="auto"/>
        <w:bottom w:val="none" w:sz="0" w:space="0" w:color="auto"/>
        <w:right w:val="none" w:sz="0" w:space="0" w:color="auto"/>
      </w:divBdr>
    </w:div>
    <w:div w:id="278414761">
      <w:bodyDiv w:val="1"/>
      <w:marLeft w:val="0"/>
      <w:marRight w:val="0"/>
      <w:marTop w:val="0"/>
      <w:marBottom w:val="0"/>
      <w:divBdr>
        <w:top w:val="none" w:sz="0" w:space="0" w:color="auto"/>
        <w:left w:val="none" w:sz="0" w:space="0" w:color="auto"/>
        <w:bottom w:val="none" w:sz="0" w:space="0" w:color="auto"/>
        <w:right w:val="none" w:sz="0" w:space="0" w:color="auto"/>
      </w:divBdr>
    </w:div>
    <w:div w:id="365302300">
      <w:bodyDiv w:val="1"/>
      <w:marLeft w:val="0"/>
      <w:marRight w:val="0"/>
      <w:marTop w:val="0"/>
      <w:marBottom w:val="0"/>
      <w:divBdr>
        <w:top w:val="none" w:sz="0" w:space="0" w:color="auto"/>
        <w:left w:val="none" w:sz="0" w:space="0" w:color="auto"/>
        <w:bottom w:val="none" w:sz="0" w:space="0" w:color="auto"/>
        <w:right w:val="none" w:sz="0" w:space="0" w:color="auto"/>
      </w:divBdr>
    </w:div>
    <w:div w:id="399600072">
      <w:bodyDiv w:val="1"/>
      <w:marLeft w:val="0"/>
      <w:marRight w:val="0"/>
      <w:marTop w:val="0"/>
      <w:marBottom w:val="0"/>
      <w:divBdr>
        <w:top w:val="none" w:sz="0" w:space="0" w:color="auto"/>
        <w:left w:val="none" w:sz="0" w:space="0" w:color="auto"/>
        <w:bottom w:val="none" w:sz="0" w:space="0" w:color="auto"/>
        <w:right w:val="none" w:sz="0" w:space="0" w:color="auto"/>
      </w:divBdr>
    </w:div>
    <w:div w:id="429009989">
      <w:bodyDiv w:val="1"/>
      <w:marLeft w:val="0"/>
      <w:marRight w:val="0"/>
      <w:marTop w:val="0"/>
      <w:marBottom w:val="0"/>
      <w:divBdr>
        <w:top w:val="none" w:sz="0" w:space="0" w:color="auto"/>
        <w:left w:val="none" w:sz="0" w:space="0" w:color="auto"/>
        <w:bottom w:val="none" w:sz="0" w:space="0" w:color="auto"/>
        <w:right w:val="none" w:sz="0" w:space="0" w:color="auto"/>
      </w:divBdr>
    </w:div>
    <w:div w:id="510416490">
      <w:bodyDiv w:val="1"/>
      <w:marLeft w:val="0"/>
      <w:marRight w:val="0"/>
      <w:marTop w:val="0"/>
      <w:marBottom w:val="0"/>
      <w:divBdr>
        <w:top w:val="none" w:sz="0" w:space="0" w:color="auto"/>
        <w:left w:val="none" w:sz="0" w:space="0" w:color="auto"/>
        <w:bottom w:val="none" w:sz="0" w:space="0" w:color="auto"/>
        <w:right w:val="none" w:sz="0" w:space="0" w:color="auto"/>
      </w:divBdr>
      <w:divsChild>
        <w:div w:id="1850831111">
          <w:marLeft w:val="360"/>
          <w:marRight w:val="0"/>
          <w:marTop w:val="120"/>
          <w:marBottom w:val="120"/>
          <w:divBdr>
            <w:top w:val="none" w:sz="0" w:space="0" w:color="auto"/>
            <w:left w:val="none" w:sz="0" w:space="0" w:color="auto"/>
            <w:bottom w:val="none" w:sz="0" w:space="0" w:color="auto"/>
            <w:right w:val="none" w:sz="0" w:space="0" w:color="auto"/>
          </w:divBdr>
        </w:div>
        <w:div w:id="2002272641">
          <w:marLeft w:val="360"/>
          <w:marRight w:val="0"/>
          <w:marTop w:val="120"/>
          <w:marBottom w:val="120"/>
          <w:divBdr>
            <w:top w:val="none" w:sz="0" w:space="0" w:color="auto"/>
            <w:left w:val="none" w:sz="0" w:space="0" w:color="auto"/>
            <w:bottom w:val="none" w:sz="0" w:space="0" w:color="auto"/>
            <w:right w:val="none" w:sz="0" w:space="0" w:color="auto"/>
          </w:divBdr>
        </w:div>
      </w:divsChild>
    </w:div>
    <w:div w:id="540437952">
      <w:bodyDiv w:val="1"/>
      <w:marLeft w:val="0"/>
      <w:marRight w:val="0"/>
      <w:marTop w:val="0"/>
      <w:marBottom w:val="0"/>
      <w:divBdr>
        <w:top w:val="none" w:sz="0" w:space="0" w:color="auto"/>
        <w:left w:val="none" w:sz="0" w:space="0" w:color="auto"/>
        <w:bottom w:val="none" w:sz="0" w:space="0" w:color="auto"/>
        <w:right w:val="none" w:sz="0" w:space="0" w:color="auto"/>
      </w:divBdr>
    </w:div>
    <w:div w:id="694619287">
      <w:bodyDiv w:val="1"/>
      <w:marLeft w:val="0"/>
      <w:marRight w:val="0"/>
      <w:marTop w:val="0"/>
      <w:marBottom w:val="0"/>
      <w:divBdr>
        <w:top w:val="none" w:sz="0" w:space="0" w:color="auto"/>
        <w:left w:val="none" w:sz="0" w:space="0" w:color="auto"/>
        <w:bottom w:val="none" w:sz="0" w:space="0" w:color="auto"/>
        <w:right w:val="none" w:sz="0" w:space="0" w:color="auto"/>
      </w:divBdr>
      <w:divsChild>
        <w:div w:id="241917156">
          <w:marLeft w:val="360"/>
          <w:marRight w:val="0"/>
          <w:marTop w:val="120"/>
          <w:marBottom w:val="120"/>
          <w:divBdr>
            <w:top w:val="none" w:sz="0" w:space="0" w:color="auto"/>
            <w:left w:val="none" w:sz="0" w:space="0" w:color="auto"/>
            <w:bottom w:val="none" w:sz="0" w:space="0" w:color="auto"/>
            <w:right w:val="none" w:sz="0" w:space="0" w:color="auto"/>
          </w:divBdr>
        </w:div>
        <w:div w:id="468596983">
          <w:marLeft w:val="360"/>
          <w:marRight w:val="0"/>
          <w:marTop w:val="120"/>
          <w:marBottom w:val="120"/>
          <w:divBdr>
            <w:top w:val="none" w:sz="0" w:space="0" w:color="auto"/>
            <w:left w:val="none" w:sz="0" w:space="0" w:color="auto"/>
            <w:bottom w:val="none" w:sz="0" w:space="0" w:color="auto"/>
            <w:right w:val="none" w:sz="0" w:space="0" w:color="auto"/>
          </w:divBdr>
        </w:div>
        <w:div w:id="1459378534">
          <w:marLeft w:val="360"/>
          <w:marRight w:val="0"/>
          <w:marTop w:val="120"/>
          <w:marBottom w:val="120"/>
          <w:divBdr>
            <w:top w:val="none" w:sz="0" w:space="0" w:color="auto"/>
            <w:left w:val="none" w:sz="0" w:space="0" w:color="auto"/>
            <w:bottom w:val="none" w:sz="0" w:space="0" w:color="auto"/>
            <w:right w:val="none" w:sz="0" w:space="0" w:color="auto"/>
          </w:divBdr>
        </w:div>
      </w:divsChild>
    </w:div>
    <w:div w:id="803547821">
      <w:bodyDiv w:val="1"/>
      <w:marLeft w:val="0"/>
      <w:marRight w:val="0"/>
      <w:marTop w:val="0"/>
      <w:marBottom w:val="0"/>
      <w:divBdr>
        <w:top w:val="none" w:sz="0" w:space="0" w:color="auto"/>
        <w:left w:val="none" w:sz="0" w:space="0" w:color="auto"/>
        <w:bottom w:val="none" w:sz="0" w:space="0" w:color="auto"/>
        <w:right w:val="none" w:sz="0" w:space="0" w:color="auto"/>
      </w:divBdr>
    </w:div>
    <w:div w:id="863327493">
      <w:bodyDiv w:val="1"/>
      <w:marLeft w:val="0"/>
      <w:marRight w:val="0"/>
      <w:marTop w:val="0"/>
      <w:marBottom w:val="0"/>
      <w:divBdr>
        <w:top w:val="none" w:sz="0" w:space="0" w:color="auto"/>
        <w:left w:val="none" w:sz="0" w:space="0" w:color="auto"/>
        <w:bottom w:val="none" w:sz="0" w:space="0" w:color="auto"/>
        <w:right w:val="none" w:sz="0" w:space="0" w:color="auto"/>
      </w:divBdr>
    </w:div>
    <w:div w:id="917523489">
      <w:bodyDiv w:val="1"/>
      <w:marLeft w:val="0"/>
      <w:marRight w:val="0"/>
      <w:marTop w:val="0"/>
      <w:marBottom w:val="0"/>
      <w:divBdr>
        <w:top w:val="none" w:sz="0" w:space="0" w:color="auto"/>
        <w:left w:val="none" w:sz="0" w:space="0" w:color="auto"/>
        <w:bottom w:val="none" w:sz="0" w:space="0" w:color="auto"/>
        <w:right w:val="none" w:sz="0" w:space="0" w:color="auto"/>
      </w:divBdr>
    </w:div>
    <w:div w:id="937370373">
      <w:bodyDiv w:val="1"/>
      <w:marLeft w:val="0"/>
      <w:marRight w:val="0"/>
      <w:marTop w:val="0"/>
      <w:marBottom w:val="0"/>
      <w:divBdr>
        <w:top w:val="none" w:sz="0" w:space="0" w:color="auto"/>
        <w:left w:val="none" w:sz="0" w:space="0" w:color="auto"/>
        <w:bottom w:val="none" w:sz="0" w:space="0" w:color="auto"/>
        <w:right w:val="none" w:sz="0" w:space="0" w:color="auto"/>
      </w:divBdr>
    </w:div>
    <w:div w:id="960920062">
      <w:bodyDiv w:val="1"/>
      <w:marLeft w:val="0"/>
      <w:marRight w:val="0"/>
      <w:marTop w:val="0"/>
      <w:marBottom w:val="0"/>
      <w:divBdr>
        <w:top w:val="none" w:sz="0" w:space="0" w:color="auto"/>
        <w:left w:val="none" w:sz="0" w:space="0" w:color="auto"/>
        <w:bottom w:val="none" w:sz="0" w:space="0" w:color="auto"/>
        <w:right w:val="none" w:sz="0" w:space="0" w:color="auto"/>
      </w:divBdr>
    </w:div>
    <w:div w:id="1047418297">
      <w:bodyDiv w:val="1"/>
      <w:marLeft w:val="0"/>
      <w:marRight w:val="0"/>
      <w:marTop w:val="0"/>
      <w:marBottom w:val="0"/>
      <w:divBdr>
        <w:top w:val="none" w:sz="0" w:space="0" w:color="auto"/>
        <w:left w:val="none" w:sz="0" w:space="0" w:color="auto"/>
        <w:bottom w:val="none" w:sz="0" w:space="0" w:color="auto"/>
        <w:right w:val="none" w:sz="0" w:space="0" w:color="auto"/>
      </w:divBdr>
    </w:div>
    <w:div w:id="1136027059">
      <w:bodyDiv w:val="1"/>
      <w:marLeft w:val="0"/>
      <w:marRight w:val="0"/>
      <w:marTop w:val="0"/>
      <w:marBottom w:val="0"/>
      <w:divBdr>
        <w:top w:val="none" w:sz="0" w:space="0" w:color="auto"/>
        <w:left w:val="none" w:sz="0" w:space="0" w:color="auto"/>
        <w:bottom w:val="none" w:sz="0" w:space="0" w:color="auto"/>
        <w:right w:val="none" w:sz="0" w:space="0" w:color="auto"/>
      </w:divBdr>
    </w:div>
    <w:div w:id="1231380419">
      <w:bodyDiv w:val="1"/>
      <w:marLeft w:val="0"/>
      <w:marRight w:val="0"/>
      <w:marTop w:val="0"/>
      <w:marBottom w:val="0"/>
      <w:divBdr>
        <w:top w:val="none" w:sz="0" w:space="0" w:color="auto"/>
        <w:left w:val="none" w:sz="0" w:space="0" w:color="auto"/>
        <w:bottom w:val="none" w:sz="0" w:space="0" w:color="auto"/>
        <w:right w:val="none" w:sz="0" w:space="0" w:color="auto"/>
      </w:divBdr>
    </w:div>
    <w:div w:id="1422603160">
      <w:bodyDiv w:val="1"/>
      <w:marLeft w:val="0"/>
      <w:marRight w:val="0"/>
      <w:marTop w:val="0"/>
      <w:marBottom w:val="0"/>
      <w:divBdr>
        <w:top w:val="none" w:sz="0" w:space="0" w:color="auto"/>
        <w:left w:val="none" w:sz="0" w:space="0" w:color="auto"/>
        <w:bottom w:val="none" w:sz="0" w:space="0" w:color="auto"/>
        <w:right w:val="none" w:sz="0" w:space="0" w:color="auto"/>
      </w:divBdr>
    </w:div>
    <w:div w:id="1439063441">
      <w:bodyDiv w:val="1"/>
      <w:marLeft w:val="0"/>
      <w:marRight w:val="0"/>
      <w:marTop w:val="0"/>
      <w:marBottom w:val="0"/>
      <w:divBdr>
        <w:top w:val="none" w:sz="0" w:space="0" w:color="auto"/>
        <w:left w:val="none" w:sz="0" w:space="0" w:color="auto"/>
        <w:bottom w:val="none" w:sz="0" w:space="0" w:color="auto"/>
        <w:right w:val="none" w:sz="0" w:space="0" w:color="auto"/>
      </w:divBdr>
    </w:div>
    <w:div w:id="1461534661">
      <w:bodyDiv w:val="1"/>
      <w:marLeft w:val="0"/>
      <w:marRight w:val="0"/>
      <w:marTop w:val="0"/>
      <w:marBottom w:val="0"/>
      <w:divBdr>
        <w:top w:val="none" w:sz="0" w:space="0" w:color="auto"/>
        <w:left w:val="none" w:sz="0" w:space="0" w:color="auto"/>
        <w:bottom w:val="none" w:sz="0" w:space="0" w:color="auto"/>
        <w:right w:val="none" w:sz="0" w:space="0" w:color="auto"/>
      </w:divBdr>
    </w:div>
    <w:div w:id="1501189896">
      <w:bodyDiv w:val="1"/>
      <w:marLeft w:val="0"/>
      <w:marRight w:val="0"/>
      <w:marTop w:val="0"/>
      <w:marBottom w:val="0"/>
      <w:divBdr>
        <w:top w:val="none" w:sz="0" w:space="0" w:color="auto"/>
        <w:left w:val="none" w:sz="0" w:space="0" w:color="auto"/>
        <w:bottom w:val="none" w:sz="0" w:space="0" w:color="auto"/>
        <w:right w:val="none" w:sz="0" w:space="0" w:color="auto"/>
      </w:divBdr>
    </w:div>
    <w:div w:id="1611426220">
      <w:bodyDiv w:val="1"/>
      <w:marLeft w:val="0"/>
      <w:marRight w:val="0"/>
      <w:marTop w:val="0"/>
      <w:marBottom w:val="0"/>
      <w:divBdr>
        <w:top w:val="none" w:sz="0" w:space="0" w:color="auto"/>
        <w:left w:val="none" w:sz="0" w:space="0" w:color="auto"/>
        <w:bottom w:val="none" w:sz="0" w:space="0" w:color="auto"/>
        <w:right w:val="none" w:sz="0" w:space="0" w:color="auto"/>
      </w:divBdr>
    </w:div>
    <w:div w:id="1786582538">
      <w:bodyDiv w:val="1"/>
      <w:marLeft w:val="0"/>
      <w:marRight w:val="0"/>
      <w:marTop w:val="0"/>
      <w:marBottom w:val="0"/>
      <w:divBdr>
        <w:top w:val="none" w:sz="0" w:space="0" w:color="auto"/>
        <w:left w:val="none" w:sz="0" w:space="0" w:color="auto"/>
        <w:bottom w:val="none" w:sz="0" w:space="0" w:color="auto"/>
        <w:right w:val="none" w:sz="0" w:space="0" w:color="auto"/>
      </w:divBdr>
    </w:div>
    <w:div w:id="1801072375">
      <w:bodyDiv w:val="1"/>
      <w:marLeft w:val="0"/>
      <w:marRight w:val="0"/>
      <w:marTop w:val="0"/>
      <w:marBottom w:val="0"/>
      <w:divBdr>
        <w:top w:val="none" w:sz="0" w:space="0" w:color="auto"/>
        <w:left w:val="none" w:sz="0" w:space="0" w:color="auto"/>
        <w:bottom w:val="none" w:sz="0" w:space="0" w:color="auto"/>
        <w:right w:val="none" w:sz="0" w:space="0" w:color="auto"/>
      </w:divBdr>
    </w:div>
    <w:div w:id="1836529095">
      <w:bodyDiv w:val="1"/>
      <w:marLeft w:val="0"/>
      <w:marRight w:val="0"/>
      <w:marTop w:val="0"/>
      <w:marBottom w:val="0"/>
      <w:divBdr>
        <w:top w:val="none" w:sz="0" w:space="0" w:color="auto"/>
        <w:left w:val="none" w:sz="0" w:space="0" w:color="auto"/>
        <w:bottom w:val="none" w:sz="0" w:space="0" w:color="auto"/>
        <w:right w:val="none" w:sz="0" w:space="0" w:color="auto"/>
      </w:divBdr>
    </w:div>
    <w:div w:id="1899054828">
      <w:bodyDiv w:val="1"/>
      <w:marLeft w:val="0"/>
      <w:marRight w:val="0"/>
      <w:marTop w:val="0"/>
      <w:marBottom w:val="0"/>
      <w:divBdr>
        <w:top w:val="none" w:sz="0" w:space="0" w:color="auto"/>
        <w:left w:val="none" w:sz="0" w:space="0" w:color="auto"/>
        <w:bottom w:val="none" w:sz="0" w:space="0" w:color="auto"/>
        <w:right w:val="none" w:sz="0" w:space="0" w:color="auto"/>
      </w:divBdr>
    </w:div>
    <w:div w:id="1982692475">
      <w:bodyDiv w:val="1"/>
      <w:marLeft w:val="0"/>
      <w:marRight w:val="0"/>
      <w:marTop w:val="0"/>
      <w:marBottom w:val="0"/>
      <w:divBdr>
        <w:top w:val="none" w:sz="0" w:space="0" w:color="auto"/>
        <w:left w:val="none" w:sz="0" w:space="0" w:color="auto"/>
        <w:bottom w:val="none" w:sz="0" w:space="0" w:color="auto"/>
        <w:right w:val="none" w:sz="0" w:space="0" w:color="auto"/>
      </w:divBdr>
    </w:div>
    <w:div w:id="2001813306">
      <w:bodyDiv w:val="1"/>
      <w:marLeft w:val="0"/>
      <w:marRight w:val="0"/>
      <w:marTop w:val="0"/>
      <w:marBottom w:val="0"/>
      <w:divBdr>
        <w:top w:val="none" w:sz="0" w:space="0" w:color="auto"/>
        <w:left w:val="none" w:sz="0" w:space="0" w:color="auto"/>
        <w:bottom w:val="none" w:sz="0" w:space="0" w:color="auto"/>
        <w:right w:val="none" w:sz="0" w:space="0" w:color="auto"/>
      </w:divBdr>
    </w:div>
    <w:div w:id="2030183697">
      <w:bodyDiv w:val="1"/>
      <w:marLeft w:val="0"/>
      <w:marRight w:val="0"/>
      <w:marTop w:val="0"/>
      <w:marBottom w:val="0"/>
      <w:divBdr>
        <w:top w:val="none" w:sz="0" w:space="0" w:color="auto"/>
        <w:left w:val="none" w:sz="0" w:space="0" w:color="auto"/>
        <w:bottom w:val="none" w:sz="0" w:space="0" w:color="auto"/>
        <w:right w:val="none" w:sz="0" w:space="0" w:color="auto"/>
      </w:divBdr>
    </w:div>
    <w:div w:id="206667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prod.protected.ind\Apps\APPS01\M365\Workgroup%20Templates\Departmental\DISR-document.dotx" TargetMode="External"/></Relationships>
</file>

<file path=word/theme/theme1.xml><?xml version="1.0" encoding="utf-8"?>
<a:theme xmlns:a="http://schemas.openxmlformats.org/drawingml/2006/main" name="Office Theme">
  <a:themeElements>
    <a:clrScheme name="DISR Charting">
      <a:dk1>
        <a:sysClr val="windowText" lastClr="000000"/>
      </a:dk1>
      <a:lt1>
        <a:sysClr val="window" lastClr="FFFFFF"/>
      </a:lt1>
      <a:dk2>
        <a:srgbClr val="CE5958"/>
      </a:dk2>
      <a:lt2>
        <a:srgbClr val="001B35"/>
      </a:lt2>
      <a:accent1>
        <a:srgbClr val="0766A5"/>
      </a:accent1>
      <a:accent2>
        <a:srgbClr val="960000"/>
      </a:accent2>
      <a:accent3>
        <a:srgbClr val="4999E1"/>
      </a:accent3>
      <a:accent4>
        <a:srgbClr val="0B474D"/>
      </a:accent4>
      <a:accent5>
        <a:srgbClr val="706E6E"/>
      </a:accent5>
      <a:accent6>
        <a:srgbClr val="61008E"/>
      </a:accent6>
      <a:hlink>
        <a:srgbClr val="0766A5"/>
      </a:hlink>
      <a:folHlink>
        <a:srgbClr val="001B35"/>
      </a:folHlink>
    </a:clrScheme>
    <a:fontScheme name="DISR Aptos 2023 v2">
      <a:majorFont>
        <a:latin typeface="Aptos SemiBold"/>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68894BE1511F4A823305668349867B" ma:contentTypeVersion="17" ma:contentTypeDescription="Create a new document." ma:contentTypeScope="" ma:versionID="17f887f42342017811625a9e6d202280">
  <xsd:schema xmlns:xsd="http://www.w3.org/2001/XMLSchema" xmlns:xs="http://www.w3.org/2001/XMLSchema" xmlns:p="http://schemas.microsoft.com/office/2006/metadata/properties" xmlns:ns1="http://schemas.microsoft.com/sharepoint/v3" xmlns:ns2="ffe4b66e-8ed7-4886-ace9-ed890174e4d2" xmlns:ns3="432a0cde-abb2-4efc-8c60-3b06426b5a79" targetNamespace="http://schemas.microsoft.com/office/2006/metadata/properties" ma:root="true" ma:fieldsID="7bd547378264d8a6c475c08a5f3b1009" ns1:_="" ns2:_="" ns3:_="">
    <xsd:import namespace="http://schemas.microsoft.com/sharepoint/v3"/>
    <xsd:import namespace="ffe4b66e-8ed7-4886-ace9-ed890174e4d2"/>
    <xsd:import namespace="432a0cde-abb2-4efc-8c60-3b06426b5a79"/>
    <xsd:element name="properties">
      <xsd:complexType>
        <xsd:sequence>
          <xsd:element name="documentManagement">
            <xsd:complexType>
              <xsd:all>
                <xsd:element ref="ns2:p9e7fb3d639e4ffc803a4b8f6549f0f5" minOccurs="0"/>
                <xsd:element ref="ns2:TaxCatchAll" minOccurs="0"/>
                <xsd:element ref="ns2:o8e9f6b000bf46b78855917f10dbdcbb" minOccurs="0"/>
                <xsd:element ref="ns2:e01a212754b1438da5efe472214e8f8c" minOccurs="0"/>
                <xsd:element ref="ns2:d7f9728f260c46379b933ee06bc0d6bc" minOccurs="0"/>
                <xsd:element ref="ns1:Comment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7" nillable="true" ma:displayName="Comments"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4b66e-8ed7-4886-ace9-ed890174e4d2" elementFormDefault="qualified">
    <xsd:import namespace="http://schemas.microsoft.com/office/2006/documentManagement/types"/>
    <xsd:import namespace="http://schemas.microsoft.com/office/infopath/2007/PartnerControls"/>
    <xsd:element name="p9e7fb3d639e4ffc803a4b8f6549f0f5" ma:index="9" ma:taxonomy="true" ma:internalName="p9e7fb3d639e4ffc803a4b8f6549f0f5" ma:taxonomyFieldName="Stratus_DocumentType" ma:displayName="Document Type" ma:fieldId="{99e7fb3d-639e-4ffc-803a-4b8f6549f0f5}" ma:sspId="b6206a2c-5ee7-4d50-b3ee-2668e744af9d" ma:termSetId="988248fe-9e4c-4dbd-93c7-83e60647dfac"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1b37ba2-fe49-46e6-9adc-c405e2c217a9}" ma:internalName="TaxCatchAll" ma:showField="CatchAllData" ma:web="ffe4b66e-8ed7-4886-ace9-ed890174e4d2">
      <xsd:complexType>
        <xsd:complexContent>
          <xsd:extension base="dms:MultiChoiceLookup">
            <xsd:sequence>
              <xsd:element name="Value" type="dms:Lookup" maxOccurs="unbounded" minOccurs="0" nillable="true"/>
            </xsd:sequence>
          </xsd:extension>
        </xsd:complexContent>
      </xsd:complexType>
    </xsd:element>
    <xsd:element name="o8e9f6b000bf46b78855917f10dbdcbb" ma:index="12" nillable="true" ma:taxonomy="true" ma:internalName="o8e9f6b000bf46b78855917f10dbdcbb" ma:taxonomyFieldName="Stratus_WorkActivity" ma:displayName="Work Activity" ma:fieldId="{88e9f6b0-00bf-46b7-8855-917f10dbdcbb}" ma:sspId="b6206a2c-5ee7-4d50-b3ee-2668e744af9d" ma:termSetId="37573e98-7115-49e8-b54b-ceee115a914b" ma:anchorId="00000000-0000-0000-0000-000000000000" ma:open="false" ma:isKeyword="false">
      <xsd:complexType>
        <xsd:sequence>
          <xsd:element ref="pc:Terms" minOccurs="0" maxOccurs="1"/>
        </xsd:sequence>
      </xsd:complexType>
    </xsd:element>
    <xsd:element name="e01a212754b1438da5efe472214e8f8c" ma:index="14" ma:taxonomy="true" ma:internalName="e01a212754b1438da5efe472214e8f8c" ma:taxonomyFieldName="Stratus_SecurityClassification" ma:displayName="Security Classification" ma:fieldId="{e01a2127-54b1-438d-a5ef-e472214e8f8c}" ma:sspId="b6206a2c-5ee7-4d50-b3ee-2668e744af9d" ma:termSetId="4e44dabb-2ab0-4d6c-970e-3d57b9f48e0e" ma:anchorId="00000000-0000-0000-0000-000000000000" ma:open="false" ma:isKeyword="false">
      <xsd:complexType>
        <xsd:sequence>
          <xsd:element ref="pc:Terms" minOccurs="0" maxOccurs="1"/>
        </xsd:sequence>
      </xsd:complexType>
    </xsd:element>
    <xsd:element name="d7f9728f260c46379b933ee06bc0d6bc" ma:index="16" nillable="true" ma:taxonomy="true" ma:internalName="d7f9728f260c46379b933ee06bc0d6bc" ma:taxonomyFieldName="Stratus_Year" ma:displayName="Year" ma:fieldId="{d7f9728f-260c-4637-9b93-3ee06bc0d6bc}" ma:sspId="b6206a2c-5ee7-4d50-b3ee-2668e744af9d" ma:termSetId="519f67bf-e7ac-413a-9b70-b55ecf9bb31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32a0cde-abb2-4efc-8c60-3b06426b5a79" elementFormDefault="qualified">
    <xsd:import namespace="http://schemas.microsoft.com/office/2006/documentManagement/types"/>
    <xsd:import namespace="http://schemas.microsoft.com/office/infopath/2007/PartnerControls"/>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e01a212754b1438da5efe472214e8f8c xmlns="ffe4b66e-8ed7-4886-ace9-ed890174e4d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1077e141-03cb-4307-8c0f-d43dc85f509f</TermId>
        </TermInfo>
      </Terms>
    </e01a212754b1438da5efe472214e8f8c>
    <p9e7fb3d639e4ffc803a4b8f6549f0f5 xmlns="ffe4b66e-8ed7-4886-ace9-ed890174e4d2">
      <Terms xmlns="http://schemas.microsoft.com/office/infopath/2007/PartnerControls">
        <TermInfo xmlns="http://schemas.microsoft.com/office/infopath/2007/PartnerControls">
          <TermName xmlns="http://schemas.microsoft.com/office/infopath/2007/PartnerControls">Terms of Reference</TermName>
          <TermId xmlns="http://schemas.microsoft.com/office/infopath/2007/PartnerControls">0e4ffc82-aee6-4cc8-abc1-bef8d7f110a4</TermId>
        </TermInfo>
      </Terms>
    </p9e7fb3d639e4ffc803a4b8f6549f0f5>
    <TaxCatchAll xmlns="ffe4b66e-8ed7-4886-ace9-ed890174e4d2">
      <Value>48</Value>
      <Value>59</Value>
      <Value>1</Value>
    </TaxCatchAll>
    <d7f9728f260c46379b933ee06bc0d6bc xmlns="ffe4b66e-8ed7-4886-ace9-ed890174e4d2">
      <Terms xmlns="http://schemas.microsoft.com/office/infopath/2007/PartnerControls"/>
    </d7f9728f260c46379b933ee06bc0d6bc>
    <o8e9f6b000bf46b78855917f10dbdcbb xmlns="ffe4b66e-8ed7-4886-ace9-ed890174e4d2">
      <Terms xmlns="http://schemas.microsoft.com/office/infopath/2007/PartnerControls">
        <TermInfo xmlns="http://schemas.microsoft.com/office/infopath/2007/PartnerControls">
          <TermName xmlns="http://schemas.microsoft.com/office/infopath/2007/PartnerControls">Review</TermName>
          <TermId xmlns="http://schemas.microsoft.com/office/infopath/2007/PartnerControls">b1cbb98d-d863-4e82-8932-4b5b7fac7fe3</TermId>
        </TermInfo>
      </Terms>
    </o8e9f6b000bf46b78855917f10dbdcbb>
    <Comments xmlns="http://schemas.microsoft.com/sharepoint/v3" xsi:nil="true"/>
  </documentManagement>
</p:properties>
</file>

<file path=customXml/itemProps1.xml><?xml version="1.0" encoding="utf-8"?>
<ds:datastoreItem xmlns:ds="http://schemas.openxmlformats.org/officeDocument/2006/customXml" ds:itemID="{DE185F15-475A-4453-BD81-642C4BA9D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fe4b66e-8ed7-4886-ace9-ed890174e4d2"/>
    <ds:schemaRef ds:uri="432a0cde-abb2-4efc-8c60-3b06426b5a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5AE6EB-A8D4-4D9D-8D6C-A552C96C0E4C}">
  <ds:schemaRefs>
    <ds:schemaRef ds:uri="http://schemas.microsoft.com/sharepoint/v3/contenttype/forms"/>
  </ds:schemaRefs>
</ds:datastoreItem>
</file>

<file path=customXml/itemProps3.xml><?xml version="1.0" encoding="utf-8"?>
<ds:datastoreItem xmlns:ds="http://schemas.openxmlformats.org/officeDocument/2006/customXml" ds:itemID="{5218A426-2293-4A07-8069-76989BF31193}">
  <ds:schemaRefs>
    <ds:schemaRef ds:uri="http://schemas.openxmlformats.org/officeDocument/2006/bibliography"/>
  </ds:schemaRefs>
</ds:datastoreItem>
</file>

<file path=customXml/itemProps4.xml><?xml version="1.0" encoding="utf-8"?>
<ds:datastoreItem xmlns:ds="http://schemas.openxmlformats.org/officeDocument/2006/customXml" ds:itemID="{297BCF5D-ECED-40B9-848C-61973DAC72C5}">
  <ds:schemaRefs>
    <ds:schemaRef ds:uri="http://schemas.microsoft.com/office/2006/metadata/properties"/>
    <ds:schemaRef ds:uri="http://schemas.microsoft.com/office/infopath/2007/PartnerControls"/>
    <ds:schemaRef ds:uri="ffe4b66e-8ed7-4886-ace9-ed890174e4d2"/>
    <ds:schemaRef ds:uri="http://schemas.microsoft.com/sharepoint/v3"/>
  </ds:schemaRefs>
</ds:datastoreItem>
</file>

<file path=docMetadata/LabelInfo.xml><?xml version="1.0" encoding="utf-8"?>
<clbl:labelList xmlns:clbl="http://schemas.microsoft.com/office/2020/mipLabelMetadata">
  <clbl:label id="{f788632b-1377-4314-aac5-af7281e8e760}" enabled="1" method="Privileged" siteId="{8f73f427-32e5-4a3b-8d42-b369b956a96b}" removed="0"/>
</clbl:labelList>
</file>

<file path=docProps/app.xml><?xml version="1.0" encoding="utf-8"?>
<Properties xmlns="http://schemas.openxmlformats.org/officeDocument/2006/extended-properties" xmlns:vt="http://schemas.openxmlformats.org/officeDocument/2006/docPropsVTypes">
  <Template>DISR-document.dotx</Template>
  <TotalTime>79</TotalTime>
  <Pages>4</Pages>
  <Words>1403</Words>
  <Characters>8000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2025 Review of the Operations of the National Offshore Petroleum Safety and Environmental Management Authority</vt:lpstr>
    </vt:vector>
  </TitlesOfParts>
  <Manager/>
  <Company/>
  <LinksUpToDate>false</LinksUpToDate>
  <CharactersWithSpaces>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 Review of the Operations of the National Offshore Petroleum Safety and Environmental Management Authority</dc:title>
  <dc:subject/>
  <dc:creator>James, Bryce</dc:creator>
  <cp:keywords/>
  <dc:description/>
  <cp:lastModifiedBy>Murray, Matt</cp:lastModifiedBy>
  <cp:revision>20</cp:revision>
  <cp:lastPrinted>2025-07-25T02:08:00Z</cp:lastPrinted>
  <dcterms:created xsi:type="dcterms:W3CDTF">2026-01-09T00:13:00Z</dcterms:created>
  <dcterms:modified xsi:type="dcterms:W3CDTF">2026-09-11T06:03:00Z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0x0101007A68894BE1511F4A823305668349867B</vt:lpwstr>
  </property>
  <property fmtid="{D5CDD505-2E9C-101B-9397-08002B2CF9AE}" pid="3" name="MediaServiceImageTags">
    <vt:lpwstr/>
  </property>
  <property fmtid="{D5CDD505-2E9C-101B-9397-08002B2CF9AE}" pid="4" name="ClassificationContentMarkingHeaderShapeIds">
    <vt:lpwstr>726b815b,4c5c8d34,75fd9b80</vt:lpwstr>
  </property>
  <property fmtid="{D5CDD505-2E9C-101B-9397-08002B2CF9AE}" pid="5" name="ClassificationContentMarkingHeaderFontProps">
    <vt:lpwstr>#c00000,12,Calibri</vt:lpwstr>
  </property>
  <property fmtid="{D5CDD505-2E9C-101B-9397-08002B2CF9AE}" pid="6" name="ClassificationContentMarkingHeaderText">
    <vt:lpwstr>OFFICIAL</vt:lpwstr>
  </property>
  <property fmtid="{D5CDD505-2E9C-101B-9397-08002B2CF9AE}" pid="7" name="ClassificationContentMarkingFooterShapeIds">
    <vt:lpwstr>3e8d934f,6608b8b1,59e1ee1a</vt:lpwstr>
  </property>
  <property fmtid="{D5CDD505-2E9C-101B-9397-08002B2CF9AE}" pid="8" name="ClassificationContentMarkingFooterFontProps">
    <vt:lpwstr>#c00000,12,Calibri</vt:lpwstr>
  </property>
  <property fmtid="{D5CDD505-2E9C-101B-9397-08002B2CF9AE}" pid="9" name="ClassificationContentMarkingFooterText">
    <vt:lpwstr>OFFICIAL</vt:lpwstr>
  </property>
  <property fmtid="{D5CDD505-2E9C-101B-9397-08002B2CF9AE}" pid="10" name="Stratus_WorkActivity">
    <vt:lpwstr>48;#Review|b1cbb98d-d863-4e82-8932-4b5b7fac7fe3</vt:lpwstr>
  </property>
  <property fmtid="{D5CDD505-2E9C-101B-9397-08002B2CF9AE}" pid="11" name="Stratus_DocumentType">
    <vt:lpwstr>59;#Terms of Reference|0e4ffc82-aee6-4cc8-abc1-bef8d7f110a4</vt:lpwstr>
  </property>
  <property fmtid="{D5CDD505-2E9C-101B-9397-08002B2CF9AE}" pid="12" name="Stratus_Year">
    <vt:lpwstr/>
  </property>
  <property fmtid="{D5CDD505-2E9C-101B-9397-08002B2CF9AE}" pid="13" name="Stratus_SecurityClassification">
    <vt:lpwstr>1;#OFFICIAL|1077e141-03cb-4307-8c0f-d43dc85f509f</vt:lpwstr>
  </property>
  <property fmtid="{D5CDD505-2E9C-101B-9397-08002B2CF9AE}" pid="14" name="docLang">
    <vt:lpwstr>en</vt:lpwstr>
  </property>
</Properties>
</file>