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0DFF" w14:textId="77777777" w:rsidR="0066416C" w:rsidRPr="0038406E" w:rsidRDefault="00D0286C" w:rsidP="00B304D4">
      <w:pPr>
        <w:pStyle w:val="NoSpacing"/>
        <w:rPr>
          <w:lang w:val="en-AU"/>
        </w:rPr>
      </w:pPr>
      <w:bookmarkStart w:id="0" w:name="_Toc19289801"/>
      <w:r w:rsidRPr="00022543">
        <w:rPr>
          <w:noProof/>
        </w:rPr>
        <w:drawing>
          <wp:inline distT="0" distB="0" distL="0" distR="0" wp14:anchorId="3AE737D4" wp14:editId="5355894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0066416C" w:rsidRPr="0038406E">
        <w:rPr>
          <w:lang w:val="en-AU"/>
        </w:rPr>
        <w:t xml:space="preserve"> </w:t>
      </w:r>
    </w:p>
    <w:p w14:paraId="19C9D910" w14:textId="637FC7A0" w:rsidR="00D0286C" w:rsidRPr="0038406E" w:rsidRDefault="000F32FE" w:rsidP="00C9707F">
      <w:pPr>
        <w:pStyle w:val="Heading1"/>
        <w:spacing w:before="600" w:after="600"/>
      </w:pPr>
      <w:r>
        <w:t>Pre-application service guidelines</w:t>
      </w:r>
    </w:p>
    <w:p w14:paraId="5C3ED8EB" w14:textId="7589DB1D" w:rsidR="00D0286C" w:rsidRDefault="007D063E" w:rsidP="00C9707F">
      <w:pPr>
        <w:pStyle w:val="Authoranddate"/>
        <w:spacing w:after="0"/>
      </w:pPr>
      <w:r>
        <w:t>September 2026</w:t>
      </w:r>
    </w:p>
    <w:p w14:paraId="18EA8998" w14:textId="77777777" w:rsidR="00C9707F" w:rsidRPr="00662E0E" w:rsidRDefault="00C9707F" w:rsidP="00C9707F">
      <w:pPr>
        <w:pStyle w:val="Authoranddate"/>
        <w:spacing w:before="0" w:after="0"/>
        <w:rPr>
          <w:sz w:val="20"/>
          <w:szCs w:val="20"/>
        </w:rPr>
      </w:pPr>
    </w:p>
    <w:p w14:paraId="790E2793" w14:textId="765CCCED" w:rsidR="00884300" w:rsidRDefault="00884300" w:rsidP="00884300">
      <w:pPr>
        <w:pStyle w:val="Calloutbox"/>
        <w:ind w:left="2160" w:hanging="2160"/>
      </w:pPr>
      <w:r w:rsidRPr="001868CB">
        <w:rPr>
          <w:b/>
          <w:bCs/>
        </w:rPr>
        <w:t>Purpose</w:t>
      </w:r>
      <w:r>
        <w:t>:</w:t>
      </w:r>
      <w:r>
        <w:tab/>
      </w:r>
      <w:r w:rsidR="00E0367F" w:rsidRPr="00E0367F">
        <w:t>To outline the Australian Trade Remedies Commission’s (the Commission’s) principles and procedures for pre-application discussion and administrative review of a draft application for dumping and/or countervailing duties</w:t>
      </w:r>
    </w:p>
    <w:p w14:paraId="2F113108" w14:textId="77777777" w:rsidR="00884300" w:rsidRDefault="00884300" w:rsidP="00884300">
      <w:pPr>
        <w:pStyle w:val="Calloutbox"/>
        <w:ind w:left="2160" w:hanging="2160"/>
      </w:pPr>
      <w:r w:rsidRPr="001868CB">
        <w:rPr>
          <w:b/>
          <w:bCs/>
        </w:rPr>
        <w:t>Owner</w:t>
      </w:r>
      <w:r>
        <w:t>:</w:t>
      </w:r>
      <w:r>
        <w:tab/>
        <w:t>The Commissioner of the Australian Trade Remedies Commission</w:t>
      </w:r>
    </w:p>
    <w:p w14:paraId="4192D8D9" w14:textId="16AE5040" w:rsidR="00884300" w:rsidRDefault="00884300" w:rsidP="00884300">
      <w:pPr>
        <w:pStyle w:val="Calloutbox"/>
      </w:pPr>
      <w:r w:rsidRPr="001868CB">
        <w:rPr>
          <w:b/>
          <w:bCs/>
        </w:rPr>
        <w:t>Contact</w:t>
      </w:r>
      <w:r>
        <w:t xml:space="preserve">: </w:t>
      </w:r>
      <w:r>
        <w:tab/>
      </w:r>
      <w:r>
        <w:tab/>
      </w:r>
      <w:r w:rsidR="00B27B24">
        <w:t>Phone: 13 28 46 or +61 2 6213 6000 (outside Australia)</w:t>
      </w:r>
    </w:p>
    <w:p w14:paraId="09867C64" w14:textId="77777777" w:rsidR="00B27B24" w:rsidRDefault="00B27B24" w:rsidP="00B27B24">
      <w:pPr>
        <w:pStyle w:val="Calloutbox"/>
      </w:pPr>
      <w:r>
        <w:tab/>
      </w:r>
      <w:r>
        <w:tab/>
      </w:r>
      <w:r>
        <w:tab/>
        <w:t xml:space="preserve">Email: </w:t>
      </w:r>
      <w:r>
        <w:tab/>
      </w:r>
      <w:hyperlink r:id="rId9" w:history="1">
        <w:r w:rsidRPr="00AC755B">
          <w:rPr>
            <w:rStyle w:val="Hyperlink"/>
          </w:rPr>
          <w:t>clientsupport@atrc.gov.au</w:t>
        </w:r>
      </w:hyperlink>
    </w:p>
    <w:p w14:paraId="6A2FBE8E" w14:textId="77777777" w:rsidR="00B27B24" w:rsidRDefault="00884300" w:rsidP="00884300">
      <w:pPr>
        <w:pStyle w:val="Calloutbox"/>
        <w:ind w:left="2160" w:hanging="2160"/>
      </w:pPr>
      <w:r>
        <w:tab/>
      </w:r>
      <w:r w:rsidR="00B27B24">
        <w:t>Post to:</w:t>
      </w:r>
    </w:p>
    <w:p w14:paraId="3995C79C" w14:textId="2990CDAE" w:rsidR="00884300" w:rsidRDefault="00B27B24" w:rsidP="00884300">
      <w:pPr>
        <w:pStyle w:val="Calloutbox"/>
        <w:ind w:left="2160" w:hanging="2160"/>
      </w:pPr>
      <w:r>
        <w:tab/>
      </w:r>
      <w:r w:rsidR="00884300">
        <w:t>The Commissioner of the Australian Trade Remedies Commission</w:t>
      </w:r>
    </w:p>
    <w:p w14:paraId="42179027" w14:textId="77777777" w:rsidR="00884300" w:rsidRDefault="00884300" w:rsidP="00884300">
      <w:pPr>
        <w:pStyle w:val="Calloutbox"/>
      </w:pPr>
      <w:r>
        <w:tab/>
      </w:r>
      <w:r>
        <w:tab/>
      </w:r>
      <w:r>
        <w:tab/>
        <w:t>GPO BOX 2013</w:t>
      </w:r>
    </w:p>
    <w:p w14:paraId="1D01F1E6" w14:textId="77777777" w:rsidR="00884300" w:rsidRDefault="00884300" w:rsidP="00884300">
      <w:pPr>
        <w:pStyle w:val="Calloutbox"/>
      </w:pPr>
      <w:r>
        <w:tab/>
      </w:r>
      <w:r>
        <w:tab/>
      </w:r>
      <w:r>
        <w:tab/>
        <w:t>Canberra ACT 2601</w:t>
      </w:r>
    </w:p>
    <w:p w14:paraId="043EABF5" w14:textId="69B86BCF" w:rsidR="00884300" w:rsidRDefault="00884300" w:rsidP="00884300">
      <w:pPr>
        <w:pStyle w:val="Calloutbox"/>
      </w:pPr>
      <w:r>
        <w:tab/>
      </w:r>
      <w:r>
        <w:tab/>
      </w:r>
      <w:r>
        <w:tab/>
        <w:t>AUSTRALIA</w:t>
      </w:r>
    </w:p>
    <w:p w14:paraId="6816876F" w14:textId="77777777" w:rsidR="009A7EAB" w:rsidRPr="00C9707F" w:rsidRDefault="009A7EAB" w:rsidP="00C256B8">
      <w:pPr>
        <w:pStyle w:val="Authoranddate"/>
        <w:spacing w:before="0" w:after="0"/>
        <w:rPr>
          <w:sz w:val="4"/>
          <w:szCs w:val="4"/>
        </w:rPr>
      </w:pPr>
    </w:p>
    <w:p w14:paraId="5B31AA1A" w14:textId="022D9D19" w:rsidR="00381562" w:rsidRPr="00381562" w:rsidRDefault="00381562" w:rsidP="00381562">
      <w:pPr>
        <w:pStyle w:val="Calloutbox"/>
        <w:ind w:left="2160" w:hanging="2160"/>
        <w:rPr>
          <w:b/>
          <w:bCs/>
        </w:rPr>
      </w:pPr>
      <w:r w:rsidRPr="00381562">
        <w:rPr>
          <w:b/>
          <w:bCs/>
        </w:rPr>
        <w:t>Summary of main points</w:t>
      </w:r>
    </w:p>
    <w:p w14:paraId="1B5798E4" w14:textId="692AF2D1" w:rsidR="00381562" w:rsidRDefault="00381562" w:rsidP="00381562">
      <w:pPr>
        <w:pStyle w:val="Calloutbox"/>
      </w:pPr>
      <w:r>
        <w:t>These Instructions and Guidelines outline the purpose, required information, assessment of a draft application, principles (pre-lodgement documentation check), procedure and an example response related to a pre-application administrative screening check.</w:t>
      </w:r>
    </w:p>
    <w:p w14:paraId="60607B49" w14:textId="77777777" w:rsidR="00C9707F" w:rsidRDefault="00381562" w:rsidP="00381562">
      <w:pPr>
        <w:pStyle w:val="Calloutbox"/>
      </w:pPr>
      <w:r>
        <w:t>These Guidelines apply to:</w:t>
      </w:r>
    </w:p>
    <w:p w14:paraId="7B173FBF" w14:textId="711F3F51" w:rsidR="00381562" w:rsidRDefault="00411937" w:rsidP="00381562">
      <w:pPr>
        <w:pStyle w:val="Calloutbox"/>
      </w:pPr>
      <w:r>
        <w:t xml:space="preserve">     </w:t>
      </w:r>
      <w:r w:rsidR="00C9707F">
        <w:t>•</w:t>
      </w:r>
      <w:r w:rsidR="00C9707F">
        <w:tab/>
      </w:r>
      <w:r w:rsidR="00381562">
        <w:t>Interested parties applying for anti-dumping or countervailing duties (measures)</w:t>
      </w:r>
    </w:p>
    <w:p w14:paraId="0BA3CE4D" w14:textId="1333F6ED" w:rsidR="00C256B8" w:rsidRDefault="00381562" w:rsidP="006026EC">
      <w:pPr>
        <w:pStyle w:val="Calloutbox"/>
        <w:ind w:left="720" w:hanging="720"/>
      </w:pPr>
      <w:r>
        <w:t>•</w:t>
      </w:r>
      <w:r>
        <w:tab/>
        <w:t>Officers in the Australian Trade Remedies Commission</w:t>
      </w:r>
      <w:r w:rsidR="00C256B8" w:rsidRPr="00E0367F">
        <w:t xml:space="preserve"> and administrative review of a draft application for dumping and/or countervailing duties</w:t>
      </w:r>
      <w:bookmarkEnd w:id="0"/>
    </w:p>
    <w:sdt>
      <w:sdtPr>
        <w:rPr>
          <w:iCs w:val="0"/>
          <w:color w:val="auto"/>
          <w:sz w:val="18"/>
          <w:szCs w:val="18"/>
        </w:rPr>
        <w:id w:val="-2088995269"/>
        <w:docPartObj>
          <w:docPartGallery w:val="Cover Pages"/>
          <w:docPartUnique/>
        </w:docPartObj>
      </w:sdtPr>
      <w:sdtEndPr>
        <w:rPr>
          <w:b/>
          <w:bCs/>
          <w:sz w:val="24"/>
          <w:szCs w:val="24"/>
        </w:rPr>
      </w:sdtEndPr>
      <w:sdtContent>
        <w:p w14:paraId="1D13BDEC" w14:textId="77777777" w:rsidR="0066416C" w:rsidRPr="00662E0E" w:rsidRDefault="0066416C" w:rsidP="00D0286C">
          <w:pPr>
            <w:pStyle w:val="URL"/>
            <w:rPr>
              <w:sz w:val="24"/>
              <w:szCs w:val="20"/>
            </w:rPr>
          </w:pPr>
          <w:r w:rsidRPr="00662E0E">
            <w:rPr>
              <w:rStyle w:val="Strong"/>
              <w:color w:val="237AAB" w:themeColor="accent1"/>
              <w:sz w:val="24"/>
              <w:szCs w:val="20"/>
            </w:rPr>
            <w:t>|</w:t>
          </w:r>
          <w:r w:rsidRPr="00662E0E">
            <w:rPr>
              <w:color w:val="237AAB" w:themeColor="accent1"/>
              <w:sz w:val="24"/>
              <w:szCs w:val="20"/>
            </w:rPr>
            <w:t xml:space="preserve"> </w:t>
          </w:r>
          <w:r w:rsidRPr="00662E0E">
            <w:rPr>
              <w:b/>
              <w:bCs/>
              <w:sz w:val="24"/>
              <w:szCs w:val="20"/>
            </w:rPr>
            <w:t>industry</w:t>
          </w:r>
          <w:r w:rsidRPr="00662E0E">
            <w:rPr>
              <w:sz w:val="24"/>
              <w:szCs w:val="20"/>
            </w:rPr>
            <w:t>.gov.au/</w:t>
          </w:r>
          <w:r w:rsidR="00D0286C" w:rsidRPr="00662E0E">
            <w:rPr>
              <w:sz w:val="24"/>
              <w:szCs w:val="20"/>
            </w:rPr>
            <w:t>ATRC</w:t>
          </w:r>
          <w:r w:rsidRPr="00662E0E">
            <w:rPr>
              <w:sz w:val="24"/>
              <w:szCs w:val="20"/>
            </w:rPr>
            <w:br w:type="page"/>
          </w:r>
        </w:p>
        <w:p w14:paraId="3C01E4A5" w14:textId="77777777" w:rsidR="004C52EF" w:rsidRPr="00B04B08" w:rsidRDefault="004C52EF" w:rsidP="004E2EB6">
          <w:pPr>
            <w:pStyle w:val="Heading2"/>
            <w:rPr>
              <w:bCs/>
              <w:lang w:eastAsia="en-AU"/>
            </w:rPr>
          </w:pPr>
          <w:bookmarkStart w:id="1" w:name="_Toc144911607"/>
          <w:bookmarkStart w:id="2" w:name="_Toc19289804"/>
          <w:bookmarkStart w:id="3" w:name="_Hlk158040788"/>
          <w:r w:rsidRPr="00B04B08">
            <w:rPr>
              <w:lang w:eastAsia="en-AU"/>
            </w:rPr>
            <w:lastRenderedPageBreak/>
            <w:t>Introduction</w:t>
          </w:r>
        </w:p>
        <w:p w14:paraId="27AA5567" w14:textId="77777777" w:rsidR="004C52EF" w:rsidRPr="00793A1F" w:rsidRDefault="004C52EF" w:rsidP="004C52EF">
          <w:pPr>
            <w:rPr>
              <w:i/>
              <w:szCs w:val="24"/>
              <w:lang w:val="en-US"/>
            </w:rPr>
          </w:pPr>
          <w:r w:rsidRPr="00793A1F">
            <w:rPr>
              <w:szCs w:val="24"/>
              <w:lang w:val="en-US"/>
            </w:rPr>
            <w:t xml:space="preserve">These </w:t>
          </w:r>
          <w:r w:rsidRPr="00793A1F">
            <w:rPr>
              <w:i/>
              <w:szCs w:val="24"/>
              <w:lang w:val="en-US"/>
            </w:rPr>
            <w:t xml:space="preserve">Instructions and Guidelines – Pre-application service guidelines (Guidelines) </w:t>
          </w:r>
          <w:r w:rsidRPr="00793A1F">
            <w:rPr>
              <w:szCs w:val="24"/>
            </w:rPr>
            <w:t>are publicly available to inform applicants about the pre-application service processes. Applicants should read the Guidelines in conjunction with other publicly available documents available on the Commission website.</w:t>
          </w:r>
        </w:p>
        <w:p w14:paraId="4C9B1C05" w14:textId="77777777" w:rsidR="004C52EF" w:rsidRPr="00793A1F" w:rsidRDefault="004C52EF" w:rsidP="004C52EF">
          <w:pPr>
            <w:rPr>
              <w:i/>
              <w:szCs w:val="24"/>
              <w:lang w:val="en-US"/>
            </w:rPr>
          </w:pPr>
          <w:r w:rsidRPr="00793A1F">
            <w:rPr>
              <w:szCs w:val="24"/>
              <w:lang w:val="en-US"/>
            </w:rPr>
            <w:t>The Guidelines also provide guidance to Australian Trade Remedies Commission (the Commission) officers conducting a pre-application discussion and an administrative screening of the documentary completeness of a draft dumping and/or countervailing application. The purpose is to ensure a consistent approach to the pre-application service, providing a clear framework for both applicants and officers.</w:t>
          </w:r>
          <w:r w:rsidRPr="00793A1F">
            <w:rPr>
              <w:i/>
              <w:szCs w:val="24"/>
              <w:lang w:val="en-US"/>
            </w:rPr>
            <w:t xml:space="preserve"> </w:t>
          </w:r>
        </w:p>
        <w:p w14:paraId="02D6DD79" w14:textId="77777777" w:rsidR="004C52EF" w:rsidRPr="00B04B08" w:rsidRDefault="004C52EF" w:rsidP="004E2EB6">
          <w:pPr>
            <w:pStyle w:val="Heading2"/>
            <w:rPr>
              <w:lang w:eastAsia="en-AU"/>
            </w:rPr>
          </w:pPr>
          <w:r w:rsidRPr="63B1014D">
            <w:rPr>
              <w:lang w:eastAsia="en-AU"/>
            </w:rPr>
            <w:t>Instructions and Guidelines</w:t>
          </w:r>
        </w:p>
        <w:p w14:paraId="07FB1871" w14:textId="77777777" w:rsidR="004C52EF" w:rsidRPr="00793A1F" w:rsidRDefault="004C52EF" w:rsidP="004C52EF">
          <w:pPr>
            <w:pStyle w:val="italic"/>
            <w:rPr>
              <w:rFonts w:asciiTheme="minorHAnsi" w:hAnsiTheme="minorHAnsi"/>
              <w:i w:val="0"/>
              <w:sz w:val="24"/>
            </w:rPr>
          </w:pPr>
          <w:r w:rsidRPr="00793A1F">
            <w:rPr>
              <w:rFonts w:asciiTheme="minorHAnsi" w:hAnsiTheme="minorHAnsi"/>
              <w:i w:val="0"/>
              <w:sz w:val="24"/>
            </w:rPr>
            <w:t>The Guidelines are divided into the following sections:</w:t>
          </w:r>
        </w:p>
        <w:p w14:paraId="46E56458" w14:textId="77777777" w:rsidR="004C52EF" w:rsidRPr="00793A1F" w:rsidRDefault="004C52EF" w:rsidP="002138D2">
          <w:pPr>
            <w:pStyle w:val="ListParagraph"/>
            <w:numPr>
              <w:ilvl w:val="0"/>
              <w:numId w:val="28"/>
            </w:numPr>
            <w:tabs>
              <w:tab w:val="clear" w:pos="301"/>
              <w:tab w:val="num" w:pos="602"/>
            </w:tabs>
            <w:ind w:left="602"/>
            <w:rPr>
              <w:szCs w:val="24"/>
            </w:rPr>
          </w:pPr>
          <w:r w:rsidRPr="00793A1F">
            <w:rPr>
              <w:szCs w:val="24"/>
            </w:rPr>
            <w:t>Purpose,</w:t>
          </w:r>
        </w:p>
        <w:p w14:paraId="694764C4" w14:textId="77777777"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Understanding the system,</w:t>
          </w:r>
        </w:p>
        <w:p w14:paraId="72F197D4" w14:textId="77777777"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Information required,</w:t>
          </w:r>
        </w:p>
        <w:p w14:paraId="395A9E0C" w14:textId="77777777"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Assessment of a draft application,</w:t>
          </w:r>
        </w:p>
        <w:p w14:paraId="646DF9EA" w14:textId="77777777"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Principles (pre-application/pre-lodgement discussion and administrative screening),</w:t>
          </w:r>
        </w:p>
        <w:p w14:paraId="6A1971C1" w14:textId="77777777"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Procedure, and</w:t>
          </w:r>
        </w:p>
        <w:p w14:paraId="1327DF20" w14:textId="7E89ABDF" w:rsidR="004C52EF" w:rsidRPr="00793A1F" w:rsidRDefault="004C52EF" w:rsidP="00793A1F">
          <w:pPr>
            <w:pStyle w:val="ListParagraph"/>
            <w:numPr>
              <w:ilvl w:val="0"/>
              <w:numId w:val="28"/>
            </w:numPr>
            <w:tabs>
              <w:tab w:val="clear" w:pos="301"/>
              <w:tab w:val="num" w:pos="602"/>
            </w:tabs>
            <w:ind w:left="602"/>
            <w:rPr>
              <w:szCs w:val="24"/>
            </w:rPr>
          </w:pPr>
          <w:r w:rsidRPr="00793A1F">
            <w:rPr>
              <w:szCs w:val="24"/>
            </w:rPr>
            <w:t>Attachment 1 – Example Pre–lodgement Administrative Screening of Documents Response.</w:t>
          </w:r>
        </w:p>
        <w:p w14:paraId="7BA7834C" w14:textId="77777777" w:rsidR="004C52EF" w:rsidRPr="00B04B08" w:rsidRDefault="004C52EF" w:rsidP="004E2EB6">
          <w:pPr>
            <w:pStyle w:val="Heading2"/>
            <w:rPr>
              <w:bCs/>
              <w:lang w:eastAsia="en-AU"/>
            </w:rPr>
          </w:pPr>
          <w:r w:rsidRPr="00B04B08">
            <w:rPr>
              <w:lang w:eastAsia="en-AU"/>
            </w:rPr>
            <w:t>Related Policies and References</w:t>
          </w:r>
        </w:p>
        <w:p w14:paraId="6464EF0C" w14:textId="77777777" w:rsidR="004C52EF" w:rsidRPr="00793A1F" w:rsidRDefault="004C52EF" w:rsidP="004C52EF">
          <w:pPr>
            <w:pStyle w:val="italic"/>
            <w:rPr>
              <w:rFonts w:asciiTheme="minorHAnsi" w:hAnsiTheme="minorHAnsi"/>
              <w:b/>
              <w:i w:val="0"/>
              <w:sz w:val="24"/>
            </w:rPr>
          </w:pPr>
          <w:r w:rsidRPr="00793A1F">
            <w:rPr>
              <w:rFonts w:asciiTheme="minorHAnsi" w:hAnsiTheme="minorHAnsi"/>
              <w:b/>
              <w:i w:val="0"/>
              <w:sz w:val="24"/>
            </w:rPr>
            <w:t>Other Instructions and Guidelines:</w:t>
          </w:r>
        </w:p>
        <w:p w14:paraId="0F3383B1" w14:textId="77777777" w:rsidR="004C52EF" w:rsidRPr="00AE54EB" w:rsidRDefault="004C52EF" w:rsidP="004C52EF">
          <w:pPr>
            <w:pStyle w:val="italic"/>
            <w:numPr>
              <w:ilvl w:val="0"/>
              <w:numId w:val="27"/>
            </w:numPr>
            <w:spacing w:line="259" w:lineRule="auto"/>
            <w:rPr>
              <w:rFonts w:asciiTheme="minorHAnsi" w:hAnsiTheme="minorHAnsi"/>
              <w:i w:val="0"/>
              <w:color w:val="0B474D" w:themeColor="accent4"/>
              <w:sz w:val="24"/>
              <w:u w:val="single"/>
            </w:rPr>
          </w:pPr>
          <w:hyperlink r:id="rId10">
            <w:r w:rsidRPr="00AE54EB">
              <w:rPr>
                <w:rFonts w:asciiTheme="minorHAnsi" w:hAnsiTheme="minorHAnsi"/>
                <w:i w:val="0"/>
                <w:color w:val="0B474D" w:themeColor="accent4"/>
                <w:sz w:val="24"/>
                <w:u w:val="single"/>
              </w:rPr>
              <w:t>Dumping and Subsidy Manual [PDF]</w:t>
            </w:r>
          </w:hyperlink>
        </w:p>
        <w:p w14:paraId="464FD918" w14:textId="77777777" w:rsidR="004C52EF" w:rsidRPr="00AE54EB" w:rsidRDefault="004C52EF" w:rsidP="004C52EF">
          <w:pPr>
            <w:pStyle w:val="italic"/>
            <w:numPr>
              <w:ilvl w:val="0"/>
              <w:numId w:val="27"/>
            </w:numPr>
            <w:rPr>
              <w:rFonts w:asciiTheme="minorHAnsi" w:hAnsiTheme="minorHAnsi"/>
              <w:i w:val="0"/>
              <w:color w:val="0B474D" w:themeColor="accent4"/>
              <w:sz w:val="24"/>
            </w:rPr>
          </w:pPr>
          <w:hyperlink r:id="rId11">
            <w:r w:rsidRPr="00AE54EB">
              <w:rPr>
                <w:rFonts w:asciiTheme="minorHAnsi" w:hAnsiTheme="minorHAnsi"/>
                <w:i w:val="0"/>
                <w:color w:val="0B474D" w:themeColor="accent4"/>
                <w:sz w:val="24"/>
                <w:u w:val="single"/>
              </w:rPr>
              <w:t>Dumping and Subsidy Manual [DOCX]</w:t>
            </w:r>
          </w:hyperlink>
        </w:p>
        <w:p w14:paraId="0048459D" w14:textId="77777777" w:rsidR="004C52EF" w:rsidRPr="00793A1F" w:rsidRDefault="004C52EF" w:rsidP="004C52EF">
          <w:pPr>
            <w:pStyle w:val="italic"/>
            <w:numPr>
              <w:ilvl w:val="0"/>
              <w:numId w:val="27"/>
            </w:numPr>
            <w:rPr>
              <w:rFonts w:asciiTheme="minorHAnsi" w:hAnsiTheme="minorHAnsi"/>
              <w:i w:val="0"/>
              <w:sz w:val="24"/>
            </w:rPr>
          </w:pPr>
          <w:hyperlink r:id="rId12">
            <w:r w:rsidRPr="00793A1F">
              <w:rPr>
                <w:rStyle w:val="Hyperlink"/>
                <w:rFonts w:asciiTheme="minorHAnsi" w:hAnsiTheme="minorHAnsi"/>
                <w:i w:val="0"/>
                <w:sz w:val="24"/>
              </w:rPr>
              <w:t>Guidelines: applying for anti-dumping or countervailing measures [PDF]</w:t>
            </w:r>
          </w:hyperlink>
        </w:p>
        <w:p w14:paraId="50D4534C" w14:textId="69DF44FD" w:rsidR="00612AD0" w:rsidRPr="00793A1F" w:rsidRDefault="001F316E">
          <w:pPr>
            <w:rPr>
              <w:szCs w:val="24"/>
            </w:rPr>
          </w:pPr>
        </w:p>
      </w:sdtContent>
    </w:sdt>
    <w:bookmarkEnd w:id="1"/>
    <w:bookmarkEnd w:id="2"/>
    <w:p w14:paraId="76AE6B47" w14:textId="77777777" w:rsidR="007329EC" w:rsidRPr="00793A1F" w:rsidRDefault="007329EC">
      <w:pPr>
        <w:spacing w:before="0" w:after="160" w:line="259" w:lineRule="auto"/>
        <w:rPr>
          <w:szCs w:val="24"/>
          <w:highlight w:val="yellow"/>
        </w:rPr>
      </w:pPr>
      <w:r w:rsidRPr="00793A1F">
        <w:rPr>
          <w:szCs w:val="24"/>
          <w:highlight w:val="yellow"/>
        </w:rPr>
        <w:br w:type="page"/>
      </w:r>
    </w:p>
    <w:p w14:paraId="40712723" w14:textId="184A5513" w:rsidR="00BB5084" w:rsidRDefault="00BB5084" w:rsidP="00BB5084">
      <w:pPr>
        <w:pStyle w:val="Heading2"/>
        <w:rPr>
          <w:rFonts w:eastAsia="Arial"/>
        </w:rPr>
      </w:pPr>
      <w:bookmarkStart w:id="4" w:name="_Toc240024463"/>
      <w:r w:rsidRPr="0C4142D1">
        <w:rPr>
          <w:rFonts w:eastAsia="Arial"/>
        </w:rPr>
        <w:lastRenderedPageBreak/>
        <w:t>Approval and version history</w:t>
      </w:r>
      <w:bookmarkEnd w:id="4"/>
    </w:p>
    <w:tbl>
      <w:tblPr>
        <w:tblW w:w="0" w:type="auto"/>
        <w:tblLayout w:type="fixed"/>
        <w:tblLook w:val="01E0" w:firstRow="1" w:lastRow="1" w:firstColumn="1" w:lastColumn="1" w:noHBand="0" w:noVBand="0"/>
      </w:tblPr>
      <w:tblGrid>
        <w:gridCol w:w="1234"/>
        <w:gridCol w:w="2158"/>
        <w:gridCol w:w="1701"/>
        <w:gridCol w:w="3828"/>
      </w:tblGrid>
      <w:tr w:rsidR="00BB5084" w14:paraId="024667D9" w14:textId="77777777" w:rsidTr="00BB5084">
        <w:trPr>
          <w:trHeight w:val="300"/>
        </w:trPr>
        <w:tc>
          <w:tcPr>
            <w:tcW w:w="12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5A4C62C0" w14:textId="77777777" w:rsidR="00BB5084" w:rsidRDefault="00BB5084" w:rsidP="00BB5084">
            <w:r w:rsidRPr="0C4142D1">
              <w:t>Version</w:t>
            </w:r>
          </w:p>
        </w:tc>
        <w:tc>
          <w:tcPr>
            <w:tcW w:w="215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F754700" w14:textId="77777777" w:rsidR="00BB5084" w:rsidRDefault="00BB5084" w:rsidP="00BB5084">
            <w:r w:rsidRPr="0C4142D1">
              <w:t>Change</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85" w:type="dxa"/>
              <w:left w:w="108" w:type="dxa"/>
              <w:bottom w:w="85" w:type="dxa"/>
              <w:right w:w="108" w:type="dxa"/>
            </w:tcMar>
          </w:tcPr>
          <w:p w14:paraId="1131B062" w14:textId="77777777" w:rsidR="00BB5084" w:rsidRDefault="00BB5084" w:rsidP="00BB5084">
            <w:r w:rsidRPr="0C4142D1">
              <w:t>Date</w:t>
            </w:r>
          </w:p>
        </w:tc>
        <w:tc>
          <w:tcPr>
            <w:tcW w:w="382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A4849DD" w14:textId="77777777" w:rsidR="00BB5084" w:rsidRDefault="00BB5084" w:rsidP="00BB5084">
            <w:r w:rsidRPr="0C4142D1">
              <w:t>Approver</w:t>
            </w:r>
          </w:p>
        </w:tc>
      </w:tr>
      <w:tr w:rsidR="00BB5084" w14:paraId="55400EC8" w14:textId="77777777" w:rsidTr="00BB5084">
        <w:trPr>
          <w:trHeight w:val="58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20AAB06" w14:textId="77777777" w:rsidR="00BB5084" w:rsidRDefault="00BB5084" w:rsidP="00BB5084">
            <w:r w:rsidRPr="0C4142D1">
              <w:t>1.0</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4E4FF20D" w14:textId="77777777" w:rsidR="00BB5084" w:rsidRDefault="00BB5084" w:rsidP="00BB5084">
            <w:r w:rsidRPr="0C4142D1">
              <w:t>Original version</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6C05CAA4" w14:textId="7B35FDBF" w:rsidR="00BB5084" w:rsidRDefault="009637C9" w:rsidP="00BB5084">
            <w:r>
              <w:t>April 2025</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353BE153" w14:textId="105649A4" w:rsidR="009637C9" w:rsidRDefault="009637C9" w:rsidP="00BB5084">
            <w:r>
              <w:t>David Latina – Commissioner of the Anti-Dumping Commisson</w:t>
            </w:r>
          </w:p>
        </w:tc>
      </w:tr>
      <w:tr w:rsidR="00060A3B" w14:paraId="76F4246B" w14:textId="77777777" w:rsidTr="00BB5084">
        <w:trPr>
          <w:trHeight w:val="555"/>
        </w:trPr>
        <w:tc>
          <w:tcPr>
            <w:tcW w:w="1234"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15840280" w14:textId="47C25A32" w:rsidR="00060A3B" w:rsidRDefault="00060A3B" w:rsidP="00060A3B">
            <w:r>
              <w:rPr>
                <w:rFonts w:eastAsia="Arial" w:cs="Arial"/>
                <w:szCs w:val="20"/>
              </w:rPr>
              <w:t>1.1</w:t>
            </w:r>
          </w:p>
        </w:tc>
        <w:tc>
          <w:tcPr>
            <w:tcW w:w="2158" w:type="dxa"/>
            <w:tcBorders>
              <w:top w:val="single" w:sz="8" w:space="0" w:color="auto"/>
              <w:left w:val="single" w:sz="8" w:space="0" w:color="auto"/>
              <w:bottom w:val="single" w:sz="8" w:space="0" w:color="auto"/>
              <w:right w:val="single" w:sz="8" w:space="0" w:color="auto"/>
            </w:tcBorders>
            <w:tcMar>
              <w:left w:w="108" w:type="dxa"/>
              <w:right w:w="108" w:type="dxa"/>
            </w:tcMar>
          </w:tcPr>
          <w:p w14:paraId="046094F0" w14:textId="5D938B23" w:rsidR="00060A3B" w:rsidRDefault="00060A3B" w:rsidP="00060A3B">
            <w:r>
              <w:rPr>
                <w:rFonts w:eastAsia="Arial" w:cs="Arial"/>
                <w:szCs w:val="20"/>
              </w:rPr>
              <w:t>Commission name change - update</w:t>
            </w:r>
          </w:p>
        </w:tc>
        <w:tc>
          <w:tcPr>
            <w:tcW w:w="1701" w:type="dxa"/>
            <w:tcBorders>
              <w:top w:val="single" w:sz="8" w:space="0" w:color="auto"/>
              <w:left w:val="single" w:sz="8" w:space="0" w:color="auto"/>
              <w:bottom w:val="single" w:sz="8" w:space="0" w:color="auto"/>
              <w:right w:val="single" w:sz="8" w:space="0" w:color="auto"/>
            </w:tcBorders>
            <w:tcMar>
              <w:top w:w="85" w:type="dxa"/>
              <w:left w:w="108" w:type="dxa"/>
              <w:bottom w:w="85" w:type="dxa"/>
              <w:right w:w="108" w:type="dxa"/>
            </w:tcMar>
          </w:tcPr>
          <w:p w14:paraId="083E63A7" w14:textId="1080E8AA" w:rsidR="00060A3B" w:rsidRDefault="00060A3B" w:rsidP="00060A3B">
            <w:r>
              <w:rPr>
                <w:rFonts w:eastAsia="Arial" w:cs="Arial"/>
                <w:szCs w:val="20"/>
              </w:rPr>
              <w:t>September 2026</w:t>
            </w:r>
          </w:p>
        </w:tc>
        <w:tc>
          <w:tcPr>
            <w:tcW w:w="3828" w:type="dxa"/>
            <w:tcBorders>
              <w:top w:val="single" w:sz="8" w:space="0" w:color="auto"/>
              <w:left w:val="single" w:sz="8" w:space="0" w:color="auto"/>
              <w:bottom w:val="single" w:sz="8" w:space="0" w:color="auto"/>
              <w:right w:val="single" w:sz="8" w:space="0" w:color="auto"/>
            </w:tcBorders>
            <w:tcMar>
              <w:left w:w="108" w:type="dxa"/>
              <w:right w:w="108" w:type="dxa"/>
            </w:tcMar>
          </w:tcPr>
          <w:p w14:paraId="5C81B470" w14:textId="4D6C2801" w:rsidR="00060A3B" w:rsidRDefault="00F02452" w:rsidP="00060A3B">
            <w:r>
              <w:rPr>
                <w:rFonts w:eastAsia="Arial" w:cs="Arial"/>
                <w:szCs w:val="20"/>
              </w:rPr>
              <w:t>Alistair McKay – Director, Australian Trade Remedies Commission</w:t>
            </w:r>
          </w:p>
        </w:tc>
      </w:tr>
    </w:tbl>
    <w:p w14:paraId="6C6E8B41" w14:textId="4BD2CC28" w:rsidR="00BB5084" w:rsidRDefault="00BB5084" w:rsidP="0066416C"/>
    <w:p w14:paraId="79447CF4" w14:textId="77777777" w:rsidR="00D124A0" w:rsidRDefault="00D124A0">
      <w:pPr>
        <w:spacing w:before="0" w:after="160" w:line="259" w:lineRule="auto"/>
        <w:rPr>
          <w:rFonts w:asciiTheme="majorHAnsi" w:eastAsiaTheme="majorEastAsia" w:hAnsiTheme="majorHAnsi" w:cstheme="majorBidi"/>
          <w:color w:val="1D405A" w:themeColor="text2"/>
          <w:sz w:val="48"/>
          <w:szCs w:val="48"/>
        </w:rPr>
      </w:pPr>
      <w:r>
        <w:br w:type="page"/>
      </w:r>
    </w:p>
    <w:p w14:paraId="659625D3" w14:textId="21D81258" w:rsidR="00A925EE" w:rsidRPr="008F3AC3" w:rsidRDefault="00A925EE" w:rsidP="008F3AC3">
      <w:pPr>
        <w:pStyle w:val="Heading2"/>
      </w:pPr>
      <w:r w:rsidRPr="008F3AC3">
        <w:lastRenderedPageBreak/>
        <w:t>Pre-application – discussion and administrative screening</w:t>
      </w:r>
      <w:r w:rsidRPr="008F3AC3" w:rsidDel="00136039">
        <w:t xml:space="preserve"> </w:t>
      </w:r>
    </w:p>
    <w:p w14:paraId="4EB53121" w14:textId="0C6A3BE6" w:rsidR="00A925EE" w:rsidRPr="00B719B9" w:rsidRDefault="00A925EE" w:rsidP="00B719B9">
      <w:pPr>
        <w:pStyle w:val="Heading3"/>
        <w:numPr>
          <w:ilvl w:val="0"/>
          <w:numId w:val="32"/>
        </w:numPr>
      </w:pPr>
      <w:r w:rsidRPr="4C91B422">
        <w:t>Purpose of guidelines</w:t>
      </w:r>
    </w:p>
    <w:p w14:paraId="371E78B4" w14:textId="3D8B3A02" w:rsidR="00A925EE" w:rsidRPr="008F3AC3" w:rsidRDefault="00A925EE" w:rsidP="008F3AC3">
      <w:pPr>
        <w:spacing w:before="0" w:after="160" w:line="259" w:lineRule="auto"/>
      </w:pPr>
      <w:r w:rsidRPr="008F3AC3">
        <w:t>This paper describes the principles and procedures for the pre-application service of a draft application for dumping and/or countervailing duties.</w:t>
      </w:r>
    </w:p>
    <w:p w14:paraId="2DD11A36" w14:textId="5BF8C3B5" w:rsidR="00A925EE" w:rsidRPr="008F3AC3" w:rsidRDefault="00A925EE" w:rsidP="008F3AC3">
      <w:pPr>
        <w:spacing w:before="0" w:after="160" w:line="259" w:lineRule="auto"/>
      </w:pPr>
      <w:r w:rsidRPr="008F3AC3">
        <w:t>The pre-application service is provided by the Australian Trade Remedies Commission (the Commission) to advise applicants about the documentary completeness of an application before it is formally lodged in accordance with s. 269TB(1) of the Customs Act 1901 (the Act).</w:t>
      </w:r>
    </w:p>
    <w:p w14:paraId="4D078F5D" w14:textId="6A1A2F3F" w:rsidR="00A925EE" w:rsidRPr="008F3AC3" w:rsidRDefault="00A925EE" w:rsidP="008F3AC3">
      <w:pPr>
        <w:spacing w:before="0" w:after="160" w:line="259" w:lineRule="auto"/>
      </w:pPr>
      <w:r w:rsidRPr="008F3AC3">
        <w:t>The pre-application service includes two-parts: a discussion with applicants (and their representatives) regarding the application and investigation process, and an administrative screening check of the documentary completeness of an application.</w:t>
      </w:r>
    </w:p>
    <w:p w14:paraId="3100F7BA" w14:textId="72B17211" w:rsidR="00A925EE" w:rsidRPr="008F3AC3" w:rsidRDefault="00A925EE" w:rsidP="008F3AC3">
      <w:pPr>
        <w:spacing w:before="0" w:after="160" w:line="259" w:lineRule="auto"/>
      </w:pPr>
      <w:r w:rsidRPr="008F3AC3">
        <w:t>It is intended to assist potential applicants by minimising the likelihood of additional information requests by the Commission once an application is formally lodged</w:t>
      </w:r>
      <w:r w:rsidR="005334F1">
        <w:t xml:space="preserve">. </w:t>
      </w:r>
      <w:r w:rsidRPr="008F3AC3">
        <w:t>The service also aims to mitigate the risk of a formally lodged application to be rejected due to missing or unclear information that is necessary for the assessing the merits of an application.</w:t>
      </w:r>
    </w:p>
    <w:p w14:paraId="79BA9D02" w14:textId="65EC0BAE" w:rsidR="00A925EE" w:rsidRPr="008F3AC3" w:rsidRDefault="00A925EE" w:rsidP="008F3AC3">
      <w:pPr>
        <w:spacing w:before="0" w:after="160" w:line="259" w:lineRule="auto"/>
      </w:pPr>
      <w:r w:rsidRPr="008F3AC3">
        <w:t>These guidelines are written to inform interested parties and applicants about the pre-application service process, and to assist Commission officers involved in conducting a pre-application discussion and an administrative screening process.</w:t>
      </w:r>
    </w:p>
    <w:p w14:paraId="322BF5CF" w14:textId="30327971" w:rsidR="008F3AC3" w:rsidRPr="008F3AC3" w:rsidRDefault="00A925EE" w:rsidP="008F3AC3">
      <w:pPr>
        <w:spacing w:before="0" w:after="160" w:line="259" w:lineRule="auto"/>
      </w:pPr>
      <w:r w:rsidRPr="008F3AC3">
        <w:t xml:space="preserve">Please note, the Commission also has separate Instructions and Guidelines on its </w:t>
      </w:r>
      <w:hyperlink r:id="rId13" w:history="1">
        <w:r w:rsidRPr="00AE54EB">
          <w:rPr>
            <w:color w:val="0B474D" w:themeColor="accent4"/>
            <w:u w:val="single"/>
          </w:rPr>
          <w:t>website</w:t>
        </w:r>
      </w:hyperlink>
      <w:r w:rsidRPr="00AE54EB">
        <w:rPr>
          <w:color w:val="0B474D" w:themeColor="accent4"/>
        </w:rPr>
        <w:t xml:space="preserve"> </w:t>
      </w:r>
      <w:r w:rsidRPr="008F3AC3">
        <w:t>to provide guidance to applicants completing the application form for the publication of dumping and/or countervailing duty notices.</w:t>
      </w:r>
    </w:p>
    <w:p w14:paraId="63F7E600" w14:textId="0B9F94BB" w:rsidR="00A925EE" w:rsidRPr="008F3AC3" w:rsidRDefault="00A925EE" w:rsidP="008F3AC3">
      <w:pPr>
        <w:pStyle w:val="Heading3"/>
        <w:numPr>
          <w:ilvl w:val="0"/>
          <w:numId w:val="32"/>
        </w:numPr>
      </w:pPr>
      <w:r w:rsidRPr="008F3AC3">
        <w:t>Understanding the system</w:t>
      </w:r>
    </w:p>
    <w:p w14:paraId="383F7A0C" w14:textId="77777777" w:rsidR="00A925EE" w:rsidRDefault="00A925EE" w:rsidP="00A925EE">
      <w:pPr>
        <w:rPr>
          <w:rFonts w:ascii="Times New Roman" w:hAnsi="Times New Roman"/>
        </w:rPr>
      </w:pPr>
    </w:p>
    <w:p w14:paraId="7639F559" w14:textId="77777777" w:rsidR="00A925EE" w:rsidRPr="008F3AC3" w:rsidRDefault="00A925EE" w:rsidP="008F3AC3">
      <w:pPr>
        <w:spacing w:before="0" w:after="160" w:line="259" w:lineRule="auto"/>
      </w:pPr>
      <w:r w:rsidRPr="008F3AC3">
        <w:t xml:space="preserve">The Commission welcomes meeting with Australian industry early to: </w:t>
      </w:r>
    </w:p>
    <w:p w14:paraId="2886531E" w14:textId="77777777" w:rsidR="00A925EE" w:rsidRPr="008F3AC3" w:rsidRDefault="00A925EE" w:rsidP="008F3AC3">
      <w:pPr>
        <w:pStyle w:val="ListParagraph"/>
        <w:numPr>
          <w:ilvl w:val="0"/>
          <w:numId w:val="28"/>
        </w:numPr>
        <w:tabs>
          <w:tab w:val="clear" w:pos="301"/>
          <w:tab w:val="num" w:pos="602"/>
        </w:tabs>
        <w:ind w:left="602"/>
      </w:pPr>
      <w:r w:rsidRPr="008F3AC3">
        <w:t>understand your prospective application and the issues your industry is facing,</w:t>
      </w:r>
    </w:p>
    <w:p w14:paraId="442F5C12" w14:textId="77777777" w:rsidR="00A925EE" w:rsidRPr="008F3AC3" w:rsidRDefault="00A925EE" w:rsidP="008F3AC3">
      <w:pPr>
        <w:pStyle w:val="ListParagraph"/>
        <w:numPr>
          <w:ilvl w:val="0"/>
          <w:numId w:val="28"/>
        </w:numPr>
        <w:tabs>
          <w:tab w:val="clear" w:pos="301"/>
          <w:tab w:val="num" w:pos="602"/>
        </w:tabs>
        <w:ind w:left="602"/>
      </w:pPr>
      <w:r w:rsidRPr="008F3AC3">
        <w:t xml:space="preserve">explain the investigative process and timeline, including the best way to make an application that will proceed as quickly as possible, </w:t>
      </w:r>
    </w:p>
    <w:p w14:paraId="67EC04E4" w14:textId="77777777" w:rsidR="00A925EE" w:rsidRPr="008F3AC3" w:rsidRDefault="00A925EE" w:rsidP="008F3AC3">
      <w:pPr>
        <w:pStyle w:val="ListParagraph"/>
        <w:numPr>
          <w:ilvl w:val="0"/>
          <w:numId w:val="28"/>
        </w:numPr>
        <w:tabs>
          <w:tab w:val="clear" w:pos="301"/>
          <w:tab w:val="num" w:pos="602"/>
        </w:tabs>
        <w:ind w:left="602"/>
      </w:pPr>
      <w:r w:rsidRPr="008F3AC3">
        <w:t>explain the purpose of the proposed goods description and the need for it to accurately cover the kind of goods which you produce and for which you are seeking measures be applied, and</w:t>
      </w:r>
    </w:p>
    <w:p w14:paraId="64847D50" w14:textId="77777777" w:rsidR="00A925EE" w:rsidRPr="008F3AC3" w:rsidRDefault="00A925EE" w:rsidP="008F3AC3">
      <w:pPr>
        <w:pStyle w:val="ListParagraph"/>
        <w:numPr>
          <w:ilvl w:val="0"/>
          <w:numId w:val="28"/>
        </w:numPr>
        <w:tabs>
          <w:tab w:val="clear" w:pos="301"/>
          <w:tab w:val="num" w:pos="602"/>
        </w:tabs>
        <w:ind w:left="602"/>
      </w:pPr>
      <w:r w:rsidRPr="008F3AC3">
        <w:t>inform applicants about the documentary completeness of their draft application.</w:t>
      </w:r>
    </w:p>
    <w:p w14:paraId="49C841C6" w14:textId="1B69B0B4" w:rsidR="00B719B9" w:rsidRDefault="00B719B9">
      <w:pPr>
        <w:spacing w:before="0" w:after="160" w:line="259" w:lineRule="auto"/>
        <w:rPr>
          <w:rFonts w:cs="Arial"/>
          <w:b/>
          <w:bCs/>
          <w:sz w:val="26"/>
          <w:szCs w:val="26"/>
        </w:rPr>
      </w:pPr>
      <w:r>
        <w:rPr>
          <w:rFonts w:cs="Arial"/>
          <w:b/>
          <w:bCs/>
          <w:sz w:val="26"/>
          <w:szCs w:val="26"/>
        </w:rPr>
        <w:br w:type="page"/>
      </w:r>
    </w:p>
    <w:p w14:paraId="10759B84" w14:textId="22B56FA7" w:rsidR="00A925EE" w:rsidRPr="00B719B9" w:rsidRDefault="00A925EE" w:rsidP="00B719B9">
      <w:pPr>
        <w:pStyle w:val="Heading3"/>
        <w:numPr>
          <w:ilvl w:val="0"/>
          <w:numId w:val="32"/>
        </w:numPr>
      </w:pPr>
      <w:r w:rsidRPr="008F3AC3">
        <w:lastRenderedPageBreak/>
        <w:t xml:space="preserve">Information required </w:t>
      </w:r>
    </w:p>
    <w:p w14:paraId="0ADBC82F" w14:textId="57E69CF0" w:rsidR="00A925EE" w:rsidRPr="008F3AC3" w:rsidRDefault="00A925EE" w:rsidP="008F3AC3">
      <w:pPr>
        <w:spacing w:before="0" w:after="160" w:line="259" w:lineRule="auto"/>
      </w:pPr>
      <w:r w:rsidRPr="008F3AC3">
        <w:t>Australian legislation and the World Trade Organization agreements relating to anti</w:t>
      </w:r>
      <w:r w:rsidRPr="008F3AC3">
        <w:noBreakHyphen/>
        <w:t>dumping and countervailing duties require the submission of a significant amount of information in a formally lodged application</w:t>
      </w:r>
      <w:r w:rsidR="005334F1">
        <w:t xml:space="preserve">. </w:t>
      </w:r>
      <w:r w:rsidRPr="008F3AC3">
        <w:t>The information is needed to satisfy the Commissioner of the Australian Trade Remedies Commission that:</w:t>
      </w:r>
    </w:p>
    <w:p w14:paraId="2C9B7384" w14:textId="77777777" w:rsidR="00A925EE" w:rsidRPr="008D0D6C" w:rsidRDefault="00A925EE" w:rsidP="008D0D6C">
      <w:pPr>
        <w:pStyle w:val="ListParagraph"/>
        <w:numPr>
          <w:ilvl w:val="0"/>
          <w:numId w:val="28"/>
        </w:numPr>
        <w:tabs>
          <w:tab w:val="clear" w:pos="301"/>
          <w:tab w:val="num" w:pos="602"/>
        </w:tabs>
        <w:ind w:left="602"/>
      </w:pPr>
      <w:r w:rsidRPr="008D0D6C">
        <w:t xml:space="preserve">the application complies with subsection 269TB(4), </w:t>
      </w:r>
    </w:p>
    <w:p w14:paraId="62AB4A85" w14:textId="77777777" w:rsidR="00A925EE" w:rsidRPr="008D0D6C" w:rsidRDefault="00A925EE" w:rsidP="008D0D6C">
      <w:pPr>
        <w:pStyle w:val="ListParagraph"/>
        <w:numPr>
          <w:ilvl w:val="0"/>
          <w:numId w:val="28"/>
        </w:numPr>
        <w:tabs>
          <w:tab w:val="clear" w:pos="301"/>
          <w:tab w:val="num" w:pos="602"/>
        </w:tabs>
        <w:ind w:left="602"/>
      </w:pPr>
      <w:r w:rsidRPr="008D0D6C">
        <w:t xml:space="preserve">there is, or is likely to be established an Australian industry in respect of the goods, </w:t>
      </w:r>
    </w:p>
    <w:p w14:paraId="6056B9AA" w14:textId="77777777" w:rsidR="00A925EE" w:rsidRPr="008D0D6C" w:rsidRDefault="00A925EE" w:rsidP="008D0D6C">
      <w:pPr>
        <w:pStyle w:val="ListParagraph"/>
        <w:numPr>
          <w:ilvl w:val="0"/>
          <w:numId w:val="28"/>
        </w:numPr>
        <w:tabs>
          <w:tab w:val="clear" w:pos="301"/>
          <w:tab w:val="num" w:pos="602"/>
        </w:tabs>
        <w:ind w:left="602"/>
      </w:pPr>
      <w:r w:rsidRPr="008D0D6C">
        <w:t>there appear to be reasonable grounds for the publication of a dumping and/or countervailing duty notice, within the terms set out in s. 269TC(1)(c).</w:t>
      </w:r>
    </w:p>
    <w:p w14:paraId="7A1D976E" w14:textId="77777777" w:rsidR="00A925EE" w:rsidRPr="008F3AC3" w:rsidRDefault="00A925EE" w:rsidP="008F3AC3">
      <w:pPr>
        <w:spacing w:before="0" w:after="160" w:line="259" w:lineRule="auto"/>
      </w:pPr>
      <w:r w:rsidRPr="008F3AC3">
        <w:t>‘Reasonable grounds’ is a reference to evidence of:</w:t>
      </w:r>
    </w:p>
    <w:p w14:paraId="5C474DA5" w14:textId="77777777" w:rsidR="00A925EE" w:rsidRPr="008D0D6C" w:rsidRDefault="00A925EE" w:rsidP="008D0D6C">
      <w:pPr>
        <w:pStyle w:val="ListParagraph"/>
        <w:numPr>
          <w:ilvl w:val="0"/>
          <w:numId w:val="28"/>
        </w:numPr>
        <w:tabs>
          <w:tab w:val="clear" w:pos="301"/>
          <w:tab w:val="num" w:pos="602"/>
        </w:tabs>
        <w:ind w:left="602"/>
      </w:pPr>
      <w:r w:rsidRPr="008D0D6C">
        <w:t>dumping and/or subsidisation, and</w:t>
      </w:r>
    </w:p>
    <w:p w14:paraId="1A9976BD" w14:textId="65CF1447" w:rsidR="00A925EE" w:rsidRPr="00B719B9" w:rsidRDefault="00A925EE" w:rsidP="00B719B9">
      <w:pPr>
        <w:pStyle w:val="ListParagraph"/>
        <w:numPr>
          <w:ilvl w:val="0"/>
          <w:numId w:val="28"/>
        </w:numPr>
        <w:tabs>
          <w:tab w:val="clear" w:pos="301"/>
          <w:tab w:val="num" w:pos="602"/>
        </w:tabs>
        <w:ind w:left="602"/>
      </w:pPr>
      <w:r w:rsidRPr="008D0D6C">
        <w:t>injury to an Australian industry caused or threatened by the dumping and/or subsidisation.</w:t>
      </w:r>
    </w:p>
    <w:p w14:paraId="6EB6C161" w14:textId="079B8CBC" w:rsidR="008D0D6C" w:rsidRPr="008F3AC3" w:rsidRDefault="00A925EE" w:rsidP="008F3AC3">
      <w:pPr>
        <w:spacing w:before="0" w:after="160" w:line="259" w:lineRule="auto"/>
      </w:pPr>
      <w:r w:rsidRPr="008F3AC3">
        <w:t>However, the Commission is not required to have before it evidence of the quality and kind necessary to support a preliminary or final determination</w:t>
      </w:r>
      <w:r w:rsidR="00B719B9">
        <w:t>.</w:t>
      </w:r>
    </w:p>
    <w:p w14:paraId="4B198620" w14:textId="7E8A6305" w:rsidR="00A925EE" w:rsidRPr="008F3AC3" w:rsidRDefault="00A925EE" w:rsidP="008F3AC3">
      <w:pPr>
        <w:pStyle w:val="Heading3"/>
        <w:numPr>
          <w:ilvl w:val="0"/>
          <w:numId w:val="32"/>
        </w:numPr>
      </w:pPr>
      <w:r w:rsidRPr="008F3AC3">
        <w:t>Assessment of a draft application</w:t>
      </w:r>
    </w:p>
    <w:p w14:paraId="2D3B4DC5" w14:textId="77777777" w:rsidR="00A925EE" w:rsidRPr="00D558A3" w:rsidRDefault="00A925EE" w:rsidP="00A925EE">
      <w:pPr>
        <w:spacing w:before="0" w:after="0"/>
        <w:rPr>
          <w:rFonts w:ascii="Times New Roman" w:hAnsi="Times New Roman"/>
        </w:rPr>
      </w:pPr>
    </w:p>
    <w:p w14:paraId="01E9809F" w14:textId="27F34356" w:rsidR="00A925EE" w:rsidRPr="002437AB" w:rsidRDefault="00A925EE" w:rsidP="00B719B9">
      <w:pPr>
        <w:spacing w:before="0" w:after="160" w:line="259" w:lineRule="auto"/>
      </w:pPr>
      <w:r w:rsidRPr="002437AB">
        <w:t>A draft application can be assessed by the Commission for its documentary completeness.</w:t>
      </w:r>
    </w:p>
    <w:p w14:paraId="46F863CF" w14:textId="624E782F" w:rsidR="00A925EE" w:rsidRPr="002437AB" w:rsidRDefault="00A925EE" w:rsidP="00B719B9">
      <w:pPr>
        <w:spacing w:before="0" w:after="160" w:line="259" w:lineRule="auto"/>
      </w:pPr>
      <w:r w:rsidRPr="002437AB">
        <w:t>The Commission cannot consider whether a formally lodged application has established ‘reasonable grounds’ unless there is sufficient information to do so</w:t>
      </w:r>
      <w:r w:rsidR="005334F1">
        <w:t xml:space="preserve">. </w:t>
      </w:r>
      <w:r w:rsidRPr="002437AB">
        <w:t>Where information is incomplete or unclear it creates doubt about whether reasonable grounds exist</w:t>
      </w:r>
      <w:r w:rsidR="005334F1">
        <w:t xml:space="preserve">. </w:t>
      </w:r>
      <w:r w:rsidRPr="002437AB">
        <w:t>To assist applicants with meeting information requirements, the Commission has staff available on request to check a draft of an application for documentary completeness.</w:t>
      </w:r>
    </w:p>
    <w:p w14:paraId="748B4B6C" w14:textId="489501A1" w:rsidR="00A925EE" w:rsidRPr="002437AB" w:rsidRDefault="00A925EE" w:rsidP="00B719B9">
      <w:pPr>
        <w:spacing w:before="0" w:after="160" w:line="259" w:lineRule="auto"/>
      </w:pPr>
      <w:r w:rsidRPr="002437AB">
        <w:t>Following the administrative documentation screening, the Commission will offer suggestions to an applicant about whether the standard of information provided could be improved so that when a formal application is lodged any requests for additional information are minimised.</w:t>
      </w:r>
    </w:p>
    <w:p w14:paraId="15159FF5" w14:textId="5BA7F38B" w:rsidR="00A925EE" w:rsidRPr="002437AB" w:rsidRDefault="00A925EE" w:rsidP="00B719B9">
      <w:pPr>
        <w:spacing w:before="0" w:after="160" w:line="259" w:lineRule="auto"/>
      </w:pPr>
      <w:r w:rsidRPr="002437AB">
        <w:t>This paper contains the principles and procedures for the pre-lodgement documentation check of a draft application</w:t>
      </w:r>
      <w:r w:rsidR="005334F1">
        <w:t xml:space="preserve">. </w:t>
      </w:r>
      <w:r w:rsidRPr="002437AB">
        <w:t>This stage is voluntary</w:t>
      </w:r>
      <w:r w:rsidR="005334F1">
        <w:t xml:space="preserve">. </w:t>
      </w:r>
      <w:r w:rsidRPr="002437AB">
        <w:t>There is no requirement for an applicant to submit a draft prior to formal lodgement.</w:t>
      </w:r>
    </w:p>
    <w:p w14:paraId="54F18C97" w14:textId="59B52100" w:rsidR="00B719B9" w:rsidRDefault="00A925EE" w:rsidP="002437AB">
      <w:pPr>
        <w:spacing w:before="0" w:after="160" w:line="259" w:lineRule="auto"/>
      </w:pPr>
      <w:r w:rsidRPr="002437AB">
        <w:t>Once an application is formally lodged, the Commission will assess the merits of the application in accordance with s. 269TC(1) of the Act.</w:t>
      </w:r>
    </w:p>
    <w:p w14:paraId="3752D011" w14:textId="77777777" w:rsidR="00B719B9" w:rsidRDefault="00B719B9">
      <w:pPr>
        <w:spacing w:before="0" w:after="160" w:line="259" w:lineRule="auto"/>
      </w:pPr>
      <w:r>
        <w:br w:type="page"/>
      </w:r>
    </w:p>
    <w:p w14:paraId="392DE422" w14:textId="6BB57D92" w:rsidR="00A925EE" w:rsidRPr="00B719B9" w:rsidRDefault="00A925EE" w:rsidP="00B719B9">
      <w:pPr>
        <w:pStyle w:val="Heading3"/>
        <w:numPr>
          <w:ilvl w:val="0"/>
          <w:numId w:val="32"/>
        </w:numPr>
      </w:pPr>
      <w:r w:rsidRPr="008F3AC3">
        <w:lastRenderedPageBreak/>
        <w:t>Principles (Pre-application discussion and Pre-lodgement Administrative Screening)</w:t>
      </w:r>
    </w:p>
    <w:p w14:paraId="3095CD3C" w14:textId="77777777" w:rsidR="00A925EE" w:rsidRPr="002437AB" w:rsidRDefault="00A925EE" w:rsidP="002437AB">
      <w:pPr>
        <w:spacing w:before="0" w:after="160" w:line="259" w:lineRule="auto"/>
      </w:pPr>
      <w:r w:rsidRPr="00662E0E">
        <w:rPr>
          <w:b/>
          <w:bCs/>
        </w:rPr>
        <w:t>Principle 1</w:t>
      </w:r>
      <w:r w:rsidRPr="002437AB">
        <w:t xml:space="preserve">:  The Commission cannot supply information to make or support an application on behalf of an Australian industry. </w:t>
      </w:r>
    </w:p>
    <w:p w14:paraId="7DEF4B50" w14:textId="392C6D61" w:rsidR="00A925EE" w:rsidRPr="008D0D6C" w:rsidRDefault="00A925EE" w:rsidP="008D0D6C">
      <w:pPr>
        <w:pStyle w:val="ListParagraph"/>
        <w:numPr>
          <w:ilvl w:val="0"/>
          <w:numId w:val="28"/>
        </w:numPr>
        <w:tabs>
          <w:tab w:val="clear" w:pos="301"/>
          <w:tab w:val="num" w:pos="602"/>
        </w:tabs>
        <w:ind w:left="602"/>
      </w:pPr>
      <w:r w:rsidRPr="008D0D6C">
        <w:t>The Commission’s assistance, in the form of a pre-lodgement administration screening, will respond to material prepared by a potential applicant</w:t>
      </w:r>
      <w:r w:rsidR="005334F1">
        <w:t xml:space="preserve">. </w:t>
      </w:r>
    </w:p>
    <w:p w14:paraId="224B907D" w14:textId="4553A300" w:rsidR="008D0D6C" w:rsidRPr="00B719B9" w:rsidRDefault="00A925EE" w:rsidP="00B719B9">
      <w:pPr>
        <w:pStyle w:val="ListParagraph"/>
        <w:numPr>
          <w:ilvl w:val="0"/>
          <w:numId w:val="28"/>
        </w:numPr>
        <w:tabs>
          <w:tab w:val="clear" w:pos="301"/>
          <w:tab w:val="num" w:pos="602"/>
        </w:tabs>
        <w:ind w:left="602"/>
      </w:pPr>
      <w:r w:rsidRPr="008D0D6C">
        <w:t>The Commission’s response to the submission of a draft may include suggestions about how an application may be improved, including potential information sources.</w:t>
      </w:r>
    </w:p>
    <w:p w14:paraId="730AC841" w14:textId="77777777" w:rsidR="00A925EE" w:rsidRPr="002437AB" w:rsidRDefault="00A925EE" w:rsidP="002437AB">
      <w:pPr>
        <w:spacing w:before="0" w:after="160" w:line="259" w:lineRule="auto"/>
      </w:pPr>
      <w:r w:rsidRPr="00662E0E">
        <w:rPr>
          <w:b/>
          <w:bCs/>
        </w:rPr>
        <w:t>Principle 2</w:t>
      </w:r>
      <w:r w:rsidRPr="002437AB">
        <w:t>:  The pre-lodgement administrative screening of documents is informal.</w:t>
      </w:r>
    </w:p>
    <w:p w14:paraId="7FB16776" w14:textId="0779E3AB" w:rsidR="00A925EE" w:rsidRPr="008D0D6C" w:rsidRDefault="00A925EE" w:rsidP="008D0D6C">
      <w:pPr>
        <w:pStyle w:val="ListParagraph"/>
        <w:numPr>
          <w:ilvl w:val="0"/>
          <w:numId w:val="28"/>
        </w:numPr>
        <w:tabs>
          <w:tab w:val="clear" w:pos="301"/>
          <w:tab w:val="num" w:pos="602"/>
        </w:tabs>
        <w:ind w:left="602"/>
      </w:pPr>
      <w:r w:rsidRPr="008D0D6C">
        <w:t>For clarity and transparency purposes, responses by the Commission will be documented and recorded</w:t>
      </w:r>
      <w:r w:rsidR="005334F1">
        <w:t xml:space="preserve">. </w:t>
      </w:r>
      <w:r w:rsidRPr="008D0D6C">
        <w:t>Attachment A provides an example response for a screening check of the documentary completeness of an application.</w:t>
      </w:r>
    </w:p>
    <w:p w14:paraId="53DB11D4" w14:textId="5E3F3D30" w:rsidR="00A925EE" w:rsidRPr="008D0D6C" w:rsidRDefault="00A925EE" w:rsidP="008D0D6C">
      <w:pPr>
        <w:pStyle w:val="ListParagraph"/>
        <w:numPr>
          <w:ilvl w:val="0"/>
          <w:numId w:val="28"/>
        </w:numPr>
        <w:tabs>
          <w:tab w:val="clear" w:pos="301"/>
          <w:tab w:val="num" w:pos="602"/>
        </w:tabs>
        <w:ind w:left="602"/>
      </w:pPr>
      <w:r w:rsidRPr="008D0D6C">
        <w:t xml:space="preserve">Because the </w:t>
      </w:r>
      <w:bookmarkStart w:id="5" w:name="_Hlk195549018"/>
      <w:r w:rsidRPr="008D0D6C">
        <w:t>pre-lodgement administration screening</w:t>
      </w:r>
      <w:bookmarkEnd w:id="5"/>
      <w:r w:rsidRPr="008D0D6C">
        <w:t xml:space="preserve"> is informal, responses are not definitive</w:t>
      </w:r>
      <w:r w:rsidR="005334F1">
        <w:t xml:space="preserve">. </w:t>
      </w:r>
      <w:r w:rsidRPr="008D0D6C">
        <w:t>They take the form of suggestions and guidance.</w:t>
      </w:r>
    </w:p>
    <w:p w14:paraId="1647C484" w14:textId="77777777" w:rsidR="00A925EE" w:rsidRPr="00953641" w:rsidRDefault="00A925EE" w:rsidP="00A925EE">
      <w:pPr>
        <w:spacing w:before="0" w:after="0"/>
        <w:ind w:left="360"/>
        <w:rPr>
          <w:rFonts w:ascii="Times New Roman" w:hAnsi="Times New Roman"/>
        </w:rPr>
      </w:pPr>
    </w:p>
    <w:p w14:paraId="5A4AAEE7" w14:textId="77777777" w:rsidR="00A925EE" w:rsidRPr="002437AB" w:rsidRDefault="00A925EE" w:rsidP="002437AB">
      <w:pPr>
        <w:spacing w:before="0" w:after="160" w:line="259" w:lineRule="auto"/>
      </w:pPr>
      <w:r w:rsidRPr="00662E0E">
        <w:rPr>
          <w:b/>
          <w:bCs/>
        </w:rPr>
        <w:t>Principle 3</w:t>
      </w:r>
      <w:r w:rsidRPr="002437AB">
        <w:t>:  The pre-lodgement administration screening only addresses the information requirements of making an application.</w:t>
      </w:r>
    </w:p>
    <w:p w14:paraId="7E24C189" w14:textId="77777777" w:rsidR="00A925EE" w:rsidRPr="008D0D6C" w:rsidRDefault="00A925EE" w:rsidP="008D0D6C">
      <w:pPr>
        <w:pStyle w:val="ListParagraph"/>
        <w:numPr>
          <w:ilvl w:val="0"/>
          <w:numId w:val="28"/>
        </w:numPr>
        <w:tabs>
          <w:tab w:val="clear" w:pos="301"/>
          <w:tab w:val="num" w:pos="602"/>
        </w:tabs>
        <w:ind w:left="602"/>
      </w:pPr>
      <w:r w:rsidRPr="008D0D6C">
        <w:t>Usually, a pre-lodgement administration screening will result in suggestions for the provision of additional information or clarification of information.</w:t>
      </w:r>
    </w:p>
    <w:p w14:paraId="63219B01" w14:textId="77777777" w:rsidR="00A925EE" w:rsidRPr="008D0D6C" w:rsidRDefault="00A925EE" w:rsidP="008D0D6C">
      <w:pPr>
        <w:pStyle w:val="ListParagraph"/>
        <w:numPr>
          <w:ilvl w:val="0"/>
          <w:numId w:val="28"/>
        </w:numPr>
        <w:tabs>
          <w:tab w:val="clear" w:pos="301"/>
          <w:tab w:val="num" w:pos="602"/>
        </w:tabs>
        <w:ind w:left="602"/>
      </w:pPr>
      <w:r w:rsidRPr="008D0D6C">
        <w:t>A pre-lodgement administration screening cannot assess the accuracy of the evidence in a draft application. The merits of the claims made in a draft application are not assessed at this stage.</w:t>
      </w:r>
    </w:p>
    <w:p w14:paraId="2A42A5AA" w14:textId="1ECB0CCB" w:rsidR="00A925EE" w:rsidRPr="00B719B9" w:rsidRDefault="00A925EE" w:rsidP="00B719B9">
      <w:pPr>
        <w:pStyle w:val="ListParagraph"/>
        <w:numPr>
          <w:ilvl w:val="0"/>
          <w:numId w:val="28"/>
        </w:numPr>
        <w:tabs>
          <w:tab w:val="clear" w:pos="301"/>
          <w:tab w:val="num" w:pos="602"/>
        </w:tabs>
        <w:ind w:left="602"/>
      </w:pPr>
      <w:r w:rsidRPr="008D0D6C">
        <w:t>The Commission cannot determine the reliability of information in a draft application during a pre-lodgement administration screening</w:t>
      </w:r>
      <w:r w:rsidR="005334F1">
        <w:t xml:space="preserve">. </w:t>
      </w:r>
      <w:r w:rsidRPr="008D0D6C">
        <w:t>This task is undertaken during the application consideration phase, once the application has been formally lodged in accordance with s. 269TB(1) of the Act.</w:t>
      </w:r>
    </w:p>
    <w:p w14:paraId="59DA2547" w14:textId="77777777" w:rsidR="00A925EE" w:rsidRPr="002437AB" w:rsidRDefault="00A925EE" w:rsidP="002437AB">
      <w:pPr>
        <w:spacing w:before="0" w:after="160" w:line="259" w:lineRule="auto"/>
      </w:pPr>
      <w:r w:rsidRPr="00662E0E">
        <w:rPr>
          <w:b/>
          <w:bCs/>
        </w:rPr>
        <w:t>Principle 4</w:t>
      </w:r>
      <w:r w:rsidRPr="002437AB">
        <w:t>:  The Commission cannot guarantee that addressing all the issues raised in the pre-lodgement administration screening will result in an investigation being initiated.</w:t>
      </w:r>
    </w:p>
    <w:p w14:paraId="230777B5" w14:textId="77777777" w:rsidR="00A925EE" w:rsidRPr="008D0D6C" w:rsidRDefault="00A925EE" w:rsidP="008D0D6C">
      <w:pPr>
        <w:pStyle w:val="ListParagraph"/>
        <w:numPr>
          <w:ilvl w:val="0"/>
          <w:numId w:val="28"/>
        </w:numPr>
        <w:tabs>
          <w:tab w:val="clear" w:pos="301"/>
          <w:tab w:val="num" w:pos="602"/>
        </w:tabs>
        <w:ind w:left="602"/>
      </w:pPr>
      <w:r w:rsidRPr="008D0D6C">
        <w:t>If supplied, the additional information itself may be inconsistent or unclear, or highlight that other information is still missing.</w:t>
      </w:r>
    </w:p>
    <w:p w14:paraId="708825D4" w14:textId="77777777" w:rsidR="00A925EE" w:rsidRPr="008D0D6C" w:rsidRDefault="00A925EE" w:rsidP="008D0D6C">
      <w:pPr>
        <w:pStyle w:val="ListParagraph"/>
        <w:numPr>
          <w:ilvl w:val="0"/>
          <w:numId w:val="28"/>
        </w:numPr>
        <w:tabs>
          <w:tab w:val="clear" w:pos="301"/>
          <w:tab w:val="num" w:pos="602"/>
        </w:tabs>
        <w:ind w:left="602"/>
      </w:pPr>
      <w:r w:rsidRPr="008D0D6C">
        <w:t>Potential applicants should rely on their own inquiries or obtain additional advice in finalising their applications, to ensure that the information provided is as complete as possible and presents the strongest possible case for imposition of measures.</w:t>
      </w:r>
    </w:p>
    <w:p w14:paraId="3220365E" w14:textId="77777777" w:rsidR="00A925EE" w:rsidRPr="008D0D6C" w:rsidRDefault="00A925EE" w:rsidP="008D0D6C">
      <w:pPr>
        <w:pStyle w:val="ListParagraph"/>
        <w:numPr>
          <w:ilvl w:val="0"/>
          <w:numId w:val="28"/>
        </w:numPr>
        <w:tabs>
          <w:tab w:val="clear" w:pos="301"/>
          <w:tab w:val="num" w:pos="602"/>
        </w:tabs>
        <w:ind w:left="602"/>
      </w:pPr>
      <w:r w:rsidRPr="008D0D6C">
        <w:t xml:space="preserve">Where an application has undergone a pre-lodgement documentation check, and is later submitted for formal consideration, the comments made on the draft </w:t>
      </w:r>
      <w:r w:rsidRPr="008D0D6C">
        <w:lastRenderedPageBreak/>
        <w:t>application by the Commission, as set out in the pre-lodgement administration screening, will be forwarded to those officers who will carry out the formal examination of the application under s. 269TC of the Act.</w:t>
      </w:r>
    </w:p>
    <w:p w14:paraId="617E2A7E" w14:textId="41341CB3" w:rsidR="00A925EE" w:rsidRPr="00B719B9" w:rsidRDefault="00A925EE" w:rsidP="00B719B9">
      <w:pPr>
        <w:pStyle w:val="Heading3"/>
        <w:numPr>
          <w:ilvl w:val="0"/>
          <w:numId w:val="32"/>
        </w:numPr>
      </w:pPr>
      <w:r w:rsidRPr="008F3AC3">
        <w:t>Procedure</w:t>
      </w:r>
    </w:p>
    <w:p w14:paraId="403114FE" w14:textId="77777777" w:rsidR="00A925EE" w:rsidRPr="002437AB" w:rsidRDefault="00A925EE" w:rsidP="002437AB">
      <w:pPr>
        <w:spacing w:before="0" w:after="160" w:line="259" w:lineRule="auto"/>
      </w:pPr>
      <w:r w:rsidRPr="002437AB">
        <w:t>The potential applicant will be advised of:</w:t>
      </w:r>
    </w:p>
    <w:p w14:paraId="35FF195C" w14:textId="77777777" w:rsidR="00A925EE" w:rsidRPr="008D0D6C" w:rsidRDefault="00A925EE" w:rsidP="008D0D6C">
      <w:pPr>
        <w:pStyle w:val="ListParagraph"/>
        <w:numPr>
          <w:ilvl w:val="0"/>
          <w:numId w:val="28"/>
        </w:numPr>
        <w:tabs>
          <w:tab w:val="clear" w:pos="301"/>
          <w:tab w:val="num" w:pos="602"/>
        </w:tabs>
        <w:ind w:left="602"/>
      </w:pPr>
      <w:r w:rsidRPr="008D0D6C">
        <w:t>the date the document is received;</w:t>
      </w:r>
    </w:p>
    <w:p w14:paraId="167CA408" w14:textId="77777777" w:rsidR="00A925EE" w:rsidRPr="008D0D6C" w:rsidRDefault="00A925EE" w:rsidP="008D0D6C">
      <w:pPr>
        <w:pStyle w:val="ListParagraph"/>
        <w:numPr>
          <w:ilvl w:val="0"/>
          <w:numId w:val="28"/>
        </w:numPr>
        <w:tabs>
          <w:tab w:val="clear" w:pos="301"/>
          <w:tab w:val="num" w:pos="602"/>
        </w:tabs>
        <w:ind w:left="602"/>
      </w:pPr>
      <w:r w:rsidRPr="008D0D6C">
        <w:t>the name of the contact officer in the Commission; and</w:t>
      </w:r>
    </w:p>
    <w:p w14:paraId="0C840201" w14:textId="26F42DC7" w:rsidR="00A925EE" w:rsidRPr="00B719B9" w:rsidRDefault="00A925EE" w:rsidP="00B719B9">
      <w:pPr>
        <w:pStyle w:val="ListParagraph"/>
        <w:numPr>
          <w:ilvl w:val="0"/>
          <w:numId w:val="28"/>
        </w:numPr>
        <w:tabs>
          <w:tab w:val="clear" w:pos="301"/>
          <w:tab w:val="num" w:pos="602"/>
        </w:tabs>
        <w:ind w:left="602"/>
      </w:pPr>
      <w:r w:rsidRPr="008D0D6C">
        <w:t>the expected date that the outcomes of the pre-lodgement administration screening will be provided, normally within 10 days of receipt.</w:t>
      </w:r>
    </w:p>
    <w:p w14:paraId="1E868CC5" w14:textId="6C486CDB" w:rsidR="00A925EE" w:rsidRPr="002437AB" w:rsidRDefault="00A925EE" w:rsidP="00B719B9">
      <w:pPr>
        <w:spacing w:before="0" w:after="160" w:line="259" w:lineRule="auto"/>
      </w:pPr>
      <w:r w:rsidRPr="002437AB">
        <w:t>The pre-lodgement administration screening will be about whether responses to questions in the application form are complete and clear</w:t>
      </w:r>
      <w:r w:rsidR="005334F1">
        <w:t xml:space="preserve">. </w:t>
      </w:r>
      <w:r w:rsidRPr="002437AB">
        <w:t>At this stage in the process the Commission will not examine or provide advice about whether the application satisfies the tests of ‘reasonable grounds’ for the publication of a dumping duty or countervailing duty notice.</w:t>
      </w:r>
    </w:p>
    <w:p w14:paraId="02A3CD17" w14:textId="565CDB62" w:rsidR="00A925EE" w:rsidRPr="008D0D6C" w:rsidRDefault="00A925EE" w:rsidP="008D0D6C">
      <w:pPr>
        <w:spacing w:before="0" w:after="160" w:line="259" w:lineRule="auto"/>
        <w:sectPr w:rsidR="00A925EE" w:rsidRPr="008D0D6C" w:rsidSect="00662E0E">
          <w:footerReference w:type="default" r:id="rId14"/>
          <w:headerReference w:type="first" r:id="rId15"/>
          <w:pgSz w:w="11906" w:h="16838" w:code="9"/>
          <w:pgMar w:top="1440" w:right="1440" w:bottom="1440" w:left="1440" w:header="397" w:footer="709" w:gutter="0"/>
          <w:pgNumType w:start="1"/>
          <w:cols w:space="708"/>
          <w:titlePg/>
          <w:docGrid w:linePitch="360"/>
        </w:sectPr>
      </w:pPr>
      <w:r w:rsidRPr="002437AB">
        <w:t>Wherever possible, the Commission will make suggestions about how an application may be improved</w:t>
      </w:r>
      <w:r w:rsidR="005334F1">
        <w:t xml:space="preserve">. </w:t>
      </w:r>
      <w:r w:rsidRPr="002437AB">
        <w:t>The response will be along the lines of Attachment A and will specify if the information is missing or uncle</w:t>
      </w:r>
      <w:r w:rsidR="008D0D6C">
        <w:t>ar.</w:t>
      </w:r>
    </w:p>
    <w:bookmarkEnd w:id="3"/>
    <w:p w14:paraId="5F1FD2B7" w14:textId="36916FB6" w:rsidR="005834F7" w:rsidRDefault="005834F7" w:rsidP="005834F7">
      <w:pPr>
        <w:pStyle w:val="Heading2"/>
        <w:jc w:val="right"/>
      </w:pPr>
      <w:r>
        <w:lastRenderedPageBreak/>
        <w:t>Attachment A</w:t>
      </w:r>
    </w:p>
    <w:p w14:paraId="419BFF16" w14:textId="22F9AAF2" w:rsidR="005834F7" w:rsidRDefault="005834F7" w:rsidP="0084499B">
      <w:pPr>
        <w:pStyle w:val="Heading3"/>
        <w:jc w:val="center"/>
      </w:pPr>
      <w:r>
        <w:t>Pre-lodgement Administrative Screening Response</w:t>
      </w:r>
    </w:p>
    <w:p w14:paraId="577CE881" w14:textId="77777777" w:rsidR="00154BC7" w:rsidRDefault="00154BC7" w:rsidP="0084499B">
      <w:pPr>
        <w:pStyle w:val="ListParagraph"/>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7EBFF" w:themeFill="accent3"/>
        <w:tblLook w:val="0000" w:firstRow="0" w:lastRow="0" w:firstColumn="0" w:lastColumn="0" w:noHBand="0" w:noVBand="0"/>
      </w:tblPr>
      <w:tblGrid>
        <w:gridCol w:w="1725"/>
        <w:gridCol w:w="2153"/>
        <w:gridCol w:w="10234"/>
      </w:tblGrid>
      <w:tr w:rsidR="0084499B" w:rsidRPr="00D558A3" w14:paraId="78C57105" w14:textId="77777777" w:rsidTr="0084499B">
        <w:trPr>
          <w:jc w:val="center"/>
        </w:trPr>
        <w:tc>
          <w:tcPr>
            <w:tcW w:w="1728" w:type="dxa"/>
            <w:shd w:val="clear" w:color="auto" w:fill="C7EBFF" w:themeFill="accent3"/>
          </w:tcPr>
          <w:p w14:paraId="504C2F09" w14:textId="77777777" w:rsidR="0084499B" w:rsidRPr="0084499B" w:rsidRDefault="0084499B" w:rsidP="00EC387B">
            <w:pPr>
              <w:spacing w:before="0" w:after="0"/>
              <w:rPr>
                <w:b/>
                <w:bCs/>
              </w:rPr>
            </w:pPr>
            <w:r w:rsidRPr="0084499B">
              <w:rPr>
                <w:b/>
                <w:bCs/>
              </w:rPr>
              <w:t>Question</w:t>
            </w:r>
          </w:p>
        </w:tc>
        <w:tc>
          <w:tcPr>
            <w:tcW w:w="2160" w:type="dxa"/>
            <w:shd w:val="clear" w:color="auto" w:fill="C7EBFF" w:themeFill="accent3"/>
          </w:tcPr>
          <w:p w14:paraId="15B55672" w14:textId="77777777" w:rsidR="0084499B" w:rsidRPr="0084499B" w:rsidRDefault="0084499B" w:rsidP="00EC387B">
            <w:pPr>
              <w:spacing w:before="0" w:after="0"/>
              <w:rPr>
                <w:b/>
                <w:bCs/>
              </w:rPr>
            </w:pPr>
            <w:r w:rsidRPr="0084499B">
              <w:rPr>
                <w:b/>
                <w:bCs/>
              </w:rPr>
              <w:t>Issue</w:t>
            </w:r>
            <w:r w:rsidRPr="0084499B">
              <w:rPr>
                <w:rStyle w:val="FootnoteReference"/>
                <w:b/>
                <w:bCs/>
              </w:rPr>
              <w:footnoteReference w:id="1"/>
            </w:r>
          </w:p>
        </w:tc>
        <w:tc>
          <w:tcPr>
            <w:tcW w:w="10286" w:type="dxa"/>
            <w:shd w:val="clear" w:color="auto" w:fill="C7EBFF" w:themeFill="accent3"/>
          </w:tcPr>
          <w:p w14:paraId="68C215A6" w14:textId="77777777" w:rsidR="0084499B" w:rsidRPr="0084499B" w:rsidRDefault="0084499B" w:rsidP="00EC387B">
            <w:pPr>
              <w:spacing w:before="0" w:after="0"/>
              <w:rPr>
                <w:b/>
                <w:bCs/>
              </w:rPr>
            </w:pPr>
            <w:r w:rsidRPr="0084499B">
              <w:rPr>
                <w:b/>
                <w:bCs/>
              </w:rPr>
              <w:t>Would be improved by…</w:t>
            </w:r>
          </w:p>
        </w:tc>
      </w:tr>
      <w:tr w:rsidR="0084499B" w:rsidRPr="00D558A3" w14:paraId="439FA610" w14:textId="77777777" w:rsidTr="0084499B">
        <w:trPr>
          <w:jc w:val="center"/>
        </w:trPr>
        <w:tc>
          <w:tcPr>
            <w:tcW w:w="1728" w:type="dxa"/>
            <w:shd w:val="clear" w:color="auto" w:fill="C7EBFF" w:themeFill="accent3"/>
          </w:tcPr>
          <w:p w14:paraId="498DC65A" w14:textId="77777777" w:rsidR="0084499B" w:rsidRPr="0084499B" w:rsidRDefault="0084499B" w:rsidP="00EC387B">
            <w:pPr>
              <w:spacing w:before="0" w:after="0"/>
              <w:rPr>
                <w:rFonts w:cs="Arial"/>
                <w:i/>
                <w:iCs/>
              </w:rPr>
            </w:pPr>
            <w:r w:rsidRPr="0084499B">
              <w:rPr>
                <w:rFonts w:cs="Arial"/>
                <w:i/>
                <w:iCs/>
              </w:rPr>
              <w:t xml:space="preserve">B-2 2 </w:t>
            </w:r>
          </w:p>
          <w:p w14:paraId="5EFF3626" w14:textId="77777777" w:rsidR="0084499B" w:rsidRPr="0084499B" w:rsidRDefault="0084499B" w:rsidP="00EC387B">
            <w:pPr>
              <w:spacing w:before="0" w:after="0"/>
              <w:rPr>
                <w:rFonts w:cs="Arial"/>
                <w:i/>
                <w:iCs/>
              </w:rPr>
            </w:pPr>
            <w:r w:rsidRPr="0084499B">
              <w:rPr>
                <w:rFonts w:cs="Arial"/>
                <w:i/>
                <w:iCs/>
              </w:rPr>
              <w:t>(example)</w:t>
            </w:r>
          </w:p>
        </w:tc>
        <w:tc>
          <w:tcPr>
            <w:tcW w:w="2160" w:type="dxa"/>
            <w:shd w:val="clear" w:color="auto" w:fill="C7EBFF" w:themeFill="accent3"/>
          </w:tcPr>
          <w:p w14:paraId="7FCD2645" w14:textId="77777777" w:rsidR="0084499B" w:rsidRPr="0084499B" w:rsidRDefault="0084499B" w:rsidP="00EC387B">
            <w:pPr>
              <w:spacing w:before="0" w:after="0"/>
              <w:rPr>
                <w:rFonts w:cs="Arial"/>
                <w:i/>
                <w:iCs/>
              </w:rPr>
            </w:pPr>
            <w:r w:rsidRPr="0084499B">
              <w:rPr>
                <w:rFonts w:cs="Arial"/>
                <w:i/>
                <w:iCs/>
              </w:rPr>
              <w:t xml:space="preserve">Missing </w:t>
            </w:r>
          </w:p>
        </w:tc>
        <w:tc>
          <w:tcPr>
            <w:tcW w:w="10286" w:type="dxa"/>
            <w:shd w:val="clear" w:color="auto" w:fill="C7EBFF" w:themeFill="accent3"/>
          </w:tcPr>
          <w:p w14:paraId="7C42166E" w14:textId="1037D7EA" w:rsidR="0084499B" w:rsidRPr="0084499B" w:rsidRDefault="0084499B" w:rsidP="00EC387B">
            <w:pPr>
              <w:spacing w:before="60" w:after="0"/>
              <w:rPr>
                <w:rFonts w:cs="Arial"/>
                <w:i/>
                <w:iCs/>
              </w:rPr>
            </w:pPr>
            <w:r w:rsidRPr="0084499B">
              <w:rPr>
                <w:rFonts w:cs="Arial"/>
                <w:i/>
                <w:iCs/>
              </w:rPr>
              <w:t>If sales terms are unknown, you can improve your application with a statement about why it is unreasonable to obtain this information</w:t>
            </w:r>
            <w:r w:rsidR="005334F1">
              <w:rPr>
                <w:rFonts w:cs="Arial"/>
                <w:i/>
                <w:iCs/>
              </w:rPr>
              <w:t xml:space="preserve">. </w:t>
            </w:r>
          </w:p>
          <w:p w14:paraId="0E63736C" w14:textId="734C50E3" w:rsidR="0084499B" w:rsidRPr="0084499B" w:rsidRDefault="0084499B" w:rsidP="0084499B">
            <w:pPr>
              <w:numPr>
                <w:ilvl w:val="0"/>
                <w:numId w:val="33"/>
              </w:numPr>
              <w:spacing w:before="0" w:after="0"/>
              <w:rPr>
                <w:rFonts w:cs="Arial"/>
                <w:i/>
                <w:iCs/>
              </w:rPr>
            </w:pPr>
            <w:r w:rsidRPr="0084499B">
              <w:rPr>
                <w:rFonts w:cs="Arial"/>
                <w:i/>
                <w:iCs/>
              </w:rPr>
              <w:t>NB It is not necessary that the sales terms be exactly known. The expected terms or conditions of export sales in the country of export may be estimated, provided that the estimation is reasonably based using terms and conditions that may be reasonably anticipated for a transaction of this type</w:t>
            </w:r>
            <w:r w:rsidR="005334F1">
              <w:rPr>
                <w:rFonts w:cs="Arial"/>
                <w:i/>
                <w:iCs/>
              </w:rPr>
              <w:t xml:space="preserve">. </w:t>
            </w:r>
          </w:p>
          <w:p w14:paraId="184FBAA6" w14:textId="77777777" w:rsidR="0084499B" w:rsidRPr="0084499B" w:rsidRDefault="0084499B" w:rsidP="0084499B">
            <w:pPr>
              <w:numPr>
                <w:ilvl w:val="0"/>
                <w:numId w:val="33"/>
              </w:numPr>
              <w:spacing w:before="0" w:after="0"/>
              <w:rPr>
                <w:rFonts w:cs="Arial"/>
                <w:i/>
                <w:iCs/>
              </w:rPr>
            </w:pPr>
            <w:r w:rsidRPr="0084499B">
              <w:rPr>
                <w:rFonts w:cs="Arial"/>
                <w:i/>
                <w:iCs/>
              </w:rPr>
              <w:t>Some basis to support the estimation would assist its evaluation.</w:t>
            </w:r>
          </w:p>
          <w:p w14:paraId="45B81F90" w14:textId="77777777" w:rsidR="0084499B" w:rsidRPr="0084499B" w:rsidRDefault="0084499B" w:rsidP="00EC387B">
            <w:pPr>
              <w:spacing w:after="60"/>
              <w:rPr>
                <w:rFonts w:cs="Arial"/>
                <w:i/>
                <w:iCs/>
              </w:rPr>
            </w:pPr>
            <w:r w:rsidRPr="0084499B">
              <w:rPr>
                <w:rFonts w:cs="Arial"/>
                <w:i/>
                <w:iCs/>
              </w:rPr>
              <w:t>Information about terms and conditions of export sales is needed to assess whether the export price and normal value are comparable.</w:t>
            </w:r>
          </w:p>
        </w:tc>
      </w:tr>
      <w:tr w:rsidR="0084499B" w:rsidRPr="00D558A3" w14:paraId="215E1DEE" w14:textId="77777777" w:rsidTr="0084499B">
        <w:trPr>
          <w:jc w:val="center"/>
        </w:trPr>
        <w:tc>
          <w:tcPr>
            <w:tcW w:w="1728" w:type="dxa"/>
            <w:shd w:val="clear" w:color="auto" w:fill="C7EBFF" w:themeFill="accent3"/>
          </w:tcPr>
          <w:p w14:paraId="5EB289FA" w14:textId="77777777" w:rsidR="0084499B" w:rsidRPr="0084499B" w:rsidRDefault="0084499B" w:rsidP="00EC387B">
            <w:pPr>
              <w:spacing w:before="0" w:after="0"/>
              <w:rPr>
                <w:rFonts w:cs="Arial"/>
                <w:i/>
                <w:iCs/>
              </w:rPr>
            </w:pPr>
            <w:r w:rsidRPr="0084499B">
              <w:rPr>
                <w:rFonts w:cs="Arial"/>
                <w:i/>
                <w:iCs/>
              </w:rPr>
              <w:t>Appendix A4</w:t>
            </w:r>
          </w:p>
        </w:tc>
        <w:tc>
          <w:tcPr>
            <w:tcW w:w="2160" w:type="dxa"/>
            <w:shd w:val="clear" w:color="auto" w:fill="C7EBFF" w:themeFill="accent3"/>
          </w:tcPr>
          <w:p w14:paraId="026437AE" w14:textId="77777777" w:rsidR="0084499B" w:rsidRPr="0084499B" w:rsidRDefault="0084499B" w:rsidP="00EC387B">
            <w:pPr>
              <w:spacing w:before="0" w:after="0"/>
              <w:rPr>
                <w:rFonts w:cs="Arial"/>
                <w:i/>
                <w:iCs/>
              </w:rPr>
            </w:pPr>
            <w:r w:rsidRPr="0084499B">
              <w:rPr>
                <w:rFonts w:cs="Arial"/>
                <w:i/>
                <w:iCs/>
              </w:rPr>
              <w:t>Missing</w:t>
            </w:r>
          </w:p>
        </w:tc>
        <w:tc>
          <w:tcPr>
            <w:tcW w:w="10286" w:type="dxa"/>
            <w:shd w:val="clear" w:color="auto" w:fill="C7EBFF" w:themeFill="accent3"/>
          </w:tcPr>
          <w:p w14:paraId="59B8CB5A" w14:textId="074482BC" w:rsidR="0084499B" w:rsidRPr="0084499B" w:rsidRDefault="0084499B" w:rsidP="00EC387B">
            <w:pPr>
              <w:spacing w:before="60" w:after="60"/>
              <w:rPr>
                <w:rFonts w:cs="Arial"/>
                <w:i/>
                <w:iCs/>
              </w:rPr>
            </w:pPr>
            <w:r w:rsidRPr="0084499B">
              <w:rPr>
                <w:rFonts w:cs="Arial"/>
                <w:i/>
                <w:iCs/>
              </w:rPr>
              <w:t>Rebate and discount information is missing from appendix A4</w:t>
            </w:r>
            <w:r w:rsidR="005334F1">
              <w:rPr>
                <w:rFonts w:cs="Arial"/>
                <w:i/>
                <w:iCs/>
              </w:rPr>
              <w:t xml:space="preserve">. </w:t>
            </w:r>
            <w:r w:rsidRPr="0084499B">
              <w:rPr>
                <w:rFonts w:cs="Arial"/>
                <w:i/>
                <w:iCs/>
              </w:rPr>
              <w:t>If this is not applicable this must be specified in the application form</w:t>
            </w:r>
            <w:r w:rsidR="005334F1">
              <w:rPr>
                <w:rFonts w:cs="Arial"/>
                <w:i/>
                <w:iCs/>
              </w:rPr>
              <w:t xml:space="preserve">. </w:t>
            </w:r>
            <w:r w:rsidRPr="0084499B">
              <w:rPr>
                <w:rFonts w:cs="Arial"/>
                <w:i/>
                <w:iCs/>
              </w:rPr>
              <w:t>All rebates and discounts need to be shown and explained so the Commission can establish net selling prices to be used in injury analysis.</w:t>
            </w:r>
          </w:p>
        </w:tc>
      </w:tr>
      <w:tr w:rsidR="0084499B" w:rsidRPr="00D558A3" w14:paraId="1A727CA9" w14:textId="77777777" w:rsidTr="0084499B">
        <w:trPr>
          <w:trHeight w:val="846"/>
          <w:jc w:val="center"/>
        </w:trPr>
        <w:tc>
          <w:tcPr>
            <w:tcW w:w="1728" w:type="dxa"/>
            <w:shd w:val="clear" w:color="auto" w:fill="C7EBFF" w:themeFill="accent3"/>
          </w:tcPr>
          <w:p w14:paraId="32AF02F6" w14:textId="77777777" w:rsidR="0084499B" w:rsidRPr="0084499B" w:rsidRDefault="0084499B" w:rsidP="00EC387B">
            <w:pPr>
              <w:spacing w:before="0" w:after="0"/>
              <w:rPr>
                <w:rFonts w:cs="Arial"/>
                <w:i/>
                <w:iCs/>
              </w:rPr>
            </w:pPr>
            <w:r w:rsidRPr="0084499B">
              <w:rPr>
                <w:rFonts w:cs="Arial"/>
                <w:i/>
                <w:iCs/>
              </w:rPr>
              <w:t>A-5 8</w:t>
            </w:r>
          </w:p>
          <w:p w14:paraId="7F11667D" w14:textId="77777777" w:rsidR="0084499B" w:rsidRPr="0084499B" w:rsidRDefault="0084499B" w:rsidP="00EC387B">
            <w:pPr>
              <w:spacing w:before="0" w:after="0"/>
              <w:rPr>
                <w:rFonts w:cs="Arial"/>
                <w:i/>
                <w:iCs/>
              </w:rPr>
            </w:pPr>
            <w:r w:rsidRPr="0084499B">
              <w:rPr>
                <w:rFonts w:cs="Arial"/>
                <w:i/>
                <w:iCs/>
              </w:rPr>
              <w:t>(example)</w:t>
            </w:r>
          </w:p>
        </w:tc>
        <w:tc>
          <w:tcPr>
            <w:tcW w:w="2160" w:type="dxa"/>
            <w:shd w:val="clear" w:color="auto" w:fill="C7EBFF" w:themeFill="accent3"/>
          </w:tcPr>
          <w:p w14:paraId="5995C26B" w14:textId="77777777" w:rsidR="0084499B" w:rsidRPr="0084499B" w:rsidRDefault="0084499B" w:rsidP="00EC387B">
            <w:pPr>
              <w:spacing w:before="0" w:after="0"/>
              <w:rPr>
                <w:rFonts w:cs="Arial"/>
                <w:i/>
                <w:iCs/>
              </w:rPr>
            </w:pPr>
            <w:r w:rsidRPr="0084499B">
              <w:rPr>
                <w:rFonts w:cs="Arial"/>
                <w:i/>
                <w:iCs/>
              </w:rPr>
              <w:t>Unclear</w:t>
            </w:r>
          </w:p>
        </w:tc>
        <w:tc>
          <w:tcPr>
            <w:tcW w:w="10286" w:type="dxa"/>
            <w:shd w:val="clear" w:color="auto" w:fill="C7EBFF" w:themeFill="accent3"/>
          </w:tcPr>
          <w:p w14:paraId="61506A32" w14:textId="508D7E62" w:rsidR="0084499B" w:rsidRPr="0084499B" w:rsidRDefault="0084499B" w:rsidP="00EC387B">
            <w:pPr>
              <w:spacing w:before="60" w:after="0"/>
              <w:rPr>
                <w:rFonts w:cs="Arial"/>
                <w:i/>
                <w:iCs/>
              </w:rPr>
            </w:pPr>
            <w:r w:rsidRPr="0084499B">
              <w:rPr>
                <w:rFonts w:cs="Arial"/>
                <w:i/>
                <w:iCs/>
              </w:rPr>
              <w:t>Although information about the price reductions has been included in your application, their commercial operation is unclear</w:t>
            </w:r>
            <w:r w:rsidR="005334F1">
              <w:rPr>
                <w:rFonts w:cs="Arial"/>
                <w:i/>
                <w:iCs/>
              </w:rPr>
              <w:t xml:space="preserve">. </w:t>
            </w:r>
            <w:r w:rsidRPr="0084499B">
              <w:rPr>
                <w:rFonts w:cs="Arial"/>
                <w:i/>
                <w:iCs/>
              </w:rPr>
              <w:t>To avoid the need for follow up questions by the Commission (which may delay the initiation of an investigation) the following should be provided, e.g.:</w:t>
            </w:r>
          </w:p>
          <w:p w14:paraId="6506EC82" w14:textId="43C2FA81" w:rsidR="0084499B" w:rsidRPr="0084499B" w:rsidRDefault="0084499B" w:rsidP="0084499B">
            <w:pPr>
              <w:numPr>
                <w:ilvl w:val="0"/>
                <w:numId w:val="34"/>
              </w:numPr>
              <w:spacing w:before="0" w:after="0"/>
              <w:rPr>
                <w:rFonts w:cs="Arial"/>
                <w:i/>
                <w:iCs/>
              </w:rPr>
            </w:pPr>
            <w:r w:rsidRPr="0084499B">
              <w:rPr>
                <w:rFonts w:cs="Arial"/>
                <w:i/>
                <w:iCs/>
              </w:rPr>
              <w:t>Rebates seem to operate differently from discounts</w:t>
            </w:r>
            <w:r w:rsidR="005334F1">
              <w:rPr>
                <w:rFonts w:cs="Arial"/>
                <w:i/>
                <w:iCs/>
              </w:rPr>
              <w:t xml:space="preserve">. </w:t>
            </w:r>
            <w:r w:rsidRPr="0084499B">
              <w:rPr>
                <w:rFonts w:cs="Arial"/>
                <w:i/>
                <w:iCs/>
              </w:rPr>
              <w:t>Please provide further information.</w:t>
            </w:r>
          </w:p>
          <w:p w14:paraId="55AC2A17" w14:textId="69912858" w:rsidR="0084499B" w:rsidRPr="0084499B" w:rsidRDefault="0084499B" w:rsidP="0084499B">
            <w:pPr>
              <w:numPr>
                <w:ilvl w:val="0"/>
                <w:numId w:val="34"/>
              </w:numPr>
              <w:spacing w:before="0" w:after="0"/>
              <w:rPr>
                <w:rFonts w:cs="Arial"/>
                <w:i/>
                <w:iCs/>
              </w:rPr>
            </w:pPr>
            <w:r w:rsidRPr="0084499B">
              <w:rPr>
                <w:rFonts w:cs="Arial"/>
                <w:i/>
                <w:iCs/>
              </w:rPr>
              <w:t>Commissions are not paid on all sales to x</w:t>
            </w:r>
            <w:r w:rsidR="005334F1">
              <w:rPr>
                <w:rFonts w:cs="Arial"/>
                <w:i/>
                <w:iCs/>
              </w:rPr>
              <w:t xml:space="preserve">. </w:t>
            </w:r>
            <w:r w:rsidRPr="0084499B">
              <w:rPr>
                <w:rFonts w:cs="Arial"/>
                <w:i/>
                <w:iCs/>
              </w:rPr>
              <w:t xml:space="preserve">Please provide information about how exceptions apply. </w:t>
            </w:r>
          </w:p>
          <w:p w14:paraId="48D79FA7" w14:textId="77777777" w:rsidR="0084499B" w:rsidRPr="0084499B" w:rsidRDefault="0084499B" w:rsidP="0084499B">
            <w:pPr>
              <w:numPr>
                <w:ilvl w:val="0"/>
                <w:numId w:val="34"/>
              </w:numPr>
              <w:spacing w:before="0" w:after="0"/>
              <w:rPr>
                <w:rFonts w:cs="Arial"/>
                <w:i/>
                <w:iCs/>
              </w:rPr>
            </w:pPr>
            <w:r w:rsidRPr="0084499B">
              <w:rPr>
                <w:rFonts w:cs="Arial"/>
                <w:i/>
                <w:iCs/>
              </w:rPr>
              <w:lastRenderedPageBreak/>
              <w:t>Etc.</w:t>
            </w:r>
          </w:p>
          <w:p w14:paraId="1314A7B5" w14:textId="77777777" w:rsidR="0084499B" w:rsidRPr="0084499B" w:rsidRDefault="0084499B" w:rsidP="00EC387B">
            <w:pPr>
              <w:spacing w:after="0"/>
              <w:rPr>
                <w:rFonts w:cs="Arial"/>
                <w:i/>
                <w:iCs/>
              </w:rPr>
            </w:pPr>
            <w:r w:rsidRPr="0084499B">
              <w:rPr>
                <w:rFonts w:cs="Arial"/>
                <w:i/>
                <w:iCs/>
              </w:rPr>
              <w:t>Information about price reductions is needed to assess the application because net sales prices are required for the injury analysis.</w:t>
            </w:r>
          </w:p>
        </w:tc>
      </w:tr>
    </w:tbl>
    <w:p w14:paraId="23AD741D" w14:textId="77777777" w:rsidR="0084499B" w:rsidRPr="0038406E" w:rsidRDefault="0084499B" w:rsidP="0084499B">
      <w:pPr>
        <w:pStyle w:val="ListParagraph"/>
        <w:jc w:val="center"/>
      </w:pPr>
    </w:p>
    <w:sectPr w:rsidR="0084499B" w:rsidRPr="0038406E" w:rsidSect="005834F7">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276" w:bottom="1440" w:left="1440"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AB726" w14:textId="77777777" w:rsidR="001F316E" w:rsidRPr="0038406E" w:rsidRDefault="001F316E" w:rsidP="00B251DB">
      <w:pPr>
        <w:spacing w:after="0"/>
      </w:pPr>
      <w:r w:rsidRPr="0038406E">
        <w:separator/>
      </w:r>
    </w:p>
  </w:endnote>
  <w:endnote w:type="continuationSeparator" w:id="0">
    <w:p w14:paraId="5C6E9A76" w14:textId="77777777" w:rsidR="001F316E" w:rsidRPr="0038406E" w:rsidRDefault="001F316E" w:rsidP="00B251DB">
      <w:pPr>
        <w:spacing w:after="0"/>
      </w:pPr>
      <w:r w:rsidRPr="003840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96AA" w14:textId="77777777" w:rsidR="00A925EE" w:rsidRPr="00D87551" w:rsidRDefault="00A925EE">
    <w:pPr>
      <w:pStyle w:val="Footer"/>
      <w:tabs>
        <w:tab w:val="center" w:pos="3780"/>
        <w:tab w:val="left" w:pos="6480"/>
        <w:tab w:val="left" w:pos="7020"/>
        <w:tab w:val="left" w:pos="7200"/>
        <w:tab w:val="left" w:pos="7560"/>
      </w:tabs>
      <w:rPr>
        <w:rFonts w:cs="Arial"/>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22F" w14:textId="77777777" w:rsidR="00DC75B8" w:rsidRPr="0038406E" w:rsidRDefault="00DC75B8">
    <w:pPr>
      <w:pStyle w:val="Footer"/>
    </w:pPr>
    <w:r w:rsidRPr="0038406E">
      <w:rPr>
        <w:noProof/>
      </w:rPr>
      <mc:AlternateContent>
        <mc:Choice Requires="wps">
          <w:drawing>
            <wp:anchor distT="0" distB="0" distL="0" distR="0" simplePos="0" relativeHeight="251677696" behindDoc="0" locked="0" layoutInCell="1" allowOverlap="1" wp14:anchorId="181D6366" wp14:editId="24B98737">
              <wp:simplePos x="635" y="635"/>
              <wp:positionH relativeFrom="page">
                <wp:align>center</wp:align>
              </wp:positionH>
              <wp:positionV relativeFrom="page">
                <wp:align>bottom</wp:align>
              </wp:positionV>
              <wp:extent cx="551815" cy="452755"/>
              <wp:effectExtent l="0" t="0" r="635" b="0"/>
              <wp:wrapNone/>
              <wp:docPr id="105207231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1D6366" id="_x0000_t202" coordsize="21600,21600" o:spt="202" path="m,l,21600r21600,l21600,xe">
              <v:stroke joinstyle="miter"/>
              <v:path gradientshapeok="t" o:connecttype="rect"/>
            </v:shapetype>
            <v:shape id="Text Box 17" o:spid="_x0000_s1028" type="#_x0000_t202" alt="OFFICIAL" style="position:absolute;margin-left:0;margin-top:0;width:43.45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7C7C797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BD0E" w14:textId="5F3C4337" w:rsidR="0000490E" w:rsidRPr="0038406E" w:rsidRDefault="00DC75B8" w:rsidP="00FF30C2">
    <w:pPr>
      <w:pStyle w:val="Footer"/>
    </w:pPr>
    <w:r w:rsidRPr="0038406E">
      <w:rPr>
        <w:noProof/>
      </w:rPr>
      <mc:AlternateContent>
        <mc:Choice Requires="wps">
          <w:drawing>
            <wp:anchor distT="0" distB="0" distL="0" distR="0" simplePos="0" relativeHeight="251678720" behindDoc="0" locked="0" layoutInCell="1" allowOverlap="1" wp14:anchorId="0DDCDC70" wp14:editId="27119C9E">
              <wp:simplePos x="635" y="635"/>
              <wp:positionH relativeFrom="page">
                <wp:align>center</wp:align>
              </wp:positionH>
              <wp:positionV relativeFrom="page">
                <wp:align>bottom</wp:align>
              </wp:positionV>
              <wp:extent cx="551815" cy="452755"/>
              <wp:effectExtent l="0" t="0" r="635" b="0"/>
              <wp:wrapNone/>
              <wp:docPr id="1208208490"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CDC70" id="_x0000_t202" coordsize="21600,21600" o:spt="202" path="m,l,21600r21600,l21600,xe">
              <v:stroke joinstyle="miter"/>
              <v:path gradientshapeok="t" o:connecttype="rect"/>
            </v:shapetype>
            <v:shape id="Text Box 18" o:spid="_x0000_s1029" type="#_x0000_t202" alt="OFFICIAL" style="position:absolute;margin-left:0;margin-top:0;width:43.45pt;height:35.6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60F0A60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r w:rsidR="000F32FE">
      <w:t>Pre-application service guidelines</w:t>
    </w:r>
  </w:p>
  <w:p w14:paraId="5025AEE2" w14:textId="77777777" w:rsidR="0000490E" w:rsidRPr="0038406E" w:rsidRDefault="0000490E" w:rsidP="00FF30C2">
    <w:pPr>
      <w:pStyle w:val="Footer"/>
    </w:pPr>
    <w:r w:rsidRPr="0038406E">
      <w:rPr>
        <w:b/>
        <w:bCs/>
        <w:color w:val="237AAB" w:themeColor="accent1"/>
      </w:rPr>
      <w:t xml:space="preserve">| </w:t>
    </w:r>
    <w:r w:rsidRPr="0038406E">
      <w:rPr>
        <w:b/>
        <w:bCs/>
      </w:rPr>
      <w:t>industry</w:t>
    </w:r>
    <w:r w:rsidRPr="007329EC">
      <w:t>.</w:t>
    </w:r>
    <w:r w:rsidRPr="0038406E">
      <w:t>gov.au/</w:t>
    </w:r>
    <w:r w:rsidR="00D0286C">
      <w:t>ATRC</w:t>
    </w:r>
    <w:r w:rsidRPr="0038406E">
      <w:tab/>
    </w:r>
    <w:sdt>
      <w:sdtPr>
        <w:id w:val="-2051837455"/>
        <w:docPartObj>
          <w:docPartGallery w:val="Page Numbers (Bottom of Page)"/>
          <w:docPartUnique/>
        </w:docPartObj>
      </w:sdtPr>
      <w:sdtEndPr/>
      <w:sdtContent>
        <w:r w:rsidRPr="0038406E">
          <w:fldChar w:fldCharType="begin"/>
        </w:r>
        <w:r w:rsidRPr="0038406E">
          <w:instrText xml:space="preserve"> PAGE   \* MERGEFORMAT </w:instrText>
        </w:r>
        <w:r w:rsidRPr="0038406E">
          <w:fldChar w:fldCharType="separate"/>
        </w:r>
        <w:r w:rsidRPr="0038406E">
          <w:t>ii</w:t>
        </w:r>
        <w:r w:rsidRPr="0038406E">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CE9D" w14:textId="77777777" w:rsidR="00DC75B8" w:rsidRPr="0038406E" w:rsidRDefault="00DC75B8">
    <w:pPr>
      <w:pStyle w:val="Footer"/>
    </w:pPr>
    <w:r w:rsidRPr="0038406E">
      <w:rPr>
        <w:noProof/>
      </w:rPr>
      <mc:AlternateContent>
        <mc:Choice Requires="wps">
          <w:drawing>
            <wp:anchor distT="0" distB="0" distL="0" distR="0" simplePos="0" relativeHeight="251676672" behindDoc="0" locked="0" layoutInCell="1" allowOverlap="1" wp14:anchorId="72E1C0CE" wp14:editId="025DBBD0">
              <wp:simplePos x="635" y="635"/>
              <wp:positionH relativeFrom="page">
                <wp:align>center</wp:align>
              </wp:positionH>
              <wp:positionV relativeFrom="page">
                <wp:align>bottom</wp:align>
              </wp:positionV>
              <wp:extent cx="551815" cy="452755"/>
              <wp:effectExtent l="0" t="0" r="635" b="0"/>
              <wp:wrapNone/>
              <wp:docPr id="274969611"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E1C0CE" id="_x0000_t202" coordsize="21600,21600" o:spt="202" path="m,l,21600r21600,l21600,xe">
              <v:stroke joinstyle="miter"/>
              <v:path gradientshapeok="t" o:connecttype="rect"/>
            </v:shapetype>
            <v:shape id="Text Box 16" o:spid="_x0000_s1031" type="#_x0000_t202" alt="OFFICIAL" style="position:absolute;margin-left:0;margin-top:0;width:43.45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49DB7794"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273D" w14:textId="77777777" w:rsidR="001F316E" w:rsidRPr="0038406E" w:rsidRDefault="001F316E" w:rsidP="00B251DB">
      <w:pPr>
        <w:spacing w:after="0"/>
      </w:pPr>
      <w:r w:rsidRPr="0038406E">
        <w:separator/>
      </w:r>
    </w:p>
  </w:footnote>
  <w:footnote w:type="continuationSeparator" w:id="0">
    <w:p w14:paraId="7CE14FF6" w14:textId="77777777" w:rsidR="001F316E" w:rsidRPr="0038406E" w:rsidRDefault="001F316E" w:rsidP="00B251DB">
      <w:pPr>
        <w:spacing w:after="0"/>
      </w:pPr>
      <w:r w:rsidRPr="0038406E">
        <w:continuationSeparator/>
      </w:r>
    </w:p>
  </w:footnote>
  <w:footnote w:id="1">
    <w:p w14:paraId="352511D2" w14:textId="77777777" w:rsidR="0084499B" w:rsidRDefault="0084499B" w:rsidP="0084499B">
      <w:pPr>
        <w:pStyle w:val="FootnoteText"/>
      </w:pPr>
      <w:r>
        <w:rPr>
          <w:rStyle w:val="FootnoteReference"/>
        </w:rPr>
        <w:footnoteRef/>
      </w:r>
      <w:r>
        <w:t xml:space="preserve"> Issues are classified into two groups; unclear or missing.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6681" w14:textId="293936A7" w:rsidR="00662E0E" w:rsidRPr="007329EC" w:rsidRDefault="00662E0E" w:rsidP="00662E0E">
    <w:pPr>
      <w:pStyle w:val="Header"/>
    </w:pPr>
    <w:r w:rsidRPr="0038406E">
      <w:rPr>
        <w:noProof/>
      </w:rPr>
      <mc:AlternateContent>
        <mc:Choice Requires="wps">
          <w:drawing>
            <wp:anchor distT="0" distB="0" distL="114300" distR="114300" simplePos="0" relativeHeight="251683840" behindDoc="0" locked="0" layoutInCell="1" allowOverlap="1" wp14:anchorId="21E6F062" wp14:editId="12F265DC">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6="http://schemas.microsoft.com/office/drawing/2014/main" xmlns:pic="http://schemas.openxmlformats.org/drawingml/2006/picture" xmlns:asvg="http://schemas.microsoft.com/office/drawing/2016/SVG/main">
          <w:pict w14:anchorId="6AE44660">
            <v:shape id="Rectangle 12" style="position:absolute;margin-left:0;margin-top:0;width:154.5pt;height:22.4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6CEA16A7">
              <v:stroke joinstyle="miter"/>
              <v:path arrowok="t" o:connecttype="custom" o:connectlocs="0,0;1962000,0;1906874,166110;0,284400;0,0" o:connectangles="0,0,0,0,0"/>
              <w10:wrap anchorx="page" anchory="page"/>
            </v:shape>
          </w:pict>
        </mc:Fallback>
      </mc:AlternateContent>
    </w:r>
    <w:r w:rsidRPr="00022543">
      <w:rPr>
        <w:noProof/>
      </w:rPr>
      <w:drawing>
        <wp:anchor distT="0" distB="0" distL="114300" distR="114300" simplePos="0" relativeHeight="251685888" behindDoc="1" locked="1" layoutInCell="1" allowOverlap="1" wp14:anchorId="323CF7AE" wp14:editId="67F69F5B">
          <wp:simplePos x="0" y="0"/>
          <wp:positionH relativeFrom="margin">
            <wp:posOffset>4298950</wp:posOffset>
          </wp:positionH>
          <wp:positionV relativeFrom="page">
            <wp:posOffset>4445</wp:posOffset>
          </wp:positionV>
          <wp:extent cx="2350800" cy="1310400"/>
          <wp:effectExtent l="0" t="0" r="0" b="0"/>
          <wp:wrapNone/>
          <wp:docPr id="740887813"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p>
  <w:p w14:paraId="39E2148C" w14:textId="77777777" w:rsidR="00662E0E" w:rsidRDefault="00662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C9D9" w14:textId="77777777" w:rsidR="00DC75B8" w:rsidRPr="0038406E" w:rsidRDefault="00DC75B8">
    <w:pPr>
      <w:pStyle w:val="Header"/>
    </w:pPr>
    <w:r w:rsidRPr="0038406E">
      <w:rPr>
        <w:noProof/>
      </w:rPr>
      <mc:AlternateContent>
        <mc:Choice Requires="wps">
          <w:drawing>
            <wp:anchor distT="0" distB="0" distL="0" distR="0" simplePos="0" relativeHeight="251668480" behindDoc="0" locked="0" layoutInCell="1" allowOverlap="1" wp14:anchorId="409FCB79" wp14:editId="201A43FA">
              <wp:simplePos x="635" y="635"/>
              <wp:positionH relativeFrom="page">
                <wp:align>center</wp:align>
              </wp:positionH>
              <wp:positionV relativeFrom="page">
                <wp:align>top</wp:align>
              </wp:positionV>
              <wp:extent cx="551815" cy="452755"/>
              <wp:effectExtent l="0" t="0" r="635" b="4445"/>
              <wp:wrapNone/>
              <wp:docPr id="10142367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9FCB79" id="_x0000_t202" coordsize="21600,21600" o:spt="202" path="m,l,21600r21600,l21600,xe">
              <v:stroke joinstyle="miter"/>
              <v:path gradientshapeok="t" o:connecttype="rect"/>
            </v:shapetype>
            <v:shape id="Text Box 8" o:spid="_x0000_s1026" type="#_x0000_t202" alt="OFFICIAL" style="position:absolute;margin-left:0;margin-top:0;width:43.45pt;height:35.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735C93C"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C0E0" w14:textId="77777777" w:rsidR="00DC75B8" w:rsidRPr="0038406E" w:rsidRDefault="00DC75B8">
    <w:pPr>
      <w:pStyle w:val="Header"/>
    </w:pPr>
    <w:r w:rsidRPr="0038406E">
      <w:rPr>
        <w:noProof/>
      </w:rPr>
      <mc:AlternateContent>
        <mc:Choice Requires="wps">
          <w:drawing>
            <wp:anchor distT="0" distB="0" distL="0" distR="0" simplePos="0" relativeHeight="251669504" behindDoc="0" locked="0" layoutInCell="1" allowOverlap="1" wp14:anchorId="48BB425E" wp14:editId="4F7F1364">
              <wp:simplePos x="635" y="635"/>
              <wp:positionH relativeFrom="page">
                <wp:align>center</wp:align>
              </wp:positionH>
              <wp:positionV relativeFrom="page">
                <wp:align>top</wp:align>
              </wp:positionV>
              <wp:extent cx="551815" cy="452755"/>
              <wp:effectExtent l="0" t="0" r="635" b="4445"/>
              <wp:wrapNone/>
              <wp:docPr id="165915888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BB425E" id="_x0000_t202" coordsize="21600,21600" o:spt="202" path="m,l,21600r21600,l21600,xe">
              <v:stroke joinstyle="miter"/>
              <v:path gradientshapeok="t" o:connecttype="rect"/>
            </v:shapetype>
            <v:shape id="Text Box 9" o:spid="_x0000_s1027" type="#_x0000_t202" alt="OFFICIAL" style="position:absolute;margin-left:0;margin-top:0;width:43.45pt;height:35.6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2519F0D6" w14:textId="77777777" w:rsidR="00DC75B8" w:rsidRPr="0038406E" w:rsidRDefault="00DC75B8" w:rsidP="00DC75B8">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994A" w14:textId="1ED146BD" w:rsidR="00DC75B8" w:rsidRPr="007329EC" w:rsidRDefault="007329EC" w:rsidP="007329EC">
    <w:pPr>
      <w:pStyle w:val="Header"/>
    </w:pPr>
    <w:r w:rsidRPr="0038406E">
      <w:rPr>
        <w:noProof/>
      </w:rPr>
      <mc:AlternateContent>
        <mc:Choice Requires="wps">
          <w:drawing>
            <wp:anchor distT="0" distB="0" distL="0" distR="0" simplePos="0" relativeHeight="251681792" behindDoc="0" locked="0" layoutInCell="1" allowOverlap="1" wp14:anchorId="68ABFFA7" wp14:editId="297B8E26">
              <wp:simplePos x="914400" y="542925"/>
              <wp:positionH relativeFrom="page">
                <wp:align>center</wp:align>
              </wp:positionH>
              <wp:positionV relativeFrom="page">
                <wp:align>top</wp:align>
              </wp:positionV>
              <wp:extent cx="551815" cy="452755"/>
              <wp:effectExtent l="0" t="0" r="635" b="4445"/>
              <wp:wrapNone/>
              <wp:docPr id="13752550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A59D23B" w14:textId="77777777" w:rsidR="007329EC" w:rsidRPr="0038406E" w:rsidRDefault="007329EC" w:rsidP="007329EC">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ABFFA7" id="_x0000_t202" coordsize="21600,21600" o:spt="202" path="m,l,21600r21600,l21600,xe">
              <v:stroke joinstyle="miter"/>
              <v:path gradientshapeok="t" o:connecttype="rect"/>
            </v:shapetype>
            <v:shape id="Text Box 1" o:spid="_x0000_s1030" type="#_x0000_t202" alt="OFFICIAL" style="position:absolute;margin-left:0;margin-top:0;width:43.45pt;height:35.6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2A59D23B" w14:textId="77777777" w:rsidR="007329EC" w:rsidRPr="0038406E" w:rsidRDefault="007329EC" w:rsidP="007329EC">
                    <w:pPr>
                      <w:spacing w:after="0"/>
                      <w:rPr>
                        <w:rFonts w:ascii="Calibri" w:eastAsia="Calibri" w:hAnsi="Calibri" w:cs="Calibri"/>
                        <w:color w:val="C00000"/>
                        <w:szCs w:val="24"/>
                      </w:rPr>
                    </w:pPr>
                    <w:r w:rsidRPr="0038406E">
                      <w:rPr>
                        <w:rFonts w:ascii="Calibri" w:eastAsia="Calibri" w:hAnsi="Calibri" w:cs="Calibri"/>
                        <w:color w:val="C0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A86242"/>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F0C641B"/>
    <w:multiLevelType w:val="hybridMultilevel"/>
    <w:tmpl w:val="DAA81ED2"/>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DD10E5"/>
    <w:multiLevelType w:val="hybridMultilevel"/>
    <w:tmpl w:val="C6CAC532"/>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9B507D"/>
    <w:multiLevelType w:val="hybridMultilevel"/>
    <w:tmpl w:val="C3042BBA"/>
    <w:lvl w:ilvl="0" w:tplc="4D04E3C6">
      <w:start w:val="1"/>
      <w:numFmt w:val="lowerLetter"/>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9" w15:restartNumberingAfterBreak="0">
    <w:nsid w:val="23A76F51"/>
    <w:multiLevelType w:val="hybridMultilevel"/>
    <w:tmpl w:val="940ACE1E"/>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4FC1080"/>
    <w:multiLevelType w:val="hybridMultilevel"/>
    <w:tmpl w:val="2DF68CF0"/>
    <w:lvl w:ilvl="0" w:tplc="0C09000F">
      <w:start w:val="1"/>
      <w:numFmt w:val="decimal"/>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F339AF"/>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92C2BDA"/>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B726C4F"/>
    <w:multiLevelType w:val="hybridMultilevel"/>
    <w:tmpl w:val="E684E1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3C01970"/>
    <w:multiLevelType w:val="hybridMultilevel"/>
    <w:tmpl w:val="8D92B7DE"/>
    <w:lvl w:ilvl="0" w:tplc="95567A8A">
      <w:start w:val="1"/>
      <w:numFmt w:val="bullet"/>
      <w:lvlText w:val=""/>
      <w:lvlJc w:val="left"/>
      <w:pPr>
        <w:tabs>
          <w:tab w:val="num" w:pos="1021"/>
        </w:tabs>
        <w:ind w:left="1021" w:hanging="301"/>
      </w:pPr>
      <w:rPr>
        <w:rFonts w:ascii="Symbol" w:hAnsi="Symbol" w:hint="default"/>
      </w:rPr>
    </w:lvl>
    <w:lvl w:ilvl="1" w:tplc="920A03BE">
      <w:start w:val="1"/>
      <w:numFmt w:val="bullet"/>
      <w:lvlText w:val=""/>
      <w:lvlJc w:val="left"/>
      <w:pPr>
        <w:tabs>
          <w:tab w:val="num" w:pos="1211"/>
        </w:tabs>
        <w:ind w:left="-207" w:firstLine="128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F37229"/>
    <w:multiLevelType w:val="hybridMultilevel"/>
    <w:tmpl w:val="99A86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6C2AF2"/>
    <w:multiLevelType w:val="hybridMultilevel"/>
    <w:tmpl w:val="A6ACA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854D38"/>
    <w:multiLevelType w:val="multilevel"/>
    <w:tmpl w:val="89483454"/>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cs="Courier New"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41953534"/>
    <w:multiLevelType w:val="hybridMultilevel"/>
    <w:tmpl w:val="70F29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600CE5"/>
    <w:multiLevelType w:val="hybridMultilevel"/>
    <w:tmpl w:val="285CC784"/>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67F4B1A"/>
    <w:multiLevelType w:val="hybridMultilevel"/>
    <w:tmpl w:val="13BEC9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BE14BAF"/>
    <w:multiLevelType w:val="hybridMultilevel"/>
    <w:tmpl w:val="0EB6986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0064A31"/>
    <w:multiLevelType w:val="hybridMultilevel"/>
    <w:tmpl w:val="DC58D50A"/>
    <w:lvl w:ilvl="0" w:tplc="0C090017">
      <w:start w:val="1"/>
      <w:numFmt w:val="lowerLetter"/>
      <w:lvlText w:val="%1)"/>
      <w:lvlJc w:val="left"/>
      <w:pPr>
        <w:ind w:left="567" w:hanging="567"/>
      </w:pPr>
      <w:rPr>
        <w:rFonts w:hint="default"/>
      </w:rPr>
    </w:lvl>
    <w:lvl w:ilvl="1" w:tplc="FFFFFFFF">
      <w:numFmt w:val="bullet"/>
      <w:lvlText w:val="-"/>
      <w:lvlJc w:val="left"/>
      <w:pPr>
        <w:ind w:left="1134" w:hanging="567"/>
      </w:pPr>
      <w:rPr>
        <w:rFonts w:ascii="Calibri" w:eastAsiaTheme="minorHAnsi" w:hAnsi="Calibri" w:hint="default"/>
      </w:rPr>
    </w:lvl>
    <w:lvl w:ilvl="2" w:tplc="FFFFFFFF">
      <w:start w:val="1"/>
      <w:numFmt w:val="bullet"/>
      <w:lvlText w:val=""/>
      <w:lvlJc w:val="left"/>
      <w:pPr>
        <w:ind w:left="1701" w:hanging="567"/>
      </w:pPr>
      <w:rPr>
        <w:rFonts w:ascii="Wingdings" w:hAnsi="Wingdings" w:hint="default"/>
      </w:rPr>
    </w:lvl>
    <w:lvl w:ilvl="3" w:tplc="FFFFFFFF">
      <w:start w:val="1"/>
      <w:numFmt w:val="bullet"/>
      <w:lvlText w:val=""/>
      <w:lvlJc w:val="left"/>
      <w:pPr>
        <w:ind w:left="2268" w:hanging="567"/>
      </w:pPr>
      <w:rPr>
        <w:rFonts w:ascii="Symbol" w:hAnsi="Symbol" w:hint="default"/>
      </w:rPr>
    </w:lvl>
    <w:lvl w:ilvl="4" w:tplc="FFFFFFFF">
      <w:start w:val="1"/>
      <w:numFmt w:val="bullet"/>
      <w:lvlText w:val="o"/>
      <w:lvlJc w:val="left"/>
      <w:pPr>
        <w:ind w:left="2835" w:hanging="567"/>
      </w:pPr>
      <w:rPr>
        <w:rFonts w:ascii="Courier New" w:hAnsi="Courier New" w:hint="default"/>
      </w:rPr>
    </w:lvl>
    <w:lvl w:ilvl="5" w:tplc="FFFFFFFF">
      <w:start w:val="1"/>
      <w:numFmt w:val="bullet"/>
      <w:lvlText w:val=""/>
      <w:lvlJc w:val="left"/>
      <w:pPr>
        <w:ind w:left="3402" w:hanging="567"/>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003F08"/>
    <w:multiLevelType w:val="hybridMultilevel"/>
    <w:tmpl w:val="F03821DE"/>
    <w:lvl w:ilvl="0" w:tplc="82347D5A">
      <w:start w:val="1"/>
      <w:numFmt w:val="bullet"/>
      <w:lvlText w:val=""/>
      <w:lvlJc w:val="left"/>
      <w:pPr>
        <w:ind w:left="933" w:hanging="360"/>
      </w:pPr>
      <w:rPr>
        <w:rFonts w:ascii="Symbol" w:hAnsi="Symbol" w:hint="default"/>
        <w:color w:val="auto"/>
      </w:rPr>
    </w:lvl>
    <w:lvl w:ilvl="1" w:tplc="21E8437E">
      <w:start w:val="1"/>
      <w:numFmt w:val="bullet"/>
      <w:lvlText w:val="-"/>
      <w:lvlJc w:val="left"/>
      <w:pPr>
        <w:ind w:left="2013" w:hanging="360"/>
      </w:pPr>
      <w:rPr>
        <w:rFonts w:ascii="Courier New" w:hAnsi="Courier New" w:hint="default"/>
        <w:color w:val="237AAB" w:themeColor="accent1"/>
      </w:rPr>
    </w:lvl>
    <w:lvl w:ilvl="2" w:tplc="0C090005">
      <w:start w:val="1"/>
      <w:numFmt w:val="bullet"/>
      <w:lvlText w:val=""/>
      <w:lvlJc w:val="left"/>
      <w:pPr>
        <w:ind w:left="2733" w:hanging="360"/>
      </w:pPr>
      <w:rPr>
        <w:rFonts w:ascii="Wingdings" w:hAnsi="Wingdings" w:hint="default"/>
      </w:rPr>
    </w:lvl>
    <w:lvl w:ilvl="3" w:tplc="0C090001">
      <w:start w:val="1"/>
      <w:numFmt w:val="bullet"/>
      <w:lvlText w:val=""/>
      <w:lvlJc w:val="left"/>
      <w:pPr>
        <w:ind w:left="3453" w:hanging="360"/>
      </w:pPr>
      <w:rPr>
        <w:rFonts w:ascii="Symbol" w:hAnsi="Symbol" w:hint="default"/>
      </w:rPr>
    </w:lvl>
    <w:lvl w:ilvl="4" w:tplc="0C090003" w:tentative="1">
      <w:start w:val="1"/>
      <w:numFmt w:val="bullet"/>
      <w:lvlText w:val="o"/>
      <w:lvlJc w:val="left"/>
      <w:pPr>
        <w:ind w:left="4173" w:hanging="360"/>
      </w:pPr>
      <w:rPr>
        <w:rFonts w:ascii="Courier New" w:hAnsi="Courier New" w:cs="Courier New" w:hint="default"/>
      </w:rPr>
    </w:lvl>
    <w:lvl w:ilvl="5" w:tplc="0C090005" w:tentative="1">
      <w:start w:val="1"/>
      <w:numFmt w:val="bullet"/>
      <w:lvlText w:val=""/>
      <w:lvlJc w:val="left"/>
      <w:pPr>
        <w:ind w:left="4893" w:hanging="360"/>
      </w:pPr>
      <w:rPr>
        <w:rFonts w:ascii="Wingdings" w:hAnsi="Wingdings" w:hint="default"/>
      </w:rPr>
    </w:lvl>
    <w:lvl w:ilvl="6" w:tplc="0C090001" w:tentative="1">
      <w:start w:val="1"/>
      <w:numFmt w:val="bullet"/>
      <w:lvlText w:val=""/>
      <w:lvlJc w:val="left"/>
      <w:pPr>
        <w:ind w:left="5613" w:hanging="360"/>
      </w:pPr>
      <w:rPr>
        <w:rFonts w:ascii="Symbol" w:hAnsi="Symbol" w:hint="default"/>
      </w:rPr>
    </w:lvl>
    <w:lvl w:ilvl="7" w:tplc="0C090003" w:tentative="1">
      <w:start w:val="1"/>
      <w:numFmt w:val="bullet"/>
      <w:lvlText w:val="o"/>
      <w:lvlJc w:val="left"/>
      <w:pPr>
        <w:ind w:left="6333" w:hanging="360"/>
      </w:pPr>
      <w:rPr>
        <w:rFonts w:ascii="Courier New" w:hAnsi="Courier New" w:cs="Courier New" w:hint="default"/>
      </w:rPr>
    </w:lvl>
    <w:lvl w:ilvl="8" w:tplc="0C090005" w:tentative="1">
      <w:start w:val="1"/>
      <w:numFmt w:val="bullet"/>
      <w:lvlText w:val=""/>
      <w:lvlJc w:val="left"/>
      <w:pPr>
        <w:ind w:left="7053" w:hanging="360"/>
      </w:pPr>
      <w:rPr>
        <w:rFonts w:ascii="Wingdings" w:hAnsi="Wingdings" w:hint="default"/>
      </w:rPr>
    </w:lvl>
  </w:abstractNum>
  <w:abstractNum w:abstractNumId="24" w15:restartNumberingAfterBreak="0">
    <w:nsid w:val="53844009"/>
    <w:multiLevelType w:val="hybridMultilevel"/>
    <w:tmpl w:val="D060840A"/>
    <w:lvl w:ilvl="0" w:tplc="95567A8A">
      <w:start w:val="1"/>
      <w:numFmt w:val="bullet"/>
      <w:lvlText w:val=""/>
      <w:lvlJc w:val="left"/>
      <w:pPr>
        <w:tabs>
          <w:tab w:val="num" w:pos="301"/>
        </w:tabs>
        <w:ind w:left="301" w:hanging="301"/>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5" w15:restartNumberingAfterBreak="0">
    <w:nsid w:val="552E10FD"/>
    <w:multiLevelType w:val="hybridMultilevel"/>
    <w:tmpl w:val="16DC4B36"/>
    <w:lvl w:ilvl="0" w:tplc="D2045D1C">
      <w:numFmt w:val="bullet"/>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E9D7B51"/>
    <w:multiLevelType w:val="hybridMultilevel"/>
    <w:tmpl w:val="5324F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2081069"/>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3A321F1"/>
    <w:multiLevelType w:val="hybridMultilevel"/>
    <w:tmpl w:val="C1A69FA6"/>
    <w:lvl w:ilvl="0" w:tplc="2CEA81F2">
      <w:start w:val="1"/>
      <w:numFmt w:val="bullet"/>
      <w:lvlText w:val=""/>
      <w:lvlJc w:val="left"/>
      <w:pPr>
        <w:ind w:left="1080"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0DB4AAD"/>
    <w:multiLevelType w:val="hybridMultilevel"/>
    <w:tmpl w:val="341A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7251278"/>
    <w:multiLevelType w:val="hybridMultilevel"/>
    <w:tmpl w:val="704C85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7B374EC2"/>
    <w:multiLevelType w:val="multilevel"/>
    <w:tmpl w:val="DF94CEB2"/>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422605387">
    <w:abstractNumId w:val="25"/>
  </w:num>
  <w:num w:numId="2" w16cid:durableId="648444589">
    <w:abstractNumId w:val="30"/>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7"/>
  </w:num>
  <w:num w:numId="8" w16cid:durableId="1928151220">
    <w:abstractNumId w:val="26"/>
  </w:num>
  <w:num w:numId="9" w16cid:durableId="1919442051">
    <w:abstractNumId w:val="20"/>
  </w:num>
  <w:num w:numId="10" w16cid:durableId="563764016">
    <w:abstractNumId w:val="16"/>
  </w:num>
  <w:num w:numId="11" w16cid:durableId="377169740">
    <w:abstractNumId w:val="15"/>
  </w:num>
  <w:num w:numId="12" w16cid:durableId="1207840999">
    <w:abstractNumId w:val="9"/>
  </w:num>
  <w:num w:numId="13" w16cid:durableId="330646744">
    <w:abstractNumId w:val="23"/>
  </w:num>
  <w:num w:numId="14" w16cid:durableId="455176962">
    <w:abstractNumId w:val="8"/>
  </w:num>
  <w:num w:numId="15" w16cid:durableId="1281260069">
    <w:abstractNumId w:val="6"/>
  </w:num>
  <w:num w:numId="16" w16cid:durableId="1287079906">
    <w:abstractNumId w:val="31"/>
  </w:num>
  <w:num w:numId="17" w16cid:durableId="1504780995">
    <w:abstractNumId w:val="21"/>
  </w:num>
  <w:num w:numId="18" w16cid:durableId="2125417772">
    <w:abstractNumId w:val="18"/>
  </w:num>
  <w:num w:numId="19" w16cid:durableId="759527236">
    <w:abstractNumId w:val="27"/>
  </w:num>
  <w:num w:numId="20" w16cid:durableId="1112439673">
    <w:abstractNumId w:val="10"/>
  </w:num>
  <w:num w:numId="21" w16cid:durableId="1723753088">
    <w:abstractNumId w:val="19"/>
  </w:num>
  <w:num w:numId="22" w16cid:durableId="757021959">
    <w:abstractNumId w:val="5"/>
  </w:num>
  <w:num w:numId="23" w16cid:durableId="28920175">
    <w:abstractNumId w:val="22"/>
  </w:num>
  <w:num w:numId="24" w16cid:durableId="36705265">
    <w:abstractNumId w:val="13"/>
  </w:num>
  <w:num w:numId="25" w16cid:durableId="1695419890">
    <w:abstractNumId w:val="17"/>
  </w:num>
  <w:num w:numId="26" w16cid:durableId="588543005">
    <w:abstractNumId w:val="14"/>
  </w:num>
  <w:num w:numId="27" w16cid:durableId="1562129909">
    <w:abstractNumId w:val="29"/>
  </w:num>
  <w:num w:numId="28" w16cid:durableId="448285822">
    <w:abstractNumId w:val="24"/>
  </w:num>
  <w:num w:numId="29" w16cid:durableId="199633424">
    <w:abstractNumId w:val="28"/>
  </w:num>
  <w:num w:numId="30" w16cid:durableId="2078700824">
    <w:abstractNumId w:val="11"/>
  </w:num>
  <w:num w:numId="31" w16cid:durableId="960066654">
    <w:abstractNumId w:val="12"/>
  </w:num>
  <w:num w:numId="32" w16cid:durableId="188378252">
    <w:abstractNumId w:val="32"/>
  </w:num>
  <w:num w:numId="33" w16cid:durableId="705910885">
    <w:abstractNumId w:val="33"/>
  </w:num>
  <w:num w:numId="34" w16cid:durableId="198885060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84"/>
    <w:rsid w:val="00003766"/>
    <w:rsid w:val="0000490E"/>
    <w:rsid w:val="00017287"/>
    <w:rsid w:val="00032995"/>
    <w:rsid w:val="00034867"/>
    <w:rsid w:val="000552B3"/>
    <w:rsid w:val="00060A3B"/>
    <w:rsid w:val="0007067B"/>
    <w:rsid w:val="0008167B"/>
    <w:rsid w:val="00081D07"/>
    <w:rsid w:val="00090DDB"/>
    <w:rsid w:val="000A75CB"/>
    <w:rsid w:val="000B24FC"/>
    <w:rsid w:val="000B69B6"/>
    <w:rsid w:val="000B6C60"/>
    <w:rsid w:val="000C3494"/>
    <w:rsid w:val="000E0F53"/>
    <w:rsid w:val="000E599A"/>
    <w:rsid w:val="000E5C60"/>
    <w:rsid w:val="000F2564"/>
    <w:rsid w:val="000F32FE"/>
    <w:rsid w:val="000F50CE"/>
    <w:rsid w:val="00113CC5"/>
    <w:rsid w:val="00153C15"/>
    <w:rsid w:val="001549C0"/>
    <w:rsid w:val="00154BC7"/>
    <w:rsid w:val="001663ED"/>
    <w:rsid w:val="00171757"/>
    <w:rsid w:val="00174108"/>
    <w:rsid w:val="0018753C"/>
    <w:rsid w:val="001A38CC"/>
    <w:rsid w:val="001B314C"/>
    <w:rsid w:val="001D0A88"/>
    <w:rsid w:val="001D216A"/>
    <w:rsid w:val="001D2E82"/>
    <w:rsid w:val="001D51DA"/>
    <w:rsid w:val="001E0C9F"/>
    <w:rsid w:val="001E727B"/>
    <w:rsid w:val="001F316E"/>
    <w:rsid w:val="001F5AB1"/>
    <w:rsid w:val="00205DF3"/>
    <w:rsid w:val="002138D2"/>
    <w:rsid w:val="0022083E"/>
    <w:rsid w:val="00222D0B"/>
    <w:rsid w:val="00241D3D"/>
    <w:rsid w:val="002437AB"/>
    <w:rsid w:val="00246116"/>
    <w:rsid w:val="00254DA8"/>
    <w:rsid w:val="00266F7C"/>
    <w:rsid w:val="00272A9E"/>
    <w:rsid w:val="00272B04"/>
    <w:rsid w:val="00274C94"/>
    <w:rsid w:val="00282ED3"/>
    <w:rsid w:val="002A101F"/>
    <w:rsid w:val="002A1791"/>
    <w:rsid w:val="002A4D9D"/>
    <w:rsid w:val="002B3A3A"/>
    <w:rsid w:val="002B5C69"/>
    <w:rsid w:val="002B7395"/>
    <w:rsid w:val="002C5773"/>
    <w:rsid w:val="002D230B"/>
    <w:rsid w:val="002D5AF5"/>
    <w:rsid w:val="002F60C0"/>
    <w:rsid w:val="0031048E"/>
    <w:rsid w:val="00315846"/>
    <w:rsid w:val="0031654A"/>
    <w:rsid w:val="00330C0B"/>
    <w:rsid w:val="0035140F"/>
    <w:rsid w:val="0036057F"/>
    <w:rsid w:val="003606DC"/>
    <w:rsid w:val="00361D74"/>
    <w:rsid w:val="00381562"/>
    <w:rsid w:val="0038406E"/>
    <w:rsid w:val="00392257"/>
    <w:rsid w:val="00393784"/>
    <w:rsid w:val="003A0E7F"/>
    <w:rsid w:val="003D38ED"/>
    <w:rsid w:val="003D747D"/>
    <w:rsid w:val="003E2B74"/>
    <w:rsid w:val="003E5A9B"/>
    <w:rsid w:val="00406032"/>
    <w:rsid w:val="00411937"/>
    <w:rsid w:val="00423B2E"/>
    <w:rsid w:val="00423D13"/>
    <w:rsid w:val="0043720A"/>
    <w:rsid w:val="004632E9"/>
    <w:rsid w:val="0046678C"/>
    <w:rsid w:val="0049358E"/>
    <w:rsid w:val="004A22C9"/>
    <w:rsid w:val="004A7856"/>
    <w:rsid w:val="004B4254"/>
    <w:rsid w:val="004C4A81"/>
    <w:rsid w:val="004C52EF"/>
    <w:rsid w:val="004D3B0F"/>
    <w:rsid w:val="004E23A9"/>
    <w:rsid w:val="004E2EB6"/>
    <w:rsid w:val="004E5181"/>
    <w:rsid w:val="004E75D2"/>
    <w:rsid w:val="004F6147"/>
    <w:rsid w:val="00512647"/>
    <w:rsid w:val="00516B0E"/>
    <w:rsid w:val="0052479B"/>
    <w:rsid w:val="00524A91"/>
    <w:rsid w:val="00527381"/>
    <w:rsid w:val="005334F1"/>
    <w:rsid w:val="005419C2"/>
    <w:rsid w:val="005569AC"/>
    <w:rsid w:val="005706FD"/>
    <w:rsid w:val="00571A72"/>
    <w:rsid w:val="00572521"/>
    <w:rsid w:val="005777BC"/>
    <w:rsid w:val="005834F7"/>
    <w:rsid w:val="00584B74"/>
    <w:rsid w:val="00596B24"/>
    <w:rsid w:val="005A1B5C"/>
    <w:rsid w:val="005C111D"/>
    <w:rsid w:val="005D19B8"/>
    <w:rsid w:val="005D27F7"/>
    <w:rsid w:val="005D3B5C"/>
    <w:rsid w:val="005E5F5F"/>
    <w:rsid w:val="006026EC"/>
    <w:rsid w:val="00603DDF"/>
    <w:rsid w:val="00607188"/>
    <w:rsid w:val="00607E19"/>
    <w:rsid w:val="00612AD0"/>
    <w:rsid w:val="00623171"/>
    <w:rsid w:val="006337C7"/>
    <w:rsid w:val="00656152"/>
    <w:rsid w:val="00662E0E"/>
    <w:rsid w:val="0066416C"/>
    <w:rsid w:val="00671D1D"/>
    <w:rsid w:val="00671FC8"/>
    <w:rsid w:val="0068286F"/>
    <w:rsid w:val="006932C1"/>
    <w:rsid w:val="00695B12"/>
    <w:rsid w:val="00697567"/>
    <w:rsid w:val="006A6FF5"/>
    <w:rsid w:val="006C4C9C"/>
    <w:rsid w:val="006C7D25"/>
    <w:rsid w:val="006D2221"/>
    <w:rsid w:val="006D53C4"/>
    <w:rsid w:val="006E1636"/>
    <w:rsid w:val="006E1E6A"/>
    <w:rsid w:val="006E4001"/>
    <w:rsid w:val="006F58A5"/>
    <w:rsid w:val="00702C5A"/>
    <w:rsid w:val="00703734"/>
    <w:rsid w:val="00706D05"/>
    <w:rsid w:val="00711349"/>
    <w:rsid w:val="007115B2"/>
    <w:rsid w:val="00723C5D"/>
    <w:rsid w:val="007329EC"/>
    <w:rsid w:val="0073362E"/>
    <w:rsid w:val="00750A62"/>
    <w:rsid w:val="00777794"/>
    <w:rsid w:val="00781C9A"/>
    <w:rsid w:val="007833EE"/>
    <w:rsid w:val="00793A1F"/>
    <w:rsid w:val="007B553F"/>
    <w:rsid w:val="007C13DA"/>
    <w:rsid w:val="007D063E"/>
    <w:rsid w:val="0080201C"/>
    <w:rsid w:val="00806473"/>
    <w:rsid w:val="00817FA9"/>
    <w:rsid w:val="00822714"/>
    <w:rsid w:val="00826293"/>
    <w:rsid w:val="0084499B"/>
    <w:rsid w:val="008527AF"/>
    <w:rsid w:val="00853A7A"/>
    <w:rsid w:val="00864A08"/>
    <w:rsid w:val="008653E9"/>
    <w:rsid w:val="00872DFF"/>
    <w:rsid w:val="00884300"/>
    <w:rsid w:val="00891421"/>
    <w:rsid w:val="00892B6E"/>
    <w:rsid w:val="008A5808"/>
    <w:rsid w:val="008B31A3"/>
    <w:rsid w:val="008B7B1E"/>
    <w:rsid w:val="008C3B21"/>
    <w:rsid w:val="008D0D6C"/>
    <w:rsid w:val="008E0E75"/>
    <w:rsid w:val="008E3C31"/>
    <w:rsid w:val="008E3C7A"/>
    <w:rsid w:val="008E5E4B"/>
    <w:rsid w:val="008F3AC3"/>
    <w:rsid w:val="008F7CEA"/>
    <w:rsid w:val="009059E9"/>
    <w:rsid w:val="00910FFF"/>
    <w:rsid w:val="0091556D"/>
    <w:rsid w:val="00917329"/>
    <w:rsid w:val="009327DE"/>
    <w:rsid w:val="00951226"/>
    <w:rsid w:val="00960D98"/>
    <w:rsid w:val="009637C9"/>
    <w:rsid w:val="00980E1C"/>
    <w:rsid w:val="009830D1"/>
    <w:rsid w:val="0098695D"/>
    <w:rsid w:val="009A549D"/>
    <w:rsid w:val="009A64AF"/>
    <w:rsid w:val="009A7EAB"/>
    <w:rsid w:val="009B4687"/>
    <w:rsid w:val="009E59BA"/>
    <w:rsid w:val="009F1DA7"/>
    <w:rsid w:val="009F23EB"/>
    <w:rsid w:val="00A10652"/>
    <w:rsid w:val="00A2299F"/>
    <w:rsid w:val="00A2676F"/>
    <w:rsid w:val="00A421A4"/>
    <w:rsid w:val="00A52F3D"/>
    <w:rsid w:val="00A6365B"/>
    <w:rsid w:val="00A731BB"/>
    <w:rsid w:val="00A80CB3"/>
    <w:rsid w:val="00A90059"/>
    <w:rsid w:val="00A925EE"/>
    <w:rsid w:val="00AA5432"/>
    <w:rsid w:val="00AA740C"/>
    <w:rsid w:val="00AB254D"/>
    <w:rsid w:val="00AD22BA"/>
    <w:rsid w:val="00AD473E"/>
    <w:rsid w:val="00AD6F89"/>
    <w:rsid w:val="00AE54EB"/>
    <w:rsid w:val="00B15C01"/>
    <w:rsid w:val="00B21681"/>
    <w:rsid w:val="00B251DB"/>
    <w:rsid w:val="00B26C25"/>
    <w:rsid w:val="00B26D06"/>
    <w:rsid w:val="00B27B24"/>
    <w:rsid w:val="00B304D4"/>
    <w:rsid w:val="00B35C0C"/>
    <w:rsid w:val="00B4376C"/>
    <w:rsid w:val="00B47576"/>
    <w:rsid w:val="00B554CD"/>
    <w:rsid w:val="00B719B9"/>
    <w:rsid w:val="00B81C11"/>
    <w:rsid w:val="00BA0B22"/>
    <w:rsid w:val="00BA1EFB"/>
    <w:rsid w:val="00BA4108"/>
    <w:rsid w:val="00BB350F"/>
    <w:rsid w:val="00BB5084"/>
    <w:rsid w:val="00BB76F1"/>
    <w:rsid w:val="00BD0F8A"/>
    <w:rsid w:val="00BD43D1"/>
    <w:rsid w:val="00BE1CB4"/>
    <w:rsid w:val="00BE53C7"/>
    <w:rsid w:val="00BE6EEA"/>
    <w:rsid w:val="00BF1E02"/>
    <w:rsid w:val="00C157DC"/>
    <w:rsid w:val="00C17F2D"/>
    <w:rsid w:val="00C256B8"/>
    <w:rsid w:val="00C43D48"/>
    <w:rsid w:val="00C50A9A"/>
    <w:rsid w:val="00C629DC"/>
    <w:rsid w:val="00C65E4E"/>
    <w:rsid w:val="00C66984"/>
    <w:rsid w:val="00C743D9"/>
    <w:rsid w:val="00C876BF"/>
    <w:rsid w:val="00C9707F"/>
    <w:rsid w:val="00CB2DE1"/>
    <w:rsid w:val="00CB7499"/>
    <w:rsid w:val="00CD1793"/>
    <w:rsid w:val="00CE4789"/>
    <w:rsid w:val="00CE6BBD"/>
    <w:rsid w:val="00CE7F17"/>
    <w:rsid w:val="00D0286C"/>
    <w:rsid w:val="00D10678"/>
    <w:rsid w:val="00D124A0"/>
    <w:rsid w:val="00D220CF"/>
    <w:rsid w:val="00D27B99"/>
    <w:rsid w:val="00D51DA2"/>
    <w:rsid w:val="00D60F64"/>
    <w:rsid w:val="00D63F01"/>
    <w:rsid w:val="00D64BFA"/>
    <w:rsid w:val="00D841E9"/>
    <w:rsid w:val="00D9122B"/>
    <w:rsid w:val="00D9211D"/>
    <w:rsid w:val="00DA2E1A"/>
    <w:rsid w:val="00DB1835"/>
    <w:rsid w:val="00DB1F98"/>
    <w:rsid w:val="00DB7CD2"/>
    <w:rsid w:val="00DC75B8"/>
    <w:rsid w:val="00DD41C7"/>
    <w:rsid w:val="00DE04A8"/>
    <w:rsid w:val="00DE1060"/>
    <w:rsid w:val="00DE504A"/>
    <w:rsid w:val="00DF70EA"/>
    <w:rsid w:val="00E01D7D"/>
    <w:rsid w:val="00E0367F"/>
    <w:rsid w:val="00E0372B"/>
    <w:rsid w:val="00E04DA0"/>
    <w:rsid w:val="00E05F77"/>
    <w:rsid w:val="00E11B00"/>
    <w:rsid w:val="00E14F58"/>
    <w:rsid w:val="00E3027E"/>
    <w:rsid w:val="00E37443"/>
    <w:rsid w:val="00E43809"/>
    <w:rsid w:val="00E51EC5"/>
    <w:rsid w:val="00E7363C"/>
    <w:rsid w:val="00E95372"/>
    <w:rsid w:val="00EA0739"/>
    <w:rsid w:val="00EB2522"/>
    <w:rsid w:val="00EB2A69"/>
    <w:rsid w:val="00EB5526"/>
    <w:rsid w:val="00EC1B88"/>
    <w:rsid w:val="00EE1F4B"/>
    <w:rsid w:val="00F02452"/>
    <w:rsid w:val="00F0382E"/>
    <w:rsid w:val="00F16FE0"/>
    <w:rsid w:val="00F22BB9"/>
    <w:rsid w:val="00F277D1"/>
    <w:rsid w:val="00F32757"/>
    <w:rsid w:val="00F50FA6"/>
    <w:rsid w:val="00F62B4E"/>
    <w:rsid w:val="00F648BB"/>
    <w:rsid w:val="00F66A4B"/>
    <w:rsid w:val="00F86ADC"/>
    <w:rsid w:val="00FA4E30"/>
    <w:rsid w:val="00FB6C18"/>
    <w:rsid w:val="00FC07B7"/>
    <w:rsid w:val="00FE4569"/>
    <w:rsid w:val="00FE7DB2"/>
    <w:rsid w:val="00FF30C2"/>
    <w:rsid w:val="00FF472C"/>
    <w:rsid w:val="5EFB15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DCA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E1A"/>
    <w:pPr>
      <w:spacing w:before="120" w:after="120" w:line="240" w:lineRule="auto"/>
    </w:pPr>
    <w:rPr>
      <w:kern w:val="18"/>
      <w:sz w:val="24"/>
    </w:rPr>
  </w:style>
  <w:style w:type="paragraph" w:styleId="Heading1">
    <w:name w:val="heading 1"/>
    <w:basedOn w:val="Normal"/>
    <w:next w:val="Normal"/>
    <w:link w:val="Heading1Char"/>
    <w:uiPriority w:val="9"/>
    <w:qFormat/>
    <w:rsid w:val="00DA2E1A"/>
    <w:pPr>
      <w:keepNext/>
      <w:keepLines/>
      <w:spacing w:before="960" w:after="96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unhideWhenUsed/>
    <w:qFormat/>
    <w:rsid w:val="00DA2E1A"/>
    <w:pPr>
      <w:keepNext/>
      <w:keepLines/>
      <w:spacing w:before="360" w:after="240"/>
      <w:outlineLvl w:val="1"/>
    </w:pPr>
    <w:rPr>
      <w:rFonts w:asciiTheme="majorHAnsi" w:eastAsiaTheme="majorEastAsia" w:hAnsiTheme="majorHAnsi" w:cstheme="majorBidi"/>
      <w:color w:val="1D405A" w:themeColor="text2"/>
      <w:sz w:val="48"/>
      <w:szCs w:val="48"/>
    </w:rPr>
  </w:style>
  <w:style w:type="paragraph" w:styleId="Heading3">
    <w:name w:val="heading 3"/>
    <w:basedOn w:val="Normal"/>
    <w:next w:val="Normal"/>
    <w:link w:val="Heading3Char"/>
    <w:uiPriority w:val="9"/>
    <w:unhideWhenUsed/>
    <w:qFormat/>
    <w:rsid w:val="00DA2E1A"/>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unhideWhenUsed/>
    <w:qFormat/>
    <w:rsid w:val="00DA2E1A"/>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DA2E1A"/>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DA2E1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DA2E1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DA2E1A"/>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rsid w:val="00DA2E1A"/>
  </w:style>
  <w:style w:type="character" w:customStyle="1" w:styleId="HeaderChar">
    <w:name w:val="Header Char"/>
    <w:basedOn w:val="DefaultParagraphFont"/>
    <w:link w:val="Header"/>
    <w:uiPriority w:val="99"/>
    <w:rsid w:val="00DA2E1A"/>
    <w:rPr>
      <w:color w:val="1D405A" w:themeColor="text2"/>
      <w:kern w:val="18"/>
      <w:sz w:val="20"/>
    </w:rPr>
  </w:style>
  <w:style w:type="paragraph" w:styleId="Footer">
    <w:name w:val="footer"/>
    <w:basedOn w:val="Normal"/>
    <w:link w:val="FooterChar"/>
    <w:uiPriority w:val="99"/>
    <w:rsid w:val="00DA2E1A"/>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DA2E1A"/>
    <w:rPr>
      <w:color w:val="1D405A" w:themeColor="text2"/>
      <w:kern w:val="18"/>
      <w:sz w:val="20"/>
    </w:rPr>
  </w:style>
  <w:style w:type="character" w:customStyle="1" w:styleId="Heading1Char">
    <w:name w:val="Heading 1 Char"/>
    <w:basedOn w:val="DefaultParagraphFont"/>
    <w:link w:val="Heading1"/>
    <w:uiPriority w:val="9"/>
    <w:rsid w:val="00DA2E1A"/>
    <w:rPr>
      <w:rFonts w:asciiTheme="majorHAnsi" w:eastAsiaTheme="majorEastAsia" w:hAnsiTheme="majorHAnsi" w:cstheme="majorBidi"/>
      <w:color w:val="237AAB" w:themeColor="accent1"/>
      <w:kern w:val="18"/>
      <w:sz w:val="72"/>
      <w:szCs w:val="32"/>
    </w:rPr>
  </w:style>
  <w:style w:type="table" w:customStyle="1" w:styleId="Verticaltable">
    <w:name w:val="Vertical table"/>
    <w:basedOn w:val="TableNormal"/>
    <w:uiPriority w:val="99"/>
    <w:rsid w:val="00DA2E1A"/>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DA2E1A"/>
    <w:rPr>
      <w:color w:val="1D405A" w:themeColor="followedHyperlink"/>
      <w:u w:val="single"/>
    </w:rPr>
  </w:style>
  <w:style w:type="paragraph" w:styleId="Subtitle">
    <w:name w:val="Subtitle"/>
    <w:basedOn w:val="Normal"/>
    <w:next w:val="Normal"/>
    <w:link w:val="SubtitleChar"/>
    <w:uiPriority w:val="11"/>
    <w:qFormat/>
    <w:rsid w:val="00DA2E1A"/>
    <w:pPr>
      <w:numPr>
        <w:ilvl w:val="1"/>
      </w:numPr>
      <w:spacing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DA2E1A"/>
    <w:rPr>
      <w:rFonts w:eastAsiaTheme="minorEastAsia"/>
      <w:color w:val="1D405A" w:themeColor="text2"/>
      <w:kern w:val="18"/>
      <w:sz w:val="40"/>
    </w:rPr>
  </w:style>
  <w:style w:type="character" w:customStyle="1" w:styleId="Heading2Char">
    <w:name w:val="Heading 2 Char"/>
    <w:basedOn w:val="DefaultParagraphFont"/>
    <w:link w:val="Heading2"/>
    <w:uiPriority w:val="9"/>
    <w:rsid w:val="00DA2E1A"/>
    <w:rPr>
      <w:rFonts w:asciiTheme="majorHAnsi" w:eastAsiaTheme="majorEastAsia" w:hAnsiTheme="majorHAnsi" w:cstheme="majorBidi"/>
      <w:color w:val="1D405A" w:themeColor="text2"/>
      <w:kern w:val="18"/>
      <w:sz w:val="48"/>
      <w:szCs w:val="48"/>
    </w:rPr>
  </w:style>
  <w:style w:type="character" w:customStyle="1" w:styleId="Heading3Char">
    <w:name w:val="Heading 3 Char"/>
    <w:basedOn w:val="DefaultParagraphFont"/>
    <w:link w:val="Heading3"/>
    <w:uiPriority w:val="9"/>
    <w:rsid w:val="00DA2E1A"/>
    <w:rPr>
      <w:rFonts w:asciiTheme="majorHAnsi" w:eastAsiaTheme="majorEastAsia" w:hAnsiTheme="majorHAnsi" w:cstheme="majorBidi"/>
      <w:color w:val="237AAB" w:themeColor="accent1"/>
      <w:kern w:val="18"/>
      <w:sz w:val="40"/>
      <w:szCs w:val="40"/>
    </w:rPr>
  </w:style>
  <w:style w:type="character" w:customStyle="1" w:styleId="Heading4Char">
    <w:name w:val="Heading 4 Char"/>
    <w:basedOn w:val="DefaultParagraphFont"/>
    <w:link w:val="Heading4"/>
    <w:uiPriority w:val="9"/>
    <w:rsid w:val="00DA2E1A"/>
    <w:rPr>
      <w:rFonts w:asciiTheme="majorHAnsi" w:eastAsiaTheme="majorEastAsia" w:hAnsiTheme="majorHAnsi" w:cstheme="majorBidi"/>
      <w:iCs/>
      <w:color w:val="1D405A" w:themeColor="text2"/>
      <w:kern w:val="18"/>
      <w:sz w:val="32"/>
      <w:szCs w:val="28"/>
    </w:rPr>
  </w:style>
  <w:style w:type="character" w:customStyle="1" w:styleId="Heading5Char">
    <w:name w:val="Heading 5 Char"/>
    <w:basedOn w:val="DefaultParagraphFont"/>
    <w:link w:val="Heading5"/>
    <w:uiPriority w:val="9"/>
    <w:rsid w:val="00DA2E1A"/>
    <w:rPr>
      <w:rFonts w:asciiTheme="majorHAnsi" w:eastAsiaTheme="majorEastAsia" w:hAnsiTheme="majorHAnsi" w:cstheme="majorBidi"/>
      <w:color w:val="237AAB" w:themeColor="accent1"/>
      <w:kern w:val="18"/>
      <w:sz w:val="26"/>
      <w:szCs w:val="26"/>
    </w:rPr>
  </w:style>
  <w:style w:type="paragraph" w:styleId="Quote">
    <w:name w:val="Quote"/>
    <w:basedOn w:val="Normal"/>
    <w:next w:val="Normal"/>
    <w:link w:val="QuoteChar"/>
    <w:uiPriority w:val="29"/>
    <w:rsid w:val="00DA2E1A"/>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DA2E1A"/>
    <w:rPr>
      <w:iCs/>
      <w:color w:val="000000" w:themeColor="text1"/>
      <w:kern w:val="18"/>
      <w:sz w:val="24"/>
      <w:szCs w:val="24"/>
    </w:rPr>
  </w:style>
  <w:style w:type="character" w:styleId="Strong">
    <w:name w:val="Strong"/>
    <w:basedOn w:val="DefaultParagraphFont"/>
    <w:uiPriority w:val="22"/>
    <w:qFormat/>
    <w:rsid w:val="00DA2E1A"/>
    <w:rPr>
      <w:b/>
      <w:bCs/>
    </w:rPr>
  </w:style>
  <w:style w:type="character" w:styleId="Emphasis">
    <w:name w:val="Emphasis"/>
    <w:basedOn w:val="DefaultParagraphFont"/>
    <w:uiPriority w:val="20"/>
    <w:qFormat/>
    <w:rsid w:val="00DA2E1A"/>
    <w:rPr>
      <w:i/>
      <w:iCs/>
    </w:rPr>
  </w:style>
  <w:style w:type="paragraph" w:styleId="ListParagraph">
    <w:name w:val="List Paragraph"/>
    <w:aliases w:val="~List Paragraph"/>
    <w:basedOn w:val="Normal"/>
    <w:link w:val="ListParagraphChar"/>
    <w:uiPriority w:val="34"/>
    <w:qFormat/>
    <w:rsid w:val="00DA2E1A"/>
    <w:pPr>
      <w:spacing w:before="0"/>
    </w:pPr>
  </w:style>
  <w:style w:type="character" w:styleId="Hyperlink">
    <w:name w:val="Hyperlink"/>
    <w:basedOn w:val="DefaultParagraphFont"/>
    <w:uiPriority w:val="99"/>
    <w:rsid w:val="00DA2E1A"/>
    <w:rPr>
      <w:color w:val="1D405A" w:themeColor="text2"/>
      <w:u w:val="single"/>
    </w:rPr>
  </w:style>
  <w:style w:type="table" w:styleId="TableGrid">
    <w:name w:val="Table Grid"/>
    <w:aliases w:val="DISR plain Table 1"/>
    <w:basedOn w:val="TableNormal"/>
    <w:uiPriority w:val="39"/>
    <w:rsid w:val="00DA2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DA2E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A2E1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DA2E1A"/>
    <w:pPr>
      <w:keepNext/>
      <w:keepLines/>
    </w:pPr>
    <w:rPr>
      <w:b/>
      <w:iCs/>
      <w:szCs w:val="18"/>
    </w:rPr>
  </w:style>
  <w:style w:type="character" w:styleId="PlaceholderText">
    <w:name w:val="Placeholder Text"/>
    <w:basedOn w:val="DefaultParagraphFont"/>
    <w:uiPriority w:val="99"/>
    <w:semiHidden/>
    <w:rsid w:val="00DA2E1A"/>
    <w:rPr>
      <w:color w:val="808080"/>
    </w:rPr>
  </w:style>
  <w:style w:type="paragraph" w:styleId="NoSpacing">
    <w:name w:val="No Spacing"/>
    <w:link w:val="NoSpacingChar"/>
    <w:uiPriority w:val="1"/>
    <w:qFormat/>
    <w:rsid w:val="00DA2E1A"/>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DA2E1A"/>
    <w:rPr>
      <w:rFonts w:eastAsiaTheme="minorEastAsia"/>
      <w:sz w:val="24"/>
      <w:lang w:val="en-US"/>
    </w:rPr>
  </w:style>
  <w:style w:type="paragraph" w:styleId="TOCHeading">
    <w:name w:val="TOC Heading"/>
    <w:basedOn w:val="Heading2"/>
    <w:next w:val="Normal"/>
    <w:uiPriority w:val="39"/>
    <w:unhideWhenUsed/>
    <w:rsid w:val="00DA2E1A"/>
    <w:pPr>
      <w:outlineLvl w:val="9"/>
    </w:pPr>
    <w:rPr>
      <w:lang w:val="en-US"/>
    </w:rPr>
  </w:style>
  <w:style w:type="paragraph" w:styleId="TOC1">
    <w:name w:val="toc 1"/>
    <w:basedOn w:val="Normal"/>
    <w:next w:val="Normal"/>
    <w:autoRedefine/>
    <w:uiPriority w:val="39"/>
    <w:unhideWhenUsed/>
    <w:rsid w:val="00DA2E1A"/>
    <w:pPr>
      <w:tabs>
        <w:tab w:val="right" w:leader="dot" w:pos="9016"/>
      </w:tabs>
      <w:spacing w:after="100"/>
    </w:pPr>
  </w:style>
  <w:style w:type="paragraph" w:styleId="TOC2">
    <w:name w:val="toc 2"/>
    <w:basedOn w:val="Normal"/>
    <w:next w:val="Normal"/>
    <w:autoRedefine/>
    <w:uiPriority w:val="39"/>
    <w:unhideWhenUsed/>
    <w:rsid w:val="00DA2E1A"/>
    <w:pPr>
      <w:spacing w:after="100"/>
    </w:pPr>
  </w:style>
  <w:style w:type="paragraph" w:styleId="TOC3">
    <w:name w:val="toc 3"/>
    <w:basedOn w:val="Normal"/>
    <w:next w:val="Normal"/>
    <w:autoRedefine/>
    <w:uiPriority w:val="39"/>
    <w:unhideWhenUsed/>
    <w:rsid w:val="00DA2E1A"/>
    <w:pPr>
      <w:spacing w:after="100"/>
      <w:ind w:left="221"/>
    </w:pPr>
  </w:style>
  <w:style w:type="paragraph" w:customStyle="1" w:styleId="Address">
    <w:name w:val="Address"/>
    <w:basedOn w:val="Subtitle"/>
    <w:rsid w:val="00DA2E1A"/>
    <w:pPr>
      <w:spacing w:after="0"/>
    </w:pPr>
    <w:rPr>
      <w:sz w:val="24"/>
    </w:rPr>
  </w:style>
  <w:style w:type="paragraph" w:styleId="BalloonText">
    <w:name w:val="Balloon Text"/>
    <w:basedOn w:val="Normal"/>
    <w:link w:val="BalloonTextChar"/>
    <w:uiPriority w:val="99"/>
    <w:semiHidden/>
    <w:unhideWhenUsed/>
    <w:rsid w:val="00DA2E1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E1A"/>
    <w:rPr>
      <w:rFonts w:ascii="Segoe UI" w:hAnsi="Segoe UI" w:cs="Segoe UI"/>
      <w:kern w:val="18"/>
      <w:sz w:val="18"/>
      <w:szCs w:val="18"/>
    </w:rPr>
  </w:style>
  <w:style w:type="table" w:styleId="ListTable3-Accent2">
    <w:name w:val="List Table 3 Accent 2"/>
    <w:basedOn w:val="TableNormal"/>
    <w:uiPriority w:val="48"/>
    <w:rsid w:val="00DA2E1A"/>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DA2E1A"/>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DA2E1A"/>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DA2E1A"/>
    <w:rPr>
      <w:b/>
      <w:iCs/>
      <w:kern w:val="18"/>
      <w:sz w:val="24"/>
    </w:rPr>
  </w:style>
  <w:style w:type="paragraph" w:customStyle="1" w:styleId="Calloutbox">
    <w:name w:val="Call out box"/>
    <w:basedOn w:val="Normal"/>
    <w:qFormat/>
    <w:rsid w:val="00DA2E1A"/>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DA2E1A"/>
    <w:rPr>
      <w:rFonts w:asciiTheme="majorHAnsi" w:eastAsiaTheme="majorEastAsia" w:hAnsiTheme="majorHAnsi" w:cstheme="majorBidi"/>
      <w:color w:val="000000" w:themeColor="text1"/>
      <w:kern w:val="18"/>
      <w:sz w:val="24"/>
    </w:rPr>
  </w:style>
  <w:style w:type="table" w:styleId="GridTable4-Accent2">
    <w:name w:val="Grid Table 4 Accent 2"/>
    <w:basedOn w:val="TableNormal"/>
    <w:uiPriority w:val="49"/>
    <w:rsid w:val="00DA2E1A"/>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DA2E1A"/>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DA2E1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DA2E1A"/>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DA2E1A"/>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DA2E1A"/>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qFormat/>
    <w:rsid w:val="00DA2E1A"/>
    <w:pPr>
      <w:spacing w:after="600"/>
    </w:pPr>
    <w:rPr>
      <w:sz w:val="32"/>
      <w:szCs w:val="32"/>
    </w:rPr>
  </w:style>
  <w:style w:type="character" w:customStyle="1" w:styleId="AuthoranddateChar">
    <w:name w:val="Author and date Char"/>
    <w:basedOn w:val="SubtitleChar"/>
    <w:link w:val="Authoranddate"/>
    <w:rsid w:val="00DA2E1A"/>
    <w:rPr>
      <w:rFonts w:eastAsiaTheme="minorEastAsia"/>
      <w:color w:val="1D405A" w:themeColor="text2"/>
      <w:kern w:val="18"/>
      <w:sz w:val="32"/>
      <w:szCs w:val="32"/>
    </w:rPr>
  </w:style>
  <w:style w:type="character" w:customStyle="1" w:styleId="Heading7Char">
    <w:name w:val="Heading 7 Char"/>
    <w:basedOn w:val="DefaultParagraphFont"/>
    <w:link w:val="Heading7"/>
    <w:uiPriority w:val="9"/>
    <w:rsid w:val="00DA2E1A"/>
    <w:rPr>
      <w:rFonts w:asciiTheme="majorHAnsi" w:eastAsiaTheme="majorEastAsia" w:hAnsiTheme="majorHAnsi" w:cstheme="majorBidi"/>
      <w:b/>
      <w:iCs/>
      <w:color w:val="237AAB" w:themeColor="accent1"/>
      <w:kern w:val="18"/>
      <w:sz w:val="24"/>
    </w:rPr>
  </w:style>
  <w:style w:type="character" w:styleId="UnresolvedMention">
    <w:name w:val="Unresolved Mention"/>
    <w:basedOn w:val="DefaultParagraphFont"/>
    <w:uiPriority w:val="99"/>
    <w:semiHidden/>
    <w:unhideWhenUsed/>
    <w:rsid w:val="00DA2E1A"/>
    <w:rPr>
      <w:color w:val="605E5C"/>
      <w:shd w:val="clear" w:color="auto" w:fill="E1DFDD"/>
    </w:rPr>
  </w:style>
  <w:style w:type="table" w:styleId="GridTable4">
    <w:name w:val="Grid Table 4"/>
    <w:basedOn w:val="TableNormal"/>
    <w:uiPriority w:val="49"/>
    <w:rsid w:val="00DA2E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DA2E1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DA2E1A"/>
    <w:pPr>
      <w:spacing w:after="100"/>
      <w:ind w:left="442"/>
    </w:pPr>
  </w:style>
  <w:style w:type="paragraph" w:styleId="TOC5">
    <w:name w:val="toc 5"/>
    <w:basedOn w:val="Normal"/>
    <w:next w:val="Normal"/>
    <w:autoRedefine/>
    <w:uiPriority w:val="39"/>
    <w:unhideWhenUsed/>
    <w:rsid w:val="00DA2E1A"/>
    <w:pPr>
      <w:spacing w:after="100"/>
      <w:ind w:left="601"/>
    </w:pPr>
  </w:style>
  <w:style w:type="paragraph" w:styleId="ListBullet">
    <w:name w:val="List Bullet"/>
    <w:basedOn w:val="Normal"/>
    <w:uiPriority w:val="99"/>
    <w:unhideWhenUsed/>
    <w:rsid w:val="00DA2E1A"/>
    <w:pPr>
      <w:numPr>
        <w:numId w:val="4"/>
      </w:numPr>
      <w:ind w:left="567" w:hanging="567"/>
      <w:contextualSpacing/>
    </w:pPr>
  </w:style>
  <w:style w:type="paragraph" w:styleId="ListBullet2">
    <w:name w:val="List Bullet 2"/>
    <w:basedOn w:val="Normal"/>
    <w:uiPriority w:val="99"/>
    <w:semiHidden/>
    <w:unhideWhenUsed/>
    <w:rsid w:val="00DA2E1A"/>
    <w:pPr>
      <w:numPr>
        <w:numId w:val="5"/>
      </w:numPr>
      <w:ind w:left="567" w:hanging="567"/>
      <w:contextualSpacing/>
    </w:pPr>
  </w:style>
  <w:style w:type="character" w:customStyle="1" w:styleId="Heading8Char">
    <w:name w:val="Heading 8 Char"/>
    <w:basedOn w:val="DefaultParagraphFont"/>
    <w:link w:val="Heading8"/>
    <w:uiPriority w:val="9"/>
    <w:rsid w:val="00DA2E1A"/>
    <w:rPr>
      <w:rFonts w:asciiTheme="majorHAnsi" w:eastAsiaTheme="majorEastAsia" w:hAnsiTheme="majorHAnsi" w:cstheme="majorBidi"/>
      <w:color w:val="272727" w:themeColor="text1" w:themeTint="D8"/>
      <w:kern w:val="18"/>
      <w:sz w:val="24"/>
      <w:szCs w:val="21"/>
    </w:rPr>
  </w:style>
  <w:style w:type="character" w:styleId="CommentReference">
    <w:name w:val="annotation reference"/>
    <w:basedOn w:val="DefaultParagraphFont"/>
    <w:uiPriority w:val="99"/>
    <w:semiHidden/>
    <w:unhideWhenUsed/>
    <w:rsid w:val="00DA2E1A"/>
    <w:rPr>
      <w:sz w:val="16"/>
      <w:szCs w:val="16"/>
    </w:rPr>
  </w:style>
  <w:style w:type="paragraph" w:styleId="CommentText">
    <w:name w:val="annotation text"/>
    <w:basedOn w:val="Normal"/>
    <w:link w:val="CommentTextChar"/>
    <w:uiPriority w:val="99"/>
    <w:semiHidden/>
    <w:rsid w:val="00DA2E1A"/>
    <w:rPr>
      <w:szCs w:val="20"/>
    </w:rPr>
  </w:style>
  <w:style w:type="character" w:customStyle="1" w:styleId="CommentTextChar">
    <w:name w:val="Comment Text Char"/>
    <w:basedOn w:val="DefaultParagraphFont"/>
    <w:link w:val="CommentText"/>
    <w:uiPriority w:val="99"/>
    <w:semiHidden/>
    <w:rsid w:val="00DA2E1A"/>
    <w:rPr>
      <w:kern w:val="18"/>
      <w:sz w:val="24"/>
      <w:szCs w:val="20"/>
    </w:rPr>
  </w:style>
  <w:style w:type="paragraph" w:styleId="CommentSubject">
    <w:name w:val="annotation subject"/>
    <w:basedOn w:val="CommentText"/>
    <w:next w:val="CommentText"/>
    <w:link w:val="CommentSubjectChar"/>
    <w:uiPriority w:val="99"/>
    <w:semiHidden/>
    <w:unhideWhenUsed/>
    <w:rsid w:val="00DA2E1A"/>
    <w:rPr>
      <w:b/>
      <w:bCs/>
    </w:rPr>
  </w:style>
  <w:style w:type="character" w:customStyle="1" w:styleId="CommentSubjectChar">
    <w:name w:val="Comment Subject Char"/>
    <w:basedOn w:val="CommentTextChar"/>
    <w:link w:val="CommentSubject"/>
    <w:uiPriority w:val="99"/>
    <w:semiHidden/>
    <w:rsid w:val="00DA2E1A"/>
    <w:rPr>
      <w:b/>
      <w:bCs/>
      <w:kern w:val="18"/>
      <w:sz w:val="24"/>
      <w:szCs w:val="20"/>
    </w:rPr>
  </w:style>
  <w:style w:type="paragraph" w:styleId="Title">
    <w:name w:val="Title"/>
    <w:basedOn w:val="Normal"/>
    <w:next w:val="Normal"/>
    <w:link w:val="TitleChar"/>
    <w:uiPriority w:val="10"/>
    <w:semiHidden/>
    <w:rsid w:val="00DA2E1A"/>
    <w:pPr>
      <w:contextualSpacing/>
      <w:outlineLvl w:val="0"/>
    </w:pPr>
    <w:rPr>
      <w:rFonts w:asciiTheme="majorHAnsi" w:eastAsiaTheme="majorEastAsia" w:hAnsiTheme="majorHAnsi" w:cstheme="majorBidi"/>
      <w:color w:val="237AAB" w:themeColor="accent1"/>
      <w:spacing w:val="-10"/>
      <w:kern w:val="28"/>
      <w:sz w:val="72"/>
      <w:szCs w:val="72"/>
    </w:rPr>
  </w:style>
  <w:style w:type="character" w:customStyle="1" w:styleId="TitleChar">
    <w:name w:val="Title Char"/>
    <w:basedOn w:val="DefaultParagraphFont"/>
    <w:link w:val="Title"/>
    <w:uiPriority w:val="10"/>
    <w:semiHidden/>
    <w:rsid w:val="00DA2E1A"/>
    <w:rPr>
      <w:rFonts w:asciiTheme="majorHAnsi" w:eastAsiaTheme="majorEastAsia" w:hAnsiTheme="majorHAnsi" w:cstheme="majorBidi"/>
      <w:color w:val="237AAB" w:themeColor="accent1"/>
      <w:spacing w:val="-10"/>
      <w:kern w:val="28"/>
      <w:sz w:val="72"/>
      <w:szCs w:val="72"/>
    </w:rPr>
  </w:style>
  <w:style w:type="paragraph" w:styleId="Revision">
    <w:name w:val="Revision"/>
    <w:hidden/>
    <w:uiPriority w:val="99"/>
    <w:semiHidden/>
    <w:rsid w:val="00DA2E1A"/>
    <w:pPr>
      <w:spacing w:after="0" w:line="240" w:lineRule="auto"/>
    </w:pPr>
    <w:rPr>
      <w:sz w:val="20"/>
    </w:rPr>
  </w:style>
  <w:style w:type="table" w:styleId="ListTable3-Accent1">
    <w:name w:val="List Table 3 Accent 1"/>
    <w:basedOn w:val="TableNormal"/>
    <w:uiPriority w:val="48"/>
    <w:rsid w:val="00DA2E1A"/>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customStyle="1" w:styleId="Tagline">
    <w:name w:val="Tagline"/>
    <w:basedOn w:val="Normal"/>
    <w:rsid w:val="00DA2E1A"/>
    <w:rPr>
      <w:bCs/>
      <w:iCs/>
      <w:color w:val="237AAB" w:themeColor="accent1"/>
      <w:szCs w:val="20"/>
    </w:rPr>
  </w:style>
  <w:style w:type="paragraph" w:customStyle="1" w:styleId="URL">
    <w:name w:val="URL"/>
    <w:basedOn w:val="Normal"/>
    <w:rsid w:val="00DA2E1A"/>
    <w:pPr>
      <w:spacing w:before="240"/>
    </w:pPr>
    <w:rPr>
      <w:iCs/>
      <w:color w:val="1D405A" w:themeColor="text2"/>
      <w:sz w:val="32"/>
      <w:szCs w:val="24"/>
    </w:rPr>
  </w:style>
  <w:style w:type="character" w:customStyle="1" w:styleId="ListParagraphChar">
    <w:name w:val="List Paragraph Char"/>
    <w:aliases w:val="~List Paragraph Char"/>
    <w:basedOn w:val="DefaultParagraphFont"/>
    <w:link w:val="ListParagraph"/>
    <w:uiPriority w:val="34"/>
    <w:rsid w:val="00BB5084"/>
    <w:rPr>
      <w:kern w:val="18"/>
      <w:sz w:val="24"/>
    </w:rPr>
  </w:style>
  <w:style w:type="paragraph" w:styleId="FootnoteText">
    <w:name w:val="footnote text"/>
    <w:basedOn w:val="Normal"/>
    <w:link w:val="FootnoteTextChar"/>
    <w:rsid w:val="00DA2E1A"/>
    <w:pPr>
      <w:spacing w:before="60" w:after="60"/>
    </w:pPr>
    <w:rPr>
      <w:kern w:val="0"/>
      <w:sz w:val="20"/>
      <w:szCs w:val="20"/>
    </w:rPr>
  </w:style>
  <w:style w:type="character" w:customStyle="1" w:styleId="FootnoteTextChar">
    <w:name w:val="Footnote Text Char"/>
    <w:basedOn w:val="DefaultParagraphFont"/>
    <w:link w:val="FootnoteText"/>
    <w:rsid w:val="00DA2E1A"/>
    <w:rPr>
      <w:sz w:val="20"/>
      <w:szCs w:val="20"/>
    </w:rPr>
  </w:style>
  <w:style w:type="character" w:styleId="FootnoteReference">
    <w:name w:val="footnote reference"/>
    <w:basedOn w:val="DefaultParagraphFont"/>
    <w:rsid w:val="00DA2E1A"/>
    <w:rPr>
      <w:vertAlign w:val="superscript"/>
    </w:rPr>
  </w:style>
  <w:style w:type="paragraph" w:customStyle="1" w:styleId="Source">
    <w:name w:val="Source"/>
    <w:basedOn w:val="Normal"/>
    <w:qFormat/>
    <w:rsid w:val="00DA2E1A"/>
    <w:pPr>
      <w:spacing w:after="240"/>
      <w:contextualSpacing/>
    </w:pPr>
    <w:rPr>
      <w:sz w:val="20"/>
    </w:rPr>
  </w:style>
  <w:style w:type="paragraph" w:customStyle="1" w:styleId="italic">
    <w:name w:val="italic"/>
    <w:basedOn w:val="Normal"/>
    <w:link w:val="italicChar"/>
    <w:rsid w:val="004C52EF"/>
    <w:rPr>
      <w:rFonts w:ascii="Arial" w:eastAsia="Times New Roman" w:hAnsi="Arial" w:cs="Times New Roman"/>
      <w:i/>
      <w:kern w:val="0"/>
      <w:sz w:val="20"/>
      <w:szCs w:val="24"/>
    </w:rPr>
  </w:style>
  <w:style w:type="character" w:customStyle="1" w:styleId="italicChar">
    <w:name w:val="italic Char"/>
    <w:link w:val="italic"/>
    <w:rsid w:val="004C52EF"/>
    <w:rPr>
      <w:rFonts w:ascii="Arial" w:eastAsia="Times New Roman" w:hAnsi="Arial" w:cs="Times New Roman"/>
      <w: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354431514">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818889168">
      <w:bodyDiv w:val="1"/>
      <w:marLeft w:val="0"/>
      <w:marRight w:val="0"/>
      <w:marTop w:val="0"/>
      <w:marBottom w:val="0"/>
      <w:divBdr>
        <w:top w:val="none" w:sz="0" w:space="0" w:color="auto"/>
        <w:left w:val="none" w:sz="0" w:space="0" w:color="auto"/>
        <w:bottom w:val="none" w:sz="0" w:space="0" w:color="auto"/>
        <w:right w:val="none" w:sz="0" w:space="0" w:color="auto"/>
      </w:divBdr>
      <w:divsChild>
        <w:div w:id="1014235431">
          <w:marLeft w:val="0"/>
          <w:marRight w:val="0"/>
          <w:marTop w:val="0"/>
          <w:marBottom w:val="336"/>
          <w:divBdr>
            <w:top w:val="none" w:sz="0" w:space="0" w:color="auto"/>
            <w:left w:val="none" w:sz="0" w:space="0" w:color="auto"/>
            <w:bottom w:val="none" w:sz="0" w:space="0" w:color="auto"/>
            <w:right w:val="none" w:sz="0" w:space="0" w:color="auto"/>
          </w:divBdr>
        </w:div>
      </w:divsChild>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29977586">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47742109">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dustry.gov.au/atrc/apply-anti-dumping-or-countervailing-duties-measure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industry.gov.au/sites/default/files/2019-09/adc-guidelines-for-publication-of-dumping-and-or-countervailing-duty-notices.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ustry.gov.au/sites/default/files/2021-12/dumping_and_subsidy_manual_-_december_2021.docx"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industry.gov.au/sites/default/files/2021-12/dumping_and_subsidy_manual_-_december_2021.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clientsupport@atrc.gov.au"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1901</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2026-09-29T04:13:00Z</dcterms:created>
  <dcterms:modified xsi:type="dcterms:W3CDTF">2026-09-29T04:13:00Z</dcterms:modified>
</cp:coreProperties>
</file>