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0E456113" w:rsidR="00D0286C" w:rsidRPr="0038406E" w:rsidRDefault="00BB5084" w:rsidP="007329EC">
      <w:pPr>
        <w:pStyle w:val="Heading1"/>
      </w:pPr>
      <w:r w:rsidRPr="007329EC">
        <w:t xml:space="preserve">How to apply for </w:t>
      </w:r>
      <w:r w:rsidR="006D296A">
        <w:t>the</w:t>
      </w:r>
      <w:r w:rsidR="00B35235">
        <w:t xml:space="preserve"> continuation of measures</w:t>
      </w:r>
    </w:p>
    <w:p w14:paraId="6F990417" w14:textId="6786082D" w:rsidR="00D0286C" w:rsidRPr="0038406E" w:rsidRDefault="00BB5084" w:rsidP="007329EC">
      <w:pPr>
        <w:pStyle w:val="Subtitle"/>
        <w:rPr>
          <w:bCs/>
          <w:iCs/>
          <w:sz w:val="26"/>
          <w:szCs w:val="26"/>
        </w:rPr>
      </w:pPr>
      <w:r w:rsidRPr="00BB5084">
        <w:t xml:space="preserve">Instructions and guidelines for </w:t>
      </w:r>
      <w:r w:rsidRPr="007329EC">
        <w:t>applicants</w:t>
      </w:r>
    </w:p>
    <w:p w14:paraId="5C3ED8EB" w14:textId="42B95278" w:rsidR="00D0286C" w:rsidRDefault="0095489E" w:rsidP="007329EC">
      <w:pPr>
        <w:pStyle w:val="Authoranddate"/>
      </w:pPr>
      <w:r>
        <w:t>September 2026</w:t>
      </w:r>
    </w:p>
    <w:p w14:paraId="68EDD668" w14:textId="0DF7A84D" w:rsidR="00743CBC" w:rsidRDefault="00743CBC" w:rsidP="00743CBC">
      <w:pPr>
        <w:pStyle w:val="Calloutbox"/>
        <w:ind w:left="2160" w:hanging="2160"/>
      </w:pPr>
      <w:r w:rsidRPr="001868CB">
        <w:rPr>
          <w:b/>
          <w:bCs/>
        </w:rPr>
        <w:t>Purpose</w:t>
      </w:r>
      <w:r>
        <w:t>:</w:t>
      </w:r>
      <w:r>
        <w:tab/>
        <w:t xml:space="preserve">To provide guidance to applicants </w:t>
      </w:r>
      <w:r w:rsidR="000612D6">
        <w:t>preparing</w:t>
      </w:r>
      <w:r>
        <w:t xml:space="preserve"> the application form for </w:t>
      </w:r>
      <w:r w:rsidR="000612D6" w:rsidRPr="000612D6">
        <w:t>continuation of measures</w:t>
      </w:r>
    </w:p>
    <w:p w14:paraId="07473C29" w14:textId="77777777" w:rsidR="00743CBC" w:rsidRDefault="00743CBC" w:rsidP="00743CBC">
      <w:pPr>
        <w:pStyle w:val="Calloutbox"/>
        <w:ind w:left="2160" w:hanging="2160"/>
      </w:pPr>
      <w:r w:rsidRPr="001868CB">
        <w:rPr>
          <w:b/>
          <w:bCs/>
        </w:rPr>
        <w:t>Owner</w:t>
      </w:r>
      <w:r>
        <w:t>:</w:t>
      </w:r>
      <w:r>
        <w:tab/>
        <w:t>The Commissioner of the Australian Trade Remedies Commission</w:t>
      </w:r>
    </w:p>
    <w:p w14:paraId="52DBA558" w14:textId="77777777" w:rsidR="00743CBC" w:rsidRDefault="00743CBC" w:rsidP="00743CBC">
      <w:pPr>
        <w:pStyle w:val="Calloutbox"/>
      </w:pPr>
      <w:r w:rsidRPr="001868CB">
        <w:rPr>
          <w:b/>
          <w:bCs/>
        </w:rPr>
        <w:t>Contact</w:t>
      </w:r>
      <w:r>
        <w:t xml:space="preserve">: </w:t>
      </w:r>
      <w:r>
        <w:tab/>
      </w:r>
      <w:r>
        <w:tab/>
        <w:t>Mail to:</w:t>
      </w:r>
    </w:p>
    <w:p w14:paraId="4F630080" w14:textId="77777777" w:rsidR="00743CBC" w:rsidRDefault="00743CBC" w:rsidP="00743CBC">
      <w:pPr>
        <w:pStyle w:val="Calloutbox"/>
        <w:ind w:left="2160" w:hanging="2160"/>
      </w:pPr>
      <w:r>
        <w:tab/>
        <w:t>The Commissioner of the Australian Trade Remedies Commission</w:t>
      </w:r>
    </w:p>
    <w:p w14:paraId="24171F0B" w14:textId="77777777" w:rsidR="00743CBC" w:rsidRDefault="00743CBC" w:rsidP="00743CBC">
      <w:pPr>
        <w:pStyle w:val="Calloutbox"/>
      </w:pPr>
      <w:r>
        <w:tab/>
      </w:r>
      <w:r>
        <w:tab/>
      </w:r>
      <w:r>
        <w:tab/>
        <w:t>GPO BOX 2013</w:t>
      </w:r>
    </w:p>
    <w:p w14:paraId="260EBC18" w14:textId="77777777" w:rsidR="00743CBC" w:rsidRDefault="00743CBC" w:rsidP="00743CBC">
      <w:pPr>
        <w:pStyle w:val="Calloutbox"/>
      </w:pPr>
      <w:r>
        <w:tab/>
      </w:r>
      <w:r>
        <w:tab/>
      </w:r>
      <w:r>
        <w:tab/>
        <w:t>Canberra ACT 2601</w:t>
      </w:r>
    </w:p>
    <w:p w14:paraId="1E52A90E" w14:textId="77777777" w:rsidR="00743CBC" w:rsidRDefault="00743CBC" w:rsidP="00743CBC">
      <w:pPr>
        <w:pStyle w:val="Calloutbox"/>
      </w:pPr>
      <w:r>
        <w:tab/>
      </w:r>
      <w:r>
        <w:tab/>
      </w:r>
      <w:r>
        <w:tab/>
        <w:t>AUSTRALIA</w:t>
      </w:r>
    </w:p>
    <w:p w14:paraId="642C4ABC" w14:textId="77777777" w:rsidR="00743CBC" w:rsidRDefault="00743CBC" w:rsidP="00743CBC">
      <w:pPr>
        <w:pStyle w:val="Calloutbox"/>
      </w:pPr>
      <w:r>
        <w:tab/>
      </w:r>
      <w:r>
        <w:tab/>
      </w:r>
      <w:r>
        <w:tab/>
        <w:t>Phone: 13 28 46 or +61 2 6213 6000 (outside Australia)</w:t>
      </w:r>
    </w:p>
    <w:p w14:paraId="123C0789" w14:textId="77777777" w:rsidR="00743CBC" w:rsidRDefault="00743CBC" w:rsidP="00743CBC">
      <w:pPr>
        <w:pStyle w:val="Calloutbox"/>
      </w:pPr>
      <w:r>
        <w:tab/>
      </w:r>
      <w:r>
        <w:tab/>
      </w:r>
      <w:r>
        <w:tab/>
        <w:t xml:space="preserve">Email: </w:t>
      </w:r>
      <w:r>
        <w:tab/>
      </w:r>
      <w:hyperlink r:id="rId9" w:history="1">
        <w:r w:rsidRPr="00AC755B">
          <w:rPr>
            <w:rStyle w:val="Hyperlink"/>
          </w:rPr>
          <w:t>clientsupport@atrc.gov.au</w:t>
        </w:r>
      </w:hyperlink>
    </w:p>
    <w:p w14:paraId="147D23E8" w14:textId="77777777" w:rsidR="00FA4E28" w:rsidRDefault="00FA4E28" w:rsidP="007329EC">
      <w:pPr>
        <w:pStyle w:val="Authoranddate"/>
      </w:pPr>
    </w:p>
    <w:p w14:paraId="3CE7BB1E" w14:textId="77777777" w:rsidR="00743CBC" w:rsidRDefault="00743CBC" w:rsidP="007329EC">
      <w:pPr>
        <w:pStyle w:val="Authoranddate"/>
      </w:pPr>
    </w:p>
    <w:p w14:paraId="5DCD32F3" w14:textId="77777777" w:rsidR="00FA4E28" w:rsidRPr="007329EC" w:rsidRDefault="00FA4E28" w:rsidP="00743CBC">
      <w:pPr>
        <w:pStyle w:val="Authoranddate"/>
        <w:spacing w:before="0" w:after="0"/>
      </w:pPr>
    </w:p>
    <w:p w14:paraId="76AE6B47" w14:textId="77777777" w:rsidR="007329EC" w:rsidRDefault="007329EC">
      <w:pPr>
        <w:spacing w:before="0" w:after="160" w:line="259" w:lineRule="auto"/>
        <w:rPr>
          <w:highlight w:val="yellow"/>
        </w:rPr>
      </w:pPr>
      <w:bookmarkStart w:id="1" w:name="_Hlk158040788"/>
      <w:bookmarkEnd w:id="0"/>
      <w:r>
        <w:rPr>
          <w:highlight w:val="yellow"/>
        </w:rPr>
        <w:br w:type="page"/>
      </w:r>
    </w:p>
    <w:p w14:paraId="0C997391" w14:textId="51B1E617" w:rsidR="00BB5084" w:rsidRDefault="00724E23" w:rsidP="00BB5084">
      <w:pPr>
        <w:pStyle w:val="Heading2"/>
      </w:pPr>
      <w:r>
        <w:lastRenderedPageBreak/>
        <w:t>Introduction</w:t>
      </w:r>
    </w:p>
    <w:p w14:paraId="63B9B6E1" w14:textId="77777777" w:rsidR="00805552" w:rsidRPr="004F1094" w:rsidRDefault="00805552" w:rsidP="004F1094">
      <w:pPr>
        <w:rPr>
          <w:rFonts w:eastAsiaTheme="minorEastAsia" w:cs="Arial"/>
          <w:szCs w:val="24"/>
          <w:lang w:eastAsia="en-AU"/>
        </w:rPr>
      </w:pPr>
      <w:bookmarkStart w:id="2" w:name="_Toc195426"/>
      <w:bookmarkStart w:id="3" w:name="_Toc906668972"/>
      <w:r w:rsidRPr="004F1094">
        <w:rPr>
          <w:rFonts w:eastAsiaTheme="minorEastAsia" w:cs="Arial"/>
          <w:szCs w:val="24"/>
          <w:lang w:eastAsia="en-AU"/>
        </w:rPr>
        <w:t>These Instructions and Guidelines are available to assist applicants to prepare an application for the continuation of measures.</w:t>
      </w:r>
    </w:p>
    <w:p w14:paraId="3BF4DA00" w14:textId="55568041" w:rsidR="00805552" w:rsidRPr="00285DC7" w:rsidRDefault="00805552" w:rsidP="00285DC7">
      <w:pPr>
        <w:rPr>
          <w:rFonts w:eastAsiaTheme="minorEastAsia" w:cs="Arial"/>
          <w:szCs w:val="24"/>
          <w:lang w:eastAsia="en-AU"/>
        </w:rPr>
      </w:pPr>
      <w:r w:rsidRPr="004F1094">
        <w:rPr>
          <w:rFonts w:eastAsiaTheme="minorEastAsia" w:cs="Arial"/>
          <w:szCs w:val="24"/>
          <w:lang w:eastAsia="en-AU"/>
        </w:rPr>
        <w:t>Applicants should read these Guidelines in conjunction with other publicly available documents on the Australian Trade Remedies Commission (the Commission) website, including the Dumping and Subsidy Manual.</w:t>
      </w:r>
    </w:p>
    <w:p w14:paraId="38488FAA" w14:textId="77777777" w:rsidR="004F1094" w:rsidRPr="004F1094" w:rsidRDefault="004F1094" w:rsidP="004F1094">
      <w:pPr>
        <w:rPr>
          <w:rFonts w:eastAsiaTheme="minorEastAsia" w:cs="Arial"/>
          <w:szCs w:val="24"/>
          <w:lang w:eastAsia="en-AU"/>
        </w:rPr>
      </w:pPr>
      <w:r w:rsidRPr="004F1094">
        <w:rPr>
          <w:rFonts w:eastAsiaTheme="minorEastAsia" w:cs="Arial"/>
          <w:szCs w:val="24"/>
          <w:lang w:eastAsia="en-AU"/>
        </w:rPr>
        <w:t>The Guidelines cover the following topics:</w:t>
      </w:r>
    </w:p>
    <w:p w14:paraId="52BC34C3" w14:textId="77777777" w:rsidR="004F1094" w:rsidRPr="004F1094" w:rsidRDefault="004F1094" w:rsidP="004F1094">
      <w:pPr>
        <w:numPr>
          <w:ilvl w:val="0"/>
          <w:numId w:val="29"/>
        </w:numPr>
        <w:rPr>
          <w:rFonts w:eastAsiaTheme="minorEastAsia" w:cs="Arial"/>
          <w:szCs w:val="24"/>
          <w:lang w:eastAsia="en-AU"/>
        </w:rPr>
      </w:pPr>
      <w:r w:rsidRPr="004F1094">
        <w:rPr>
          <w:rFonts w:eastAsiaTheme="minorEastAsia" w:cs="Arial"/>
          <w:szCs w:val="24"/>
          <w:lang w:eastAsia="en-AU"/>
        </w:rPr>
        <w:t>Background</w:t>
      </w:r>
    </w:p>
    <w:p w14:paraId="19410C09" w14:textId="77777777" w:rsidR="004F1094" w:rsidRPr="004F1094" w:rsidRDefault="004F1094" w:rsidP="004F1094">
      <w:pPr>
        <w:numPr>
          <w:ilvl w:val="0"/>
          <w:numId w:val="29"/>
        </w:numPr>
        <w:rPr>
          <w:rFonts w:eastAsiaTheme="minorEastAsia" w:cs="Arial"/>
          <w:szCs w:val="24"/>
          <w:lang w:eastAsia="en-AU"/>
        </w:rPr>
      </w:pPr>
      <w:r w:rsidRPr="004F1094">
        <w:rPr>
          <w:rFonts w:eastAsiaTheme="minorEastAsia" w:cs="Arial"/>
          <w:szCs w:val="24"/>
          <w:lang w:eastAsia="en-AU"/>
        </w:rPr>
        <w:t xml:space="preserve">Assistance with the application </w:t>
      </w:r>
    </w:p>
    <w:p w14:paraId="6F777E06" w14:textId="77777777" w:rsidR="004F1094" w:rsidRPr="004F1094" w:rsidRDefault="004F1094" w:rsidP="004F1094">
      <w:pPr>
        <w:numPr>
          <w:ilvl w:val="0"/>
          <w:numId w:val="29"/>
        </w:numPr>
        <w:rPr>
          <w:rFonts w:eastAsiaTheme="minorEastAsia" w:cs="Arial"/>
          <w:szCs w:val="24"/>
          <w:lang w:eastAsia="en-AU"/>
        </w:rPr>
      </w:pPr>
      <w:r w:rsidRPr="004F1094">
        <w:rPr>
          <w:rFonts w:eastAsiaTheme="minorEastAsia" w:cs="Arial"/>
          <w:szCs w:val="24"/>
          <w:lang w:eastAsia="en-AU"/>
        </w:rPr>
        <w:t>The inquiry process</w:t>
      </w:r>
    </w:p>
    <w:p w14:paraId="66E5195F" w14:textId="0BC829D7" w:rsidR="00D51BF5" w:rsidRPr="00285DC7" w:rsidRDefault="004F1094" w:rsidP="00D51BF5">
      <w:pPr>
        <w:numPr>
          <w:ilvl w:val="0"/>
          <w:numId w:val="29"/>
        </w:numPr>
        <w:rPr>
          <w:rFonts w:eastAsiaTheme="minorEastAsia" w:cs="Arial"/>
          <w:szCs w:val="24"/>
          <w:lang w:eastAsia="en-AU"/>
        </w:rPr>
      </w:pPr>
      <w:r w:rsidRPr="004F1094">
        <w:rPr>
          <w:rFonts w:eastAsiaTheme="minorEastAsia" w:cs="Arial"/>
          <w:szCs w:val="24"/>
          <w:lang w:eastAsia="en-AU"/>
        </w:rPr>
        <w:t>Reasons for continuation (including will the dumping and subsidisation continue or recur; and will the material injury recur).</w:t>
      </w:r>
    </w:p>
    <w:p w14:paraId="1DB3CBC7" w14:textId="77777777" w:rsidR="00D51BF5" w:rsidRDefault="00D51BF5" w:rsidP="00D51BF5">
      <w:pPr>
        <w:pStyle w:val="Heading2"/>
        <w:rPr>
          <w:rFonts w:eastAsia="Arial"/>
        </w:rPr>
      </w:pPr>
      <w:bookmarkStart w:id="4" w:name="_Toc240544354"/>
      <w:r w:rsidRPr="0C4142D1">
        <w:rPr>
          <w:rFonts w:eastAsia="Arial"/>
        </w:rPr>
        <w:t>Approval and version history</w:t>
      </w:r>
      <w:bookmarkEnd w:id="4"/>
    </w:p>
    <w:tbl>
      <w:tblPr>
        <w:tblW w:w="0" w:type="auto"/>
        <w:tblLayout w:type="fixed"/>
        <w:tblLook w:val="01E0" w:firstRow="1" w:lastRow="1" w:firstColumn="1" w:lastColumn="1" w:noHBand="0" w:noVBand="0"/>
      </w:tblPr>
      <w:tblGrid>
        <w:gridCol w:w="1234"/>
        <w:gridCol w:w="2158"/>
        <w:gridCol w:w="1701"/>
        <w:gridCol w:w="3828"/>
      </w:tblGrid>
      <w:tr w:rsidR="00D51BF5" w14:paraId="2D2CF855" w14:textId="77777777" w:rsidTr="00333B1A">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vAlign w:val="center"/>
          </w:tcPr>
          <w:p w14:paraId="159D53C2" w14:textId="77777777" w:rsidR="00D51BF5" w:rsidRDefault="00D51BF5" w:rsidP="00333B1A">
            <w:r w:rsidRPr="00F8048B">
              <w:rPr>
                <w:b/>
                <w:bCs/>
              </w:rPr>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A2F15F" w14:textId="77777777" w:rsidR="00D51BF5" w:rsidRDefault="00D51BF5" w:rsidP="00333B1A">
            <w:r w:rsidRPr="00F8048B">
              <w:rPr>
                <w:b/>
                <w:bCs/>
              </w:rPr>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vAlign w:val="center"/>
          </w:tcPr>
          <w:p w14:paraId="3912B6AF" w14:textId="77777777" w:rsidR="00D51BF5" w:rsidRDefault="00D51BF5" w:rsidP="00333B1A">
            <w:r w:rsidRPr="00F8048B">
              <w:rPr>
                <w:b/>
                <w:bCs/>
              </w:rPr>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F72401" w14:textId="77777777" w:rsidR="00D51BF5" w:rsidRDefault="00D51BF5" w:rsidP="00333B1A">
            <w:r w:rsidRPr="00F8048B">
              <w:rPr>
                <w:b/>
                <w:bCs/>
              </w:rPr>
              <w:t>Approver</w:t>
            </w:r>
          </w:p>
        </w:tc>
      </w:tr>
      <w:tr w:rsidR="00D51BF5" w14:paraId="05AC9FF4" w14:textId="77777777" w:rsidTr="00333B1A">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13F90AC" w14:textId="77777777" w:rsidR="00D51BF5" w:rsidRDefault="00D51BF5" w:rsidP="00333B1A">
            <w:r w:rsidRPr="0024357B">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6E9DEE5F" w14:textId="77777777" w:rsidR="00D51BF5" w:rsidRDefault="00D51BF5" w:rsidP="00333B1A">
            <w:r>
              <w:rPr>
                <w:bCs/>
              </w:rPr>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BCEB530" w14:textId="77777777" w:rsidR="00D51BF5" w:rsidRDefault="00D51BF5" w:rsidP="00333B1A">
            <w:r w:rsidRPr="00167AF7">
              <w:rPr>
                <w:rFonts w:cs="Arial"/>
                <w:szCs w:val="20"/>
              </w:rPr>
              <w:t>September 2019</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0409C3E3" w14:textId="77777777" w:rsidR="00D51BF5" w:rsidRDefault="00D51BF5" w:rsidP="00333B1A">
            <w:r>
              <w:rPr>
                <w:bCs/>
              </w:rPr>
              <w:t>Paul Sexton - General Manager Anti-Dumping Commission</w:t>
            </w:r>
          </w:p>
        </w:tc>
      </w:tr>
      <w:tr w:rsidR="00D51BF5" w14:paraId="629099E1" w14:textId="77777777" w:rsidTr="00333B1A">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A8107DE" w14:textId="77777777" w:rsidR="00D51BF5" w:rsidRDefault="00D51BF5" w:rsidP="00333B1A">
            <w:r w:rsidRPr="0024357B">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53179A47" w14:textId="77777777" w:rsidR="00D51BF5" w:rsidRDefault="00D51BF5" w:rsidP="00333B1A">
            <w:r>
              <w:rPr>
                <w:bCs/>
              </w:rPr>
              <w:t>Contact details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B866C56" w14:textId="77777777" w:rsidR="00D51BF5" w:rsidRDefault="00D51BF5" w:rsidP="00333B1A">
            <w:r w:rsidRPr="00E03790">
              <w:rPr>
                <w:bCs/>
              </w:rPr>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EF6F136" w14:textId="77777777" w:rsidR="00D51BF5" w:rsidRDefault="00D51BF5" w:rsidP="00333B1A">
            <w:r>
              <w:rPr>
                <w:bCs/>
              </w:rPr>
              <w:t>Isolde Lueckenhausen – Acting Commissioner of the Anti-Dumping Commission</w:t>
            </w:r>
          </w:p>
        </w:tc>
      </w:tr>
      <w:tr w:rsidR="00D51BF5" w14:paraId="531A4C48" w14:textId="77777777" w:rsidTr="00333B1A">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1887892" w14:textId="5A263F56" w:rsidR="00D51BF5" w:rsidRPr="0056488A" w:rsidRDefault="00D51BF5" w:rsidP="00333B1A">
            <w:pPr>
              <w:rPr>
                <w:szCs w:val="24"/>
              </w:rPr>
            </w:pPr>
            <w:r w:rsidRPr="0056488A">
              <w:rPr>
                <w:rFonts w:eastAsiaTheme="minorEastAsia"/>
                <w:szCs w:val="24"/>
              </w:rPr>
              <w:t>1.</w:t>
            </w:r>
            <w:r w:rsidR="00F12E43">
              <w:rPr>
                <w:rFonts w:eastAsiaTheme="minorEastAsia"/>
                <w:szCs w:val="24"/>
              </w:rPr>
              <w:t>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B866E4D" w14:textId="77777777" w:rsidR="00D51BF5" w:rsidRPr="0056488A" w:rsidRDefault="00D51BF5" w:rsidP="00333B1A">
            <w:pPr>
              <w:rPr>
                <w:bCs/>
                <w:szCs w:val="24"/>
              </w:rPr>
            </w:pPr>
            <w:r w:rsidRPr="0056488A">
              <w:rPr>
                <w:rFonts w:eastAsiaTheme="minorEastAsia"/>
                <w:bCs/>
                <w:szCs w:val="24"/>
              </w:rPr>
              <w:t xml:space="preserve">Commission </w:t>
            </w:r>
            <w:r w:rsidRPr="0056488A">
              <w:rPr>
                <w:bCs/>
                <w:szCs w:val="24"/>
              </w:rPr>
              <w:t xml:space="preserve">name change - </w:t>
            </w:r>
            <w:r w:rsidRPr="0056488A">
              <w:rPr>
                <w:rFonts w:eastAsiaTheme="minorEastAsia"/>
                <w:bCs/>
                <w:szCs w:val="24"/>
              </w:rPr>
              <w:t>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F426413" w14:textId="77777777" w:rsidR="00D51BF5" w:rsidRPr="0056488A" w:rsidRDefault="00D51BF5" w:rsidP="00333B1A">
            <w:pPr>
              <w:rPr>
                <w:bCs/>
                <w:szCs w:val="24"/>
              </w:rPr>
            </w:pPr>
            <w:r w:rsidRPr="00C45EE9">
              <w:rPr>
                <w:rFonts w:eastAsiaTheme="minorEastAsia"/>
                <w:bCs/>
                <w:szCs w:val="24"/>
              </w:rPr>
              <w:t>September</w:t>
            </w:r>
            <w:r w:rsidRPr="0056488A">
              <w:rPr>
                <w:rFonts w:eastAsiaTheme="minorEastAsia"/>
                <w:bCs/>
                <w:szCs w:val="24"/>
              </w:rPr>
              <w:t xml:space="preserve">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1062085" w14:textId="5AC21DA2" w:rsidR="00D51BF5" w:rsidRPr="0056488A" w:rsidRDefault="00D7396A" w:rsidP="00333B1A">
            <w:pPr>
              <w:rPr>
                <w:bCs/>
                <w:szCs w:val="24"/>
              </w:rPr>
            </w:pPr>
            <w:r>
              <w:rPr>
                <w:rFonts w:eastAsiaTheme="minorEastAsia"/>
                <w:bCs/>
                <w:szCs w:val="24"/>
              </w:rPr>
              <w:t>Alistair McKay – Director, Australian Trade Remedies Commission</w:t>
            </w:r>
          </w:p>
        </w:tc>
      </w:tr>
    </w:tbl>
    <w:p w14:paraId="0E262663" w14:textId="77777777" w:rsidR="00D51BF5" w:rsidRPr="004F1094" w:rsidRDefault="00D51BF5" w:rsidP="00D51BF5">
      <w:pPr>
        <w:rPr>
          <w:rFonts w:eastAsiaTheme="minorEastAsia" w:cs="Arial"/>
          <w:szCs w:val="24"/>
          <w:lang w:eastAsia="en-AU"/>
        </w:rPr>
      </w:pPr>
    </w:p>
    <w:p w14:paraId="56488AA1" w14:textId="77777777" w:rsidR="00C4055A" w:rsidRDefault="00C4055A">
      <w:pPr>
        <w:spacing w:before="0" w:after="160" w:line="259" w:lineRule="auto"/>
        <w:rPr>
          <w:rFonts w:asciiTheme="majorHAnsi" w:eastAsiaTheme="majorEastAsia" w:hAnsiTheme="majorHAnsi" w:cstheme="majorBidi"/>
          <w:color w:val="1D405A" w:themeColor="text2"/>
          <w:sz w:val="48"/>
          <w:szCs w:val="48"/>
        </w:rPr>
      </w:pPr>
      <w:bookmarkStart w:id="5" w:name="_Toc6386348"/>
      <w:bookmarkStart w:id="6" w:name="_Toc240641030"/>
      <w:r>
        <w:br w:type="page"/>
      </w:r>
    </w:p>
    <w:bookmarkEnd w:id="5"/>
    <w:bookmarkEnd w:id="6"/>
    <w:p w14:paraId="17D71D7C" w14:textId="0AF494AC" w:rsidR="0090794D" w:rsidRPr="0026077D" w:rsidRDefault="0004059E" w:rsidP="00640333">
      <w:pPr>
        <w:pStyle w:val="Heading2"/>
      </w:pPr>
      <w:r>
        <w:lastRenderedPageBreak/>
        <w:t>Background</w:t>
      </w:r>
    </w:p>
    <w:p w14:paraId="31A3FE6C" w14:textId="72A4C72E" w:rsidR="00EC7368" w:rsidRPr="00EC7368" w:rsidRDefault="00EC7368" w:rsidP="00EC7368">
      <w:pPr>
        <w:rPr>
          <w:rFonts w:eastAsiaTheme="minorEastAsia" w:cs="Arial"/>
          <w:szCs w:val="24"/>
          <w:lang w:eastAsia="en-AU"/>
        </w:rPr>
      </w:pPr>
      <w:bookmarkStart w:id="7" w:name="_Toc240641031"/>
      <w:proofErr w:type="spellStart"/>
      <w:r w:rsidRPr="00867703">
        <w:rPr>
          <w:rFonts w:cs="Arial"/>
          <w:szCs w:val="24"/>
        </w:rPr>
        <w:t>Anti-dumping</w:t>
      </w:r>
      <w:proofErr w:type="spellEnd"/>
      <w:r w:rsidRPr="00867703">
        <w:rPr>
          <w:rFonts w:cs="Arial"/>
          <w:szCs w:val="24"/>
        </w:rPr>
        <w:t xml:space="preserve"> measures expire five years after the date on which they were published.</w:t>
      </w:r>
      <w:r>
        <w:rPr>
          <w:rFonts w:cs="Arial"/>
          <w:sz w:val="22"/>
        </w:rPr>
        <w:t xml:space="preserve"> </w:t>
      </w:r>
      <w:r w:rsidRPr="00EC7368">
        <w:rPr>
          <w:rFonts w:eastAsiaTheme="minorEastAsia" w:cs="Arial"/>
          <w:szCs w:val="24"/>
          <w:lang w:eastAsia="en-AU"/>
        </w:rPr>
        <w:t>‘</w:t>
      </w:r>
      <w:proofErr w:type="spellStart"/>
      <w:r w:rsidRPr="00EC7368">
        <w:rPr>
          <w:rFonts w:eastAsiaTheme="minorEastAsia" w:cs="Arial"/>
          <w:szCs w:val="24"/>
          <w:lang w:eastAsia="en-AU"/>
        </w:rPr>
        <w:t>Anti</w:t>
      </w:r>
      <w:r w:rsidRPr="00EC7368">
        <w:rPr>
          <w:rFonts w:eastAsiaTheme="minorEastAsia" w:cs="Arial"/>
          <w:szCs w:val="24"/>
          <w:lang w:eastAsia="en-AU"/>
        </w:rPr>
        <w:noBreakHyphen/>
        <w:t>dumping</w:t>
      </w:r>
      <w:proofErr w:type="spellEnd"/>
      <w:r w:rsidRPr="00EC7368">
        <w:rPr>
          <w:rFonts w:eastAsiaTheme="minorEastAsia" w:cs="Arial"/>
          <w:szCs w:val="24"/>
          <w:lang w:eastAsia="en-AU"/>
        </w:rPr>
        <w:t xml:space="preserve"> measures’ are defined to be a dumping duty notice, or a countervailing duty notice, or an undertaking.</w:t>
      </w:r>
    </w:p>
    <w:p w14:paraId="50155646" w14:textId="73FC861A" w:rsidR="00EC7368" w:rsidRPr="00EC7368" w:rsidRDefault="00EC7368" w:rsidP="00EC7368">
      <w:pPr>
        <w:rPr>
          <w:rFonts w:eastAsiaTheme="minorEastAsia" w:cs="Arial"/>
          <w:szCs w:val="24"/>
          <w:lang w:eastAsia="en-AU"/>
        </w:rPr>
      </w:pPr>
      <w:r w:rsidRPr="00EC7368">
        <w:rPr>
          <w:rFonts w:eastAsiaTheme="minorEastAsia" w:cs="Arial"/>
          <w:szCs w:val="24"/>
          <w:lang w:eastAsia="en-AU"/>
        </w:rPr>
        <w:t xml:space="preserve">The Customs Act 1901 (the Act) provides an opportunity for certain parties to seek continuation of the </w:t>
      </w:r>
      <w:proofErr w:type="spellStart"/>
      <w:r w:rsidRPr="00EC7368">
        <w:rPr>
          <w:rFonts w:eastAsiaTheme="minorEastAsia" w:cs="Arial"/>
          <w:szCs w:val="24"/>
          <w:lang w:eastAsia="en-AU"/>
        </w:rPr>
        <w:t>anti</w:t>
      </w:r>
      <w:r w:rsidRPr="00EC7368">
        <w:rPr>
          <w:rFonts w:eastAsiaTheme="minorEastAsia" w:cs="Arial"/>
          <w:szCs w:val="24"/>
          <w:lang w:eastAsia="en-AU"/>
        </w:rPr>
        <w:noBreakHyphen/>
        <w:t>dumping</w:t>
      </w:r>
      <w:proofErr w:type="spellEnd"/>
      <w:r w:rsidRPr="00EC7368">
        <w:rPr>
          <w:rFonts w:eastAsiaTheme="minorEastAsia" w:cs="Arial"/>
          <w:szCs w:val="24"/>
          <w:lang w:eastAsia="en-AU"/>
        </w:rPr>
        <w:t xml:space="preserve"> measure. The Commission is required to advertise the expiry date of the measure on its website and invite certain parties to apply for continuation of the measure. The notice must appear not later than 9 months before the expiry date.</w:t>
      </w:r>
    </w:p>
    <w:p w14:paraId="37A5A81D" w14:textId="1B461D9D" w:rsidR="00EC7368" w:rsidRPr="00EC7368" w:rsidRDefault="00EC7368" w:rsidP="00EC7368">
      <w:pPr>
        <w:rPr>
          <w:rFonts w:eastAsiaTheme="minorEastAsia" w:cs="Arial"/>
          <w:szCs w:val="24"/>
          <w:lang w:eastAsia="en-AU"/>
        </w:rPr>
      </w:pPr>
      <w:r w:rsidRPr="00EC7368">
        <w:rPr>
          <w:rFonts w:eastAsiaTheme="minorEastAsia" w:cs="Arial"/>
          <w:szCs w:val="24"/>
          <w:lang w:eastAsia="en-AU"/>
        </w:rPr>
        <w:t xml:space="preserve">Applications for continuation of the </w:t>
      </w:r>
      <w:proofErr w:type="spellStart"/>
      <w:r w:rsidRPr="00EC7368">
        <w:rPr>
          <w:rFonts w:eastAsiaTheme="minorEastAsia" w:cs="Arial"/>
          <w:szCs w:val="24"/>
          <w:lang w:eastAsia="en-AU"/>
        </w:rPr>
        <w:t>anti-dumping</w:t>
      </w:r>
      <w:proofErr w:type="spellEnd"/>
      <w:r w:rsidRPr="00EC7368">
        <w:rPr>
          <w:rFonts w:eastAsiaTheme="minorEastAsia" w:cs="Arial"/>
          <w:szCs w:val="24"/>
          <w:lang w:eastAsia="en-AU"/>
        </w:rPr>
        <w:t xml:space="preserve"> measure may be made by the person whose application resulted in those measures; or persons representing the whole or portion of the Australian industry producing like goods to the goods covered by those measures. If no application is received within the 60-day period allowed, the </w:t>
      </w:r>
      <w:proofErr w:type="spellStart"/>
      <w:r w:rsidRPr="00EC7368">
        <w:rPr>
          <w:rFonts w:eastAsiaTheme="minorEastAsia" w:cs="Arial"/>
          <w:szCs w:val="24"/>
          <w:lang w:eastAsia="en-AU"/>
        </w:rPr>
        <w:t>anti</w:t>
      </w:r>
      <w:r w:rsidRPr="00EC7368">
        <w:rPr>
          <w:rFonts w:eastAsiaTheme="minorEastAsia" w:cs="Arial"/>
          <w:szCs w:val="24"/>
          <w:lang w:eastAsia="en-AU"/>
        </w:rPr>
        <w:noBreakHyphen/>
        <w:t>dumping</w:t>
      </w:r>
      <w:proofErr w:type="spellEnd"/>
      <w:r w:rsidRPr="00EC7368">
        <w:rPr>
          <w:rFonts w:eastAsiaTheme="minorEastAsia" w:cs="Arial"/>
          <w:szCs w:val="24"/>
          <w:lang w:eastAsia="en-AU"/>
        </w:rPr>
        <w:t xml:space="preserve"> measure automatically expires.</w:t>
      </w:r>
    </w:p>
    <w:p w14:paraId="543582AB" w14:textId="410CBC83" w:rsidR="00EC7368" w:rsidRPr="00EC7368" w:rsidRDefault="00EC7368" w:rsidP="00EC7368">
      <w:pPr>
        <w:rPr>
          <w:rFonts w:eastAsiaTheme="minorEastAsia" w:cs="Arial"/>
          <w:szCs w:val="24"/>
          <w:lang w:eastAsia="en-AU"/>
        </w:rPr>
      </w:pPr>
      <w:r w:rsidRPr="00EC7368">
        <w:rPr>
          <w:rFonts w:eastAsiaTheme="minorEastAsia" w:cs="Arial"/>
          <w:szCs w:val="24"/>
          <w:lang w:eastAsia="en-AU"/>
        </w:rPr>
        <w:t xml:space="preserve">An application must be in writing and must meet the requirements of an “approved form”. The Commissioner of the Australian Trade Remedies Commission (the Commissioner) must not recommend continuation unless satisfied that expiration of the </w:t>
      </w:r>
      <w:proofErr w:type="spellStart"/>
      <w:r w:rsidRPr="00EC7368">
        <w:rPr>
          <w:rFonts w:eastAsiaTheme="minorEastAsia" w:cs="Arial"/>
          <w:szCs w:val="24"/>
          <w:lang w:eastAsia="en-AU"/>
        </w:rPr>
        <w:t>anti-dumping</w:t>
      </w:r>
      <w:proofErr w:type="spellEnd"/>
      <w:r w:rsidRPr="00EC7368">
        <w:rPr>
          <w:rFonts w:eastAsiaTheme="minorEastAsia" w:cs="Arial"/>
          <w:szCs w:val="24"/>
          <w:lang w:eastAsia="en-AU"/>
        </w:rPr>
        <w:t xml:space="preserve"> measure would lead to a continuation, or recurrence, of the dumping or subsidisation, and of the material injury.</w:t>
      </w:r>
    </w:p>
    <w:p w14:paraId="7F97A1D0" w14:textId="76966BFB" w:rsidR="00BD57AA" w:rsidRPr="00BD57AA" w:rsidRDefault="00EC7368" w:rsidP="0090794D">
      <w:pPr>
        <w:rPr>
          <w:rFonts w:eastAsiaTheme="minorEastAsia" w:cs="Arial"/>
          <w:szCs w:val="24"/>
          <w:lang w:eastAsia="en-AU"/>
        </w:rPr>
      </w:pPr>
      <w:r w:rsidRPr="00EC7368">
        <w:rPr>
          <w:rFonts w:eastAsiaTheme="minorEastAsia" w:cs="Arial"/>
          <w:szCs w:val="24"/>
          <w:lang w:eastAsia="en-AU"/>
        </w:rPr>
        <w:t xml:space="preserve">If the Minister responsible for the Commission (the Minister) decides, after consideration of the report, to continue the </w:t>
      </w:r>
      <w:proofErr w:type="spellStart"/>
      <w:r w:rsidRPr="00EC7368">
        <w:rPr>
          <w:rFonts w:eastAsiaTheme="minorEastAsia" w:cs="Arial"/>
          <w:szCs w:val="24"/>
          <w:lang w:eastAsia="en-AU"/>
        </w:rPr>
        <w:t>anti-dumping</w:t>
      </w:r>
      <w:proofErr w:type="spellEnd"/>
      <w:r w:rsidRPr="00EC7368">
        <w:rPr>
          <w:rFonts w:eastAsiaTheme="minorEastAsia" w:cs="Arial"/>
          <w:szCs w:val="24"/>
          <w:lang w:eastAsia="en-AU"/>
        </w:rPr>
        <w:t xml:space="preserve"> measure, the measure will continue for another 5 years after the specified expiry date, unless otherwise determined.</w:t>
      </w:r>
      <w:bookmarkEnd w:id="7"/>
    </w:p>
    <w:p w14:paraId="73A3AB84" w14:textId="59AB1B51" w:rsidR="00BD57AA" w:rsidRDefault="00BD57AA" w:rsidP="00640333">
      <w:pPr>
        <w:pStyle w:val="Heading2"/>
      </w:pPr>
      <w:r>
        <w:t>Assistance with the application</w:t>
      </w:r>
    </w:p>
    <w:p w14:paraId="0368BF49" w14:textId="150918E0" w:rsidR="00BD57AA" w:rsidRPr="00285DC7" w:rsidRDefault="00BD57AA" w:rsidP="00BD57AA">
      <w:pPr>
        <w:rPr>
          <w:rFonts w:cs="Arial"/>
          <w:szCs w:val="24"/>
          <w:u w:val="single"/>
        </w:rPr>
      </w:pPr>
      <w:r w:rsidRPr="00BD57AA">
        <w:rPr>
          <w:rFonts w:cs="Arial"/>
          <w:szCs w:val="24"/>
        </w:rPr>
        <w:t xml:space="preserve">The </w:t>
      </w:r>
      <w:r w:rsidR="00214533">
        <w:rPr>
          <w:rFonts w:cs="Arial"/>
          <w:szCs w:val="24"/>
        </w:rPr>
        <w:t>C</w:t>
      </w:r>
      <w:r w:rsidRPr="00BD57AA">
        <w:rPr>
          <w:rFonts w:cs="Arial"/>
          <w:szCs w:val="24"/>
        </w:rPr>
        <w:t>ommission provides a free-of-charge document checking service, available prior to formal lodgement, to assist applicants to ensure that their applications meet the documentary requirements</w:t>
      </w:r>
      <w:r w:rsidR="007228A0">
        <w:rPr>
          <w:rFonts w:cs="Arial"/>
          <w:szCs w:val="24"/>
        </w:rPr>
        <w:t xml:space="preserve">. </w:t>
      </w:r>
      <w:r w:rsidR="007228A0">
        <w:rPr>
          <w:lang w:val="en-US"/>
        </w:rPr>
        <w:t xml:space="preserve">Visit our website for </w:t>
      </w:r>
      <w:hyperlink r:id="rId10" w:anchor="before-you-apply" w:history="1">
        <w:r w:rsidR="007228A0" w:rsidRPr="00563569">
          <w:rPr>
            <w:rStyle w:val="Hyperlink"/>
            <w:lang w:val="en-US"/>
          </w:rPr>
          <w:t>more information on how to apply</w:t>
        </w:r>
      </w:hyperlink>
      <w:r w:rsidR="007228A0">
        <w:rPr>
          <w:lang w:val="en-US"/>
        </w:rPr>
        <w:t>.</w:t>
      </w:r>
    </w:p>
    <w:p w14:paraId="78DA4F31" w14:textId="79DFB385" w:rsidR="00BD57AA" w:rsidRPr="00BD57AA" w:rsidRDefault="00BD57AA" w:rsidP="00BD57AA">
      <w:pPr>
        <w:rPr>
          <w:rFonts w:cs="Arial"/>
          <w:szCs w:val="24"/>
        </w:rPr>
      </w:pPr>
      <w:r w:rsidRPr="00BD57AA">
        <w:rPr>
          <w:rFonts w:cs="Arial"/>
          <w:szCs w:val="24"/>
        </w:rPr>
        <w:t xml:space="preserve">Small and medium enterprises (i.e. those with less than 200 full-time staff, which are independently operated and which are not a related body corporate for the purposes of the </w:t>
      </w:r>
      <w:r w:rsidRPr="00BD57AA">
        <w:rPr>
          <w:rFonts w:cs="Arial"/>
          <w:i/>
          <w:szCs w:val="24"/>
        </w:rPr>
        <w:t>Corporations Act</w:t>
      </w:r>
      <w:r w:rsidRPr="00BD57AA">
        <w:rPr>
          <w:rFonts w:cs="Arial"/>
          <w:szCs w:val="24"/>
        </w:rPr>
        <w:t xml:space="preserve"> 2001), may obtain assistance, at no charge, from the Department of Industry, Science and Resources’ the International Trade Remedies Advisory (ITRA) Service. For more information on the ITRA Service, visit </w:t>
      </w:r>
      <w:hyperlink r:id="rId11">
        <w:r w:rsidRPr="00BD57AA">
          <w:rPr>
            <w:rStyle w:val="Hyperlink"/>
            <w:rFonts w:cs="Arial"/>
            <w:szCs w:val="24"/>
          </w:rPr>
          <w:t>www.business.gov.au/ITRA</w:t>
        </w:r>
      </w:hyperlink>
      <w:r w:rsidRPr="00BD57AA">
        <w:rPr>
          <w:rFonts w:cs="Arial"/>
          <w:szCs w:val="24"/>
        </w:rPr>
        <w:t xml:space="preserve">, email us at </w:t>
      </w:r>
      <w:hyperlink r:id="rId12">
        <w:r w:rsidRPr="00BD57AA">
          <w:rPr>
            <w:rStyle w:val="Hyperlink"/>
            <w:rFonts w:cs="Arial"/>
            <w:szCs w:val="24"/>
          </w:rPr>
          <w:t>itra@industry.gov.au</w:t>
        </w:r>
      </w:hyperlink>
      <w:r w:rsidRPr="00BD57AA">
        <w:rPr>
          <w:rFonts w:cs="Arial"/>
          <w:szCs w:val="24"/>
        </w:rPr>
        <w:t>, or telephone the ITRA Service Hotline on +61 2 6213 7267.</w:t>
      </w:r>
    </w:p>
    <w:p w14:paraId="467B3E56" w14:textId="77777777" w:rsidR="007228A0" w:rsidRDefault="007228A0">
      <w:pPr>
        <w:spacing w:before="0" w:after="160" w:line="259" w:lineRule="auto"/>
        <w:rPr>
          <w:rFonts w:cs="Arial"/>
          <w:szCs w:val="24"/>
        </w:rPr>
      </w:pPr>
      <w:r>
        <w:rPr>
          <w:rFonts w:cs="Arial"/>
          <w:szCs w:val="24"/>
        </w:rPr>
        <w:br w:type="page"/>
      </w:r>
    </w:p>
    <w:p w14:paraId="6A1D0E13" w14:textId="704948D0" w:rsidR="00BD57AA" w:rsidRPr="00BD57AA" w:rsidRDefault="00BD57AA" w:rsidP="00BD57AA">
      <w:pPr>
        <w:rPr>
          <w:rFonts w:cs="Arial"/>
          <w:szCs w:val="24"/>
        </w:rPr>
      </w:pPr>
      <w:r w:rsidRPr="00BD57AA">
        <w:rPr>
          <w:rFonts w:cs="Arial"/>
          <w:szCs w:val="24"/>
        </w:rPr>
        <w:lastRenderedPageBreak/>
        <w:t>The commission’s client support section can also provide information about dumping and countervailing procedures and the information required by the application form. Contact the team on:</w:t>
      </w:r>
    </w:p>
    <w:p w14:paraId="77B1D1BB" w14:textId="77777777" w:rsidR="00BD57AA" w:rsidRPr="00BD57AA" w:rsidRDefault="00BD57AA" w:rsidP="00BD57AA">
      <w:pPr>
        <w:rPr>
          <w:rFonts w:cs="Arial"/>
          <w:szCs w:val="24"/>
        </w:rPr>
      </w:pPr>
      <w:r w:rsidRPr="00BD57AA">
        <w:rPr>
          <w:rFonts w:cs="Arial"/>
          <w:b/>
          <w:szCs w:val="24"/>
        </w:rPr>
        <w:tab/>
        <w:t>Phone</w:t>
      </w:r>
      <w:r w:rsidRPr="00BD57AA">
        <w:rPr>
          <w:rFonts w:cs="Arial"/>
          <w:szCs w:val="24"/>
        </w:rPr>
        <w:t>: 13 28 46 or +61 2 6213 6000 (outside Australia)</w:t>
      </w:r>
    </w:p>
    <w:p w14:paraId="7BC7E32C" w14:textId="77777777" w:rsidR="00BD57AA" w:rsidRPr="00BD57AA" w:rsidRDefault="00BD57AA" w:rsidP="00BD57AA">
      <w:pPr>
        <w:rPr>
          <w:rFonts w:cs="Arial"/>
          <w:szCs w:val="24"/>
        </w:rPr>
      </w:pPr>
      <w:r w:rsidRPr="00BD57AA">
        <w:rPr>
          <w:rFonts w:cs="Arial"/>
          <w:szCs w:val="24"/>
        </w:rPr>
        <w:tab/>
      </w:r>
      <w:r w:rsidRPr="00BD57AA">
        <w:rPr>
          <w:rFonts w:cs="Arial"/>
          <w:b/>
          <w:szCs w:val="24"/>
        </w:rPr>
        <w:t>Email</w:t>
      </w:r>
      <w:r w:rsidRPr="00BD57AA">
        <w:rPr>
          <w:rFonts w:cs="Arial"/>
          <w:szCs w:val="24"/>
        </w:rPr>
        <w:t>:</w:t>
      </w:r>
      <w:r w:rsidRPr="00BD57AA">
        <w:rPr>
          <w:rFonts w:cs="Arial"/>
          <w:szCs w:val="24"/>
        </w:rPr>
        <w:tab/>
      </w:r>
      <w:hyperlink r:id="rId13" w:history="1">
        <w:r w:rsidRPr="00BD57AA">
          <w:rPr>
            <w:rStyle w:val="Hyperlink"/>
            <w:rFonts w:cs="Arial"/>
            <w:szCs w:val="24"/>
          </w:rPr>
          <w:t>clientsupport@atrc.gov.au</w:t>
        </w:r>
      </w:hyperlink>
      <w:r w:rsidRPr="00BD57AA">
        <w:rPr>
          <w:rFonts w:cs="Arial"/>
          <w:szCs w:val="24"/>
          <w:u w:val="single"/>
        </w:rPr>
        <w:t xml:space="preserve"> </w:t>
      </w:r>
    </w:p>
    <w:p w14:paraId="3E631315" w14:textId="77777777" w:rsidR="00BD57AA" w:rsidRPr="00BD57AA" w:rsidRDefault="00BD57AA" w:rsidP="00BD57AA">
      <w:pPr>
        <w:rPr>
          <w:rFonts w:cs="Arial"/>
          <w:szCs w:val="24"/>
        </w:rPr>
      </w:pPr>
      <w:r w:rsidRPr="00BD57AA">
        <w:rPr>
          <w:rFonts w:cs="Arial"/>
          <w:szCs w:val="24"/>
        </w:rPr>
        <w:t xml:space="preserve">Information is available from the Commission website at </w:t>
      </w:r>
      <w:hyperlink r:id="rId14" w:history="1">
        <w:r w:rsidRPr="00BD57AA">
          <w:rPr>
            <w:rStyle w:val="Hyperlink"/>
            <w:rFonts w:eastAsiaTheme="majorEastAsia" w:cs="Arial"/>
            <w:szCs w:val="24"/>
          </w:rPr>
          <w:t>www.atrc.gov.au</w:t>
        </w:r>
      </w:hyperlink>
      <w:r w:rsidRPr="00BD57AA">
        <w:rPr>
          <w:rFonts w:cs="Arial"/>
          <w:szCs w:val="24"/>
        </w:rPr>
        <w:t xml:space="preserve"> </w:t>
      </w:r>
    </w:p>
    <w:p w14:paraId="0F73C446" w14:textId="63E86A9F" w:rsidR="0090794D" w:rsidRDefault="00CD4DD2" w:rsidP="00640333">
      <w:pPr>
        <w:pStyle w:val="Heading2"/>
      </w:pPr>
      <w:bookmarkStart w:id="8" w:name="_Toc6386349"/>
      <w:bookmarkStart w:id="9" w:name="_Toc240641032"/>
      <w:r>
        <w:t>The inquiry process</w:t>
      </w:r>
      <w:bookmarkEnd w:id="8"/>
      <w:bookmarkEnd w:id="9"/>
    </w:p>
    <w:p w14:paraId="0CAA91FD" w14:textId="085E55CD" w:rsidR="00F062EE" w:rsidRPr="00F062EE" w:rsidRDefault="00F062EE" w:rsidP="007228A0">
      <w:pPr>
        <w:rPr>
          <w:rFonts w:cs="Arial"/>
          <w:szCs w:val="24"/>
        </w:rPr>
      </w:pPr>
      <w:r w:rsidRPr="00F062EE">
        <w:rPr>
          <w:rFonts w:cs="Arial"/>
          <w:szCs w:val="24"/>
        </w:rPr>
        <w:t>Where an application demonstrates reasonable grounds for continuation of a measure, the Commission must hold an inquiry and report to the Minister within 155 days from the date the initiation notice was published.</w:t>
      </w:r>
    </w:p>
    <w:p w14:paraId="0D0500AF" w14:textId="34D37CE4" w:rsidR="00F062EE" w:rsidRPr="00F062EE" w:rsidRDefault="00F062EE" w:rsidP="007228A0">
      <w:pPr>
        <w:rPr>
          <w:rFonts w:cs="Arial"/>
          <w:szCs w:val="24"/>
        </w:rPr>
      </w:pPr>
      <w:r w:rsidRPr="00F062EE">
        <w:rPr>
          <w:rFonts w:cs="Arial"/>
          <w:szCs w:val="24"/>
        </w:rPr>
        <w:t>Once an application has been accepted a notice will be published on the Commission’s website advising that an inquiry will be undertaken and inviting submissions from interested parties. The Commission may also contact known interested parties.</w:t>
      </w:r>
    </w:p>
    <w:p w14:paraId="275DA7B9" w14:textId="3B9A942E" w:rsidR="00F062EE" w:rsidRPr="00F062EE" w:rsidRDefault="00F062EE" w:rsidP="007228A0">
      <w:pPr>
        <w:rPr>
          <w:rFonts w:cs="Arial"/>
          <w:szCs w:val="24"/>
        </w:rPr>
      </w:pPr>
      <w:r w:rsidRPr="00F062EE">
        <w:rPr>
          <w:rFonts w:cs="Arial"/>
          <w:szCs w:val="24"/>
        </w:rPr>
        <w:t>Submissions are required to be received within 37 days of the date of publication of the notice. The Commissioner may not have regard to submissions received after that period if doing so would prevent the timely preparation of a statement of essential facts (SEF).</w:t>
      </w:r>
    </w:p>
    <w:p w14:paraId="1F98CBD6" w14:textId="192A4BC7" w:rsidR="00F062EE" w:rsidRPr="007228A0" w:rsidRDefault="00F062EE" w:rsidP="007228A0">
      <w:pPr>
        <w:rPr>
          <w:rFonts w:cs="Arial"/>
          <w:szCs w:val="24"/>
        </w:rPr>
      </w:pPr>
      <w:r w:rsidRPr="00F062EE">
        <w:rPr>
          <w:rFonts w:cs="Arial"/>
          <w:szCs w:val="24"/>
        </w:rPr>
        <w:t xml:space="preserve">Copies of the non-confidential application and non-confidential submissions will be placed on the electronic public record (available on the Commission’s website). </w:t>
      </w:r>
    </w:p>
    <w:p w14:paraId="36441247" w14:textId="32765173" w:rsidR="00F062EE" w:rsidRPr="00F062EE" w:rsidRDefault="00F062EE" w:rsidP="007228A0">
      <w:pPr>
        <w:rPr>
          <w:rFonts w:cs="Arial"/>
          <w:szCs w:val="24"/>
        </w:rPr>
      </w:pPr>
      <w:r w:rsidRPr="00F062EE">
        <w:rPr>
          <w:rFonts w:cs="Arial"/>
          <w:szCs w:val="24"/>
        </w:rPr>
        <w:t>At or before day 110 of the inquiry, the Commissioner must prepare a SEF on which it intends to base its recommendations to the Minister. Interested parties will be invited to make submissions within the following 20 days. The Commissioner may consider submissions received after that period, provided timely preparation of the report to the Minister is not prevented.</w:t>
      </w:r>
    </w:p>
    <w:p w14:paraId="491DDD80" w14:textId="520F61E5" w:rsidR="00F062EE" w:rsidRPr="007228A0" w:rsidRDefault="00F062EE" w:rsidP="007228A0">
      <w:pPr>
        <w:rPr>
          <w:rFonts w:cs="Arial"/>
          <w:szCs w:val="24"/>
        </w:rPr>
      </w:pPr>
      <w:r w:rsidRPr="00F062EE">
        <w:rPr>
          <w:rFonts w:cs="Arial"/>
          <w:szCs w:val="24"/>
        </w:rPr>
        <w:t>In addition to inquiries in Australia, the inquiry may include investigation and verification of information provided by overseas parties, including discussions with foreign governments.</w:t>
      </w:r>
    </w:p>
    <w:p w14:paraId="742CC952" w14:textId="0B628D6A" w:rsidR="00FE46C7" w:rsidRPr="0026077D" w:rsidRDefault="00EA1B39" w:rsidP="00640333">
      <w:pPr>
        <w:pStyle w:val="Heading2"/>
      </w:pPr>
      <w:bookmarkStart w:id="10" w:name="_Toc195428"/>
      <w:bookmarkStart w:id="11" w:name="_Toc6386350"/>
      <w:bookmarkStart w:id="12" w:name="_Toc240641033"/>
      <w:r>
        <w:t>Reasons for continuation</w:t>
      </w:r>
      <w:bookmarkEnd w:id="10"/>
      <w:bookmarkEnd w:id="11"/>
      <w:bookmarkEnd w:id="12"/>
    </w:p>
    <w:p w14:paraId="26D95B01" w14:textId="6C5B9FAB" w:rsidR="0033226D" w:rsidRPr="005748CB" w:rsidRDefault="0033226D" w:rsidP="007228A0">
      <w:pPr>
        <w:rPr>
          <w:rFonts w:cs="Arial"/>
          <w:szCs w:val="24"/>
        </w:rPr>
      </w:pPr>
      <w:r w:rsidRPr="005748CB">
        <w:rPr>
          <w:rFonts w:cs="Arial"/>
          <w:szCs w:val="24"/>
        </w:rPr>
        <w:t xml:space="preserve">The application form seeks reasons for justifying continuation of a measure. An application must establish reasonable grounds for asserting that expiration of the </w:t>
      </w:r>
      <w:proofErr w:type="spellStart"/>
      <w:r w:rsidRPr="005748CB">
        <w:rPr>
          <w:rFonts w:cs="Arial"/>
          <w:szCs w:val="24"/>
        </w:rPr>
        <w:t>anti-dumping</w:t>
      </w:r>
      <w:proofErr w:type="spellEnd"/>
      <w:r w:rsidRPr="005748CB">
        <w:rPr>
          <w:rFonts w:cs="Arial"/>
          <w:szCs w:val="24"/>
        </w:rPr>
        <w:t xml:space="preserve"> measure might lead, or be likely to lead, to recurrence of the material injury that the measure is intended to prevent.</w:t>
      </w:r>
    </w:p>
    <w:p w14:paraId="354CCD1F" w14:textId="0D2F36D4" w:rsidR="0033226D" w:rsidRPr="007228A0" w:rsidRDefault="0033226D" w:rsidP="007228A0">
      <w:pPr>
        <w:pStyle w:val="Heading3"/>
        <w:numPr>
          <w:ilvl w:val="0"/>
          <w:numId w:val="33"/>
        </w:numPr>
      </w:pPr>
      <w:r w:rsidRPr="005748CB">
        <w:lastRenderedPageBreak/>
        <w:t>Will the dumping or subsidisation continue, or recur?</w:t>
      </w:r>
    </w:p>
    <w:p w14:paraId="09A3C6D8" w14:textId="10035B26" w:rsidR="0033226D" w:rsidRPr="005748CB" w:rsidRDefault="0033226D" w:rsidP="007228A0">
      <w:pPr>
        <w:rPr>
          <w:rFonts w:cs="Arial"/>
          <w:szCs w:val="24"/>
        </w:rPr>
      </w:pPr>
      <w:r w:rsidRPr="005748CB">
        <w:rPr>
          <w:rFonts w:cs="Arial"/>
          <w:szCs w:val="24"/>
        </w:rPr>
        <w:t xml:space="preserve">Reasons must be given as to why dumping, or subsidisation, would be expected to continue were the </w:t>
      </w:r>
      <w:proofErr w:type="spellStart"/>
      <w:r w:rsidRPr="005748CB">
        <w:rPr>
          <w:rFonts w:cs="Arial"/>
          <w:szCs w:val="24"/>
        </w:rPr>
        <w:t>anti-dumping</w:t>
      </w:r>
      <w:proofErr w:type="spellEnd"/>
      <w:r w:rsidRPr="005748CB">
        <w:rPr>
          <w:rFonts w:cs="Arial"/>
          <w:szCs w:val="24"/>
        </w:rPr>
        <w:t xml:space="preserve"> measure to expire. When addressing continuation of dumping, relevant information may be:</w:t>
      </w:r>
    </w:p>
    <w:p w14:paraId="6B10044A" w14:textId="77777777" w:rsidR="0033226D" w:rsidRPr="005748CB" w:rsidRDefault="0033226D" w:rsidP="005748CB">
      <w:pPr>
        <w:pStyle w:val="ListParagraph"/>
        <w:numPr>
          <w:ilvl w:val="0"/>
          <w:numId w:val="35"/>
        </w:numPr>
        <w:rPr>
          <w:rFonts w:eastAsiaTheme="minorEastAsia" w:cs="Arial"/>
          <w:szCs w:val="24"/>
          <w:lang w:eastAsia="en-AU"/>
        </w:rPr>
      </w:pPr>
      <w:proofErr w:type="spellStart"/>
      <w:r w:rsidRPr="005748CB">
        <w:rPr>
          <w:rFonts w:eastAsiaTheme="minorEastAsia" w:cs="Arial"/>
          <w:szCs w:val="24"/>
          <w:lang w:eastAsia="en-AU"/>
        </w:rPr>
        <w:t>anti-dumping</w:t>
      </w:r>
      <w:proofErr w:type="spellEnd"/>
      <w:r w:rsidRPr="005748CB">
        <w:rPr>
          <w:rFonts w:eastAsiaTheme="minorEastAsia" w:cs="Arial"/>
          <w:szCs w:val="24"/>
          <w:lang w:eastAsia="en-AU"/>
        </w:rPr>
        <w:t xml:space="preserve"> actions by other countries;</w:t>
      </w:r>
    </w:p>
    <w:p w14:paraId="60817115" w14:textId="77777777" w:rsidR="0033226D" w:rsidRPr="005748CB" w:rsidRDefault="0033226D" w:rsidP="005748CB">
      <w:pPr>
        <w:pStyle w:val="ListParagraph"/>
        <w:numPr>
          <w:ilvl w:val="0"/>
          <w:numId w:val="35"/>
        </w:numPr>
        <w:rPr>
          <w:rFonts w:eastAsiaTheme="minorEastAsia" w:cs="Arial"/>
          <w:szCs w:val="24"/>
          <w:lang w:eastAsia="en-AU"/>
        </w:rPr>
      </w:pPr>
      <w:r w:rsidRPr="005748CB">
        <w:rPr>
          <w:rFonts w:eastAsiaTheme="minorEastAsia" w:cs="Arial"/>
          <w:szCs w:val="24"/>
          <w:lang w:eastAsia="en-AU"/>
        </w:rPr>
        <w:t>relevant evidence as to the current normal values in the exporting country;</w:t>
      </w:r>
    </w:p>
    <w:p w14:paraId="60DC298A" w14:textId="77777777" w:rsidR="0033226D" w:rsidRPr="005748CB" w:rsidRDefault="0033226D" w:rsidP="005748CB">
      <w:pPr>
        <w:pStyle w:val="ListParagraph"/>
        <w:numPr>
          <w:ilvl w:val="0"/>
          <w:numId w:val="35"/>
        </w:numPr>
        <w:rPr>
          <w:rFonts w:eastAsiaTheme="minorEastAsia" w:cs="Arial"/>
          <w:szCs w:val="24"/>
          <w:lang w:eastAsia="en-AU"/>
        </w:rPr>
      </w:pPr>
      <w:r w:rsidRPr="005748CB">
        <w:rPr>
          <w:rFonts w:eastAsiaTheme="minorEastAsia" w:cs="Arial"/>
          <w:szCs w:val="24"/>
          <w:lang w:eastAsia="en-AU"/>
        </w:rPr>
        <w:t>whether exports have continued following imposition of the measure and estimates of export price;</w:t>
      </w:r>
    </w:p>
    <w:p w14:paraId="79327716" w14:textId="77777777" w:rsidR="0033226D" w:rsidRPr="005748CB" w:rsidRDefault="0033226D" w:rsidP="005748CB">
      <w:pPr>
        <w:pStyle w:val="ListParagraph"/>
        <w:numPr>
          <w:ilvl w:val="0"/>
          <w:numId w:val="35"/>
        </w:numPr>
        <w:rPr>
          <w:rFonts w:eastAsiaTheme="minorEastAsia" w:cs="Arial"/>
          <w:szCs w:val="24"/>
          <w:lang w:eastAsia="en-AU"/>
        </w:rPr>
      </w:pPr>
      <w:r w:rsidRPr="005748CB">
        <w:rPr>
          <w:rFonts w:eastAsiaTheme="minorEastAsia" w:cs="Arial"/>
          <w:szCs w:val="24"/>
          <w:lang w:eastAsia="en-AU"/>
        </w:rPr>
        <w:t>whether the exporter has retained distribution links in Australia;</w:t>
      </w:r>
    </w:p>
    <w:p w14:paraId="0AC8C8B2" w14:textId="520DDEAD" w:rsidR="0033226D" w:rsidRPr="007228A0" w:rsidRDefault="0033226D" w:rsidP="007228A0">
      <w:pPr>
        <w:pStyle w:val="ListParagraph"/>
        <w:numPr>
          <w:ilvl w:val="0"/>
          <w:numId w:val="35"/>
        </w:numPr>
        <w:rPr>
          <w:rFonts w:eastAsiaTheme="minorEastAsia" w:cs="Arial"/>
          <w:szCs w:val="24"/>
          <w:lang w:eastAsia="en-AU"/>
        </w:rPr>
      </w:pPr>
      <w:r w:rsidRPr="005748CB">
        <w:rPr>
          <w:rFonts w:eastAsiaTheme="minorEastAsia" w:cs="Arial"/>
          <w:szCs w:val="24"/>
          <w:lang w:eastAsia="en-AU"/>
        </w:rPr>
        <w:t>whether the exporter retains an excess capacity that may be directed to Australia.</w:t>
      </w:r>
    </w:p>
    <w:p w14:paraId="3D0F71B0" w14:textId="09EB7282" w:rsidR="0033226D" w:rsidRPr="005748CB" w:rsidRDefault="0033226D" w:rsidP="007228A0">
      <w:pPr>
        <w:rPr>
          <w:rFonts w:cs="Arial"/>
          <w:szCs w:val="24"/>
        </w:rPr>
      </w:pPr>
      <w:r w:rsidRPr="005748CB">
        <w:rPr>
          <w:rFonts w:cs="Arial"/>
          <w:szCs w:val="24"/>
        </w:rPr>
        <w:t xml:space="preserve">Where exports have ceased after imposition of an </w:t>
      </w:r>
      <w:proofErr w:type="spellStart"/>
      <w:r w:rsidRPr="005748CB">
        <w:rPr>
          <w:rFonts w:cs="Arial"/>
          <w:szCs w:val="24"/>
        </w:rPr>
        <w:t>anti-dumping</w:t>
      </w:r>
      <w:proofErr w:type="spellEnd"/>
      <w:r w:rsidRPr="005748CB">
        <w:rPr>
          <w:rFonts w:cs="Arial"/>
          <w:szCs w:val="24"/>
        </w:rPr>
        <w:t xml:space="preserve"> measure, demonstrating why dumping is likely to recur is more difficult to establish – some of the factors listed above may be relevant.</w:t>
      </w:r>
    </w:p>
    <w:p w14:paraId="723928C8" w14:textId="6F68178A" w:rsidR="0033226D" w:rsidRPr="001A2BD9" w:rsidRDefault="0033226D" w:rsidP="001A2BD9">
      <w:pPr>
        <w:pStyle w:val="Heading3"/>
        <w:numPr>
          <w:ilvl w:val="0"/>
          <w:numId w:val="33"/>
        </w:numPr>
      </w:pPr>
      <w:r w:rsidRPr="005748CB">
        <w:t>Will the material injury recur?</w:t>
      </w:r>
    </w:p>
    <w:p w14:paraId="105653E3" w14:textId="0C28064B" w:rsidR="0033226D" w:rsidRPr="005748CB" w:rsidRDefault="0033226D" w:rsidP="007228A0">
      <w:pPr>
        <w:rPr>
          <w:rFonts w:cs="Arial"/>
          <w:szCs w:val="24"/>
        </w:rPr>
      </w:pPr>
      <w:r w:rsidRPr="005748CB">
        <w:rPr>
          <w:rFonts w:cs="Arial"/>
          <w:szCs w:val="24"/>
        </w:rPr>
        <w:t>Applicants must provide evidence that in the absence of the measures, the dumped or subsidised goods would cause, or be likely to cause, material injury to the Australian industry producing the goods in question. In considering this question applicants should provide information on key indicators such as profitability, price trends, and market share. The application should provide:</w:t>
      </w:r>
    </w:p>
    <w:p w14:paraId="5ADCE35C" w14:textId="77777777" w:rsidR="0033226D" w:rsidRPr="005748CB" w:rsidRDefault="0033226D" w:rsidP="005748CB">
      <w:pPr>
        <w:pStyle w:val="ListParagraph"/>
        <w:numPr>
          <w:ilvl w:val="0"/>
          <w:numId w:val="35"/>
        </w:numPr>
        <w:rPr>
          <w:rFonts w:eastAsiaTheme="minorEastAsia" w:cs="Arial"/>
          <w:szCs w:val="24"/>
          <w:lang w:eastAsia="en-AU"/>
        </w:rPr>
      </w:pPr>
      <w:r w:rsidRPr="005748CB">
        <w:rPr>
          <w:rFonts w:eastAsiaTheme="minorEastAsia" w:cs="Arial"/>
          <w:szCs w:val="24"/>
          <w:lang w:eastAsia="en-AU"/>
        </w:rPr>
        <w:t>Information on market trends for the goods in question for the last three years, addressing in particular:</w:t>
      </w:r>
    </w:p>
    <w:p w14:paraId="670B2D97" w14:textId="77777777" w:rsidR="0033226D" w:rsidRPr="005748CB" w:rsidRDefault="0033226D" w:rsidP="001A2BD9">
      <w:pPr>
        <w:pStyle w:val="ListParagraph"/>
        <w:widowControl w:val="0"/>
        <w:numPr>
          <w:ilvl w:val="1"/>
          <w:numId w:val="35"/>
        </w:numPr>
        <w:autoSpaceDE w:val="0"/>
        <w:autoSpaceDN w:val="0"/>
        <w:adjustRightInd w:val="0"/>
        <w:ind w:left="1514" w:hanging="357"/>
        <w:rPr>
          <w:rFonts w:cs="Arial"/>
          <w:szCs w:val="24"/>
        </w:rPr>
      </w:pPr>
      <w:r w:rsidRPr="005748CB">
        <w:rPr>
          <w:rFonts w:cs="Arial"/>
          <w:szCs w:val="24"/>
        </w:rPr>
        <w:t>volume and value of imports and sources of imports</w:t>
      </w:r>
    </w:p>
    <w:p w14:paraId="32E0ECA6" w14:textId="77777777" w:rsidR="0033226D" w:rsidRPr="005748CB" w:rsidRDefault="0033226D" w:rsidP="001A2BD9">
      <w:pPr>
        <w:pStyle w:val="ListParagraph"/>
        <w:widowControl w:val="0"/>
        <w:numPr>
          <w:ilvl w:val="1"/>
          <w:numId w:val="35"/>
        </w:numPr>
        <w:autoSpaceDE w:val="0"/>
        <w:autoSpaceDN w:val="0"/>
        <w:adjustRightInd w:val="0"/>
        <w:ind w:left="1514" w:hanging="357"/>
        <w:rPr>
          <w:rFonts w:cs="Arial"/>
          <w:szCs w:val="24"/>
        </w:rPr>
      </w:pPr>
      <w:r w:rsidRPr="005748CB">
        <w:rPr>
          <w:rFonts w:cs="Arial"/>
          <w:szCs w:val="24"/>
        </w:rPr>
        <w:t>sales and market shares of all suppliers</w:t>
      </w:r>
    </w:p>
    <w:p w14:paraId="220AEB3A" w14:textId="0F08DEEE" w:rsidR="0033226D" w:rsidRPr="007228A0" w:rsidRDefault="0033226D" w:rsidP="001A2BD9">
      <w:pPr>
        <w:pStyle w:val="ListParagraph"/>
        <w:widowControl w:val="0"/>
        <w:numPr>
          <w:ilvl w:val="1"/>
          <w:numId w:val="35"/>
        </w:numPr>
        <w:autoSpaceDE w:val="0"/>
        <w:autoSpaceDN w:val="0"/>
        <w:adjustRightInd w:val="0"/>
        <w:ind w:left="1514" w:hanging="357"/>
        <w:rPr>
          <w:rFonts w:cs="Arial"/>
          <w:szCs w:val="24"/>
        </w:rPr>
      </w:pPr>
      <w:r w:rsidRPr="005748CB">
        <w:rPr>
          <w:rFonts w:cs="Arial"/>
          <w:szCs w:val="24"/>
        </w:rPr>
        <w:t>performance of the local industry, showing key indicators such as profits, price trends, investment, and employment.</w:t>
      </w:r>
    </w:p>
    <w:p w14:paraId="5E8405FD" w14:textId="0FECDE65" w:rsidR="005748CB" w:rsidRPr="001A2BD9" w:rsidRDefault="0033226D" w:rsidP="005748CB">
      <w:pPr>
        <w:pStyle w:val="ListParagraph"/>
        <w:numPr>
          <w:ilvl w:val="0"/>
          <w:numId w:val="35"/>
        </w:numPr>
        <w:rPr>
          <w:rFonts w:eastAsiaTheme="minorEastAsia" w:cs="Arial"/>
          <w:szCs w:val="24"/>
          <w:lang w:eastAsia="en-AU"/>
        </w:rPr>
      </w:pPr>
      <w:r w:rsidRPr="005748CB">
        <w:rPr>
          <w:rFonts w:eastAsiaTheme="minorEastAsia" w:cs="Arial"/>
          <w:szCs w:val="24"/>
          <w:lang w:eastAsia="en-AU"/>
        </w:rPr>
        <w:t xml:space="preserve">Information addressing the likelihood of material injury in the absence of the </w:t>
      </w:r>
      <w:proofErr w:type="spellStart"/>
      <w:r w:rsidRPr="005748CB">
        <w:rPr>
          <w:rFonts w:eastAsiaTheme="minorEastAsia" w:cs="Arial"/>
          <w:szCs w:val="24"/>
          <w:lang w:eastAsia="en-AU"/>
        </w:rPr>
        <w:t>anti</w:t>
      </w:r>
      <w:r w:rsidRPr="005748CB">
        <w:rPr>
          <w:rFonts w:eastAsiaTheme="minorEastAsia" w:cs="Arial"/>
          <w:szCs w:val="24"/>
          <w:lang w:eastAsia="en-AU"/>
        </w:rPr>
        <w:noBreakHyphen/>
        <w:t>dumping</w:t>
      </w:r>
      <w:proofErr w:type="spellEnd"/>
      <w:r w:rsidRPr="005748CB">
        <w:rPr>
          <w:rFonts w:eastAsiaTheme="minorEastAsia" w:cs="Arial"/>
          <w:szCs w:val="24"/>
          <w:lang w:eastAsia="en-AU"/>
        </w:rPr>
        <w:t xml:space="preserve"> measures. Alternative sources of export supply that may have arisen following imposition of the measure, or production capacity in the country concerned, may be relevant.</w:t>
      </w:r>
    </w:p>
    <w:p w14:paraId="17C06AED" w14:textId="32D43216" w:rsidR="00BB5084" w:rsidRPr="00C669E5" w:rsidRDefault="00C669E5" w:rsidP="00C669E5">
      <w:pPr>
        <w:pStyle w:val="Calloutbox"/>
        <w:rPr>
          <w:b/>
          <w:bCs/>
        </w:rPr>
      </w:pPr>
      <w:r w:rsidRPr="00C669E5">
        <w:t>Responses should be made as accurately and as comprehensively as possible. Supporting evidence should be attached wherever possible. It will not be sufficient to simply assert that the measure should remain in force. Applications relying primarily upon unsubstantiated allegations, or assertion, may be rejected.</w:t>
      </w:r>
      <w:bookmarkEnd w:id="1"/>
      <w:bookmarkEnd w:id="2"/>
      <w:bookmarkEnd w:id="3"/>
    </w:p>
    <w:sectPr w:rsidR="00BB5084" w:rsidRPr="00C669E5" w:rsidSect="00390122">
      <w:headerReference w:type="even" r:id="rId15"/>
      <w:headerReference w:type="default" r:id="rId16"/>
      <w:footerReference w:type="even" r:id="rId17"/>
      <w:footerReference w:type="default" r:id="rId18"/>
      <w:headerReference w:type="first" r:id="rId19"/>
      <w:footerReference w:type="first" r:id="rId20"/>
      <w:pgSz w:w="11906" w:h="16838"/>
      <w:pgMar w:top="1276" w:right="1440" w:bottom="1440" w:left="1440" w:header="79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F3D77" w14:textId="77777777" w:rsidR="00B800A1" w:rsidRPr="0038406E" w:rsidRDefault="00B800A1" w:rsidP="00B251DB">
      <w:pPr>
        <w:spacing w:after="0"/>
      </w:pPr>
      <w:r w:rsidRPr="0038406E">
        <w:separator/>
      </w:r>
    </w:p>
  </w:endnote>
  <w:endnote w:type="continuationSeparator" w:id="0">
    <w:p w14:paraId="53442F05" w14:textId="77777777" w:rsidR="00B800A1" w:rsidRPr="0038406E" w:rsidRDefault="00B800A1"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58243"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8"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0A23C57A" w:rsidR="0000490E" w:rsidRPr="0038406E" w:rsidRDefault="00DC75B8" w:rsidP="00FF30C2">
    <w:pPr>
      <w:pStyle w:val="Footer"/>
    </w:pPr>
    <w:r w:rsidRPr="0038406E">
      <w:rPr>
        <w:noProof/>
      </w:rPr>
      <mc:AlternateContent>
        <mc:Choice Requires="wps">
          <w:drawing>
            <wp:anchor distT="0" distB="0" distL="0" distR="0" simplePos="0" relativeHeight="251658244" behindDoc="0" locked="0" layoutInCell="1" allowOverlap="1" wp14:anchorId="0DDCDC70" wp14:editId="27119C9E">
              <wp:simplePos x="635" y="635"/>
              <wp:positionH relativeFrom="page">
                <wp:align>center</wp:align>
              </wp:positionH>
              <wp:positionV relativeFrom="page">
                <wp:align>bottom</wp:align>
              </wp:positionV>
              <wp:extent cx="551815" cy="452755"/>
              <wp:effectExtent l="0" t="0" r="635" b="0"/>
              <wp:wrapNone/>
              <wp:docPr id="1208208490"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0F0A60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DCDC70" id="_x0000_t202" coordsize="21600,21600" o:spt="202" path="m,l,21600r21600,l21600,xe">
              <v:stroke joinstyle="miter"/>
              <v:path gradientshapeok="t" o:connecttype="rect"/>
            </v:shapetype>
            <v:shape id="Text Box 18" o:spid="_x0000_s1029"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60F0A60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r w:rsidR="006D296A">
      <w:t>How to apply for the continuation of measures</w:t>
    </w:r>
  </w:p>
  <w:p w14:paraId="5025AEE2" w14:textId="08368D7C" w:rsidR="0000490E" w:rsidRPr="0038406E" w:rsidRDefault="00F23277" w:rsidP="00FF30C2">
    <w:pPr>
      <w:pStyle w:val="Footer"/>
    </w:pPr>
    <w:r>
      <w:t>Australian Trade Remedies Commission</w:t>
    </w:r>
    <w:r w:rsidR="0000490E" w:rsidRPr="0038406E">
      <w:tab/>
    </w:r>
    <w:sdt>
      <w:sdtPr>
        <w:id w:val="-2051837455"/>
        <w:docPartObj>
          <w:docPartGallery w:val="Page Numbers (Bottom of Page)"/>
          <w:docPartUnique/>
        </w:docPartObj>
      </w:sdtPr>
      <w:sdtEndPr/>
      <w:sdtContent>
        <w:r w:rsidR="0000490E" w:rsidRPr="0038406E">
          <w:fldChar w:fldCharType="begin"/>
        </w:r>
        <w:r w:rsidR="0000490E" w:rsidRPr="0038406E">
          <w:instrText xml:space="preserve"> PAGE   \* MERGEFORMAT </w:instrText>
        </w:r>
        <w:r w:rsidR="0000490E" w:rsidRPr="0038406E">
          <w:fldChar w:fldCharType="separate"/>
        </w:r>
        <w:r w:rsidR="0000490E" w:rsidRPr="0038406E">
          <w:t>ii</w:t>
        </w:r>
        <w:r w:rsidR="0000490E" w:rsidRPr="0038406E">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CE9D" w14:textId="77777777" w:rsidR="00DC75B8" w:rsidRPr="0038406E" w:rsidRDefault="00DC75B8">
    <w:pPr>
      <w:pStyle w:val="Footer"/>
    </w:pPr>
    <w:r w:rsidRPr="0038406E">
      <w:rPr>
        <w:noProof/>
      </w:rPr>
      <mc:AlternateContent>
        <mc:Choice Requires="wps">
          <w:drawing>
            <wp:anchor distT="0" distB="0" distL="0" distR="0" simplePos="0" relativeHeight="251658242" behindDoc="0" locked="0" layoutInCell="1" allowOverlap="1" wp14:anchorId="72E1C0CE" wp14:editId="025DBBD0">
              <wp:simplePos x="635" y="635"/>
              <wp:positionH relativeFrom="page">
                <wp:align>center</wp:align>
              </wp:positionH>
              <wp:positionV relativeFrom="page">
                <wp:align>bottom</wp:align>
              </wp:positionV>
              <wp:extent cx="551815" cy="452755"/>
              <wp:effectExtent l="0" t="0" r="635" b="0"/>
              <wp:wrapNone/>
              <wp:docPr id="274969611"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9DB779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E1C0CE" id="_x0000_t202" coordsize="21600,21600" o:spt="202" path="m,l,21600r21600,l21600,xe">
              <v:stroke joinstyle="miter"/>
              <v:path gradientshapeok="t" o:connecttype="rect"/>
            </v:shapetype>
            <v:shape id="Text Box 16" o:spid="_x0000_s1031"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49DB779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C873D" w14:textId="77777777" w:rsidR="00B800A1" w:rsidRPr="0038406E" w:rsidRDefault="00B800A1" w:rsidP="00B251DB">
      <w:pPr>
        <w:spacing w:after="0"/>
      </w:pPr>
      <w:r w:rsidRPr="0038406E">
        <w:separator/>
      </w:r>
    </w:p>
  </w:footnote>
  <w:footnote w:type="continuationSeparator" w:id="0">
    <w:p w14:paraId="49BFAF11" w14:textId="77777777" w:rsidR="00B800A1" w:rsidRPr="0038406E" w:rsidRDefault="00B800A1" w:rsidP="00B251DB">
      <w:pPr>
        <w:spacing w:after="0"/>
      </w:pPr>
      <w:r w:rsidRPr="003840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5824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C0E0" w14:textId="77777777" w:rsidR="00DC75B8" w:rsidRPr="0038406E" w:rsidRDefault="00DC75B8">
    <w:pPr>
      <w:pStyle w:val="Header"/>
    </w:pPr>
    <w:r w:rsidRPr="0038406E">
      <w:rPr>
        <w:noProof/>
      </w:rPr>
      <mc:AlternateContent>
        <mc:Choice Requires="wps">
          <w:drawing>
            <wp:anchor distT="0" distB="0" distL="0" distR="0" simplePos="0" relativeHeight="251658241" behindDoc="0" locked="0" layoutInCell="1" allowOverlap="1" wp14:anchorId="48BB425E" wp14:editId="4F7F1364">
              <wp:simplePos x="635" y="635"/>
              <wp:positionH relativeFrom="page">
                <wp:align>center</wp:align>
              </wp:positionH>
              <wp:positionV relativeFrom="page">
                <wp:align>top</wp:align>
              </wp:positionV>
              <wp:extent cx="551815" cy="452755"/>
              <wp:effectExtent l="0" t="0" r="635" b="4445"/>
              <wp:wrapNone/>
              <wp:docPr id="165915888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519F0D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BB425E" id="_x0000_t202" coordsize="21600,21600" o:spt="202" path="m,l,21600r21600,l21600,xe">
              <v:stroke joinstyle="miter"/>
              <v:path gradientshapeok="t" o:connecttype="rect"/>
            </v:shapetype>
            <v:shape id="Text Box 9" o:spid="_x0000_s1027"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2519F0D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4A398D09" w:rsidR="00DC75B8" w:rsidRPr="007329EC" w:rsidRDefault="007329EC" w:rsidP="007329EC">
    <w:pPr>
      <w:pStyle w:val="Header"/>
    </w:pPr>
    <w:r w:rsidRPr="0038406E">
      <w:rPr>
        <w:noProof/>
      </w:rPr>
      <mc:AlternateContent>
        <mc:Choice Requires="wps">
          <w:drawing>
            <wp:anchor distT="0" distB="0" distL="0" distR="0" simplePos="0" relativeHeight="251658246" behindDoc="0" locked="0" layoutInCell="1" allowOverlap="1" wp14:anchorId="68ABFFA7" wp14:editId="297B8E26">
              <wp:simplePos x="914400" y="542925"/>
              <wp:positionH relativeFrom="page">
                <wp:align>center</wp:align>
              </wp:positionH>
              <wp:positionV relativeFrom="page">
                <wp:align>top</wp:align>
              </wp:positionV>
              <wp:extent cx="551815" cy="452755"/>
              <wp:effectExtent l="0" t="0" r="635" b="4445"/>
              <wp:wrapNone/>
              <wp:docPr id="13752550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A59D23B" w14:textId="77777777" w:rsidR="007329EC" w:rsidRPr="0038406E" w:rsidRDefault="007329EC" w:rsidP="007329EC">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ABFFA7" id="_x0000_t202" coordsize="21600,21600" o:spt="202" path="m,l,21600r21600,l21600,xe">
              <v:stroke joinstyle="miter"/>
              <v:path gradientshapeok="t" o:connecttype="rect"/>
            </v:shapetype>
            <v:shape id="Text Box 1" o:spid="_x0000_s1030"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2A59D23B" w14:textId="77777777" w:rsidR="007329EC" w:rsidRPr="0038406E" w:rsidRDefault="007329EC" w:rsidP="007329EC">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r w:rsidRPr="0038406E">
      <w:rPr>
        <w:noProof/>
      </w:rPr>
      <mc:AlternateContent>
        <mc:Choice Requires="wps">
          <w:drawing>
            <wp:anchor distT="0" distB="0" distL="114300" distR="114300" simplePos="0" relativeHeight="251658245" behindDoc="0" locked="0" layoutInCell="1" allowOverlap="1" wp14:anchorId="0409118A" wp14:editId="6AF2846A">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04FD60E7" id="Rectangle 12" o:spid="_x0000_s1026" alt="&quot;&quot;" style="position:absolute;margin-left:0;margin-top:0;width:154.5pt;height:22.4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58247" behindDoc="1" locked="1" layoutInCell="1" allowOverlap="1" wp14:anchorId="74CED9EE" wp14:editId="3E8B7061">
          <wp:simplePos x="0" y="0"/>
          <wp:positionH relativeFrom="margin">
            <wp:posOffset>4298950</wp:posOffset>
          </wp:positionH>
          <wp:positionV relativeFrom="page">
            <wp:posOffset>4445</wp:posOffset>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6623E6"/>
    <w:multiLevelType w:val="hybridMultilevel"/>
    <w:tmpl w:val="098E0B92"/>
    <w:lvl w:ilvl="0" w:tplc="0C090001">
      <w:start w:val="1"/>
      <w:numFmt w:val="bullet"/>
      <w:lvlText w:val=""/>
      <w:lvlJc w:val="left"/>
      <w:pPr>
        <w:ind w:left="796" w:hanging="360"/>
      </w:pPr>
      <w:rPr>
        <w:rFonts w:ascii="Symbol" w:hAnsi="Symbol" w:hint="default"/>
      </w:rPr>
    </w:lvl>
    <w:lvl w:ilvl="1" w:tplc="0C090003">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tentative="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5"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9"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A463E4"/>
    <w:multiLevelType w:val="hybridMultilevel"/>
    <w:tmpl w:val="EAEAD5D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2680BA7"/>
    <w:multiLevelType w:val="hybridMultilevel"/>
    <w:tmpl w:val="D05285E4"/>
    <w:lvl w:ilvl="0" w:tplc="60DA18CC">
      <w:start w:val="1"/>
      <w:numFmt w:val="lowerRoman"/>
      <w:lvlText w:val="(%1)"/>
      <w:lvlJc w:val="left"/>
      <w:pPr>
        <w:ind w:left="1440" w:hanging="10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4302CF"/>
    <w:multiLevelType w:val="hybridMultilevel"/>
    <w:tmpl w:val="BCA0C4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A54FE1"/>
    <w:multiLevelType w:val="hybridMultilevel"/>
    <w:tmpl w:val="405EDC4C"/>
    <w:lvl w:ilvl="0" w:tplc="E65E52F0">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8CF244A"/>
    <w:multiLevelType w:val="hybridMultilevel"/>
    <w:tmpl w:val="889672D4"/>
    <w:lvl w:ilvl="0" w:tplc="404AA9E6">
      <w:start w:val="2"/>
      <w:numFmt w:val="bullet"/>
      <w:lvlText w:val="-"/>
      <w:lvlJc w:val="left"/>
      <w:pPr>
        <w:tabs>
          <w:tab w:val="num" w:pos="1381"/>
        </w:tabs>
        <w:ind w:left="1381" w:hanging="360"/>
      </w:pPr>
      <w:rPr>
        <w:rFonts w:ascii="Arial" w:eastAsia="Times New Roman" w:hAnsi="Arial" w:cs="Arial" w:hint="default"/>
      </w:rPr>
    </w:lvl>
    <w:lvl w:ilvl="1" w:tplc="0C090003" w:tentative="1">
      <w:start w:val="1"/>
      <w:numFmt w:val="bullet"/>
      <w:lvlText w:val="o"/>
      <w:lvlJc w:val="left"/>
      <w:pPr>
        <w:tabs>
          <w:tab w:val="num" w:pos="2101"/>
        </w:tabs>
        <w:ind w:left="2101" w:hanging="360"/>
      </w:pPr>
      <w:rPr>
        <w:rFonts w:ascii="Courier New" w:hAnsi="Courier New" w:cs="Courier New" w:hint="default"/>
      </w:rPr>
    </w:lvl>
    <w:lvl w:ilvl="2" w:tplc="0C090005" w:tentative="1">
      <w:start w:val="1"/>
      <w:numFmt w:val="bullet"/>
      <w:lvlText w:val=""/>
      <w:lvlJc w:val="left"/>
      <w:pPr>
        <w:tabs>
          <w:tab w:val="num" w:pos="2821"/>
        </w:tabs>
        <w:ind w:left="2821" w:hanging="360"/>
      </w:pPr>
      <w:rPr>
        <w:rFonts w:ascii="Wingdings" w:hAnsi="Wingdings" w:hint="default"/>
      </w:rPr>
    </w:lvl>
    <w:lvl w:ilvl="3" w:tplc="0C090001" w:tentative="1">
      <w:start w:val="1"/>
      <w:numFmt w:val="bullet"/>
      <w:lvlText w:val=""/>
      <w:lvlJc w:val="left"/>
      <w:pPr>
        <w:tabs>
          <w:tab w:val="num" w:pos="3541"/>
        </w:tabs>
        <w:ind w:left="3541" w:hanging="360"/>
      </w:pPr>
      <w:rPr>
        <w:rFonts w:ascii="Symbol" w:hAnsi="Symbol" w:hint="default"/>
      </w:rPr>
    </w:lvl>
    <w:lvl w:ilvl="4" w:tplc="0C090003" w:tentative="1">
      <w:start w:val="1"/>
      <w:numFmt w:val="bullet"/>
      <w:lvlText w:val="o"/>
      <w:lvlJc w:val="left"/>
      <w:pPr>
        <w:tabs>
          <w:tab w:val="num" w:pos="4261"/>
        </w:tabs>
        <w:ind w:left="4261" w:hanging="360"/>
      </w:pPr>
      <w:rPr>
        <w:rFonts w:ascii="Courier New" w:hAnsi="Courier New" w:cs="Courier New" w:hint="default"/>
      </w:rPr>
    </w:lvl>
    <w:lvl w:ilvl="5" w:tplc="0C090005" w:tentative="1">
      <w:start w:val="1"/>
      <w:numFmt w:val="bullet"/>
      <w:lvlText w:val=""/>
      <w:lvlJc w:val="left"/>
      <w:pPr>
        <w:tabs>
          <w:tab w:val="num" w:pos="4981"/>
        </w:tabs>
        <w:ind w:left="4981" w:hanging="360"/>
      </w:pPr>
      <w:rPr>
        <w:rFonts w:ascii="Wingdings" w:hAnsi="Wingdings" w:hint="default"/>
      </w:rPr>
    </w:lvl>
    <w:lvl w:ilvl="6" w:tplc="0C090001" w:tentative="1">
      <w:start w:val="1"/>
      <w:numFmt w:val="bullet"/>
      <w:lvlText w:val=""/>
      <w:lvlJc w:val="left"/>
      <w:pPr>
        <w:tabs>
          <w:tab w:val="num" w:pos="5701"/>
        </w:tabs>
        <w:ind w:left="5701" w:hanging="360"/>
      </w:pPr>
      <w:rPr>
        <w:rFonts w:ascii="Symbol" w:hAnsi="Symbol" w:hint="default"/>
      </w:rPr>
    </w:lvl>
    <w:lvl w:ilvl="7" w:tplc="0C090003" w:tentative="1">
      <w:start w:val="1"/>
      <w:numFmt w:val="bullet"/>
      <w:lvlText w:val="o"/>
      <w:lvlJc w:val="left"/>
      <w:pPr>
        <w:tabs>
          <w:tab w:val="num" w:pos="6421"/>
        </w:tabs>
        <w:ind w:left="6421" w:hanging="360"/>
      </w:pPr>
      <w:rPr>
        <w:rFonts w:ascii="Courier New" w:hAnsi="Courier New" w:cs="Courier New" w:hint="default"/>
      </w:rPr>
    </w:lvl>
    <w:lvl w:ilvl="8" w:tplc="0C090005" w:tentative="1">
      <w:start w:val="1"/>
      <w:numFmt w:val="bullet"/>
      <w:lvlText w:val=""/>
      <w:lvlJc w:val="left"/>
      <w:pPr>
        <w:tabs>
          <w:tab w:val="num" w:pos="7141"/>
        </w:tabs>
        <w:ind w:left="7141" w:hanging="360"/>
      </w:pPr>
      <w:rPr>
        <w:rFonts w:ascii="Wingdings" w:hAnsi="Wingdings" w:hint="default"/>
      </w:rPr>
    </w:lvl>
  </w:abstractNum>
  <w:abstractNum w:abstractNumId="18"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003F08"/>
    <w:multiLevelType w:val="hybridMultilevel"/>
    <w:tmpl w:val="6916FB20"/>
    <w:lvl w:ilvl="0" w:tplc="82347D5A">
      <w:start w:val="1"/>
      <w:numFmt w:val="bullet"/>
      <w:lvlText w:val=""/>
      <w:lvlJc w:val="left"/>
      <w:pPr>
        <w:ind w:left="933" w:hanging="360"/>
      </w:pPr>
      <w:rPr>
        <w:rFonts w:ascii="Symbol" w:hAnsi="Symbol" w:hint="default"/>
        <w:color w:val="auto"/>
      </w:rPr>
    </w:lvl>
    <w:lvl w:ilvl="1" w:tplc="0C090003">
      <w:start w:val="1"/>
      <w:numFmt w:val="bullet"/>
      <w:lvlText w:val="o"/>
      <w:lvlJc w:val="left"/>
      <w:pPr>
        <w:ind w:left="2013" w:hanging="360"/>
      </w:pPr>
      <w:rPr>
        <w:rFonts w:ascii="Courier New" w:hAnsi="Courier New" w:cs="Courier New" w:hint="default"/>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6"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6C099C"/>
    <w:multiLevelType w:val="hybridMultilevel"/>
    <w:tmpl w:val="AED6BAE8"/>
    <w:lvl w:ilvl="0" w:tplc="920A03BE">
      <w:start w:val="1"/>
      <w:numFmt w:val="bullet"/>
      <w:lvlText w:val=""/>
      <w:lvlJc w:val="left"/>
      <w:pPr>
        <w:tabs>
          <w:tab w:val="num" w:pos="851"/>
        </w:tabs>
        <w:ind w:left="-567" w:firstLine="128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DD7380"/>
    <w:multiLevelType w:val="hybridMultilevel"/>
    <w:tmpl w:val="AC188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C5E24A4"/>
    <w:multiLevelType w:val="hybridMultilevel"/>
    <w:tmpl w:val="B52CDA8C"/>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33"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605387">
    <w:abstractNumId w:val="26"/>
  </w:num>
  <w:num w:numId="2" w16cid:durableId="648444589">
    <w:abstractNumId w:val="31"/>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7"/>
  </w:num>
  <w:num w:numId="8" w16cid:durableId="1928151220">
    <w:abstractNumId w:val="27"/>
  </w:num>
  <w:num w:numId="9" w16cid:durableId="1919442051">
    <w:abstractNumId w:val="22"/>
  </w:num>
  <w:num w:numId="10" w16cid:durableId="563764016">
    <w:abstractNumId w:val="18"/>
  </w:num>
  <w:num w:numId="11" w16cid:durableId="377169740">
    <w:abstractNumId w:val="15"/>
  </w:num>
  <w:num w:numId="12" w16cid:durableId="1207840999">
    <w:abstractNumId w:val="9"/>
  </w:num>
  <w:num w:numId="13" w16cid:durableId="330646744">
    <w:abstractNumId w:val="25"/>
  </w:num>
  <w:num w:numId="14" w16cid:durableId="455176962">
    <w:abstractNumId w:val="8"/>
  </w:num>
  <w:num w:numId="15" w16cid:durableId="1281260069">
    <w:abstractNumId w:val="6"/>
  </w:num>
  <w:num w:numId="16" w16cid:durableId="1287079906">
    <w:abstractNumId w:val="33"/>
  </w:num>
  <w:num w:numId="17" w16cid:durableId="1504780995">
    <w:abstractNumId w:val="23"/>
  </w:num>
  <w:num w:numId="18" w16cid:durableId="2125417772">
    <w:abstractNumId w:val="20"/>
  </w:num>
  <w:num w:numId="19" w16cid:durableId="759527236">
    <w:abstractNumId w:val="28"/>
  </w:num>
  <w:num w:numId="20" w16cid:durableId="1112439673">
    <w:abstractNumId w:val="10"/>
  </w:num>
  <w:num w:numId="21" w16cid:durableId="1723753088">
    <w:abstractNumId w:val="21"/>
  </w:num>
  <w:num w:numId="22" w16cid:durableId="757021959">
    <w:abstractNumId w:val="5"/>
  </w:num>
  <w:num w:numId="23" w16cid:durableId="28920175">
    <w:abstractNumId w:val="24"/>
  </w:num>
  <w:num w:numId="24" w16cid:durableId="36705265">
    <w:abstractNumId w:val="12"/>
  </w:num>
  <w:num w:numId="25" w16cid:durableId="1695419890">
    <w:abstractNumId w:val="19"/>
  </w:num>
  <w:num w:numId="26" w16cid:durableId="1048146502">
    <w:abstractNumId w:val="32"/>
  </w:num>
  <w:num w:numId="27" w16cid:durableId="333609173">
    <w:abstractNumId w:val="26"/>
  </w:num>
  <w:num w:numId="28" w16cid:durableId="1734620272">
    <w:abstractNumId w:val="14"/>
  </w:num>
  <w:num w:numId="29" w16cid:durableId="1566843512">
    <w:abstractNumId w:val="30"/>
  </w:num>
  <w:num w:numId="30" w16cid:durableId="589121112">
    <w:abstractNumId w:val="16"/>
  </w:num>
  <w:num w:numId="31" w16cid:durableId="650869039">
    <w:abstractNumId w:val="17"/>
  </w:num>
  <w:num w:numId="32" w16cid:durableId="641547732">
    <w:abstractNumId w:val="29"/>
  </w:num>
  <w:num w:numId="33" w16cid:durableId="824860915">
    <w:abstractNumId w:val="11"/>
  </w:num>
  <w:num w:numId="34" w16cid:durableId="1742481601">
    <w:abstractNumId w:val="13"/>
  </w:num>
  <w:num w:numId="35" w16cid:durableId="414212035">
    <w:abstractNumId w:val="4"/>
  </w:num>
  <w:num w:numId="36" w16cid:durableId="1499346493">
    <w:abstractNumId w:val="26"/>
  </w:num>
  <w:num w:numId="37" w16cid:durableId="1704817420">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287"/>
    <w:rsid w:val="00032995"/>
    <w:rsid w:val="00034867"/>
    <w:rsid w:val="0004059E"/>
    <w:rsid w:val="000552B3"/>
    <w:rsid w:val="000612D6"/>
    <w:rsid w:val="0007067B"/>
    <w:rsid w:val="0008167B"/>
    <w:rsid w:val="00081D07"/>
    <w:rsid w:val="00090DDB"/>
    <w:rsid w:val="000A75CB"/>
    <w:rsid w:val="000B24FC"/>
    <w:rsid w:val="000B6C60"/>
    <w:rsid w:val="000C3494"/>
    <w:rsid w:val="000E0F53"/>
    <w:rsid w:val="000E599A"/>
    <w:rsid w:val="000E5C60"/>
    <w:rsid w:val="000F2564"/>
    <w:rsid w:val="000F50CE"/>
    <w:rsid w:val="00113CC5"/>
    <w:rsid w:val="00153C15"/>
    <w:rsid w:val="001549C0"/>
    <w:rsid w:val="00171757"/>
    <w:rsid w:val="00174108"/>
    <w:rsid w:val="00186D2D"/>
    <w:rsid w:val="0018753C"/>
    <w:rsid w:val="001A2BD9"/>
    <w:rsid w:val="001A38CC"/>
    <w:rsid w:val="001B314C"/>
    <w:rsid w:val="001D0A88"/>
    <w:rsid w:val="001D216A"/>
    <w:rsid w:val="001D2E82"/>
    <w:rsid w:val="001D51DA"/>
    <w:rsid w:val="001E0C9F"/>
    <w:rsid w:val="001E727B"/>
    <w:rsid w:val="001F5AB1"/>
    <w:rsid w:val="00205DF3"/>
    <w:rsid w:val="00214533"/>
    <w:rsid w:val="0022083E"/>
    <w:rsid w:val="00222D0B"/>
    <w:rsid w:val="00241D3D"/>
    <w:rsid w:val="00246116"/>
    <w:rsid w:val="00254DA8"/>
    <w:rsid w:val="00266F7C"/>
    <w:rsid w:val="00272A9E"/>
    <w:rsid w:val="00272B04"/>
    <w:rsid w:val="00274C94"/>
    <w:rsid w:val="00282ED3"/>
    <w:rsid w:val="00285DC7"/>
    <w:rsid w:val="002A101F"/>
    <w:rsid w:val="002A1791"/>
    <w:rsid w:val="002A4D9D"/>
    <w:rsid w:val="002B3A3A"/>
    <w:rsid w:val="002B5C69"/>
    <w:rsid w:val="002B7395"/>
    <w:rsid w:val="002D230B"/>
    <w:rsid w:val="002D5AF5"/>
    <w:rsid w:val="002F60C0"/>
    <w:rsid w:val="0031048E"/>
    <w:rsid w:val="00315846"/>
    <w:rsid w:val="0031654A"/>
    <w:rsid w:val="00330C0B"/>
    <w:rsid w:val="0033226D"/>
    <w:rsid w:val="0035140F"/>
    <w:rsid w:val="0036057F"/>
    <w:rsid w:val="003606DC"/>
    <w:rsid w:val="00361D74"/>
    <w:rsid w:val="0038406E"/>
    <w:rsid w:val="00390122"/>
    <w:rsid w:val="00392257"/>
    <w:rsid w:val="00393784"/>
    <w:rsid w:val="003A0E7F"/>
    <w:rsid w:val="003D38ED"/>
    <w:rsid w:val="003D465E"/>
    <w:rsid w:val="003D747D"/>
    <w:rsid w:val="00406032"/>
    <w:rsid w:val="00423B2E"/>
    <w:rsid w:val="00423D13"/>
    <w:rsid w:val="0043720A"/>
    <w:rsid w:val="004632E9"/>
    <w:rsid w:val="004647FA"/>
    <w:rsid w:val="0046678C"/>
    <w:rsid w:val="00483C56"/>
    <w:rsid w:val="00487646"/>
    <w:rsid w:val="0049358E"/>
    <w:rsid w:val="004A22C9"/>
    <w:rsid w:val="004A7856"/>
    <w:rsid w:val="004B4254"/>
    <w:rsid w:val="004D3B0F"/>
    <w:rsid w:val="004E23A9"/>
    <w:rsid w:val="004E5181"/>
    <w:rsid w:val="004E75D2"/>
    <w:rsid w:val="004F1094"/>
    <w:rsid w:val="004F6147"/>
    <w:rsid w:val="00512647"/>
    <w:rsid w:val="00516B0E"/>
    <w:rsid w:val="0052479B"/>
    <w:rsid w:val="00524A91"/>
    <w:rsid w:val="00527381"/>
    <w:rsid w:val="005419C2"/>
    <w:rsid w:val="005569AC"/>
    <w:rsid w:val="005706FD"/>
    <w:rsid w:val="00572521"/>
    <w:rsid w:val="005748CB"/>
    <w:rsid w:val="005777BC"/>
    <w:rsid w:val="00584B74"/>
    <w:rsid w:val="00596B24"/>
    <w:rsid w:val="005A1B5C"/>
    <w:rsid w:val="005C111D"/>
    <w:rsid w:val="005D19B8"/>
    <w:rsid w:val="005D27F7"/>
    <w:rsid w:val="005D3B5C"/>
    <w:rsid w:val="005E5D1F"/>
    <w:rsid w:val="005E5F5F"/>
    <w:rsid w:val="005F447E"/>
    <w:rsid w:val="00603DDF"/>
    <w:rsid w:val="00607188"/>
    <w:rsid w:val="00607E19"/>
    <w:rsid w:val="00612AD0"/>
    <w:rsid w:val="00623171"/>
    <w:rsid w:val="006337C7"/>
    <w:rsid w:val="00640333"/>
    <w:rsid w:val="00656152"/>
    <w:rsid w:val="0066416C"/>
    <w:rsid w:val="00671D1D"/>
    <w:rsid w:val="00671FC8"/>
    <w:rsid w:val="0067346C"/>
    <w:rsid w:val="0068286F"/>
    <w:rsid w:val="006932C1"/>
    <w:rsid w:val="00695B12"/>
    <w:rsid w:val="00697567"/>
    <w:rsid w:val="006A6FF5"/>
    <w:rsid w:val="006C4C9C"/>
    <w:rsid w:val="006C7D25"/>
    <w:rsid w:val="006D2221"/>
    <w:rsid w:val="006D296A"/>
    <w:rsid w:val="006D53C4"/>
    <w:rsid w:val="006E1636"/>
    <w:rsid w:val="006E1E6A"/>
    <w:rsid w:val="006E4001"/>
    <w:rsid w:val="006F58A5"/>
    <w:rsid w:val="00702C5A"/>
    <w:rsid w:val="00703734"/>
    <w:rsid w:val="00706D05"/>
    <w:rsid w:val="00711349"/>
    <w:rsid w:val="007228A0"/>
    <w:rsid w:val="00723C5D"/>
    <w:rsid w:val="00724E23"/>
    <w:rsid w:val="007329EC"/>
    <w:rsid w:val="0073362E"/>
    <w:rsid w:val="00743CBC"/>
    <w:rsid w:val="00750A62"/>
    <w:rsid w:val="00781C9A"/>
    <w:rsid w:val="007833EE"/>
    <w:rsid w:val="00794290"/>
    <w:rsid w:val="007A50BD"/>
    <w:rsid w:val="007B553F"/>
    <w:rsid w:val="007C13DA"/>
    <w:rsid w:val="007C1A8D"/>
    <w:rsid w:val="007C1FE3"/>
    <w:rsid w:val="0080201C"/>
    <w:rsid w:val="00805552"/>
    <w:rsid w:val="00806473"/>
    <w:rsid w:val="00812F38"/>
    <w:rsid w:val="00813FDA"/>
    <w:rsid w:val="00816E4A"/>
    <w:rsid w:val="00817FA9"/>
    <w:rsid w:val="00822714"/>
    <w:rsid w:val="00826293"/>
    <w:rsid w:val="008527AF"/>
    <w:rsid w:val="00853A7A"/>
    <w:rsid w:val="0085408E"/>
    <w:rsid w:val="0086144B"/>
    <w:rsid w:val="00864A08"/>
    <w:rsid w:val="008653E9"/>
    <w:rsid w:val="00867703"/>
    <w:rsid w:val="00872DFF"/>
    <w:rsid w:val="00891421"/>
    <w:rsid w:val="00892B6E"/>
    <w:rsid w:val="008A5808"/>
    <w:rsid w:val="008B7B1E"/>
    <w:rsid w:val="008C3B21"/>
    <w:rsid w:val="008E0E75"/>
    <w:rsid w:val="008E3C31"/>
    <w:rsid w:val="008E3C7A"/>
    <w:rsid w:val="008E5E4B"/>
    <w:rsid w:val="009059E9"/>
    <w:rsid w:val="0090794D"/>
    <w:rsid w:val="0091556D"/>
    <w:rsid w:val="00917329"/>
    <w:rsid w:val="009306F7"/>
    <w:rsid w:val="009327DE"/>
    <w:rsid w:val="00951226"/>
    <w:rsid w:val="0095489E"/>
    <w:rsid w:val="00960D98"/>
    <w:rsid w:val="009830D1"/>
    <w:rsid w:val="0098695D"/>
    <w:rsid w:val="009A549D"/>
    <w:rsid w:val="009A64AF"/>
    <w:rsid w:val="009B4687"/>
    <w:rsid w:val="009E59BA"/>
    <w:rsid w:val="009F23EB"/>
    <w:rsid w:val="00A10652"/>
    <w:rsid w:val="00A2676F"/>
    <w:rsid w:val="00A421A4"/>
    <w:rsid w:val="00A52F3D"/>
    <w:rsid w:val="00A6365B"/>
    <w:rsid w:val="00A731BB"/>
    <w:rsid w:val="00A80CB3"/>
    <w:rsid w:val="00A90059"/>
    <w:rsid w:val="00AA5432"/>
    <w:rsid w:val="00AA740C"/>
    <w:rsid w:val="00AB254D"/>
    <w:rsid w:val="00AB32A8"/>
    <w:rsid w:val="00AD1B7E"/>
    <w:rsid w:val="00AD22BA"/>
    <w:rsid w:val="00AD473E"/>
    <w:rsid w:val="00AD6F89"/>
    <w:rsid w:val="00B15C01"/>
    <w:rsid w:val="00B21681"/>
    <w:rsid w:val="00B251DB"/>
    <w:rsid w:val="00B26C25"/>
    <w:rsid w:val="00B26D06"/>
    <w:rsid w:val="00B304D4"/>
    <w:rsid w:val="00B35235"/>
    <w:rsid w:val="00B35C0C"/>
    <w:rsid w:val="00B47576"/>
    <w:rsid w:val="00B76D92"/>
    <w:rsid w:val="00B800A1"/>
    <w:rsid w:val="00B81C11"/>
    <w:rsid w:val="00BA0B22"/>
    <w:rsid w:val="00BA1EFB"/>
    <w:rsid w:val="00BA4108"/>
    <w:rsid w:val="00BB350F"/>
    <w:rsid w:val="00BB5084"/>
    <w:rsid w:val="00BB76F1"/>
    <w:rsid w:val="00BD0F8A"/>
    <w:rsid w:val="00BD43D1"/>
    <w:rsid w:val="00BD57AA"/>
    <w:rsid w:val="00BE1CB4"/>
    <w:rsid w:val="00BE53C7"/>
    <w:rsid w:val="00BE6EEA"/>
    <w:rsid w:val="00BF1E02"/>
    <w:rsid w:val="00C157DC"/>
    <w:rsid w:val="00C17F2D"/>
    <w:rsid w:val="00C27EB6"/>
    <w:rsid w:val="00C4055A"/>
    <w:rsid w:val="00C43D48"/>
    <w:rsid w:val="00C45EE9"/>
    <w:rsid w:val="00C50A9A"/>
    <w:rsid w:val="00C629DC"/>
    <w:rsid w:val="00C65E4E"/>
    <w:rsid w:val="00C66984"/>
    <w:rsid w:val="00C669E5"/>
    <w:rsid w:val="00C743D9"/>
    <w:rsid w:val="00CA2DE4"/>
    <w:rsid w:val="00CB2DE1"/>
    <w:rsid w:val="00CB6052"/>
    <w:rsid w:val="00CB7499"/>
    <w:rsid w:val="00CD1793"/>
    <w:rsid w:val="00CD4DD2"/>
    <w:rsid w:val="00CE4789"/>
    <w:rsid w:val="00CE6BBD"/>
    <w:rsid w:val="00CE7F17"/>
    <w:rsid w:val="00CF5CBB"/>
    <w:rsid w:val="00D0286C"/>
    <w:rsid w:val="00D10678"/>
    <w:rsid w:val="00D1204F"/>
    <w:rsid w:val="00D220CF"/>
    <w:rsid w:val="00D27B99"/>
    <w:rsid w:val="00D51BF5"/>
    <w:rsid w:val="00D51DA2"/>
    <w:rsid w:val="00D60F64"/>
    <w:rsid w:val="00D6254D"/>
    <w:rsid w:val="00D64BFA"/>
    <w:rsid w:val="00D7396A"/>
    <w:rsid w:val="00D73BB0"/>
    <w:rsid w:val="00D841E9"/>
    <w:rsid w:val="00D9122B"/>
    <w:rsid w:val="00D9211D"/>
    <w:rsid w:val="00DA2E1A"/>
    <w:rsid w:val="00DB1835"/>
    <w:rsid w:val="00DB1F98"/>
    <w:rsid w:val="00DB7CD2"/>
    <w:rsid w:val="00DC75B8"/>
    <w:rsid w:val="00DD41C7"/>
    <w:rsid w:val="00DE04A8"/>
    <w:rsid w:val="00DE1060"/>
    <w:rsid w:val="00DE194F"/>
    <w:rsid w:val="00DE504A"/>
    <w:rsid w:val="00DF70EA"/>
    <w:rsid w:val="00E01D7D"/>
    <w:rsid w:val="00E0372B"/>
    <w:rsid w:val="00E04DA0"/>
    <w:rsid w:val="00E05F77"/>
    <w:rsid w:val="00E11B00"/>
    <w:rsid w:val="00E14F58"/>
    <w:rsid w:val="00E3024E"/>
    <w:rsid w:val="00E3027E"/>
    <w:rsid w:val="00E37443"/>
    <w:rsid w:val="00E433C6"/>
    <w:rsid w:val="00E43809"/>
    <w:rsid w:val="00E51EC5"/>
    <w:rsid w:val="00E66859"/>
    <w:rsid w:val="00E7363C"/>
    <w:rsid w:val="00E95372"/>
    <w:rsid w:val="00EA0739"/>
    <w:rsid w:val="00EA1B39"/>
    <w:rsid w:val="00EB0679"/>
    <w:rsid w:val="00EB2522"/>
    <w:rsid w:val="00EB2A69"/>
    <w:rsid w:val="00EB5526"/>
    <w:rsid w:val="00EC1B88"/>
    <w:rsid w:val="00EC7368"/>
    <w:rsid w:val="00EE1F4B"/>
    <w:rsid w:val="00F062EE"/>
    <w:rsid w:val="00F12E43"/>
    <w:rsid w:val="00F16FE0"/>
    <w:rsid w:val="00F22BB9"/>
    <w:rsid w:val="00F23277"/>
    <w:rsid w:val="00F277D1"/>
    <w:rsid w:val="00F32757"/>
    <w:rsid w:val="00F50FA6"/>
    <w:rsid w:val="00F62B4E"/>
    <w:rsid w:val="00F648BB"/>
    <w:rsid w:val="00F66A4B"/>
    <w:rsid w:val="00F8316C"/>
    <w:rsid w:val="00F86ADC"/>
    <w:rsid w:val="00FA4E28"/>
    <w:rsid w:val="00FA4E30"/>
    <w:rsid w:val="00FB6C18"/>
    <w:rsid w:val="00FC07B7"/>
    <w:rsid w:val="00FE4569"/>
    <w:rsid w:val="00FE46C7"/>
    <w:rsid w:val="00FE7DB2"/>
    <w:rsid w:val="00FF30C2"/>
    <w:rsid w:val="00FF47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paragraph" w:customStyle="1" w:styleId="Normalinstructions">
    <w:name w:val="Normal + instructions"/>
    <w:basedOn w:val="Normal"/>
    <w:qFormat/>
    <w:rsid w:val="00812F38"/>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hd w:val="clear" w:color="auto" w:fill="D9D9D9" w:themeFill="background1" w:themeFillShade="D9"/>
      <w:spacing w:before="40" w:line="280" w:lineRule="atLeast"/>
    </w:pPr>
    <w:rPr>
      <w:rFonts w:ascii="Arial" w:eastAsia="Times New Roman" w:hAnsi="Arial" w:cs="Times New Roman"/>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entsupport@atrc.gov.a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tra@industry.gov.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gov.au/ITR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clientsupport@atrc.gov.au" TargetMode="External"/><Relationship Id="rId14" Type="http://schemas.openxmlformats.org/officeDocument/2006/relationships/hyperlink" Target="http://www.atrc.gov.au"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1243</Words>
  <Characters>7247</Characters>
  <Application>Microsoft Office Word</Application>
  <DocSecurity>0</DocSecurity>
  <Lines>172</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2026-09-29T04:07:00Z</dcterms:created>
  <dcterms:modified xsi:type="dcterms:W3CDTF">2026-09-29T04:07:00Z</dcterms:modified>
</cp:coreProperties>
</file>