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8C3BE" w14:textId="5AB52434" w:rsidR="002F60C0" w:rsidRDefault="00960D98" w:rsidP="004A7856">
      <w:pPr>
        <w:spacing w:after="240"/>
      </w:pPr>
      <w:bookmarkStart w:id="0" w:name="_Toc19289801"/>
      <w:r>
        <w:rPr>
          <w:noProof/>
        </w:rPr>
        <w:drawing>
          <wp:inline distT="0" distB="0" distL="0" distR="0" wp14:anchorId="1BD458A8" wp14:editId="66826764">
            <wp:extent cx="2228400" cy="651600"/>
            <wp:effectExtent l="0" t="0" r="635" b="0"/>
            <wp:docPr id="3" name="Picture 3" descr="Australian Government | Department of Industry, Science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ustralian Government | Department of Industry, Science and Resources"/>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28400" cy="651600"/>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002F60C0" w:rsidRPr="002F60C0">
        <w:t xml:space="preserve"> </w:t>
      </w:r>
    </w:p>
    <w:p w14:paraId="059DFCAB" w14:textId="77777777" w:rsidR="002B1DDC" w:rsidRDefault="002B1DDC" w:rsidP="004A7856">
      <w:pPr>
        <w:spacing w:after="240"/>
      </w:pPr>
    </w:p>
    <w:p w14:paraId="0768C218" w14:textId="77777777" w:rsidR="002B1DDC" w:rsidRDefault="002B1DDC" w:rsidP="004A7856">
      <w:pPr>
        <w:spacing w:after="240"/>
      </w:pPr>
    </w:p>
    <w:p w14:paraId="725CA7C3" w14:textId="77777777" w:rsidR="002B1DDC" w:rsidRDefault="002B1DDC" w:rsidP="004A7856">
      <w:pPr>
        <w:spacing w:after="240"/>
      </w:pPr>
    </w:p>
    <w:p w14:paraId="37F9D67A" w14:textId="77777777" w:rsidR="00EB0B81" w:rsidRDefault="00EB0B81" w:rsidP="004A7856">
      <w:pPr>
        <w:spacing w:after="240"/>
      </w:pPr>
    </w:p>
    <w:p w14:paraId="60AD4C99" w14:textId="77777777" w:rsidR="002B1DDC" w:rsidRDefault="002B1DDC" w:rsidP="004A7856">
      <w:pPr>
        <w:spacing w:after="240"/>
      </w:pPr>
    </w:p>
    <w:bookmarkStart w:id="1" w:name="_Toc144911604" w:displacedByCustomXml="next"/>
    <w:bookmarkEnd w:id="1" w:displacedByCustomXml="next"/>
    <w:bookmarkStart w:id="2" w:name="_Toc155176735" w:displacedByCustomXml="next"/>
    <w:bookmarkEnd w:id="2" w:displacedByCustomXml="next"/>
    <w:bookmarkEnd w:id="0" w:displacedByCustomXml="next"/>
    <w:sdt>
      <w:sdtPr>
        <w:rPr>
          <w:rFonts w:asciiTheme="minorHAnsi" w:eastAsiaTheme="minorEastAsia" w:hAnsiTheme="minorHAnsi" w:cstheme="minorBidi"/>
          <w:iCs/>
          <w:color w:val="auto"/>
          <w:kern w:val="18"/>
          <w:sz w:val="22"/>
          <w:szCs w:val="22"/>
        </w:rPr>
        <w:id w:val="-2088995269"/>
        <w:docPartObj>
          <w:docPartGallery w:val="Cover Pages"/>
          <w:docPartUnique/>
        </w:docPartObj>
      </w:sdtPr>
      <w:sdtEndPr>
        <w:rPr>
          <w:color w:val="001B35" w:themeColor="text2"/>
          <w:sz w:val="24"/>
          <w:szCs w:val="24"/>
        </w:rPr>
      </w:sdtEndPr>
      <w:sdtContent>
        <w:sdt>
          <w:sdtPr>
            <w:alias w:val="Title"/>
            <w:tag w:val=""/>
            <w:id w:val="-856345196"/>
            <w:placeholder>
              <w:docPart w:val="7C978D00DE954317A38746FAA17D08F3"/>
            </w:placeholder>
            <w:dataBinding w:prefixMappings="xmlns:ns0='http://purl.org/dc/elements/1.1/' xmlns:ns1='http://schemas.openxmlformats.org/package/2006/metadata/core-properties' " w:xpath="/ns1:coreProperties[1]/ns0:title[1]" w:storeItemID="{6C3C8BC8-F283-45AE-878A-BAB7291924A1}"/>
            <w:text/>
          </w:sdtPr>
          <w:sdtEndPr/>
          <w:sdtContent>
            <w:p w14:paraId="0F2A2778" w14:textId="6C897610" w:rsidR="0068286F" w:rsidRDefault="00B261B8" w:rsidP="000874A3">
              <w:pPr>
                <w:pStyle w:val="Heading1"/>
              </w:pPr>
              <w:r>
                <w:t xml:space="preserve">Offshore carbon capture and storage (CCS) review </w:t>
              </w:r>
            </w:p>
          </w:sdtContent>
        </w:sdt>
        <w:p w14:paraId="5F38D918" w14:textId="0B0D5F0D" w:rsidR="00090DDB" w:rsidRDefault="00177759" w:rsidP="008653E9">
          <w:pPr>
            <w:pStyle w:val="Subtitle"/>
            <w:spacing w:after="480"/>
          </w:pPr>
          <w:r w:rsidRPr="00177759">
            <w:t xml:space="preserve">Key </w:t>
          </w:r>
          <w:r w:rsidR="003C25EC">
            <w:t>f</w:t>
          </w:r>
          <w:r w:rsidRPr="00177759">
            <w:t xml:space="preserve">indings and </w:t>
          </w:r>
          <w:r w:rsidR="003C25EC">
            <w:t>n</w:t>
          </w:r>
          <w:r w:rsidRPr="00177759">
            <w:t xml:space="preserve">ext </w:t>
          </w:r>
          <w:r w:rsidR="003C25EC">
            <w:t>s</w:t>
          </w:r>
          <w:r w:rsidRPr="00177759">
            <w:t>teps</w:t>
          </w:r>
        </w:p>
        <w:p w14:paraId="22ED57E5" w14:textId="36C660F2" w:rsidR="002F60C0" w:rsidRPr="00090DDB" w:rsidRDefault="00682CF4" w:rsidP="00CD36CB">
          <w:pPr>
            <w:pStyle w:val="URL"/>
          </w:pPr>
        </w:p>
      </w:sdtContent>
    </w:sdt>
    <w:p w14:paraId="2B25A82F" w14:textId="77777777" w:rsidR="009F4608" w:rsidRDefault="009F4608">
      <w:pPr>
        <w:spacing w:before="0" w:after="160" w:line="259" w:lineRule="auto"/>
        <w:rPr>
          <w:rFonts w:asciiTheme="majorHAnsi" w:eastAsiaTheme="majorEastAsia" w:hAnsiTheme="majorHAnsi" w:cstheme="majorBidi"/>
          <w:color w:val="0766A5" w:themeColor="accent1"/>
          <w:sz w:val="48"/>
          <w:szCs w:val="48"/>
        </w:rPr>
      </w:pPr>
      <w:bookmarkStart w:id="3" w:name="_Toc144911608"/>
      <w:bookmarkStart w:id="4" w:name="_Toc155176736"/>
      <w:bookmarkStart w:id="5" w:name="_Toc19023741"/>
      <w:bookmarkStart w:id="6" w:name="_Hlk155189889"/>
      <w:r>
        <w:br w:type="page"/>
      </w:r>
    </w:p>
    <w:p w14:paraId="0651AE6F" w14:textId="6DB746D7" w:rsidR="00C27CB3" w:rsidRPr="00BD5778" w:rsidRDefault="004C10C3" w:rsidP="00BD5778">
      <w:pPr>
        <w:pStyle w:val="Heading2"/>
      </w:pPr>
      <w:r>
        <w:lastRenderedPageBreak/>
        <w:t>Summary</w:t>
      </w:r>
    </w:p>
    <w:p w14:paraId="30E165EE" w14:textId="64A7D7AB" w:rsidR="00177759" w:rsidRPr="00177759" w:rsidRDefault="00177759" w:rsidP="00510BD0">
      <w:bookmarkStart w:id="7" w:name="_Hlk155193689"/>
      <w:r w:rsidRPr="00177759">
        <w:t xml:space="preserve">This paper summarises the key findings of a review of the regulatory framework for Offshore Carbon Capture and Storage (CCS) established under the </w:t>
      </w:r>
      <w:r w:rsidRPr="00177759">
        <w:rPr>
          <w:i/>
          <w:iCs/>
        </w:rPr>
        <w:t xml:space="preserve">Offshore Petroleum and Greenhouse Gas Storage Act 2006 </w:t>
      </w:r>
      <w:r w:rsidRPr="00177759">
        <w:t>(OPGGS</w:t>
      </w:r>
      <w:r w:rsidR="00571530">
        <w:t xml:space="preserve"> </w:t>
      </w:r>
      <w:r w:rsidRPr="00177759">
        <w:t>A</w:t>
      </w:r>
      <w:r w:rsidR="00571530">
        <w:t>ct</w:t>
      </w:r>
      <w:r w:rsidRPr="00177759">
        <w:t>). This framework applies to Offshore CCS activities in Commonwealth waters.</w:t>
      </w:r>
    </w:p>
    <w:p w14:paraId="5019D6E2" w14:textId="0C927941" w:rsidR="00C27CB3" w:rsidRDefault="00177759" w:rsidP="00510BD0">
      <w:r w:rsidRPr="00177759">
        <w:t>The review drew on insights generated through engagement with title holders, industry stakeholders</w:t>
      </w:r>
      <w:r w:rsidR="00B57C68">
        <w:t xml:space="preserve">, </w:t>
      </w:r>
      <w:r w:rsidR="00746A23">
        <w:t xml:space="preserve">industry </w:t>
      </w:r>
      <w:r w:rsidRPr="00177759">
        <w:t>regulators</w:t>
      </w:r>
      <w:r w:rsidR="00746A23">
        <w:t>,</w:t>
      </w:r>
      <w:r w:rsidR="00B57C68">
        <w:t xml:space="preserve"> and other Commonwealth agencies</w:t>
      </w:r>
      <w:r w:rsidRPr="00177759">
        <w:t>.</w:t>
      </w:r>
    </w:p>
    <w:p w14:paraId="405FC92B" w14:textId="6221C65A" w:rsidR="00A221B9" w:rsidRDefault="00DA162C" w:rsidP="00DA162C">
      <w:r>
        <w:t xml:space="preserve">Overall, the review found that the offshore CCS regime under the OPGGS Act is </w:t>
      </w:r>
      <w:r w:rsidR="00A221B9">
        <w:t xml:space="preserve">working as expected in the current market context and is </w:t>
      </w:r>
      <w:r>
        <w:t xml:space="preserve">still largely fit for purpose in a decarbonising economy. </w:t>
      </w:r>
    </w:p>
    <w:p w14:paraId="1EB752A7" w14:textId="73D152BB" w:rsidR="00DA162C" w:rsidRDefault="00DA162C" w:rsidP="00DA162C">
      <w:r>
        <w:t>In addition, engagement undertaken with industry stakeholders and titleholders suggests the regime is internationally regarded as a robust framework for offshore CCS.</w:t>
      </w:r>
    </w:p>
    <w:p w14:paraId="5AD80A8A" w14:textId="6BCAD51A" w:rsidR="007848BA" w:rsidRDefault="00ED0C4C" w:rsidP="00F50FA7">
      <w:r>
        <w:t xml:space="preserve">The review identified </w:t>
      </w:r>
      <w:r w:rsidR="00F50FA7">
        <w:t>improve</w:t>
      </w:r>
      <w:r>
        <w:t xml:space="preserve">ments that would help to </w:t>
      </w:r>
      <w:r w:rsidR="00F50FA7">
        <w:t xml:space="preserve">‘future proof’ the </w:t>
      </w:r>
      <w:r w:rsidR="001754E7">
        <w:t xml:space="preserve">regulatory </w:t>
      </w:r>
      <w:r w:rsidR="00E91F60">
        <w:t>framework,</w:t>
      </w:r>
      <w:r w:rsidR="00F50FA7">
        <w:t xml:space="preserve"> so it is consistent with an industry operating at scale</w:t>
      </w:r>
      <w:r w:rsidR="004C3C30">
        <w:t xml:space="preserve"> and supports the </w:t>
      </w:r>
      <w:r w:rsidR="00F50FA7">
        <w:t xml:space="preserve">expected </w:t>
      </w:r>
      <w:r w:rsidR="004C3C30">
        <w:t xml:space="preserve">contribution of </w:t>
      </w:r>
      <w:r w:rsidR="00F50FA7">
        <w:t xml:space="preserve">CCS </w:t>
      </w:r>
      <w:r w:rsidR="00F6484B">
        <w:t xml:space="preserve">to </w:t>
      </w:r>
      <w:r w:rsidR="004C3C30">
        <w:t xml:space="preserve">Australia’s </w:t>
      </w:r>
      <w:r w:rsidR="00F50FA7">
        <w:t>2050 commitments</w:t>
      </w:r>
      <w:r w:rsidR="007848BA">
        <w:t>.</w:t>
      </w:r>
    </w:p>
    <w:p w14:paraId="41F27744" w14:textId="4EE5C5B9" w:rsidR="00F50FA7" w:rsidRDefault="007848BA" w:rsidP="00F50FA7">
      <w:r>
        <w:t xml:space="preserve">The focus of these improvements </w:t>
      </w:r>
      <w:r w:rsidR="00F50FA7">
        <w:t xml:space="preserve">would be on technical and administrative legislative updates to support innovative business models, improve the efficiency of administrative and regulatory processes, and manage fiscal risks. </w:t>
      </w:r>
    </w:p>
    <w:p w14:paraId="468BA7DB" w14:textId="19C0D352" w:rsidR="00C60DDA" w:rsidRDefault="000B3813" w:rsidP="00F40BD9">
      <w:r>
        <w:t xml:space="preserve">Specific reform opportunities are discussed in </w:t>
      </w:r>
      <w:r w:rsidR="001E38E1">
        <w:t xml:space="preserve">more detail in the </w:t>
      </w:r>
      <w:r w:rsidR="000540F9">
        <w:t>‘</w:t>
      </w:r>
      <w:r w:rsidR="001E38E1">
        <w:t>Findings</w:t>
      </w:r>
      <w:r w:rsidR="000540F9">
        <w:t>’</w:t>
      </w:r>
      <w:r w:rsidR="001E38E1">
        <w:t xml:space="preserve"> section of the report.</w:t>
      </w:r>
    </w:p>
    <w:p w14:paraId="66FDCB2A" w14:textId="77777777" w:rsidR="009F4608" w:rsidRDefault="003B68FE" w:rsidP="00510BD0">
      <w:r>
        <w:t>Implementation would require amendments to the OPGGS Act and associated regulations.</w:t>
      </w:r>
    </w:p>
    <w:p w14:paraId="1957DE4D" w14:textId="77777777" w:rsidR="009C17E2" w:rsidRDefault="009C17E2" w:rsidP="00510BD0"/>
    <w:p w14:paraId="6890FDB0" w14:textId="5EB1D323" w:rsidR="00A564FC" w:rsidRDefault="00A564FC" w:rsidP="009C17E2">
      <w:r>
        <w:br w:type="page"/>
      </w:r>
    </w:p>
    <w:p w14:paraId="7DC2D729" w14:textId="30DC68F1" w:rsidR="00542BD7" w:rsidRDefault="00542BD7" w:rsidP="00542BD7">
      <w:pPr>
        <w:pStyle w:val="Heading2"/>
      </w:pPr>
      <w:r>
        <w:lastRenderedPageBreak/>
        <w:t xml:space="preserve">Sectoral </w:t>
      </w:r>
      <w:r w:rsidR="00B664FD">
        <w:t>o</w:t>
      </w:r>
      <w:r>
        <w:t>verview</w:t>
      </w:r>
    </w:p>
    <w:p w14:paraId="6C37980F" w14:textId="1692F798" w:rsidR="00610B39" w:rsidRDefault="00D87E39" w:rsidP="00542BD7">
      <w:r w:rsidRPr="0057706B">
        <w:t xml:space="preserve">Globally, deployment of carbon capture and storage (CCS) projects continues to accelerate. In 2025, there was significant progress in policy, legal and regulatory frameworks worldwide to support and incentivise CCS deployment. At least 70 CCS facilities are in operation </w:t>
      </w:r>
      <w:r w:rsidR="00BB0F9E">
        <w:t>worldwide</w:t>
      </w:r>
      <w:r w:rsidR="00287CD0">
        <w:t xml:space="preserve"> and</w:t>
      </w:r>
      <w:r w:rsidRPr="0057706B">
        <w:t xml:space="preserve"> more than 700 projects </w:t>
      </w:r>
      <w:r w:rsidR="2C894136">
        <w:t>under</w:t>
      </w:r>
      <w:r w:rsidR="00695806">
        <w:t xml:space="preserve"> </w:t>
      </w:r>
      <w:r w:rsidRPr="0057706B">
        <w:t>development</w:t>
      </w:r>
      <w:r w:rsidR="00097F75">
        <w:t>.</w:t>
      </w:r>
      <w:r w:rsidR="005C21E7">
        <w:rPr>
          <w:rStyle w:val="FootnoteReference"/>
        </w:rPr>
        <w:footnoteReference w:id="1"/>
      </w:r>
    </w:p>
    <w:p w14:paraId="7A33AC87" w14:textId="4D86D704" w:rsidR="005D3897" w:rsidRDefault="003A3180" w:rsidP="003A3180">
      <w:r>
        <w:t xml:space="preserve">Australia’s CCS industry remains relatively nascent but </w:t>
      </w:r>
      <w:r w:rsidR="466BA2E2">
        <w:t>active</w:t>
      </w:r>
      <w:r>
        <w:t xml:space="preserve">. There are 18 geological storage projects across Australia, of which </w:t>
      </w:r>
      <w:r w:rsidR="00B664FD">
        <w:t xml:space="preserve">2 </w:t>
      </w:r>
      <w:r>
        <w:t>are operational: the Gorgon CCS project in Western Australia and the Moomba CCS project in South Australia. Both projects are onshore, while offshore CCS projects remain in the early stages of development.</w:t>
      </w:r>
      <w:r w:rsidR="00EF1300">
        <w:t xml:space="preserve"> </w:t>
      </w:r>
    </w:p>
    <w:p w14:paraId="2D2B800A" w14:textId="77777777" w:rsidR="005D3897" w:rsidRDefault="003A3180" w:rsidP="00532A59">
      <w:pPr>
        <w:pStyle w:val="ListParagraph"/>
        <w:numPr>
          <w:ilvl w:val="0"/>
          <w:numId w:val="41"/>
        </w:numPr>
      </w:pPr>
      <w:r>
        <w:t xml:space="preserve">The Chevron-operated Gorgon LNG project is the world’s largest commercial CCS project. Between 2019 and 2025, the project has stored more than 12 million tonnes of CO₂. </w:t>
      </w:r>
    </w:p>
    <w:p w14:paraId="28451BA7" w14:textId="77777777" w:rsidR="005D3897" w:rsidRDefault="003A3180" w:rsidP="00532A59">
      <w:pPr>
        <w:pStyle w:val="ListParagraph"/>
        <w:numPr>
          <w:ilvl w:val="0"/>
          <w:numId w:val="41"/>
        </w:numPr>
      </w:pPr>
      <w:r>
        <w:t xml:space="preserve">The Moomba CCS project commenced operations in 2024 and has already stored approximately 1.57 million tonnes of CO₂. </w:t>
      </w:r>
    </w:p>
    <w:p w14:paraId="016C2D8C" w14:textId="744222FC" w:rsidR="003A3180" w:rsidRPr="0057706B" w:rsidRDefault="003A3180" w:rsidP="00532A59">
      <w:pPr>
        <w:pStyle w:val="ListParagraph"/>
        <w:numPr>
          <w:ilvl w:val="0"/>
          <w:numId w:val="41"/>
        </w:numPr>
      </w:pPr>
      <w:r>
        <w:t>Collectively, the volume of CO₂ sequestered through these two projects is close to the annual emissions generated by Australia’s residential and commercial buildings sector.</w:t>
      </w:r>
    </w:p>
    <w:p w14:paraId="30C1E79D" w14:textId="55FB99BE" w:rsidR="008D75B4" w:rsidRDefault="008D75B4" w:rsidP="0047681E">
      <w:r>
        <w:t xml:space="preserve">All current offshore CCS projects in Australia are in the exploration phase, with proponents identifying prospective storage locations, CO₂ sources and assessing technical and commercial feasibility. Projects are under development in several offshore sedimentary basins, including the Bonaparte, Browse, Gippsland and Otway basins. Consistent with global trends, </w:t>
      </w:r>
      <w:r w:rsidR="77BFD6CC">
        <w:t>most of</w:t>
      </w:r>
      <w:r>
        <w:t xml:space="preserve"> these projects are linked to natural gas processing facilities</w:t>
      </w:r>
      <w:r w:rsidR="00287CD0">
        <w:t xml:space="preserve"> as</w:t>
      </w:r>
      <w:r>
        <w:t xml:space="preserve"> one of the lowest-cost applications for CO₂ capture.</w:t>
      </w:r>
    </w:p>
    <w:p w14:paraId="393531E3" w14:textId="31EE3DC4" w:rsidR="009C4CF7" w:rsidRPr="00A80AF0" w:rsidRDefault="008D75B4" w:rsidP="009C4CF7">
      <w:r>
        <w:t>Australia is well positioned to support CCS deployment due to its extensive offshore storage geology, world</w:t>
      </w:r>
      <w:r>
        <w:noBreakHyphen/>
        <w:t>class scientific and engineering capability, and existing operational experience. These strengths are complemented by comprehensive regulatory frameworks, established offshore infrastructure, and proximity to high</w:t>
      </w:r>
      <w:r>
        <w:noBreakHyphen/>
        <w:t>emitting economies in the Asia</w:t>
      </w:r>
      <w:r>
        <w:noBreakHyphen/>
        <w:t xml:space="preserve">Pacific region. </w:t>
      </w:r>
    </w:p>
    <w:p w14:paraId="23670208" w14:textId="69651AFD" w:rsidR="009C4CF7" w:rsidRPr="00A80AF0" w:rsidRDefault="002E2C13" w:rsidP="009C4CF7">
      <w:r>
        <w:t>G</w:t>
      </w:r>
      <w:r w:rsidR="008D75B4">
        <w:t xml:space="preserve">overnments across the region have made progress in developing CCS regulatory regimes, </w:t>
      </w:r>
      <w:r>
        <w:t xml:space="preserve">although </w:t>
      </w:r>
      <w:r w:rsidR="008D75B4">
        <w:t>few match the breadth and maturity of Australia’s framework. This places Australia in a strong position to act as a potential CCS hub for both domestic and international carbon sequestration.</w:t>
      </w:r>
      <w:r w:rsidR="009C4CF7">
        <w:t xml:space="preserve"> Australia is progressing bilateral negotiations with key partners, including Japan and the Republic of Korea, to facilitate the cross</w:t>
      </w:r>
      <w:r w:rsidR="008D75B4">
        <w:noBreakHyphen/>
      </w:r>
      <w:r w:rsidR="009C4CF7">
        <w:t>border transport of CO₂ for safe and permanent storage</w:t>
      </w:r>
      <w:r w:rsidR="003B0AFB">
        <w:t xml:space="preserve"> in Australia</w:t>
      </w:r>
      <w:r w:rsidR="009C4CF7">
        <w:t xml:space="preserve">. </w:t>
      </w:r>
      <w:r w:rsidR="00A077FD">
        <w:t xml:space="preserve">Successful </w:t>
      </w:r>
      <w:r w:rsidR="00A077FD">
        <w:lastRenderedPageBreak/>
        <w:t xml:space="preserve">bilateral agreements </w:t>
      </w:r>
      <w:r w:rsidR="006775D6">
        <w:t xml:space="preserve">to support cross-border transport </w:t>
      </w:r>
      <w:r w:rsidR="00A077FD">
        <w:t xml:space="preserve">will increase the </w:t>
      </w:r>
      <w:r w:rsidR="00A30AF1">
        <w:t xml:space="preserve">potential </w:t>
      </w:r>
      <w:r w:rsidR="00A077FD">
        <w:t xml:space="preserve">volume of </w:t>
      </w:r>
      <w:r w:rsidR="005E1193">
        <w:t xml:space="preserve">storable </w:t>
      </w:r>
      <w:r w:rsidR="00A077FD">
        <w:t>CO</w:t>
      </w:r>
      <w:r w:rsidR="005E1193" w:rsidRPr="00630AE2">
        <w:rPr>
          <w:vertAlign w:val="subscript"/>
        </w:rPr>
        <w:t>2</w:t>
      </w:r>
      <w:r w:rsidR="005E1193">
        <w:t xml:space="preserve"> </w:t>
      </w:r>
      <w:r w:rsidR="005D1F55">
        <w:t xml:space="preserve">for Australian </w:t>
      </w:r>
      <w:r w:rsidR="009407E6">
        <w:t xml:space="preserve">offshore </w:t>
      </w:r>
      <w:r w:rsidR="005D1F55">
        <w:t>CCS projects</w:t>
      </w:r>
      <w:r w:rsidR="00A30AF1">
        <w:t>.</w:t>
      </w:r>
    </w:p>
    <w:p w14:paraId="02A260F9" w14:textId="536B95BD" w:rsidR="00E35A76" w:rsidRDefault="00E35A76" w:rsidP="00F43679">
      <w:r>
        <w:t>CCS is critical to securing the reduced emissions required by Australia’s 2050 targets and international obligations.</w:t>
      </w:r>
      <w:r w:rsidR="0075582B">
        <w:t xml:space="preserve"> </w:t>
      </w:r>
      <w:r w:rsidR="00253D75">
        <w:t xml:space="preserve">It is also </w:t>
      </w:r>
      <w:r w:rsidR="00662E93">
        <w:t>important</w:t>
      </w:r>
      <w:r w:rsidR="00B946F2">
        <w:t xml:space="preserve"> for addressing h</w:t>
      </w:r>
      <w:r w:rsidR="000A7E06" w:rsidRPr="0057706B">
        <w:t>ard</w:t>
      </w:r>
      <w:r w:rsidR="000A7E06" w:rsidRPr="0057706B">
        <w:noBreakHyphen/>
        <w:t>to</w:t>
      </w:r>
      <w:r w:rsidR="000A7E06" w:rsidRPr="0057706B">
        <w:noBreakHyphen/>
        <w:t xml:space="preserve">abate </w:t>
      </w:r>
      <w:r w:rsidR="00253D75">
        <w:t xml:space="preserve">emissions from </w:t>
      </w:r>
      <w:r w:rsidR="000A7E06" w:rsidRPr="0057706B">
        <w:t>sectors such as cement production</w:t>
      </w:r>
      <w:r w:rsidR="00662E93">
        <w:t xml:space="preserve"> and</w:t>
      </w:r>
      <w:r w:rsidR="000A7E06" w:rsidRPr="0057706B">
        <w:t xml:space="preserve"> metal refining</w:t>
      </w:r>
      <w:r w:rsidR="00BA5F34">
        <w:t xml:space="preserve"> that </w:t>
      </w:r>
      <w:r w:rsidR="00EA7F28">
        <w:t>cannot use other decarbonis</w:t>
      </w:r>
      <w:r w:rsidR="005A0C87">
        <w:t>ation</w:t>
      </w:r>
      <w:r w:rsidR="00EA7F28">
        <w:t xml:space="preserve"> options</w:t>
      </w:r>
      <w:r w:rsidR="003C5B93">
        <w:t>.</w:t>
      </w:r>
      <w:r w:rsidR="001961DC">
        <w:t xml:space="preserve"> </w:t>
      </w:r>
      <w:r w:rsidR="00091B62">
        <w:t xml:space="preserve">Hub-style </w:t>
      </w:r>
      <w:r w:rsidR="00AA7510">
        <w:t xml:space="preserve">infrastructure and </w:t>
      </w:r>
      <w:r w:rsidR="00091B62">
        <w:t xml:space="preserve">arrangements </w:t>
      </w:r>
      <w:r w:rsidR="00135456">
        <w:t xml:space="preserve">that </w:t>
      </w:r>
      <w:r w:rsidR="00D42041">
        <w:t xml:space="preserve">collect, </w:t>
      </w:r>
      <w:r w:rsidR="00091B62">
        <w:t>aggregat</w:t>
      </w:r>
      <w:r w:rsidR="00135456">
        <w:t>e</w:t>
      </w:r>
      <w:r w:rsidR="00091B62">
        <w:t xml:space="preserve"> and transport </w:t>
      </w:r>
      <w:r w:rsidR="00135456">
        <w:t>CO</w:t>
      </w:r>
      <w:r w:rsidR="00135456" w:rsidRPr="00630AE2">
        <w:rPr>
          <w:vertAlign w:val="subscript"/>
        </w:rPr>
        <w:t>2</w:t>
      </w:r>
      <w:r w:rsidR="00135456">
        <w:t xml:space="preserve"> </w:t>
      </w:r>
      <w:r w:rsidR="00D42041">
        <w:t xml:space="preserve">may be a viable abatement pathway for </w:t>
      </w:r>
      <w:r w:rsidR="007C06E1">
        <w:t>these types of industrial activities</w:t>
      </w:r>
      <w:r w:rsidR="00D42041">
        <w:t xml:space="preserve">. </w:t>
      </w:r>
    </w:p>
    <w:p w14:paraId="38E3A72A" w14:textId="33A779F0" w:rsidR="008F0A70" w:rsidRDefault="002D7125" w:rsidP="00D86954">
      <w:r>
        <w:t>Australia’s</w:t>
      </w:r>
      <w:r w:rsidR="004E7E6E">
        <w:t xml:space="preserve"> </w:t>
      </w:r>
      <w:r w:rsidR="007534C2">
        <w:t xml:space="preserve">greatest </w:t>
      </w:r>
      <w:r w:rsidR="0072257B">
        <w:t xml:space="preserve">storage </w:t>
      </w:r>
      <w:r w:rsidR="007534C2">
        <w:t xml:space="preserve">potential is </w:t>
      </w:r>
      <w:r w:rsidR="004E7E6E">
        <w:t xml:space="preserve">offshore. </w:t>
      </w:r>
      <w:r w:rsidR="009403BA" w:rsidRPr="0057706B">
        <w:t>Geoscience Australia indicates that a substantial proportion of Australia’s geological storage capacity is in offshore saline aquifers and depleted fields in Victoria, Western Australia and the Northern Territory.</w:t>
      </w:r>
      <w:r w:rsidR="00C33ADC">
        <w:t xml:space="preserve"> O</w:t>
      </w:r>
      <w:r w:rsidR="004E7E6E" w:rsidRPr="0057706B">
        <w:t xml:space="preserve">ffshore storage </w:t>
      </w:r>
      <w:r w:rsidR="00C33ADC">
        <w:t xml:space="preserve">also </w:t>
      </w:r>
      <w:r w:rsidR="004E7E6E" w:rsidRPr="0057706B">
        <w:t>offers the scale and permanence required for long</w:t>
      </w:r>
      <w:r w:rsidR="004E7E6E" w:rsidRPr="0057706B">
        <w:noBreakHyphen/>
        <w:t>term emissions abatement that cannot be readily achieved through onshore options alone.</w:t>
      </w:r>
      <w:r w:rsidR="009C4CF7">
        <w:t xml:space="preserve"> </w:t>
      </w:r>
    </w:p>
    <w:p w14:paraId="2F704756" w14:textId="77777777" w:rsidR="009C17E2" w:rsidRDefault="009C17E2" w:rsidP="00D86954"/>
    <w:p w14:paraId="65B97C2B" w14:textId="77777777" w:rsidR="00D57BF1" w:rsidRDefault="00D57BF1" w:rsidP="009C17E2">
      <w:r>
        <w:br w:type="page"/>
      </w:r>
    </w:p>
    <w:p w14:paraId="3087BF90" w14:textId="4C06977D" w:rsidR="001D6792" w:rsidRDefault="00A9654E" w:rsidP="00510BD0">
      <w:pPr>
        <w:pStyle w:val="Heading2"/>
      </w:pPr>
      <w:r>
        <w:t>Context</w:t>
      </w:r>
      <w:r w:rsidR="00AE22BA">
        <w:t xml:space="preserve"> of the </w:t>
      </w:r>
      <w:r w:rsidR="00B664FD">
        <w:t>r</w:t>
      </w:r>
      <w:r w:rsidR="00AE22BA">
        <w:t>eview</w:t>
      </w:r>
    </w:p>
    <w:p w14:paraId="6F11AB44" w14:textId="395706E6" w:rsidR="00AB6F58" w:rsidRDefault="00AB6F58" w:rsidP="00AB6F58">
      <w:r>
        <w:t>The offshore CCS regulatory regime was established in 2008 through amendments to the OPGGS Act with bipartisan support</w:t>
      </w:r>
      <w:r w:rsidR="0079129E">
        <w:t xml:space="preserve">. This </w:t>
      </w:r>
      <w:r>
        <w:t xml:space="preserve">was </w:t>
      </w:r>
      <w:r w:rsidR="0079129E">
        <w:t>supported</w:t>
      </w:r>
      <w:r>
        <w:t xml:space="preserve"> by substantial CCS investment and research funding in the 2009</w:t>
      </w:r>
      <w:r w:rsidR="00CD589A">
        <w:t>-</w:t>
      </w:r>
      <w:r>
        <w:t xml:space="preserve">10 Budget. </w:t>
      </w:r>
    </w:p>
    <w:p w14:paraId="58CA6DAA" w14:textId="3682E655" w:rsidR="00720874" w:rsidRDefault="00AE5376" w:rsidP="002C20C8">
      <w:r w:rsidRPr="000F0B00">
        <w:t xml:space="preserve">The review of the Offshore </w:t>
      </w:r>
      <w:r w:rsidR="00252FFE">
        <w:t>CSS</w:t>
      </w:r>
      <w:r w:rsidRPr="000F0B00">
        <w:t xml:space="preserve"> Regime was initiated in 2023 to </w:t>
      </w:r>
      <w:r w:rsidR="00252FFE">
        <w:t>advise</w:t>
      </w:r>
      <w:r w:rsidRPr="000F0B00">
        <w:t xml:space="preserve"> </w:t>
      </w:r>
      <w:r w:rsidR="00B664FD">
        <w:t>g</w:t>
      </w:r>
      <w:r w:rsidRPr="000F0B00">
        <w:t xml:space="preserve">overnment </w:t>
      </w:r>
      <w:r w:rsidR="008618E5">
        <w:t>on</w:t>
      </w:r>
      <w:r w:rsidRPr="000F0B00">
        <w:t xml:space="preserve"> critical issues </w:t>
      </w:r>
      <w:r w:rsidR="008618E5">
        <w:t>affecting</w:t>
      </w:r>
      <w:r w:rsidRPr="000F0B00">
        <w:t xml:space="preserve"> the development of the CCS industry. </w:t>
      </w:r>
      <w:r w:rsidR="00C16BD8">
        <w:t>Consistent with the terms of reference</w:t>
      </w:r>
      <w:r w:rsidR="00B26E41">
        <w:t xml:space="preserve">, </w:t>
      </w:r>
      <w:r w:rsidR="00F70937">
        <w:t>t</w:t>
      </w:r>
      <w:r w:rsidR="00B26E41">
        <w:t xml:space="preserve">he </w:t>
      </w:r>
      <w:r w:rsidR="001A14E2">
        <w:t xml:space="preserve">review </w:t>
      </w:r>
      <w:r w:rsidR="00B26E41">
        <w:t>focus</w:t>
      </w:r>
      <w:r w:rsidR="001A14E2">
        <w:t xml:space="preserve">ed on </w:t>
      </w:r>
      <w:r w:rsidR="00370F4F">
        <w:t xml:space="preserve">the </w:t>
      </w:r>
      <w:r w:rsidR="00444852">
        <w:t xml:space="preserve">CCS </w:t>
      </w:r>
      <w:r w:rsidR="00370F4F">
        <w:t xml:space="preserve">regulatory regime </w:t>
      </w:r>
      <w:r w:rsidR="00444852">
        <w:t xml:space="preserve">established under the </w:t>
      </w:r>
      <w:r w:rsidR="00F96F9D">
        <w:t>OPGGS Act</w:t>
      </w:r>
      <w:r w:rsidR="00720874">
        <w:t xml:space="preserve">. </w:t>
      </w:r>
    </w:p>
    <w:p w14:paraId="35EEB2FC" w14:textId="2293D4E2" w:rsidR="00266F28" w:rsidRDefault="00080CDC" w:rsidP="002C20C8">
      <w:r>
        <w:t xml:space="preserve">The review </w:t>
      </w:r>
      <w:r w:rsidR="00266F28" w:rsidRPr="00266F28">
        <w:t>also considered how the OPGGS</w:t>
      </w:r>
      <w:r w:rsidR="00CB4C16">
        <w:t xml:space="preserve"> </w:t>
      </w:r>
      <w:r w:rsidR="00266F28" w:rsidRPr="00266F28">
        <w:t>A</w:t>
      </w:r>
      <w:r w:rsidR="00CB4C16">
        <w:t>ct</w:t>
      </w:r>
      <w:r w:rsidR="00266F28" w:rsidRPr="00266F28">
        <w:t xml:space="preserve"> interacts with other relevant Commonwealth legislati</w:t>
      </w:r>
      <w:r w:rsidR="00287D54">
        <w:t>on</w:t>
      </w:r>
      <w:r w:rsidR="00266F28" w:rsidRPr="00266F28">
        <w:t>, such as the requirements for CO</w:t>
      </w:r>
      <w:r w:rsidR="00266F28" w:rsidRPr="00510BD0">
        <w:rPr>
          <w:vertAlign w:val="subscript"/>
        </w:rPr>
        <w:t>2</w:t>
      </w:r>
      <w:r w:rsidR="00266F28" w:rsidRPr="00266F28">
        <w:t xml:space="preserve"> injection under the </w:t>
      </w:r>
      <w:r w:rsidR="00266F28" w:rsidRPr="00510BD0">
        <w:rPr>
          <w:i/>
          <w:iCs/>
        </w:rPr>
        <w:t>Environment Protection (Sea Dumping) Act 1981</w:t>
      </w:r>
      <w:r w:rsidR="006C24AA">
        <w:t xml:space="preserve"> </w:t>
      </w:r>
      <w:r w:rsidR="00030F7F">
        <w:t xml:space="preserve">(Sea Dumping Act) </w:t>
      </w:r>
      <w:r w:rsidR="00266F28" w:rsidRPr="00266F28">
        <w:t xml:space="preserve">and the assessment of CCS exploration and appraisal activities under the </w:t>
      </w:r>
      <w:r w:rsidR="00266F28" w:rsidRPr="00510BD0">
        <w:rPr>
          <w:i/>
          <w:iCs/>
        </w:rPr>
        <w:t>Environment Protection and Biodiversity Conservation Act 1999</w:t>
      </w:r>
      <w:r w:rsidR="00266F28" w:rsidRPr="00266F28">
        <w:t xml:space="preserve"> (EPBC Act).</w:t>
      </w:r>
    </w:p>
    <w:p w14:paraId="6C3F0F4E" w14:textId="628D60F8" w:rsidR="002C20C8" w:rsidRPr="000F0B00" w:rsidRDefault="00AF30EB" w:rsidP="002C20C8">
      <w:r>
        <w:t>T</w:t>
      </w:r>
      <w:r w:rsidR="009A4B60">
        <w:t xml:space="preserve">he </w:t>
      </w:r>
      <w:r w:rsidR="002C20C8" w:rsidRPr="000F0B00">
        <w:t xml:space="preserve">objectives of the </w:t>
      </w:r>
      <w:r w:rsidR="008914A5">
        <w:t>r</w:t>
      </w:r>
      <w:r w:rsidR="002C20C8" w:rsidRPr="000F0B00">
        <w:t>eview were to:</w:t>
      </w:r>
    </w:p>
    <w:p w14:paraId="4A3B118E" w14:textId="64A1EB35" w:rsidR="002C20C8" w:rsidRPr="000F0B00" w:rsidRDefault="00CA5DFB" w:rsidP="00532A59">
      <w:pPr>
        <w:pStyle w:val="ListParagraph"/>
        <w:numPr>
          <w:ilvl w:val="0"/>
          <w:numId w:val="41"/>
        </w:numPr>
      </w:pPr>
      <w:r>
        <w:t>e</w:t>
      </w:r>
      <w:r w:rsidR="002C20C8" w:rsidRPr="000F0B00">
        <w:t>nsure the regulatory framework facilitates the emerging CCS industry and appropriately manages risk</w:t>
      </w:r>
    </w:p>
    <w:p w14:paraId="571D55EB" w14:textId="7046191C" w:rsidR="002C20C8" w:rsidRPr="000F0B00" w:rsidRDefault="00510D32" w:rsidP="00532A59">
      <w:pPr>
        <w:pStyle w:val="ListParagraph"/>
        <w:numPr>
          <w:ilvl w:val="0"/>
          <w:numId w:val="41"/>
        </w:numPr>
      </w:pPr>
      <w:r>
        <w:t>i</w:t>
      </w:r>
      <w:r w:rsidR="002C20C8" w:rsidRPr="000F0B00">
        <w:t>dentify any regulatory duplication, areas of unnecessary administrative burden and opportunities to improve regulatory clarity, while facilitating consistent and transparent decision making across government</w:t>
      </w:r>
    </w:p>
    <w:p w14:paraId="1B75F057" w14:textId="390F0261" w:rsidR="002C20C8" w:rsidRPr="000F0B00" w:rsidRDefault="00265504" w:rsidP="00532A59">
      <w:pPr>
        <w:pStyle w:val="ListParagraph"/>
        <w:numPr>
          <w:ilvl w:val="0"/>
          <w:numId w:val="41"/>
        </w:numPr>
      </w:pPr>
      <w:r>
        <w:t>e</w:t>
      </w:r>
      <w:r w:rsidR="002C20C8" w:rsidRPr="000F0B00">
        <w:t>nsure the regulatory regime is fit for purpose and reflects best practice</w:t>
      </w:r>
      <w:r>
        <w:t>.</w:t>
      </w:r>
    </w:p>
    <w:p w14:paraId="26D758ED" w14:textId="06992AFC" w:rsidR="00865342" w:rsidRDefault="00865342" w:rsidP="00865342">
      <w:r>
        <w:t>The review included industry engagement through a titleholders working group</w:t>
      </w:r>
      <w:r w:rsidR="00314DC9">
        <w:t>. This engagement</w:t>
      </w:r>
      <w:r>
        <w:t xml:space="preserve"> provided useful </w:t>
      </w:r>
      <w:r w:rsidR="0078035D">
        <w:t>insight into</w:t>
      </w:r>
      <w:r>
        <w:t xml:space="preserve"> technical aspects, industry investment trends, potential revenue models, and the role of enabling infrastructure, </w:t>
      </w:r>
      <w:r w:rsidR="00567D42">
        <w:t>such as</w:t>
      </w:r>
      <w:r>
        <w:t xml:space="preserve"> aggregation hubs. </w:t>
      </w:r>
      <w:r w:rsidR="00587938">
        <w:t xml:space="preserve">Additional technical input was commissioned </w:t>
      </w:r>
      <w:r w:rsidR="00E12E70">
        <w:t>when necessary</w:t>
      </w:r>
      <w:r w:rsidR="006A02EA">
        <w:t>.</w:t>
      </w:r>
    </w:p>
    <w:p w14:paraId="4AEC4544" w14:textId="21962A1F" w:rsidR="000012EA" w:rsidRPr="000F0B00" w:rsidRDefault="003D400C" w:rsidP="000012EA">
      <w:r>
        <w:t>Discussion</w:t>
      </w:r>
      <w:r w:rsidR="000012EA" w:rsidRPr="000F0B00">
        <w:t xml:space="preserve"> with key regulators and other relevant agencies, including </w:t>
      </w:r>
      <w:r w:rsidR="007B6D67">
        <w:t>the National Offshore Petroleum Titles Administrator (</w:t>
      </w:r>
      <w:r w:rsidR="002F4C66">
        <w:t>NOPTA</w:t>
      </w:r>
      <w:r w:rsidR="007B6D67">
        <w:t>)</w:t>
      </w:r>
      <w:r w:rsidR="000012EA" w:rsidRPr="000F0B00">
        <w:t xml:space="preserve"> and </w:t>
      </w:r>
      <w:r w:rsidR="007B6D67">
        <w:t xml:space="preserve">the National Offshore </w:t>
      </w:r>
      <w:r w:rsidR="002E1A40">
        <w:t>Petroleum Safety and Environment</w:t>
      </w:r>
      <w:r w:rsidR="00FA5712">
        <w:t>al Management</w:t>
      </w:r>
      <w:r w:rsidR="002E1A40">
        <w:t xml:space="preserve"> Authority (</w:t>
      </w:r>
      <w:r w:rsidR="000012EA" w:rsidRPr="000F0B00">
        <w:t>NOPSEMA</w:t>
      </w:r>
      <w:r w:rsidR="002E1A40">
        <w:t>)</w:t>
      </w:r>
      <w:r w:rsidR="000012EA" w:rsidRPr="000F0B00">
        <w:t xml:space="preserve">, </w:t>
      </w:r>
      <w:r w:rsidR="002E1A40">
        <w:t xml:space="preserve">the Department of Climate Change, Energy, the </w:t>
      </w:r>
      <w:r w:rsidR="00DF43B2">
        <w:t>Environment</w:t>
      </w:r>
      <w:r w:rsidR="002E1A40">
        <w:t xml:space="preserve"> and Water</w:t>
      </w:r>
      <w:r w:rsidR="00DF43B2">
        <w:t xml:space="preserve"> (</w:t>
      </w:r>
      <w:r w:rsidR="000012EA" w:rsidRPr="000F0B00">
        <w:t>DCCEEW</w:t>
      </w:r>
      <w:r w:rsidR="00DF43B2">
        <w:t>)</w:t>
      </w:r>
      <w:r w:rsidR="000012EA" w:rsidRPr="000F0B00">
        <w:t>, and Geo</w:t>
      </w:r>
      <w:r w:rsidR="002F4C66">
        <w:t>s</w:t>
      </w:r>
      <w:r w:rsidR="000012EA" w:rsidRPr="000F0B00">
        <w:t xml:space="preserve">cience Australia, </w:t>
      </w:r>
      <w:r w:rsidR="000012EA">
        <w:t>were</w:t>
      </w:r>
      <w:r w:rsidR="000012EA" w:rsidRPr="000F0B00">
        <w:t xml:space="preserve"> ongoing throughout the </w:t>
      </w:r>
      <w:r w:rsidR="0027190E">
        <w:t>review</w:t>
      </w:r>
      <w:r w:rsidR="000012EA" w:rsidRPr="000F0B00">
        <w:t xml:space="preserve">. </w:t>
      </w:r>
      <w:r w:rsidR="00091857">
        <w:t>C</w:t>
      </w:r>
      <w:r>
        <w:t>onsultation identified issues including:</w:t>
      </w:r>
    </w:p>
    <w:p w14:paraId="652A2AD3" w14:textId="64F6A7A2" w:rsidR="000012EA" w:rsidRPr="00E862BA" w:rsidRDefault="00776918" w:rsidP="00532A59">
      <w:pPr>
        <w:pStyle w:val="ListParagraph"/>
        <w:numPr>
          <w:ilvl w:val="0"/>
          <w:numId w:val="41"/>
        </w:numPr>
      </w:pPr>
      <w:r>
        <w:t>overlapping regulatory</w:t>
      </w:r>
      <w:r w:rsidR="000012EA" w:rsidRPr="00E862BA">
        <w:t xml:space="preserve"> processes and</w:t>
      </w:r>
      <w:r>
        <w:t xml:space="preserve"> </w:t>
      </w:r>
      <w:r w:rsidR="000012EA" w:rsidRPr="00E862BA">
        <w:t>dispersed information</w:t>
      </w:r>
    </w:p>
    <w:p w14:paraId="1DB9DACA" w14:textId="4E18AF6C" w:rsidR="000012EA" w:rsidRPr="000F0B00" w:rsidRDefault="00776918" w:rsidP="00532A59">
      <w:pPr>
        <w:pStyle w:val="ListParagraph"/>
        <w:numPr>
          <w:ilvl w:val="0"/>
          <w:numId w:val="41"/>
        </w:numPr>
      </w:pPr>
      <w:r>
        <w:t>complexity and</w:t>
      </w:r>
      <w:r w:rsidR="000012EA" w:rsidRPr="000F0B00">
        <w:t xml:space="preserve"> administrative burden during project application and approval phases</w:t>
      </w:r>
      <w:r w:rsidR="00B664FD">
        <w:t>.</w:t>
      </w:r>
    </w:p>
    <w:p w14:paraId="7E0B2DB4" w14:textId="79B67F45" w:rsidR="000012EA" w:rsidRPr="000F0B00" w:rsidRDefault="007D31CE" w:rsidP="000012EA">
      <w:r>
        <w:t>T</w:t>
      </w:r>
      <w:r w:rsidR="000012EA" w:rsidRPr="000F0B00">
        <w:t>hese matters</w:t>
      </w:r>
      <w:r w:rsidR="000012EA">
        <w:t xml:space="preserve"> were considered alongside</w:t>
      </w:r>
      <w:r w:rsidR="000012EA" w:rsidRPr="000F0B00">
        <w:t xml:space="preserve"> an assessment of the existing legislative and regulatory framework and </w:t>
      </w:r>
      <w:r w:rsidR="00B23C30">
        <w:t>relevant</w:t>
      </w:r>
      <w:r w:rsidR="000012EA" w:rsidRPr="000F0B00">
        <w:t xml:space="preserve"> legal advice</w:t>
      </w:r>
      <w:r w:rsidR="000012EA">
        <w:t xml:space="preserve">. </w:t>
      </w:r>
      <w:r w:rsidR="00B23C30">
        <w:t>The</w:t>
      </w:r>
      <w:r w:rsidR="000012EA" w:rsidRPr="000F0B00">
        <w:t xml:space="preserve"> </w:t>
      </w:r>
      <w:r w:rsidR="0027190E">
        <w:t>review</w:t>
      </w:r>
      <w:r w:rsidR="000012EA" w:rsidRPr="000F0B00">
        <w:t xml:space="preserve"> deliverables</w:t>
      </w:r>
      <w:r w:rsidR="00A5014B">
        <w:t xml:space="preserve"> </w:t>
      </w:r>
      <w:r w:rsidR="000012EA" w:rsidRPr="000F0B00">
        <w:t>were to:</w:t>
      </w:r>
    </w:p>
    <w:p w14:paraId="0DE546AF" w14:textId="2B530168" w:rsidR="000012EA" w:rsidRPr="000F0B00" w:rsidRDefault="00FB0270" w:rsidP="00532A59">
      <w:pPr>
        <w:numPr>
          <w:ilvl w:val="0"/>
          <w:numId w:val="4"/>
        </w:numPr>
      </w:pPr>
      <w:r>
        <w:t>e</w:t>
      </w:r>
      <w:r w:rsidR="000012EA" w:rsidRPr="000F0B00">
        <w:t>nsure appropriate policy and regulatory settings</w:t>
      </w:r>
      <w:r w:rsidR="0020430A">
        <w:t xml:space="preserve"> appropriately manage risks across</w:t>
      </w:r>
      <w:r w:rsidR="000012EA" w:rsidRPr="000F0B00">
        <w:t xml:space="preserve"> the lifecycle of offshore CCS activities, from exploration to decommissioning of CCS project assets</w:t>
      </w:r>
    </w:p>
    <w:p w14:paraId="3987986A" w14:textId="7DEB9486" w:rsidR="00D57BF1" w:rsidRDefault="00FB0270" w:rsidP="00532A59">
      <w:pPr>
        <w:pStyle w:val="ListParagraph"/>
        <w:numPr>
          <w:ilvl w:val="0"/>
          <w:numId w:val="4"/>
        </w:numPr>
      </w:pPr>
      <w:r>
        <w:t>e</w:t>
      </w:r>
      <w:r w:rsidR="000012EA" w:rsidRPr="000F0B00">
        <w:t xml:space="preserve">xamine applicable </w:t>
      </w:r>
      <w:r>
        <w:t>Commonwealth</w:t>
      </w:r>
      <w:r w:rsidR="000012EA" w:rsidRPr="000F0B00">
        <w:t xml:space="preserve"> legislation to identify duplication</w:t>
      </w:r>
      <w:r>
        <w:t xml:space="preserve"> in</w:t>
      </w:r>
      <w:r w:rsidR="000012EA" w:rsidRPr="000F0B00">
        <w:t xml:space="preserve"> CCS </w:t>
      </w:r>
      <w:r>
        <w:t>assessment processes and</w:t>
      </w:r>
      <w:r w:rsidR="000012EA" w:rsidRPr="000F0B00">
        <w:t xml:space="preserve"> options for improvement, including </w:t>
      </w:r>
      <w:r>
        <w:t xml:space="preserve">potential </w:t>
      </w:r>
      <w:r w:rsidR="000012EA" w:rsidRPr="000F0B00">
        <w:t xml:space="preserve">accreditation or streamlining </w:t>
      </w:r>
      <w:r w:rsidR="00503F29">
        <w:t xml:space="preserve">to enable </w:t>
      </w:r>
      <w:r w:rsidR="000012EA" w:rsidRPr="000F0B00">
        <w:t xml:space="preserve">NOPSEMA to </w:t>
      </w:r>
      <w:r w:rsidR="00503F29">
        <w:t>act as</w:t>
      </w:r>
      <w:r w:rsidR="000012EA" w:rsidRPr="000F0B00">
        <w:t xml:space="preserve"> the environmental regulator under </w:t>
      </w:r>
      <w:r w:rsidR="006D4D2E">
        <w:t>n</w:t>
      </w:r>
      <w:r w:rsidR="000012EA" w:rsidRPr="000F0B00">
        <w:t xml:space="preserve">ational </w:t>
      </w:r>
      <w:r w:rsidR="006D4D2E">
        <w:t>e</w:t>
      </w:r>
      <w:r w:rsidR="000012EA" w:rsidRPr="000F0B00">
        <w:t>nvironmental law.</w:t>
      </w:r>
      <w:bookmarkEnd w:id="7"/>
      <w:r w:rsidR="00D57BF1">
        <w:br w:type="page"/>
      </w:r>
    </w:p>
    <w:p w14:paraId="05A7DF2D" w14:textId="17913AC0" w:rsidR="005A4EDE" w:rsidRDefault="005A4EDE" w:rsidP="00E67847">
      <w:pPr>
        <w:pStyle w:val="Heading2"/>
      </w:pPr>
      <w:r w:rsidRPr="00177759">
        <w:t>Key findings</w:t>
      </w:r>
    </w:p>
    <w:p w14:paraId="505A9544" w14:textId="192ECFA0" w:rsidR="00876CB8" w:rsidRDefault="00E113E8" w:rsidP="00DE6510">
      <w:r w:rsidRPr="00E113E8">
        <w:t>Overall, the OPGGSA regulatory framework does not appear to be a material barrier to the development of the offshore CCS industry in Australia</w:t>
      </w:r>
      <w:r w:rsidR="003F0294">
        <w:t>.</w:t>
      </w:r>
      <w:r w:rsidR="005B0EE3">
        <w:t xml:space="preserve"> </w:t>
      </w:r>
      <w:r w:rsidR="003F0294">
        <w:t>Additionally,</w:t>
      </w:r>
      <w:r w:rsidR="005B0EE3">
        <w:t xml:space="preserve"> </w:t>
      </w:r>
      <w:r w:rsidR="00364240" w:rsidRPr="000C4CDE">
        <w:rPr>
          <w:rStyle w:val="Advisorytext"/>
          <w:color w:val="auto"/>
        </w:rPr>
        <w:t>the offshore CCS regime in the OPGGS Act is still largely fit for purpose in a decarbonising economy</w:t>
      </w:r>
      <w:r>
        <w:t>.</w:t>
      </w:r>
      <w:r w:rsidRPr="00E113E8">
        <w:t xml:space="preserve"> </w:t>
      </w:r>
      <w:r w:rsidR="003D2584">
        <w:t>T</w:t>
      </w:r>
      <w:r w:rsidR="000A40BF" w:rsidRPr="000A40BF">
        <w:t xml:space="preserve">he </w:t>
      </w:r>
      <w:r w:rsidR="0027190E">
        <w:t>review</w:t>
      </w:r>
      <w:r w:rsidR="000A40BF" w:rsidRPr="000A40BF">
        <w:t xml:space="preserve"> </w:t>
      </w:r>
      <w:r w:rsidR="00CD3FDC">
        <w:t xml:space="preserve">did however identify </w:t>
      </w:r>
      <w:r w:rsidR="00E06887">
        <w:t>some</w:t>
      </w:r>
      <w:r w:rsidR="00855790">
        <w:t xml:space="preserve"> legislative </w:t>
      </w:r>
      <w:r w:rsidR="009418CD">
        <w:t>duplication</w:t>
      </w:r>
      <w:r w:rsidR="00CD3FDC">
        <w:t xml:space="preserve"> between the OPGGS and EPBC Acts</w:t>
      </w:r>
      <w:r w:rsidR="00855790">
        <w:t xml:space="preserve"> </w:t>
      </w:r>
      <w:r w:rsidR="00A43E54">
        <w:t xml:space="preserve">and identified a need for </w:t>
      </w:r>
      <w:r w:rsidR="00F80B8F">
        <w:t xml:space="preserve">improved </w:t>
      </w:r>
      <w:r w:rsidR="00F51784">
        <w:t xml:space="preserve">information sharing provisions </w:t>
      </w:r>
      <w:r w:rsidR="00F80B8F">
        <w:t xml:space="preserve">to </w:t>
      </w:r>
      <w:r w:rsidR="005F114B">
        <w:t>support</w:t>
      </w:r>
      <w:r w:rsidR="007265E9">
        <w:t xml:space="preserve"> cross-agency collaboration</w:t>
      </w:r>
      <w:r w:rsidR="00D550F8">
        <w:t>.</w:t>
      </w:r>
      <w:r w:rsidR="00452B27">
        <w:t xml:space="preserve"> </w:t>
      </w:r>
      <w:r w:rsidR="00D550F8">
        <w:t>This will</w:t>
      </w:r>
      <w:r w:rsidR="007F5F8F">
        <w:t xml:space="preserve"> reduce the need for</w:t>
      </w:r>
      <w:r w:rsidR="00452B27">
        <w:t xml:space="preserve"> proponents </w:t>
      </w:r>
      <w:r w:rsidR="007F5F8F">
        <w:t xml:space="preserve">to </w:t>
      </w:r>
      <w:r w:rsidR="00452B27">
        <w:t>sub</w:t>
      </w:r>
      <w:r w:rsidR="007F5F8F">
        <w:t>mit the same information to different agencies</w:t>
      </w:r>
      <w:r w:rsidR="007265E9">
        <w:t xml:space="preserve">. </w:t>
      </w:r>
    </w:p>
    <w:p w14:paraId="0D6A9190" w14:textId="08933E74" w:rsidR="00F92735" w:rsidRDefault="00876CB8" w:rsidP="00DE6510">
      <w:r>
        <w:t>A</w:t>
      </w:r>
      <w:r w:rsidR="00703E79">
        <w:t>dditional</w:t>
      </w:r>
      <w:r w:rsidR="000A40BF" w:rsidRPr="000A40BF">
        <w:t xml:space="preserve"> issues related to the CCS legislative landscape</w:t>
      </w:r>
      <w:r w:rsidR="009012B9">
        <w:t xml:space="preserve"> </w:t>
      </w:r>
      <w:r w:rsidR="000A40BF" w:rsidRPr="000A40BF">
        <w:t xml:space="preserve">and other regulatory matters </w:t>
      </w:r>
      <w:r w:rsidR="00703E79">
        <w:t xml:space="preserve">that </w:t>
      </w:r>
      <w:r w:rsidR="000A40BF" w:rsidRPr="000A40BF">
        <w:t>require</w:t>
      </w:r>
      <w:r w:rsidR="000A40BF">
        <w:t>d</w:t>
      </w:r>
      <w:r w:rsidR="000A40BF" w:rsidRPr="000A40BF">
        <w:t xml:space="preserve"> further investigation</w:t>
      </w:r>
      <w:r w:rsidR="00137609" w:rsidRPr="00137609">
        <w:t xml:space="preserve"> </w:t>
      </w:r>
      <w:r w:rsidR="00137609">
        <w:t>were also identified</w:t>
      </w:r>
      <w:r w:rsidR="007534B1">
        <w:t>, including</w:t>
      </w:r>
      <w:r w:rsidR="00F92735">
        <w:t>:</w:t>
      </w:r>
    </w:p>
    <w:p w14:paraId="1A456906" w14:textId="0A7261DD" w:rsidR="00AA083D" w:rsidRDefault="001B7529" w:rsidP="00532A59">
      <w:pPr>
        <w:pStyle w:val="ListParagraph"/>
        <w:numPr>
          <w:ilvl w:val="0"/>
          <w:numId w:val="40"/>
        </w:numPr>
        <w:ind w:left="360"/>
      </w:pPr>
      <w:r>
        <w:t>l</w:t>
      </w:r>
      <w:r w:rsidR="00443548">
        <w:t>ack of regulatory clarity</w:t>
      </w:r>
      <w:r w:rsidR="00226DB1">
        <w:t xml:space="preserve"> and need for simplification </w:t>
      </w:r>
      <w:r w:rsidR="004B514E">
        <w:t>on transition</w:t>
      </w:r>
      <w:r w:rsidR="002A4D6A">
        <w:t xml:space="preserve"> pathways for petroleum operations to enter the CCS industry</w:t>
      </w:r>
    </w:p>
    <w:p w14:paraId="7D7FB826" w14:textId="2649B161" w:rsidR="00B42103" w:rsidRDefault="00203DAC" w:rsidP="00532A59">
      <w:pPr>
        <w:pStyle w:val="ListParagraph"/>
        <w:numPr>
          <w:ilvl w:val="0"/>
          <w:numId w:val="40"/>
        </w:numPr>
        <w:ind w:left="360"/>
      </w:pPr>
      <w:r>
        <w:t>r</w:t>
      </w:r>
      <w:r w:rsidR="00AA083D">
        <w:t>e-use and re-</w:t>
      </w:r>
      <w:r w:rsidR="00DF0A9B">
        <w:t xml:space="preserve">purposing </w:t>
      </w:r>
      <w:r w:rsidR="0075376A">
        <w:t>of of</w:t>
      </w:r>
      <w:r w:rsidR="0006450D">
        <w:t xml:space="preserve">fshore petroleum equipment </w:t>
      </w:r>
      <w:r w:rsidR="00AA083D">
        <w:t>for CCS projects</w:t>
      </w:r>
    </w:p>
    <w:p w14:paraId="74CEDBE8" w14:textId="3B6D76D5" w:rsidR="00CD3FDC" w:rsidRPr="00E67847" w:rsidRDefault="001B7529" w:rsidP="00532A59">
      <w:pPr>
        <w:pStyle w:val="ListParagraph"/>
        <w:numPr>
          <w:ilvl w:val="0"/>
          <w:numId w:val="5"/>
        </w:numPr>
        <w:ind w:left="360"/>
        <w:rPr>
          <w:b/>
          <w:bCs/>
        </w:rPr>
      </w:pPr>
      <w:r>
        <w:t>i</w:t>
      </w:r>
      <w:r w:rsidR="00DF5F72">
        <w:t xml:space="preserve">mproved monitoring settings </w:t>
      </w:r>
      <w:r w:rsidR="00072BB8">
        <w:t>both during and post injection</w:t>
      </w:r>
      <w:r w:rsidR="00631AE5">
        <w:t>, including new requirements for CCS metering infrastructure</w:t>
      </w:r>
    </w:p>
    <w:p w14:paraId="3EDD8399" w14:textId="7D097AD4" w:rsidR="009E3A75" w:rsidRPr="00E67847" w:rsidRDefault="00631AE5" w:rsidP="00532A59">
      <w:pPr>
        <w:pStyle w:val="ListParagraph"/>
        <w:numPr>
          <w:ilvl w:val="0"/>
          <w:numId w:val="5"/>
        </w:numPr>
        <w:ind w:left="360"/>
        <w:rPr>
          <w:b/>
          <w:bCs/>
        </w:rPr>
      </w:pPr>
      <w:r>
        <w:t xml:space="preserve">shifting </w:t>
      </w:r>
      <w:r w:rsidR="0000358F">
        <w:t xml:space="preserve">post-injection monitoring responsibilities </w:t>
      </w:r>
      <w:r w:rsidR="00FF35F8">
        <w:t>from government to titleholders</w:t>
      </w:r>
    </w:p>
    <w:p w14:paraId="0A041B36" w14:textId="79C22948" w:rsidR="009E3A75" w:rsidRPr="0070307A" w:rsidRDefault="009E3A75" w:rsidP="00532A59">
      <w:pPr>
        <w:pStyle w:val="ListParagraph"/>
        <w:numPr>
          <w:ilvl w:val="0"/>
          <w:numId w:val="5"/>
        </w:numPr>
        <w:ind w:left="360"/>
        <w:rPr>
          <w:b/>
          <w:bCs/>
        </w:rPr>
      </w:pPr>
      <w:r>
        <w:t xml:space="preserve">several administrative and </w:t>
      </w:r>
      <w:r w:rsidR="008E7472">
        <w:t xml:space="preserve">regulatory </w:t>
      </w:r>
      <w:r>
        <w:t>refinements</w:t>
      </w:r>
      <w:r w:rsidR="00A813E8">
        <w:t xml:space="preserve"> to improve </w:t>
      </w:r>
      <w:r w:rsidR="006B01C8">
        <w:t xml:space="preserve">processes, clarify requirements and </w:t>
      </w:r>
      <w:r w:rsidR="00F31B4D">
        <w:t>simplify arrangements</w:t>
      </w:r>
      <w:r>
        <w:t xml:space="preserve">. </w:t>
      </w:r>
    </w:p>
    <w:p w14:paraId="02842CD5" w14:textId="4F091304" w:rsidR="00C27CB3" w:rsidRPr="00177759" w:rsidRDefault="00755AF7" w:rsidP="009C299D">
      <w:pPr>
        <w:pStyle w:val="Heading3"/>
      </w:pPr>
      <w:r>
        <w:t xml:space="preserve">Issue 1: </w:t>
      </w:r>
      <w:r w:rsidR="00177759" w:rsidRPr="00177759">
        <w:t>Regulatory duplication and information sharing </w:t>
      </w:r>
      <w:r w:rsidR="005A4EDE">
        <w:t>(implemented)</w:t>
      </w:r>
    </w:p>
    <w:p w14:paraId="490C3475" w14:textId="160EBFCD" w:rsidR="00F24D53" w:rsidRPr="00177759" w:rsidRDefault="00742A7C" w:rsidP="00742A7C">
      <w:r>
        <w:t>S</w:t>
      </w:r>
      <w:r w:rsidR="00F24D53" w:rsidRPr="00F24D53">
        <w:t xml:space="preserve">ubstantial duplication </w:t>
      </w:r>
      <w:r w:rsidR="006C3E26">
        <w:t>was identified</w:t>
      </w:r>
      <w:r w:rsidR="00C609FA">
        <w:t xml:space="preserve"> across</w:t>
      </w:r>
      <w:r w:rsidR="00F24D53" w:rsidRPr="00F24D53">
        <w:t xml:space="preserve"> approval processes under the OPGGS Act, the EPBC Act and </w:t>
      </w:r>
      <w:r w:rsidR="00F24D53" w:rsidRPr="00760F63">
        <w:t xml:space="preserve">the </w:t>
      </w:r>
      <w:r w:rsidR="00F24D53" w:rsidRPr="00E67847">
        <w:t>Sea Dumpin</w:t>
      </w:r>
      <w:r w:rsidR="00760F63" w:rsidRPr="00E67847">
        <w:t>g</w:t>
      </w:r>
      <w:r w:rsidR="005D3460" w:rsidRPr="00E67847">
        <w:t xml:space="preserve"> Act</w:t>
      </w:r>
      <w:r w:rsidR="00F24D53" w:rsidRPr="00F24D53">
        <w:t>.</w:t>
      </w:r>
      <w:r w:rsidR="00FC1503">
        <w:t xml:space="preserve"> </w:t>
      </w:r>
      <w:r w:rsidR="00C2119C">
        <w:t>Lo</w:t>
      </w:r>
      <w:r w:rsidR="00F2219F">
        <w:t xml:space="preserve">ng-standing arrangements </w:t>
      </w:r>
      <w:r w:rsidR="00C50AD6">
        <w:t xml:space="preserve">for petroleum activities are in place </w:t>
      </w:r>
      <w:r w:rsidR="009F4C62">
        <w:t xml:space="preserve">so that </w:t>
      </w:r>
      <w:r w:rsidR="00002982">
        <w:t>those activities</w:t>
      </w:r>
      <w:r w:rsidR="00D74195">
        <w:t>,</w:t>
      </w:r>
      <w:r w:rsidR="00002982">
        <w:t xml:space="preserve"> </w:t>
      </w:r>
      <w:r w:rsidR="005A223A">
        <w:t>once approved under the OPGGS Act</w:t>
      </w:r>
      <w:r w:rsidR="00D74195">
        <w:t>,</w:t>
      </w:r>
      <w:r w:rsidR="005A223A">
        <w:t xml:space="preserve"> </w:t>
      </w:r>
      <w:r w:rsidR="00002982">
        <w:t>d</w:t>
      </w:r>
      <w:r w:rsidR="00D74195">
        <w:t>o</w:t>
      </w:r>
      <w:r w:rsidR="00002982">
        <w:t xml:space="preserve"> not require </w:t>
      </w:r>
      <w:r w:rsidR="005A223A">
        <w:t>a s</w:t>
      </w:r>
      <w:r w:rsidR="00002982">
        <w:t xml:space="preserve">eparate approval </w:t>
      </w:r>
      <w:r w:rsidR="005A223A">
        <w:t>under the EPBC Act</w:t>
      </w:r>
      <w:r w:rsidR="0016502B">
        <w:t>.</w:t>
      </w:r>
      <w:r w:rsidR="005A223A">
        <w:t xml:space="preserve"> </w:t>
      </w:r>
      <w:r w:rsidR="00AD76B5">
        <w:t>However, t</w:t>
      </w:r>
      <w:r w:rsidR="0069244D">
        <w:t>h</w:t>
      </w:r>
      <w:r w:rsidR="0016502B">
        <w:t>e</w:t>
      </w:r>
      <w:r w:rsidR="0069244D">
        <w:t>s</w:t>
      </w:r>
      <w:r w:rsidR="0016502B">
        <w:t>e</w:t>
      </w:r>
      <w:r w:rsidR="0069244D">
        <w:t xml:space="preserve"> </w:t>
      </w:r>
      <w:r w:rsidR="003126A6">
        <w:t>arrangements</w:t>
      </w:r>
      <w:r w:rsidR="00002982">
        <w:t xml:space="preserve"> </w:t>
      </w:r>
      <w:r w:rsidR="00DE2395">
        <w:t>do not extend to</w:t>
      </w:r>
      <w:r w:rsidR="00D4686E">
        <w:t xml:space="preserve"> offshore</w:t>
      </w:r>
      <w:r w:rsidR="00DE2395">
        <w:t xml:space="preserve"> CCS activities</w:t>
      </w:r>
      <w:r w:rsidR="00451948">
        <w:t>.</w:t>
      </w:r>
      <w:r w:rsidR="00D56DCE">
        <w:t xml:space="preserve"> </w:t>
      </w:r>
      <w:r w:rsidR="00451948">
        <w:t>T</w:t>
      </w:r>
      <w:r w:rsidR="00D56DCE">
        <w:t xml:space="preserve">o address </w:t>
      </w:r>
      <w:r w:rsidR="004E7C3B">
        <w:t>this</w:t>
      </w:r>
      <w:r w:rsidR="00451948">
        <w:t>,</w:t>
      </w:r>
      <w:r w:rsidR="00212DC7">
        <w:t xml:space="preserve"> </w:t>
      </w:r>
      <w:r w:rsidR="00030F7F">
        <w:t xml:space="preserve">recent amendments to the EPBC Act provide a power for the </w:t>
      </w:r>
      <w:r w:rsidR="00CB771F">
        <w:t xml:space="preserve">Minister for Environment </w:t>
      </w:r>
      <w:r w:rsidR="00030F7F">
        <w:t xml:space="preserve">to </w:t>
      </w:r>
      <w:r w:rsidR="00A76609">
        <w:t xml:space="preserve">declare that </w:t>
      </w:r>
      <w:r w:rsidR="00350290">
        <w:t xml:space="preserve">offshore CCS activities, once approved by NOPSEMA, do not </w:t>
      </w:r>
      <w:r w:rsidR="0047672B">
        <w:t>require a separate</w:t>
      </w:r>
      <w:r w:rsidR="00350290">
        <w:t xml:space="preserve"> </w:t>
      </w:r>
      <w:r w:rsidR="005526A3">
        <w:t>(and duplicated</w:t>
      </w:r>
      <w:r w:rsidR="00782777">
        <w:t>) approval</w:t>
      </w:r>
      <w:r w:rsidR="00481BF7">
        <w:t xml:space="preserve"> under the</w:t>
      </w:r>
      <w:r w:rsidR="0047672B">
        <w:t xml:space="preserve"> </w:t>
      </w:r>
      <w:r w:rsidR="00350290">
        <w:t>EPBC Act.</w:t>
      </w:r>
    </w:p>
    <w:p w14:paraId="3E586A17" w14:textId="41E9EB68" w:rsidR="00177759" w:rsidRDefault="00030F7F" w:rsidP="00030F7F">
      <w:r>
        <w:t xml:space="preserve">There is also </w:t>
      </w:r>
      <w:r w:rsidR="00A334AE">
        <w:t xml:space="preserve">duplication </w:t>
      </w:r>
      <w:r>
        <w:t xml:space="preserve">for CCS projects across </w:t>
      </w:r>
      <w:r w:rsidR="00A334AE">
        <w:t>the OPGGS Act and the Sea Dumping Act</w:t>
      </w:r>
      <w:r>
        <w:t xml:space="preserve">. Currently, offshore CCS projects would need to seek approvals under both the OPGGS Act and the Sea Dumping Act, which have similar regulatory requirements. </w:t>
      </w:r>
      <w:r w:rsidR="00802ABF">
        <w:t>In addition</w:t>
      </w:r>
      <w:r w:rsidR="001F7F0C">
        <w:t>, p</w:t>
      </w:r>
      <w:r w:rsidR="00177759" w:rsidRPr="00177759">
        <w:t xml:space="preserve">otential legislative barriers to information sharing between regulators </w:t>
      </w:r>
      <w:r w:rsidR="00D631B7">
        <w:t>w</w:t>
      </w:r>
      <w:r w:rsidR="00241210">
        <w:t>ere also</w:t>
      </w:r>
      <w:r w:rsidR="00177759" w:rsidRPr="00177759">
        <w:t xml:space="preserve"> identified as an obstacle to coordination </w:t>
      </w:r>
      <w:r w:rsidR="008D31C0">
        <w:t>between the regulatory agencies</w:t>
      </w:r>
      <w:r w:rsidR="00177759" w:rsidRPr="00177759">
        <w:t>.</w:t>
      </w:r>
    </w:p>
    <w:p w14:paraId="0A1B7851" w14:textId="318975E5" w:rsidR="00C27CB3" w:rsidRDefault="002F43EE" w:rsidP="00C27CB3">
      <w:r>
        <w:t>M</w:t>
      </w:r>
      <w:r w:rsidR="003058D5" w:rsidRPr="003058D5">
        <w:t xml:space="preserve">easures to address this duplication </w:t>
      </w:r>
      <w:r w:rsidR="00BC63F8">
        <w:t>were</w:t>
      </w:r>
      <w:r w:rsidR="003058D5" w:rsidRPr="003058D5">
        <w:t xml:space="preserve"> included in the </w:t>
      </w:r>
      <w:r w:rsidR="003058D5" w:rsidRPr="0099375D">
        <w:rPr>
          <w:i/>
          <w:iCs/>
        </w:rPr>
        <w:t xml:space="preserve">Regulatory Reform Omnibus </w:t>
      </w:r>
      <w:r w:rsidR="00030F7F" w:rsidRPr="0099375D">
        <w:rPr>
          <w:i/>
          <w:iCs/>
        </w:rPr>
        <w:t>Act 2025</w:t>
      </w:r>
      <w:r w:rsidR="003058D5" w:rsidRPr="003058D5">
        <w:t xml:space="preserve">. The </w:t>
      </w:r>
      <w:r w:rsidR="00030F7F">
        <w:t xml:space="preserve">Act amends the </w:t>
      </w:r>
      <w:r w:rsidR="003058D5" w:rsidRPr="003058D5">
        <w:t xml:space="preserve">OPGGS Act </w:t>
      </w:r>
      <w:r w:rsidR="00030F7F">
        <w:t xml:space="preserve">to </w:t>
      </w:r>
      <w:r w:rsidR="003058D5" w:rsidRPr="003058D5">
        <w:t>explicitly enable information sharing between key government agencies on offshore petroleum and CCS matters</w:t>
      </w:r>
      <w:r w:rsidR="003058D5">
        <w:t>.</w:t>
      </w:r>
    </w:p>
    <w:p w14:paraId="5AE37BB7" w14:textId="4DA84A57" w:rsidR="00C27CB3" w:rsidRPr="00177759" w:rsidRDefault="00755AF7" w:rsidP="009C299D">
      <w:pPr>
        <w:pStyle w:val="Heading3"/>
      </w:pPr>
      <w:r>
        <w:t xml:space="preserve">Issue 2: </w:t>
      </w:r>
      <w:r w:rsidR="00177759" w:rsidRPr="00177759">
        <w:t>Transitioning from petroleum to CCS </w:t>
      </w:r>
    </w:p>
    <w:p w14:paraId="532A5626" w14:textId="16B5FAD9" w:rsidR="00955A92" w:rsidRDefault="009F1255" w:rsidP="00C27CB3">
      <w:r w:rsidRPr="009F1255">
        <w:t>Provisions exist in the OPGGS</w:t>
      </w:r>
      <w:r w:rsidR="001C6658">
        <w:t xml:space="preserve"> Act</w:t>
      </w:r>
      <w:r w:rsidRPr="009F1255">
        <w:t xml:space="preserve"> for existing petroleum title holders to transition their activities to pursue dedicated greenhouse gas injection projections without having to go through the competitive acreage release process. However, CCS titles obtained through this process are 'tied' to the originating petroleum production title</w:t>
      </w:r>
      <w:r w:rsidR="00955A92">
        <w:t xml:space="preserve"> and additional</w:t>
      </w:r>
      <w:r w:rsidRPr="009F1255">
        <w:t xml:space="preserve"> restrictions on injection licenses </w:t>
      </w:r>
      <w:r w:rsidR="00955A92">
        <w:t>apply, including:</w:t>
      </w:r>
    </w:p>
    <w:p w14:paraId="7FC30D83" w14:textId="5DD367C0" w:rsidR="00955A92" w:rsidRDefault="009F1255" w:rsidP="00532A59">
      <w:pPr>
        <w:pStyle w:val="ListParagraph"/>
        <w:numPr>
          <w:ilvl w:val="0"/>
          <w:numId w:val="39"/>
        </w:numPr>
      </w:pPr>
      <w:r w:rsidRPr="009F1255">
        <w:t xml:space="preserve">some or </w:t>
      </w:r>
      <w:r w:rsidR="00A17C0F" w:rsidRPr="009F1255">
        <w:t>all</w:t>
      </w:r>
      <w:r w:rsidRPr="009F1255">
        <w:t xml:space="preserve"> the injected GHG substances must be derived from the originating petroleum process</w:t>
      </w:r>
    </w:p>
    <w:p w14:paraId="2F376064" w14:textId="1C26B698" w:rsidR="00955A92" w:rsidRDefault="009F1255" w:rsidP="00532A59">
      <w:pPr>
        <w:pStyle w:val="ListParagraph"/>
        <w:numPr>
          <w:ilvl w:val="0"/>
          <w:numId w:val="39"/>
        </w:numPr>
      </w:pPr>
      <w:r w:rsidRPr="009F1255">
        <w:t>the storage formation must be wholly within the existing petroleum title area</w:t>
      </w:r>
    </w:p>
    <w:p w14:paraId="3D92A7F4" w14:textId="1AE0700D" w:rsidR="009F1255" w:rsidRDefault="009F1255" w:rsidP="00532A59">
      <w:pPr>
        <w:pStyle w:val="ListParagraph"/>
        <w:numPr>
          <w:ilvl w:val="0"/>
          <w:numId w:val="39"/>
        </w:numPr>
      </w:pPr>
      <w:r w:rsidRPr="009F1255">
        <w:t xml:space="preserve">the duration of the GHG title is dependent on the petroleum title. </w:t>
      </w:r>
    </w:p>
    <w:p w14:paraId="2D1C31BC" w14:textId="11F6BFCE" w:rsidR="0065064F" w:rsidRPr="00177759" w:rsidRDefault="00915E9F" w:rsidP="000C4CDE">
      <w:r>
        <w:t>I</w:t>
      </w:r>
      <w:r w:rsidR="00607CEB">
        <w:t>t is anticipated that i</w:t>
      </w:r>
      <w:r>
        <w:t>mproving the</w:t>
      </w:r>
      <w:r w:rsidR="009F1255" w:rsidRPr="009F1255">
        <w:t xml:space="preserve"> petroleum to CCS transition pathway </w:t>
      </w:r>
      <w:r>
        <w:t>will</w:t>
      </w:r>
      <w:r w:rsidR="009F1255" w:rsidRPr="009F1255">
        <w:t xml:space="preserve"> </w:t>
      </w:r>
      <w:r w:rsidR="0065064F">
        <w:t>incentivise</w:t>
      </w:r>
      <w:r w:rsidR="009F1255" w:rsidRPr="009F1255">
        <w:t xml:space="preserve"> </w:t>
      </w:r>
      <w:r w:rsidR="00607CEB" w:rsidRPr="009F1255">
        <w:t>petroleum producers</w:t>
      </w:r>
      <w:r w:rsidR="00607CEB">
        <w:t xml:space="preserve"> </w:t>
      </w:r>
      <w:r w:rsidR="004D799A">
        <w:t xml:space="preserve">to </w:t>
      </w:r>
      <w:r w:rsidR="00607CEB">
        <w:t xml:space="preserve">reduce </w:t>
      </w:r>
      <w:r w:rsidR="63CC6BA6">
        <w:t>emission</w:t>
      </w:r>
      <w:r w:rsidR="4BC78E16">
        <w:t>s</w:t>
      </w:r>
      <w:r w:rsidR="63CC6BA6">
        <w:t xml:space="preserve"> </w:t>
      </w:r>
      <w:r w:rsidR="40B632D8">
        <w:t>by</w:t>
      </w:r>
      <w:r w:rsidR="009F1255" w:rsidRPr="009F1255">
        <w:t xml:space="preserve"> </w:t>
      </w:r>
      <w:r w:rsidR="004D799A">
        <w:t>support</w:t>
      </w:r>
      <w:r w:rsidR="007144FC">
        <w:t>ing</w:t>
      </w:r>
      <w:r w:rsidR="004D799A">
        <w:t xml:space="preserve"> </w:t>
      </w:r>
      <w:r w:rsidR="009F1255" w:rsidRPr="009F1255">
        <w:t>transboundary movement of CO</w:t>
      </w:r>
      <w:r w:rsidR="009F1255" w:rsidRPr="009F1255">
        <w:rPr>
          <w:vertAlign w:val="subscript"/>
        </w:rPr>
        <w:t>2</w:t>
      </w:r>
      <w:r w:rsidR="009F1255" w:rsidRPr="009F1255">
        <w:t>, enable the establishment of future CCS aggregation 'hubs'</w:t>
      </w:r>
      <w:r w:rsidR="0065064F">
        <w:t>,</w:t>
      </w:r>
      <w:r w:rsidR="009F1255" w:rsidRPr="009F1255">
        <w:t xml:space="preserve"> and align with government's net zero and productivity agenda.</w:t>
      </w:r>
    </w:p>
    <w:p w14:paraId="26F2CB3A" w14:textId="115F8F05" w:rsidR="0016608E" w:rsidRDefault="00755AF7" w:rsidP="009C299D">
      <w:pPr>
        <w:pStyle w:val="Heading3"/>
      </w:pPr>
      <w:r>
        <w:t xml:space="preserve">Issue 3: </w:t>
      </w:r>
      <w:r w:rsidR="00AA6E33" w:rsidRPr="00AA6E33">
        <w:t>Re</w:t>
      </w:r>
      <w:r w:rsidR="00AA6E33" w:rsidRPr="00AA6E33">
        <w:noBreakHyphen/>
        <w:t>use and re</w:t>
      </w:r>
      <w:r w:rsidR="00AA6E33" w:rsidRPr="00AA6E33">
        <w:noBreakHyphen/>
        <w:t xml:space="preserve">purposing of petroleum assets for CCS projects </w:t>
      </w:r>
    </w:p>
    <w:p w14:paraId="78DB7FB1" w14:textId="056E5E71" w:rsidR="00AB106A" w:rsidRPr="00AB106A" w:rsidRDefault="00AB106A" w:rsidP="000C4CDE">
      <w:r w:rsidRPr="00AB106A">
        <w:t>Under current OPGGS Act settings</w:t>
      </w:r>
      <w:r w:rsidR="00F73E46">
        <w:t xml:space="preserve"> the pathway is not clear</w:t>
      </w:r>
      <w:r w:rsidRPr="00AB106A">
        <w:t xml:space="preserve"> for proponents seeking to repurpose petroleum infrastructure </w:t>
      </w:r>
      <w:r w:rsidR="005E530C">
        <w:t xml:space="preserve">for CCS operations, </w:t>
      </w:r>
      <w:r w:rsidRPr="00AB106A">
        <w:t xml:space="preserve">or for its concurrent or sequential use under different </w:t>
      </w:r>
      <w:r w:rsidR="009F76EA">
        <w:t xml:space="preserve">petroleum and CCS </w:t>
      </w:r>
      <w:r w:rsidRPr="00AB106A">
        <w:t>titles.</w:t>
      </w:r>
    </w:p>
    <w:p w14:paraId="438D1804" w14:textId="2881BF6A" w:rsidR="001305D0" w:rsidRDefault="00526962" w:rsidP="00AB106A">
      <w:r>
        <w:t>Clarifying the re</w:t>
      </w:r>
      <w:r w:rsidR="001C6658">
        <w:t>-</w:t>
      </w:r>
      <w:r>
        <w:t xml:space="preserve">purposing pathway </w:t>
      </w:r>
      <w:r w:rsidR="00045AE9">
        <w:t xml:space="preserve">for industry </w:t>
      </w:r>
      <w:r w:rsidR="00773D50">
        <w:t xml:space="preserve">will provide greater certainty for CCS projects </w:t>
      </w:r>
      <w:r w:rsidR="00E8723E">
        <w:t xml:space="preserve">planning to adopt this approach and </w:t>
      </w:r>
      <w:r w:rsidR="00577F0A">
        <w:t>may also</w:t>
      </w:r>
      <w:r w:rsidR="00CB3F12">
        <w:t xml:space="preserve"> </w:t>
      </w:r>
      <w:r w:rsidR="00E8723E">
        <w:t xml:space="preserve">improve commercial viability. </w:t>
      </w:r>
      <w:r w:rsidR="00624184">
        <w:t>It is also anticipated that r</w:t>
      </w:r>
      <w:r w:rsidR="00CB3F12">
        <w:t>e-use and repurposing of assets</w:t>
      </w:r>
      <w:r w:rsidR="001305D0">
        <w:t xml:space="preserve"> promote industry development and align with the government’s net zero and productivity agenda.</w:t>
      </w:r>
      <w:r w:rsidR="00624184">
        <w:t xml:space="preserve"> </w:t>
      </w:r>
    </w:p>
    <w:p w14:paraId="3BA170C9" w14:textId="2546490C" w:rsidR="00C27CB3" w:rsidRPr="00B15C01" w:rsidRDefault="00577F0A" w:rsidP="008F62E8">
      <w:r>
        <w:t>An option to clarify requirements is to</w:t>
      </w:r>
      <w:r w:rsidR="00AB106A" w:rsidRPr="00AB106A">
        <w:t xml:space="preserve"> develop </w:t>
      </w:r>
      <w:r>
        <w:t xml:space="preserve">and publish </w:t>
      </w:r>
      <w:r w:rsidR="00AB106A" w:rsidRPr="00AB106A">
        <w:t xml:space="preserve">guidance material </w:t>
      </w:r>
      <w:r>
        <w:t xml:space="preserve">that </w:t>
      </w:r>
      <w:r w:rsidR="00AB106A" w:rsidRPr="00AB106A">
        <w:t>outline</w:t>
      </w:r>
      <w:r>
        <w:t>s</w:t>
      </w:r>
      <w:r w:rsidR="00AB106A" w:rsidRPr="00AB106A">
        <w:t xml:space="preserve"> steps and expectations for titleholders seeking approval to re-use or re</w:t>
      </w:r>
      <w:r w:rsidR="00AB106A" w:rsidRPr="00AB106A">
        <w:noBreakHyphen/>
        <w:t>purpose petroleum assets or infrastructure for CCS activities.</w:t>
      </w:r>
      <w:r w:rsidR="009F76EA">
        <w:t xml:space="preserve"> </w:t>
      </w:r>
      <w:r w:rsidR="00AB106A" w:rsidRPr="00AB106A">
        <w:t xml:space="preserve">However, </w:t>
      </w:r>
      <w:r>
        <w:t xml:space="preserve">it may also be necessary to </w:t>
      </w:r>
      <w:r w:rsidR="00AB106A" w:rsidRPr="00AB106A">
        <w:t>complement</w:t>
      </w:r>
      <w:r>
        <w:t xml:space="preserve"> guidance material</w:t>
      </w:r>
      <w:r w:rsidR="00AB106A" w:rsidRPr="00AB106A">
        <w:t xml:space="preserve"> with </w:t>
      </w:r>
      <w:r w:rsidR="007A43B7">
        <w:t xml:space="preserve">OPGGS </w:t>
      </w:r>
      <w:r w:rsidR="00AB106A" w:rsidRPr="00AB106A">
        <w:t>Act amendments clarify</w:t>
      </w:r>
      <w:r>
        <w:t>ing</w:t>
      </w:r>
      <w:r w:rsidR="00AB106A" w:rsidRPr="00AB106A">
        <w:t xml:space="preserve"> that maintenance and removal of property is an obligation on the titleholder.</w:t>
      </w:r>
    </w:p>
    <w:p w14:paraId="3B70A663" w14:textId="288CF015" w:rsidR="00C27CB3" w:rsidRPr="00177759" w:rsidRDefault="00755AF7" w:rsidP="009C299D">
      <w:pPr>
        <w:pStyle w:val="Heading3"/>
      </w:pPr>
      <w:r>
        <w:t xml:space="preserve">Issue 4: </w:t>
      </w:r>
      <w:r w:rsidR="003E2EC7">
        <w:t>Measurement</w:t>
      </w:r>
      <w:r w:rsidR="00144305">
        <w:t>, monitoring and verification (MMV) during injection</w:t>
      </w:r>
    </w:p>
    <w:p w14:paraId="3EC31E2C" w14:textId="73812129" w:rsidR="00BB1BC7" w:rsidRPr="00BB1BC7" w:rsidRDefault="00BB1BC7" w:rsidP="000C4CDE">
      <w:r w:rsidRPr="00BB1BC7">
        <w:t>MMV settings underpin the collection and provision of information on the operation of CCS projects</w:t>
      </w:r>
      <w:r w:rsidR="00DC557B">
        <w:t>.</w:t>
      </w:r>
      <w:r w:rsidR="00F84A17">
        <w:t xml:space="preserve"> </w:t>
      </w:r>
      <w:r w:rsidR="00DC557B">
        <w:t>This</w:t>
      </w:r>
      <w:r w:rsidRPr="00BB1BC7">
        <w:t xml:space="preserve"> information</w:t>
      </w:r>
      <w:r w:rsidR="00DC557B">
        <w:t xml:space="preserve"> </w:t>
      </w:r>
      <w:r w:rsidRPr="00BB1BC7">
        <w:t>is needed</w:t>
      </w:r>
      <w:r w:rsidR="00F84A17">
        <w:t xml:space="preserve"> </w:t>
      </w:r>
      <w:r w:rsidRPr="00BB1BC7">
        <w:t xml:space="preserve">to verify that offshore CCS projects are operating within predicted and agreed parameters during </w:t>
      </w:r>
      <w:r w:rsidR="00983345">
        <w:t xml:space="preserve">the </w:t>
      </w:r>
      <w:r w:rsidRPr="00BB1BC7">
        <w:t>injection phase.</w:t>
      </w:r>
    </w:p>
    <w:p w14:paraId="0AB9E70F" w14:textId="05A528C2" w:rsidR="00BB1BC7" w:rsidRPr="00BB1BC7" w:rsidRDefault="00BB1BC7" w:rsidP="000C4CDE">
      <w:r w:rsidRPr="00BB1BC7">
        <w:t>MMV requirements are largely implicit in nature and there is no clear guidance on expectations around what is acceptable during the injection phase of a CCS project.</w:t>
      </w:r>
      <w:r w:rsidR="00BF7E18">
        <w:t xml:space="preserve"> </w:t>
      </w:r>
      <w:r w:rsidRPr="00BB1BC7">
        <w:t>In addition, there are currently no explicit requirements for the installation of metering infrastructure to collect data on the amount of CO</w:t>
      </w:r>
      <w:r w:rsidRPr="00BB1BC7">
        <w:rPr>
          <w:vertAlign w:val="subscript"/>
        </w:rPr>
        <w:t xml:space="preserve">2 </w:t>
      </w:r>
      <w:r w:rsidRPr="00BB1BC7">
        <w:t xml:space="preserve">injected and stored. </w:t>
      </w:r>
    </w:p>
    <w:p w14:paraId="0475ADD4" w14:textId="39280BD5" w:rsidR="00BB1BC7" w:rsidRDefault="00983345">
      <w:r>
        <w:t xml:space="preserve">This </w:t>
      </w:r>
      <w:r w:rsidR="00BB1BC7" w:rsidRPr="00BB1BC7">
        <w:t xml:space="preserve">gap </w:t>
      </w:r>
      <w:r>
        <w:t xml:space="preserve">could </w:t>
      </w:r>
      <w:r w:rsidR="00BB1BC7" w:rsidRPr="00BB1BC7">
        <w:t>be addressed by making metering infrastructure a requirement for undertaking injection activities</w:t>
      </w:r>
      <w:r w:rsidR="0043276C">
        <w:t xml:space="preserve">, </w:t>
      </w:r>
      <w:r w:rsidR="0014574D">
        <w:t xml:space="preserve">which will </w:t>
      </w:r>
      <w:r w:rsidR="0004519F" w:rsidRPr="0004519F">
        <w:t>provide baseline data for post</w:t>
      </w:r>
      <w:r w:rsidR="0004519F" w:rsidRPr="0004519F">
        <w:noBreakHyphen/>
        <w:t>injection monitoring plans</w:t>
      </w:r>
      <w:r w:rsidR="0004519F">
        <w:t>,</w:t>
      </w:r>
      <w:r w:rsidR="0004519F" w:rsidRPr="0004519F">
        <w:t xml:space="preserve"> </w:t>
      </w:r>
      <w:r w:rsidR="0014574D" w:rsidRPr="0014574D">
        <w:t>enable accurate emissions reporting</w:t>
      </w:r>
      <w:r w:rsidR="0014574D">
        <w:t>,</w:t>
      </w:r>
      <w:r w:rsidR="0014574D" w:rsidRPr="0014574D">
        <w:t xml:space="preserve"> </w:t>
      </w:r>
      <w:r w:rsidR="0004519F">
        <w:t xml:space="preserve">and </w:t>
      </w:r>
      <w:r w:rsidR="0014574D" w:rsidRPr="0014574D">
        <w:t>support transboundary CO</w:t>
      </w:r>
      <w:r w:rsidR="0014574D" w:rsidRPr="0014574D">
        <w:rPr>
          <w:vertAlign w:val="subscript"/>
        </w:rPr>
        <w:t xml:space="preserve">2 </w:t>
      </w:r>
      <w:r w:rsidR="0014574D" w:rsidRPr="0014574D">
        <w:t>movement</w:t>
      </w:r>
      <w:r w:rsidR="00417C3A">
        <w:t>.</w:t>
      </w:r>
      <w:r w:rsidR="0004519F">
        <w:t xml:space="preserve"> </w:t>
      </w:r>
      <w:r w:rsidR="00417C3A">
        <w:t>This will also aid</w:t>
      </w:r>
      <w:r w:rsidR="0004519F">
        <w:t xml:space="preserve"> the </w:t>
      </w:r>
      <w:r w:rsidR="0014574D" w:rsidRPr="0014574D">
        <w:t>potential future introduction of charging or taxation mechanisms.</w:t>
      </w:r>
    </w:p>
    <w:p w14:paraId="333FB931" w14:textId="1A158FE3" w:rsidR="00C70531" w:rsidRDefault="00755AF7" w:rsidP="009C299D">
      <w:pPr>
        <w:pStyle w:val="Heading3"/>
      </w:pPr>
      <w:r>
        <w:t xml:space="preserve">Issue 5: </w:t>
      </w:r>
      <w:r w:rsidR="00C70531">
        <w:t>P</w:t>
      </w:r>
      <w:r w:rsidR="00C70531" w:rsidRPr="00177759">
        <w:t>ost-injection accountabilities</w:t>
      </w:r>
    </w:p>
    <w:p w14:paraId="7B44A0FD" w14:textId="278F931E" w:rsidR="00C27CB3" w:rsidRPr="000C4CDE" w:rsidRDefault="00FA2FBB" w:rsidP="000C4CDE">
      <w:pPr>
        <w:rPr>
          <w:color w:val="001B35" w:themeColor="text2"/>
        </w:rPr>
      </w:pPr>
      <w:r w:rsidRPr="00FA2FBB">
        <w:t>Under current settings, titleholders design and are financially responsible for a program of post-injection MMV activities once injection ceases. This MMV program is then undertaken by government.</w:t>
      </w:r>
      <w:r w:rsidR="000C06AD">
        <w:t xml:space="preserve"> However, this approach introduc</w:t>
      </w:r>
      <w:r w:rsidR="00B14162">
        <w:t>es</w:t>
      </w:r>
      <w:r w:rsidR="004016F7">
        <w:t xml:space="preserve"> </w:t>
      </w:r>
      <w:r w:rsidR="00983345">
        <w:t xml:space="preserve">the </w:t>
      </w:r>
      <w:r w:rsidR="004016F7">
        <w:t>potential for misali</w:t>
      </w:r>
      <w:r w:rsidR="008273F0">
        <w:t>gned incentive</w:t>
      </w:r>
      <w:r w:rsidR="00983345">
        <w:t>s and</w:t>
      </w:r>
      <w:r w:rsidR="00B21557">
        <w:t xml:space="preserve"> </w:t>
      </w:r>
      <w:r w:rsidR="008273F0">
        <w:t xml:space="preserve">information </w:t>
      </w:r>
      <w:r w:rsidR="00983345">
        <w:t xml:space="preserve">asymmetries. It also </w:t>
      </w:r>
      <w:r w:rsidR="008273F0">
        <w:t>increases financial and operational risk for taxpayers.</w:t>
      </w:r>
    </w:p>
    <w:p w14:paraId="3E3793AB" w14:textId="12EF386E" w:rsidR="0073583F" w:rsidRPr="00527C5A" w:rsidRDefault="0073583F" w:rsidP="000C4CDE">
      <w:pPr>
        <w:rPr>
          <w:color w:val="000000" w:themeColor="text1"/>
        </w:rPr>
      </w:pPr>
      <w:r w:rsidRPr="000C4CDE">
        <w:rPr>
          <w:color w:val="000000" w:themeColor="text1"/>
        </w:rPr>
        <w:t>Titleholders have the operational and technical capabilities and (with appropriate government oversight) are best placed to undertake post-injection monitoring</w:t>
      </w:r>
      <w:r w:rsidR="001E3927">
        <w:rPr>
          <w:color w:val="000000" w:themeColor="text1"/>
        </w:rPr>
        <w:t xml:space="preserve"> because of their </w:t>
      </w:r>
      <w:r w:rsidRPr="000C4CDE">
        <w:rPr>
          <w:color w:val="000000" w:themeColor="text1"/>
        </w:rPr>
        <w:t>operation</w:t>
      </w:r>
      <w:r w:rsidR="001E3927">
        <w:rPr>
          <w:color w:val="000000" w:themeColor="text1"/>
        </w:rPr>
        <w:t>al</w:t>
      </w:r>
      <w:r w:rsidRPr="000C4CDE">
        <w:rPr>
          <w:color w:val="000000" w:themeColor="text1"/>
        </w:rPr>
        <w:t xml:space="preserve"> experience and data collect</w:t>
      </w:r>
      <w:r w:rsidR="001E3927">
        <w:rPr>
          <w:color w:val="000000" w:themeColor="text1"/>
        </w:rPr>
        <w:t xml:space="preserve">ion </w:t>
      </w:r>
      <w:r w:rsidRPr="000C4CDE">
        <w:rPr>
          <w:color w:val="000000" w:themeColor="text1"/>
        </w:rPr>
        <w:t>throughout the project</w:t>
      </w:r>
      <w:r w:rsidR="00BD65F0">
        <w:rPr>
          <w:color w:val="000000" w:themeColor="text1"/>
        </w:rPr>
        <w:t>’</w:t>
      </w:r>
      <w:r w:rsidRPr="000C4CDE">
        <w:rPr>
          <w:color w:val="000000" w:themeColor="text1"/>
        </w:rPr>
        <w:t>s life.</w:t>
      </w:r>
      <w:r w:rsidR="00B14162">
        <w:rPr>
          <w:color w:val="000000" w:themeColor="text1"/>
        </w:rPr>
        <w:t xml:space="preserve"> </w:t>
      </w:r>
      <w:r w:rsidR="001E3927">
        <w:rPr>
          <w:color w:val="000000" w:themeColor="text1"/>
        </w:rPr>
        <w:t>A</w:t>
      </w:r>
      <w:r w:rsidR="00D43FE9" w:rsidRPr="000C4CDE">
        <w:rPr>
          <w:color w:val="000000" w:themeColor="text1"/>
        </w:rPr>
        <w:t xml:space="preserve">ct amendments </w:t>
      </w:r>
      <w:r w:rsidR="001E3927">
        <w:rPr>
          <w:color w:val="000000" w:themeColor="text1"/>
        </w:rPr>
        <w:t xml:space="preserve">would be required </w:t>
      </w:r>
      <w:r w:rsidR="00417990">
        <w:rPr>
          <w:color w:val="000000" w:themeColor="text1"/>
        </w:rPr>
        <w:t xml:space="preserve">to formalise the requirement for </w:t>
      </w:r>
      <w:r w:rsidR="00D43FE9" w:rsidRPr="000C4CDE">
        <w:rPr>
          <w:color w:val="000000" w:themeColor="text1"/>
        </w:rPr>
        <w:t xml:space="preserve">titleholders </w:t>
      </w:r>
      <w:r w:rsidR="00417990">
        <w:rPr>
          <w:color w:val="000000" w:themeColor="text1"/>
        </w:rPr>
        <w:t xml:space="preserve">to </w:t>
      </w:r>
      <w:r w:rsidR="00D43FE9" w:rsidRPr="000C4CDE">
        <w:rPr>
          <w:color w:val="000000" w:themeColor="text1"/>
        </w:rPr>
        <w:t>fund and undertake post-injection monitoring</w:t>
      </w:r>
      <w:r w:rsidR="00DA47DA" w:rsidRPr="00527C5A">
        <w:rPr>
          <w:color w:val="000000" w:themeColor="text1"/>
        </w:rPr>
        <w:t>.</w:t>
      </w:r>
      <w:r w:rsidR="00690699" w:rsidRPr="009C299D">
        <w:rPr>
          <w:rFonts w:ascii="Aptos" w:hAnsi="Aptos" w:cs="Segoe UI"/>
          <w:color w:val="D13438"/>
          <w:shd w:val="clear" w:color="auto" w:fill="FFFFFF"/>
        </w:rPr>
        <w:t xml:space="preserve"> </w:t>
      </w:r>
      <w:r w:rsidR="00690699" w:rsidRPr="009C299D">
        <w:rPr>
          <w:color w:val="000000" w:themeColor="text1"/>
        </w:rPr>
        <w:t>Consideration was also given to how post-injection monitoring obligations, closure planning and liability transfer arrangements could better reflect the site-specific risks and performance of individual projects.</w:t>
      </w:r>
      <w:r w:rsidR="00690699" w:rsidRPr="00527C5A">
        <w:rPr>
          <w:color w:val="000000" w:themeColor="text1"/>
        </w:rPr>
        <w:t> </w:t>
      </w:r>
    </w:p>
    <w:p w14:paraId="12E0F775" w14:textId="37BBF4BA" w:rsidR="00C27CB3" w:rsidRPr="00527C5A" w:rsidRDefault="00755AF7" w:rsidP="009C299D">
      <w:pPr>
        <w:pStyle w:val="Heading3"/>
      </w:pPr>
      <w:bookmarkStart w:id="8" w:name="_Hlk155191883"/>
      <w:r w:rsidRPr="00527C5A">
        <w:t xml:space="preserve">Issue 6: </w:t>
      </w:r>
      <w:r w:rsidR="00177759" w:rsidRPr="00527C5A">
        <w:t>Regulatory and administrative refinements</w:t>
      </w:r>
    </w:p>
    <w:p w14:paraId="13AD01BA" w14:textId="3635DEC8" w:rsidR="008239DB" w:rsidRPr="00920D0A" w:rsidRDefault="00177759" w:rsidP="000C4CDE">
      <w:r w:rsidRPr="00527C5A">
        <w:t>There are opportunities to improve regulatory clarity and streamline processes for offshore CCS project proponents through updates and refinements to the OPGGSA and associated regulations</w:t>
      </w:r>
      <w:r w:rsidR="00C27CB3" w:rsidRPr="00527C5A">
        <w:t>.</w:t>
      </w:r>
      <w:r w:rsidR="008273F0" w:rsidRPr="00527C5A">
        <w:t xml:space="preserve"> These include aligning decision making for CCS with petroleum where </w:t>
      </w:r>
      <w:r w:rsidR="00D16FDC" w:rsidRPr="00527C5A">
        <w:t>appropriate</w:t>
      </w:r>
      <w:r w:rsidR="008273F0" w:rsidRPr="00527C5A">
        <w:t xml:space="preserve">, amending the definition of ‘key greenhouse gas operations’ to have a </w:t>
      </w:r>
      <w:r w:rsidR="00090D17" w:rsidRPr="00527C5A">
        <w:t>more focused scope</w:t>
      </w:r>
      <w:r w:rsidR="00417990" w:rsidRPr="00527C5A">
        <w:t>,</w:t>
      </w:r>
      <w:r w:rsidR="00090D17" w:rsidRPr="00527C5A">
        <w:t xml:space="preserve"> and addressing gaps in the CCS penalties provisions. This will help improve </w:t>
      </w:r>
      <w:r w:rsidR="00DE057B" w:rsidRPr="00527C5A">
        <w:t>regulatory efficiency and create more effective decision-making pathways.</w:t>
      </w:r>
      <w:bookmarkStart w:id="9" w:name="_Toc155191318"/>
      <w:bookmarkEnd w:id="8"/>
      <w:r w:rsidR="009D6D17" w:rsidRPr="00527C5A">
        <w:t xml:space="preserve"> </w:t>
      </w:r>
      <w:r w:rsidR="0089799F" w:rsidRPr="00527C5A">
        <w:t>The r</w:t>
      </w:r>
      <w:r w:rsidR="009D6D17" w:rsidRPr="00773D96">
        <w:t>eview also identified potential opportunities to clarify incident response powers, responsibilities and enforcement provisions relating to greenhouse gas leakage events.</w:t>
      </w:r>
    </w:p>
    <w:p w14:paraId="2C63F08A" w14:textId="1A9B8A1D" w:rsidR="00DA5833" w:rsidRDefault="00DA5833" w:rsidP="00773D96">
      <w:pPr>
        <w:pStyle w:val="Heading2"/>
      </w:pPr>
      <w:r w:rsidRPr="00FE27C5">
        <w:t>Next steps</w:t>
      </w:r>
    </w:p>
    <w:p w14:paraId="64918F61" w14:textId="4E7759BB" w:rsidR="00F51A37" w:rsidRPr="000609A2" w:rsidRDefault="00880D8E" w:rsidP="000609A2">
      <w:r>
        <w:t>C</w:t>
      </w:r>
      <w:r w:rsidR="003A0883">
        <w:t xml:space="preserve">hanges to address issue </w:t>
      </w:r>
      <w:r w:rsidR="00DB58DC">
        <w:t>1 have been implemented</w:t>
      </w:r>
      <w:r w:rsidR="004D3200">
        <w:t xml:space="preserve"> as described above. </w:t>
      </w:r>
      <w:r w:rsidR="00E966DD" w:rsidRPr="000609A2">
        <w:t xml:space="preserve">Potential OPGGS Act reforms </w:t>
      </w:r>
      <w:r w:rsidR="00755AF7" w:rsidRPr="000609A2">
        <w:t>to address issues 2</w:t>
      </w:r>
      <w:r w:rsidR="0020434B">
        <w:t xml:space="preserve"> to </w:t>
      </w:r>
      <w:r w:rsidR="00755AF7" w:rsidRPr="000609A2">
        <w:t xml:space="preserve">6 are </w:t>
      </w:r>
      <w:r w:rsidR="00C278A8" w:rsidRPr="000609A2">
        <w:t>presented thematically</w:t>
      </w:r>
      <w:r w:rsidR="00755AF7" w:rsidRPr="000609A2">
        <w:t xml:space="preserve"> in Table </w:t>
      </w:r>
      <w:r w:rsidR="00C278A8" w:rsidRPr="000609A2">
        <w:t xml:space="preserve">1. </w:t>
      </w:r>
      <w:r w:rsidR="001D5067" w:rsidRPr="000609A2">
        <w:t xml:space="preserve">All </w:t>
      </w:r>
      <w:r w:rsidR="00607F39">
        <w:t xml:space="preserve">potential </w:t>
      </w:r>
      <w:r w:rsidR="001D5067" w:rsidRPr="000609A2">
        <w:t xml:space="preserve">reforms </w:t>
      </w:r>
      <w:r w:rsidR="002A5189">
        <w:t xml:space="preserve">would </w:t>
      </w:r>
      <w:r w:rsidR="001D5067" w:rsidRPr="000609A2">
        <w:t>require legislative amendments.</w:t>
      </w:r>
    </w:p>
    <w:p w14:paraId="3844996F" w14:textId="2D9FBFE5" w:rsidR="00E966DD" w:rsidRPr="000609A2" w:rsidRDefault="00F51A37" w:rsidP="000609A2">
      <w:r w:rsidRPr="000609A2">
        <w:t>I</w:t>
      </w:r>
      <w:r w:rsidR="00E966DD" w:rsidRPr="000609A2">
        <w:t>dentified reforms focus on simplifying the transition pathways from petroleum to CCS, the reuse and repurposing of petroleum assets for CCS projects, measurement, monitoring and verification during CO</w:t>
      </w:r>
      <w:r w:rsidR="00E966DD" w:rsidRPr="000609A2">
        <w:rPr>
          <w:vertAlign w:val="subscript"/>
        </w:rPr>
        <w:t>2</w:t>
      </w:r>
      <w:r w:rsidR="00E966DD" w:rsidRPr="000609A2">
        <w:t xml:space="preserve"> injection and post injection, and technical and administrative amendments to the OPGGS Act.</w:t>
      </w:r>
    </w:p>
    <w:p w14:paraId="73E3C0FA" w14:textId="2D585C80" w:rsidR="004C1467" w:rsidRDefault="006D6752" w:rsidP="00C3258F">
      <w:r w:rsidRPr="000609A2">
        <w:t xml:space="preserve">Together, these </w:t>
      </w:r>
      <w:r w:rsidR="001A6F54" w:rsidRPr="000609A2">
        <w:t xml:space="preserve">OPGGS Act </w:t>
      </w:r>
      <w:r w:rsidRPr="000609A2">
        <w:t>amendments would ensure the regime appropriately reflects the risks of offshore CCS activities across the project lifecycle. They would also help reduce risks for taxpayers, support transboundary CCS, improve regulatory clarity and simplify processes for CCS proponents.</w:t>
      </w:r>
    </w:p>
    <w:p w14:paraId="2270F4EA" w14:textId="77777777" w:rsidR="00DA5833" w:rsidRPr="00DA5833" w:rsidRDefault="00DA5833" w:rsidP="004411C8">
      <w:pPr>
        <w:sectPr w:rsidR="00DA5833" w:rsidRPr="00DA5833" w:rsidSect="007741CC">
          <w:headerReference w:type="even" r:id="rId12"/>
          <w:footerReference w:type="even" r:id="rId13"/>
          <w:footerReference w:type="default" r:id="rId14"/>
          <w:headerReference w:type="first" r:id="rId15"/>
          <w:footerReference w:type="first" r:id="rId16"/>
          <w:pgSz w:w="11906" w:h="16838"/>
          <w:pgMar w:top="1276" w:right="1440" w:bottom="1440" w:left="1440" w:header="851" w:footer="708" w:gutter="0"/>
          <w:cols w:space="708"/>
          <w:titlePg/>
          <w:docGrid w:linePitch="360"/>
        </w:sectPr>
      </w:pPr>
    </w:p>
    <w:p w14:paraId="79A038E2" w14:textId="5E9606BE" w:rsidR="00C27CB3" w:rsidRPr="00017287" w:rsidRDefault="00C278A8" w:rsidP="00773D96">
      <w:pPr>
        <w:pStyle w:val="Heading2"/>
      </w:pPr>
      <w:r>
        <w:t xml:space="preserve">Table 1: </w:t>
      </w:r>
      <w:r w:rsidR="00177759" w:rsidRPr="00177759">
        <w:t>Reform opportunities and pathways</w:t>
      </w:r>
      <w:r w:rsidR="00C27CB3" w:rsidRPr="00017287">
        <w:t xml:space="preserve"> </w:t>
      </w:r>
      <w:bookmarkEnd w:id="9"/>
    </w:p>
    <w:p w14:paraId="105BFA7F" w14:textId="780210EE" w:rsidR="002E102A" w:rsidRPr="002E102A" w:rsidRDefault="005B0BF4" w:rsidP="002E102A">
      <w:r>
        <w:t>R</w:t>
      </w:r>
      <w:r w:rsidR="00177759" w:rsidRPr="00177759">
        <w:t xml:space="preserve">egulatory reform opportunities </w:t>
      </w:r>
      <w:r>
        <w:t xml:space="preserve">have been identified </w:t>
      </w:r>
      <w:r w:rsidR="00177759" w:rsidRPr="00177759">
        <w:t xml:space="preserve">across the </w:t>
      </w:r>
      <w:r w:rsidR="006D4D2E">
        <w:t>4</w:t>
      </w:r>
      <w:r w:rsidR="006D4D2E" w:rsidRPr="00177759">
        <w:t xml:space="preserve"> </w:t>
      </w:r>
      <w:r w:rsidR="00177759" w:rsidRPr="00177759">
        <w:t>main themes as outlined below.</w:t>
      </w:r>
    </w:p>
    <w:tbl>
      <w:tblPr>
        <w:tblW w:w="1402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93"/>
        <w:gridCol w:w="6237"/>
        <w:gridCol w:w="6096"/>
      </w:tblGrid>
      <w:tr w:rsidR="00F6729D" w:rsidRPr="002E102A" w14:paraId="6433EBC4" w14:textId="77777777" w:rsidTr="003F3B19">
        <w:trPr>
          <w:trHeight w:val="476"/>
        </w:trPr>
        <w:tc>
          <w:tcPr>
            <w:tcW w:w="1693"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33A5A5BE" w14:textId="77777777" w:rsidR="002E102A" w:rsidRPr="002E102A" w:rsidRDefault="002E102A" w:rsidP="0015263F">
            <w:pPr>
              <w:ind w:firstLine="127"/>
            </w:pPr>
            <w:r w:rsidRPr="002E102A">
              <w:rPr>
                <w:b/>
                <w:bCs/>
              </w:rPr>
              <w:t>Opportunity</w:t>
            </w:r>
            <w:r w:rsidRPr="002E102A">
              <w:t> </w:t>
            </w:r>
          </w:p>
        </w:tc>
        <w:tc>
          <w:tcPr>
            <w:tcW w:w="6237"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74D42810" w14:textId="77777777" w:rsidR="002E102A" w:rsidRPr="002E102A" w:rsidRDefault="002E102A" w:rsidP="0015263F">
            <w:pPr>
              <w:ind w:firstLine="148"/>
            </w:pPr>
            <w:r w:rsidRPr="002E102A">
              <w:rPr>
                <w:b/>
                <w:bCs/>
              </w:rPr>
              <w:t>Description</w:t>
            </w:r>
            <w:r w:rsidRPr="002E102A">
              <w:t> </w:t>
            </w:r>
          </w:p>
        </w:tc>
        <w:tc>
          <w:tcPr>
            <w:tcW w:w="6096"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0A11D6F1" w14:textId="77777777" w:rsidR="002E102A" w:rsidRPr="002E102A" w:rsidRDefault="002E102A" w:rsidP="0015263F">
            <w:pPr>
              <w:ind w:firstLine="145"/>
            </w:pPr>
            <w:r w:rsidRPr="002E102A">
              <w:rPr>
                <w:b/>
                <w:bCs/>
              </w:rPr>
              <w:t>Outcomes</w:t>
            </w:r>
            <w:r w:rsidRPr="002E102A">
              <w:t> </w:t>
            </w:r>
          </w:p>
        </w:tc>
      </w:tr>
      <w:tr w:rsidR="00552D17" w:rsidRPr="002E102A" w14:paraId="02AD0B1F" w14:textId="77777777" w:rsidTr="003F3B19">
        <w:trPr>
          <w:trHeight w:val="476"/>
        </w:trPr>
        <w:tc>
          <w:tcPr>
            <w:tcW w:w="1693" w:type="dxa"/>
            <w:vMerge/>
            <w:tcBorders>
              <w:top w:val="single" w:sz="6" w:space="0" w:color="auto"/>
              <w:left w:val="single" w:sz="6" w:space="0" w:color="auto"/>
              <w:bottom w:val="single" w:sz="6" w:space="0" w:color="auto"/>
              <w:right w:val="single" w:sz="6" w:space="0" w:color="auto"/>
            </w:tcBorders>
            <w:vAlign w:val="center"/>
            <w:hideMark/>
          </w:tcPr>
          <w:p w14:paraId="3C046E97" w14:textId="77777777" w:rsidR="002E102A" w:rsidRPr="002E102A" w:rsidRDefault="002E102A" w:rsidP="002E102A"/>
        </w:tc>
        <w:tc>
          <w:tcPr>
            <w:tcW w:w="6237" w:type="dxa"/>
            <w:vMerge/>
            <w:tcBorders>
              <w:top w:val="single" w:sz="6" w:space="0" w:color="auto"/>
              <w:left w:val="single" w:sz="6" w:space="0" w:color="auto"/>
              <w:bottom w:val="single" w:sz="6" w:space="0" w:color="auto"/>
              <w:right w:val="single" w:sz="6" w:space="0" w:color="auto"/>
            </w:tcBorders>
            <w:vAlign w:val="center"/>
            <w:hideMark/>
          </w:tcPr>
          <w:p w14:paraId="111376C4" w14:textId="77777777" w:rsidR="002E102A" w:rsidRPr="002E102A" w:rsidRDefault="002E102A" w:rsidP="002E102A"/>
        </w:tc>
        <w:tc>
          <w:tcPr>
            <w:tcW w:w="6096" w:type="dxa"/>
            <w:vMerge/>
            <w:tcBorders>
              <w:top w:val="single" w:sz="6" w:space="0" w:color="auto"/>
              <w:left w:val="single" w:sz="6" w:space="0" w:color="auto"/>
              <w:bottom w:val="single" w:sz="6" w:space="0" w:color="auto"/>
              <w:right w:val="single" w:sz="6" w:space="0" w:color="auto"/>
            </w:tcBorders>
            <w:vAlign w:val="center"/>
            <w:hideMark/>
          </w:tcPr>
          <w:p w14:paraId="32C003DD" w14:textId="77777777" w:rsidR="002E102A" w:rsidRPr="002E102A" w:rsidRDefault="002E102A" w:rsidP="002E102A"/>
        </w:tc>
      </w:tr>
      <w:tr w:rsidR="008239DB" w:rsidRPr="002E102A" w14:paraId="478CA9AE" w14:textId="77777777" w:rsidTr="003F3B19">
        <w:trPr>
          <w:trHeight w:val="300"/>
        </w:trPr>
        <w:tc>
          <w:tcPr>
            <w:tcW w:w="1693" w:type="dxa"/>
            <w:tcBorders>
              <w:top w:val="single" w:sz="6" w:space="0" w:color="auto"/>
              <w:left w:val="single" w:sz="6" w:space="0" w:color="auto"/>
              <w:bottom w:val="single" w:sz="6" w:space="0" w:color="auto"/>
              <w:right w:val="single" w:sz="6" w:space="0" w:color="auto"/>
            </w:tcBorders>
            <w:hideMark/>
          </w:tcPr>
          <w:p w14:paraId="78547623" w14:textId="600033C9" w:rsidR="002E102A" w:rsidRPr="002E102A" w:rsidRDefault="002E102A" w:rsidP="0015263F">
            <w:pPr>
              <w:ind w:left="127"/>
            </w:pPr>
            <w:r w:rsidRPr="002E102A">
              <w:t>Simplifying transition pathways from petroleum to CCS</w:t>
            </w:r>
          </w:p>
        </w:tc>
        <w:tc>
          <w:tcPr>
            <w:tcW w:w="6237" w:type="dxa"/>
            <w:tcBorders>
              <w:top w:val="single" w:sz="6" w:space="0" w:color="auto"/>
              <w:left w:val="single" w:sz="6" w:space="0" w:color="auto"/>
              <w:bottom w:val="single" w:sz="6" w:space="0" w:color="auto"/>
              <w:right w:val="single" w:sz="6" w:space="0" w:color="auto"/>
            </w:tcBorders>
            <w:hideMark/>
          </w:tcPr>
          <w:p w14:paraId="5B4510C7" w14:textId="3131E773" w:rsidR="002E102A" w:rsidRPr="002E102A" w:rsidRDefault="002E102A" w:rsidP="00532A59">
            <w:pPr>
              <w:numPr>
                <w:ilvl w:val="0"/>
                <w:numId w:val="6"/>
              </w:numPr>
            </w:pPr>
            <w:r w:rsidRPr="002E102A">
              <w:t>Provisions exist in the OPGGS Act for existing petroleum title</w:t>
            </w:r>
            <w:r w:rsidR="007640F0">
              <w:t xml:space="preserve"> </w:t>
            </w:r>
            <w:r w:rsidRPr="002E102A">
              <w:t>holders to</w:t>
            </w:r>
            <w:r w:rsidR="007640F0">
              <w:t xml:space="preserve"> </w:t>
            </w:r>
            <w:r w:rsidRPr="002E102A">
              <w:t>transition their activities to</w:t>
            </w:r>
            <w:r w:rsidR="007640F0">
              <w:t xml:space="preserve"> </w:t>
            </w:r>
            <w:r w:rsidRPr="002E102A">
              <w:t>pursue dedicated</w:t>
            </w:r>
            <w:r w:rsidR="007640F0">
              <w:t xml:space="preserve"> </w:t>
            </w:r>
            <w:r w:rsidRPr="002E102A">
              <w:t>greenhouse gas</w:t>
            </w:r>
            <w:r w:rsidR="007640F0">
              <w:t xml:space="preserve"> </w:t>
            </w:r>
            <w:r w:rsidRPr="002E102A">
              <w:t>CCS</w:t>
            </w:r>
            <w:r w:rsidR="007640F0">
              <w:t xml:space="preserve"> </w:t>
            </w:r>
            <w:r w:rsidRPr="002E102A">
              <w:t>injection</w:t>
            </w:r>
            <w:r w:rsidR="007640F0">
              <w:t xml:space="preserve"> </w:t>
            </w:r>
            <w:r w:rsidRPr="002E102A">
              <w:t>projects without having to go through the competitive acreage release process.</w:t>
            </w:r>
          </w:p>
          <w:p w14:paraId="03A18A13" w14:textId="69A43BFD" w:rsidR="002E102A" w:rsidRPr="002E102A" w:rsidRDefault="002E102A" w:rsidP="00532A59">
            <w:pPr>
              <w:numPr>
                <w:ilvl w:val="0"/>
                <w:numId w:val="7"/>
              </w:numPr>
            </w:pPr>
            <w:r w:rsidRPr="002E102A">
              <w:t>However,</w:t>
            </w:r>
            <w:r w:rsidR="007640F0">
              <w:t xml:space="preserve"> </w:t>
            </w:r>
            <w:r w:rsidRPr="002E102A">
              <w:t>CCS titles obtained through this process are restricted, with the CCS title ‘tied’ to the originating</w:t>
            </w:r>
            <w:r w:rsidR="007640F0">
              <w:t xml:space="preserve"> </w:t>
            </w:r>
            <w:r w:rsidRPr="002E102A">
              <w:t>petroleum</w:t>
            </w:r>
            <w:r w:rsidR="007640F0">
              <w:t xml:space="preserve"> </w:t>
            </w:r>
            <w:r w:rsidRPr="002E102A">
              <w:t>production</w:t>
            </w:r>
            <w:r w:rsidR="007640F0">
              <w:t xml:space="preserve"> </w:t>
            </w:r>
            <w:r w:rsidRPr="002E102A">
              <w:t>title.</w:t>
            </w:r>
          </w:p>
          <w:p w14:paraId="673A9DF7" w14:textId="33C39DD2" w:rsidR="002E102A" w:rsidRPr="002E102A" w:rsidRDefault="002E102A" w:rsidP="00532A59">
            <w:pPr>
              <w:numPr>
                <w:ilvl w:val="0"/>
                <w:numId w:val="8"/>
              </w:numPr>
            </w:pPr>
            <w:r w:rsidRPr="002E102A">
              <w:t>Restrictions on</w:t>
            </w:r>
            <w:r w:rsidR="007640F0">
              <w:t xml:space="preserve"> </w:t>
            </w:r>
            <w:r w:rsidRPr="002E102A">
              <w:t>injection licences obtained from petroleum titles</w:t>
            </w:r>
            <w:r w:rsidR="007640F0">
              <w:t xml:space="preserve"> </w:t>
            </w:r>
            <w:r w:rsidRPr="002E102A">
              <w:t>include:</w:t>
            </w:r>
          </w:p>
          <w:p w14:paraId="4ECB0D3B" w14:textId="1C61287C" w:rsidR="002E102A" w:rsidRPr="002E102A" w:rsidRDefault="002E102A" w:rsidP="00532A59">
            <w:pPr>
              <w:numPr>
                <w:ilvl w:val="0"/>
                <w:numId w:val="8"/>
              </w:numPr>
            </w:pPr>
            <w:r w:rsidRPr="002E102A">
              <w:t>Source of GHG – some or</w:t>
            </w:r>
            <w:r w:rsidR="007640F0">
              <w:t xml:space="preserve"> </w:t>
            </w:r>
            <w:r w:rsidRPr="002E102A">
              <w:t>all of</w:t>
            </w:r>
            <w:r w:rsidR="007640F0">
              <w:t xml:space="preserve"> </w:t>
            </w:r>
            <w:r w:rsidRPr="002E102A">
              <w:t>the</w:t>
            </w:r>
            <w:r w:rsidR="007640F0">
              <w:t xml:space="preserve"> </w:t>
            </w:r>
            <w:r w:rsidRPr="002E102A">
              <w:t>greenhouse gas</w:t>
            </w:r>
            <w:r w:rsidR="007640F0">
              <w:t xml:space="preserve"> </w:t>
            </w:r>
            <w:r w:rsidRPr="002E102A">
              <w:t>substance</w:t>
            </w:r>
            <w:r w:rsidR="007640F0">
              <w:t xml:space="preserve"> </w:t>
            </w:r>
            <w:r w:rsidRPr="002E102A">
              <w:t>to be injected</w:t>
            </w:r>
            <w:r w:rsidR="007640F0">
              <w:t xml:space="preserve"> </w:t>
            </w:r>
            <w:r w:rsidRPr="002E102A">
              <w:t>must be derived from petroleum recovery operations</w:t>
            </w:r>
            <w:r w:rsidR="007640F0">
              <w:t>.</w:t>
            </w:r>
          </w:p>
          <w:p w14:paraId="5EC77DFA" w14:textId="528E2113" w:rsidR="002E102A" w:rsidRPr="002E102A" w:rsidRDefault="002E102A" w:rsidP="00532A59">
            <w:pPr>
              <w:numPr>
                <w:ilvl w:val="0"/>
                <w:numId w:val="8"/>
              </w:numPr>
            </w:pPr>
            <w:r w:rsidRPr="002E102A">
              <w:t>Spatial extent – the storage formation must be</w:t>
            </w:r>
            <w:r w:rsidR="007640F0">
              <w:t xml:space="preserve"> </w:t>
            </w:r>
            <w:r w:rsidRPr="002E102A">
              <w:t>wholly situated</w:t>
            </w:r>
            <w:r w:rsidR="002320BE">
              <w:t xml:space="preserve"> </w:t>
            </w:r>
            <w:r w:rsidRPr="002E102A">
              <w:t>within the petroleum titleholders existing</w:t>
            </w:r>
            <w:r w:rsidR="002320BE">
              <w:t xml:space="preserve"> </w:t>
            </w:r>
            <w:r w:rsidRPr="002E102A">
              <w:t>title</w:t>
            </w:r>
            <w:r w:rsidR="002320BE">
              <w:t xml:space="preserve"> </w:t>
            </w:r>
            <w:r w:rsidRPr="002E102A">
              <w:t>area</w:t>
            </w:r>
            <w:r w:rsidR="007640F0">
              <w:t>.</w:t>
            </w:r>
          </w:p>
          <w:p w14:paraId="2638CF17" w14:textId="3774B400" w:rsidR="002E102A" w:rsidRPr="002E102A" w:rsidRDefault="002E102A" w:rsidP="00532A59">
            <w:pPr>
              <w:numPr>
                <w:ilvl w:val="0"/>
                <w:numId w:val="8"/>
              </w:numPr>
            </w:pPr>
            <w:r w:rsidRPr="002E102A">
              <w:t>Duration – the duration of the greenhouse gas</w:t>
            </w:r>
            <w:r w:rsidR="007640F0">
              <w:t xml:space="preserve"> </w:t>
            </w:r>
            <w:r w:rsidRPr="002E102A">
              <w:t>title</w:t>
            </w:r>
            <w:r w:rsidR="007640F0">
              <w:t xml:space="preserve"> </w:t>
            </w:r>
            <w:r w:rsidRPr="002E102A">
              <w:t>is</w:t>
            </w:r>
            <w:r w:rsidR="007640F0">
              <w:t xml:space="preserve"> </w:t>
            </w:r>
            <w:r w:rsidRPr="002E102A">
              <w:t>dependent on</w:t>
            </w:r>
            <w:r w:rsidR="007640F0">
              <w:t xml:space="preserve"> </w:t>
            </w:r>
            <w:r w:rsidRPr="002E102A">
              <w:t>the</w:t>
            </w:r>
            <w:r w:rsidR="007640F0">
              <w:t xml:space="preserve"> </w:t>
            </w:r>
            <w:r w:rsidRPr="002E102A">
              <w:t>petroleum title.</w:t>
            </w:r>
          </w:p>
          <w:p w14:paraId="6C6D7514" w14:textId="77777777" w:rsidR="002E102A" w:rsidRPr="002E102A" w:rsidRDefault="002E102A" w:rsidP="002E102A">
            <w:r w:rsidRPr="002E102A">
              <w:t> </w:t>
            </w:r>
          </w:p>
        </w:tc>
        <w:tc>
          <w:tcPr>
            <w:tcW w:w="6096" w:type="dxa"/>
            <w:tcBorders>
              <w:top w:val="single" w:sz="6" w:space="0" w:color="auto"/>
              <w:left w:val="single" w:sz="6" w:space="0" w:color="auto"/>
              <w:bottom w:val="single" w:sz="6" w:space="0" w:color="auto"/>
              <w:right w:val="single" w:sz="6" w:space="0" w:color="auto"/>
            </w:tcBorders>
            <w:hideMark/>
          </w:tcPr>
          <w:p w14:paraId="3E31644C" w14:textId="77777777" w:rsidR="002E102A" w:rsidRPr="002E102A" w:rsidRDefault="002E102A" w:rsidP="00532A59">
            <w:pPr>
              <w:numPr>
                <w:ilvl w:val="0"/>
                <w:numId w:val="9"/>
              </w:numPr>
            </w:pPr>
            <w:r w:rsidRPr="002E102A">
              <w:t>The petroleum to CCS title transition pathway: </w:t>
            </w:r>
          </w:p>
          <w:p w14:paraId="07E17DF9" w14:textId="26D5BCCA" w:rsidR="002E102A" w:rsidRPr="002E102A" w:rsidRDefault="00F57938" w:rsidP="00773D96">
            <w:pPr>
              <w:numPr>
                <w:ilvl w:val="1"/>
                <w:numId w:val="43"/>
              </w:numPr>
            </w:pPr>
            <w:r>
              <w:t>e</w:t>
            </w:r>
            <w:r w:rsidR="002E102A" w:rsidRPr="002E102A">
              <w:t>nables</w:t>
            </w:r>
            <w:r w:rsidR="007640F0">
              <w:t xml:space="preserve"> </w:t>
            </w:r>
            <w:r w:rsidR="002E102A" w:rsidRPr="002E102A">
              <w:t>emissions reduction efforts by petroleum producers</w:t>
            </w:r>
          </w:p>
          <w:p w14:paraId="70AA5C12" w14:textId="68CF3E17" w:rsidR="002E102A" w:rsidRPr="002E102A" w:rsidRDefault="00F57938" w:rsidP="00773D96">
            <w:pPr>
              <w:numPr>
                <w:ilvl w:val="1"/>
                <w:numId w:val="43"/>
              </w:numPr>
            </w:pPr>
            <w:r>
              <w:t>e</w:t>
            </w:r>
            <w:r w:rsidR="002E102A" w:rsidRPr="002E102A">
              <w:t>nables</w:t>
            </w:r>
            <w:r w:rsidR="007640F0">
              <w:t xml:space="preserve"> </w:t>
            </w:r>
            <w:r w:rsidR="002E102A" w:rsidRPr="002E102A">
              <w:t>petroleum producers to pursue net zero economy business models</w:t>
            </w:r>
          </w:p>
          <w:p w14:paraId="529B1B98" w14:textId="453C2CC8" w:rsidR="002E102A" w:rsidRPr="002E102A" w:rsidRDefault="00F57938" w:rsidP="00773D96">
            <w:pPr>
              <w:numPr>
                <w:ilvl w:val="1"/>
                <w:numId w:val="43"/>
              </w:numPr>
            </w:pPr>
            <w:r>
              <w:t>s</w:t>
            </w:r>
            <w:r w:rsidR="002E102A" w:rsidRPr="002E102A">
              <w:t>upports transboundary movement of CO</w:t>
            </w:r>
            <w:r w:rsidR="002E102A" w:rsidRPr="00005076">
              <w:rPr>
                <w:vertAlign w:val="subscript"/>
              </w:rPr>
              <w:t>2</w:t>
            </w:r>
            <w:r w:rsidR="00A24595" w:rsidRPr="00324B0C">
              <w:t xml:space="preserve"> </w:t>
            </w:r>
            <w:r w:rsidR="002E102A" w:rsidRPr="002E102A">
              <w:t>and</w:t>
            </w:r>
            <w:r w:rsidR="00A24595">
              <w:t xml:space="preserve"> </w:t>
            </w:r>
            <w:r w:rsidR="002E102A" w:rsidRPr="002E102A">
              <w:t>establishment of</w:t>
            </w:r>
            <w:r w:rsidR="00A24595">
              <w:t xml:space="preserve"> </w:t>
            </w:r>
            <w:r w:rsidR="002E102A" w:rsidRPr="002E102A">
              <w:t>future CCS</w:t>
            </w:r>
            <w:r w:rsidR="00A24595">
              <w:t xml:space="preserve"> </w:t>
            </w:r>
            <w:r w:rsidR="002E102A" w:rsidRPr="002E102A">
              <w:t>aggregation</w:t>
            </w:r>
            <w:r w:rsidR="00A24595">
              <w:t xml:space="preserve"> </w:t>
            </w:r>
            <w:r w:rsidR="002E102A" w:rsidRPr="002E102A">
              <w:t>hubs</w:t>
            </w:r>
            <w:r w:rsidR="00A24595">
              <w:t xml:space="preserve"> </w:t>
            </w:r>
            <w:r w:rsidR="002E102A" w:rsidRPr="002E102A">
              <w:t>and</w:t>
            </w:r>
            <w:r w:rsidR="00A24595">
              <w:t xml:space="preserve"> </w:t>
            </w:r>
            <w:r w:rsidR="002E102A" w:rsidRPr="002E102A">
              <w:t>transport</w:t>
            </w:r>
            <w:r w:rsidR="00A24595">
              <w:t xml:space="preserve"> </w:t>
            </w:r>
            <w:r w:rsidR="002E102A" w:rsidRPr="002E102A">
              <w:t>infrastructure</w:t>
            </w:r>
          </w:p>
          <w:p w14:paraId="237E7634" w14:textId="1B55EBE9" w:rsidR="002E102A" w:rsidRPr="002E102A" w:rsidRDefault="00F57938" w:rsidP="00773D96">
            <w:pPr>
              <w:numPr>
                <w:ilvl w:val="1"/>
                <w:numId w:val="43"/>
              </w:numPr>
            </w:pPr>
            <w:r>
              <w:t>a</w:t>
            </w:r>
            <w:r w:rsidR="002E102A" w:rsidRPr="002E102A">
              <w:t>ligns with government’s net zero and productivity agenda.</w:t>
            </w:r>
          </w:p>
        </w:tc>
      </w:tr>
      <w:tr w:rsidR="008239DB" w:rsidRPr="002E102A" w14:paraId="52178E47" w14:textId="77777777" w:rsidTr="003F3B19">
        <w:trPr>
          <w:trHeight w:val="300"/>
        </w:trPr>
        <w:tc>
          <w:tcPr>
            <w:tcW w:w="1693" w:type="dxa"/>
            <w:tcBorders>
              <w:top w:val="single" w:sz="6" w:space="0" w:color="auto"/>
              <w:left w:val="single" w:sz="6" w:space="0" w:color="auto"/>
              <w:bottom w:val="single" w:sz="6" w:space="0" w:color="auto"/>
              <w:right w:val="single" w:sz="6" w:space="0" w:color="auto"/>
            </w:tcBorders>
            <w:hideMark/>
          </w:tcPr>
          <w:p w14:paraId="4B542A39" w14:textId="6668DD57" w:rsidR="002E102A" w:rsidRPr="002E102A" w:rsidRDefault="002E102A" w:rsidP="0015263F">
            <w:pPr>
              <w:ind w:left="127"/>
            </w:pPr>
            <w:r w:rsidRPr="002E102A">
              <w:t>Reuse and repurposing of petroleum assets for CCS projects</w:t>
            </w:r>
          </w:p>
        </w:tc>
        <w:tc>
          <w:tcPr>
            <w:tcW w:w="6237" w:type="dxa"/>
            <w:tcBorders>
              <w:top w:val="single" w:sz="6" w:space="0" w:color="auto"/>
              <w:left w:val="single" w:sz="6" w:space="0" w:color="auto"/>
              <w:bottom w:val="single" w:sz="6" w:space="0" w:color="auto"/>
              <w:right w:val="single" w:sz="6" w:space="0" w:color="auto"/>
            </w:tcBorders>
            <w:hideMark/>
          </w:tcPr>
          <w:p w14:paraId="76E4AD49" w14:textId="7AA96B48" w:rsidR="002E102A" w:rsidRPr="002E102A" w:rsidRDefault="002E102A" w:rsidP="00532A59">
            <w:pPr>
              <w:numPr>
                <w:ilvl w:val="0"/>
                <w:numId w:val="10"/>
              </w:numPr>
            </w:pPr>
            <w:r w:rsidRPr="002E102A">
              <w:t>Under current OPGGS Act settings, regulatory gaps exist</w:t>
            </w:r>
            <w:r w:rsidR="00740969">
              <w:t xml:space="preserve"> </w:t>
            </w:r>
            <w:r w:rsidRPr="002E102A">
              <w:t>for</w:t>
            </w:r>
            <w:r w:rsidR="00740969">
              <w:t xml:space="preserve"> </w:t>
            </w:r>
            <w:r w:rsidRPr="002E102A">
              <w:t>proponents</w:t>
            </w:r>
            <w:r w:rsidR="00740969">
              <w:t xml:space="preserve"> </w:t>
            </w:r>
            <w:r w:rsidRPr="002E102A">
              <w:t>seeking</w:t>
            </w:r>
            <w:r w:rsidR="00740969">
              <w:t xml:space="preserve"> </w:t>
            </w:r>
            <w:r w:rsidRPr="002E102A">
              <w:t>to</w:t>
            </w:r>
            <w:r w:rsidR="00740969">
              <w:t xml:space="preserve"> </w:t>
            </w:r>
            <w:r w:rsidRPr="002E102A">
              <w:t>repurpose</w:t>
            </w:r>
            <w:r w:rsidR="00740969">
              <w:t xml:space="preserve"> </w:t>
            </w:r>
            <w:r w:rsidRPr="002E102A">
              <w:t>petroleum</w:t>
            </w:r>
            <w:r w:rsidR="00740969">
              <w:t xml:space="preserve"> </w:t>
            </w:r>
            <w:r w:rsidRPr="002E102A">
              <w:t>infrastructure or for its concurrent or sequential use under different titles.</w:t>
            </w:r>
          </w:p>
          <w:p w14:paraId="3DD8CEE4" w14:textId="7EE0CDB2" w:rsidR="002E102A" w:rsidRPr="002E102A" w:rsidRDefault="002E102A" w:rsidP="00532A59">
            <w:pPr>
              <w:numPr>
                <w:ilvl w:val="0"/>
                <w:numId w:val="11"/>
              </w:numPr>
            </w:pPr>
            <w:r w:rsidRPr="002E102A">
              <w:t>To address this the immediate focus</w:t>
            </w:r>
            <w:r w:rsidR="00740969">
              <w:t xml:space="preserve"> </w:t>
            </w:r>
            <w:r w:rsidRPr="002E102A">
              <w:t>is to</w:t>
            </w:r>
            <w:r w:rsidR="00740969">
              <w:t xml:space="preserve"> </w:t>
            </w:r>
            <w:r w:rsidRPr="002E102A">
              <w:t>develop</w:t>
            </w:r>
            <w:r w:rsidR="00740969">
              <w:t xml:space="preserve"> </w:t>
            </w:r>
            <w:r w:rsidRPr="002E102A">
              <w:t>guidance material to</w:t>
            </w:r>
            <w:r w:rsidR="002A708F">
              <w:t xml:space="preserve"> </w:t>
            </w:r>
            <w:r w:rsidRPr="002E102A">
              <w:t>outline steps and expectations for titleholders seeking approval to re-use or repurpose petroleum assets or infrastructure for CCS activities.</w:t>
            </w:r>
          </w:p>
          <w:p w14:paraId="4185E6F5" w14:textId="7D88306B" w:rsidR="002E102A" w:rsidRPr="002E102A" w:rsidRDefault="002E102A" w:rsidP="00532A59">
            <w:pPr>
              <w:numPr>
                <w:ilvl w:val="0"/>
                <w:numId w:val="12"/>
              </w:numPr>
            </w:pPr>
            <w:r w:rsidRPr="002E102A">
              <w:t>However, to resolve the issue with certainty it is suggested that</w:t>
            </w:r>
            <w:r w:rsidR="002A708F">
              <w:t xml:space="preserve"> </w:t>
            </w:r>
            <w:r w:rsidRPr="002E102A">
              <w:t>new</w:t>
            </w:r>
            <w:r w:rsidR="002A708F">
              <w:t xml:space="preserve"> </w:t>
            </w:r>
            <w:r w:rsidRPr="002E102A">
              <w:t>guidance</w:t>
            </w:r>
            <w:r w:rsidR="002A708F">
              <w:t xml:space="preserve"> </w:t>
            </w:r>
            <w:r w:rsidRPr="002E102A">
              <w:t>material</w:t>
            </w:r>
            <w:r w:rsidR="002A708F">
              <w:t xml:space="preserve"> </w:t>
            </w:r>
            <w:r w:rsidRPr="002E102A">
              <w:t>be complemented</w:t>
            </w:r>
            <w:r w:rsidR="002A708F">
              <w:t xml:space="preserve"> </w:t>
            </w:r>
            <w:r w:rsidRPr="002E102A">
              <w:t>with</w:t>
            </w:r>
            <w:r w:rsidR="002A708F">
              <w:t xml:space="preserve"> </w:t>
            </w:r>
            <w:r w:rsidRPr="002E102A">
              <w:t>Act</w:t>
            </w:r>
            <w:r w:rsidR="002A708F">
              <w:t xml:space="preserve"> </w:t>
            </w:r>
            <w:r w:rsidRPr="002E102A">
              <w:t>amendments to</w:t>
            </w:r>
            <w:r w:rsidR="00FE74BA">
              <w:t xml:space="preserve"> </w:t>
            </w:r>
            <w:r w:rsidRPr="002E102A">
              <w:t>clarify that maintenance and removal of property is an obligation on the titleholder.</w:t>
            </w:r>
          </w:p>
        </w:tc>
        <w:tc>
          <w:tcPr>
            <w:tcW w:w="6096" w:type="dxa"/>
            <w:tcBorders>
              <w:top w:val="single" w:sz="6" w:space="0" w:color="auto"/>
              <w:left w:val="single" w:sz="6" w:space="0" w:color="auto"/>
              <w:bottom w:val="single" w:sz="6" w:space="0" w:color="auto"/>
              <w:right w:val="single" w:sz="6" w:space="0" w:color="auto"/>
            </w:tcBorders>
            <w:hideMark/>
          </w:tcPr>
          <w:p w14:paraId="48FA0E95" w14:textId="487C8D3B" w:rsidR="002E102A" w:rsidRPr="002E102A" w:rsidRDefault="002E102A" w:rsidP="00532A59">
            <w:pPr>
              <w:numPr>
                <w:ilvl w:val="0"/>
                <w:numId w:val="13"/>
              </w:numPr>
            </w:pPr>
            <w:r w:rsidRPr="002E102A">
              <w:t>Potential for improved commercial viability of CCS projects</w:t>
            </w:r>
            <w:r w:rsidR="00612AD8">
              <w:t xml:space="preserve"> </w:t>
            </w:r>
            <w:r w:rsidRPr="002E102A">
              <w:t>if petroleum production equipment and infrastructure</w:t>
            </w:r>
            <w:r w:rsidR="00612AD8">
              <w:t xml:space="preserve"> </w:t>
            </w:r>
            <w:r w:rsidRPr="002E102A">
              <w:t>can be re-used</w:t>
            </w:r>
            <w:r w:rsidR="00612AD8">
              <w:t xml:space="preserve"> </w:t>
            </w:r>
            <w:r w:rsidRPr="002E102A">
              <w:t>for</w:t>
            </w:r>
            <w:r w:rsidR="00612AD8">
              <w:t xml:space="preserve"> </w:t>
            </w:r>
            <w:r w:rsidRPr="002E102A">
              <w:t>CO</w:t>
            </w:r>
            <w:r w:rsidRPr="002E102A">
              <w:rPr>
                <w:vertAlign w:val="subscript"/>
              </w:rPr>
              <w:t>2</w:t>
            </w:r>
            <w:r w:rsidR="00612AD8">
              <w:rPr>
                <w:vertAlign w:val="subscript"/>
              </w:rPr>
              <w:t xml:space="preserve"> </w:t>
            </w:r>
            <w:r w:rsidRPr="002E102A">
              <w:t>storage.</w:t>
            </w:r>
          </w:p>
          <w:p w14:paraId="3C0E5234" w14:textId="6CB66C1C" w:rsidR="002E102A" w:rsidRPr="002E102A" w:rsidRDefault="002E102A" w:rsidP="00532A59">
            <w:pPr>
              <w:numPr>
                <w:ilvl w:val="0"/>
                <w:numId w:val="14"/>
              </w:numPr>
            </w:pPr>
            <w:r w:rsidRPr="002E102A">
              <w:t>Aligns with government’s net zero and productivity agenda.</w:t>
            </w:r>
          </w:p>
        </w:tc>
      </w:tr>
      <w:tr w:rsidR="008239DB" w:rsidRPr="002E102A" w14:paraId="41C67168" w14:textId="77777777" w:rsidTr="003F3B19">
        <w:trPr>
          <w:trHeight w:val="300"/>
        </w:trPr>
        <w:tc>
          <w:tcPr>
            <w:tcW w:w="1693" w:type="dxa"/>
            <w:tcBorders>
              <w:top w:val="single" w:sz="6" w:space="0" w:color="auto"/>
              <w:left w:val="single" w:sz="6" w:space="0" w:color="auto"/>
              <w:bottom w:val="single" w:sz="6" w:space="0" w:color="auto"/>
              <w:right w:val="single" w:sz="6" w:space="0" w:color="auto"/>
            </w:tcBorders>
            <w:hideMark/>
          </w:tcPr>
          <w:p w14:paraId="07C8FFB9" w14:textId="4490C7B9" w:rsidR="002E102A" w:rsidRPr="002E102A" w:rsidRDefault="00FE74BA" w:rsidP="0015263F">
            <w:pPr>
              <w:ind w:left="127"/>
            </w:pPr>
            <w:r w:rsidRPr="002E102A">
              <w:t>Measurement</w:t>
            </w:r>
            <w:r>
              <w:t>,</w:t>
            </w:r>
            <w:r w:rsidRPr="002E102A">
              <w:t xml:space="preserve"> monitoring</w:t>
            </w:r>
            <w:r w:rsidR="00324B0C">
              <w:t xml:space="preserve"> </w:t>
            </w:r>
            <w:r w:rsidR="002E102A" w:rsidRPr="002E102A">
              <w:t>and verification</w:t>
            </w:r>
            <w:r w:rsidR="00324B0C">
              <w:t xml:space="preserve"> </w:t>
            </w:r>
            <w:r w:rsidR="002E102A" w:rsidRPr="002E102A">
              <w:t>(MMV)</w:t>
            </w:r>
            <w:r w:rsidR="00324B0C">
              <w:t xml:space="preserve"> </w:t>
            </w:r>
            <w:r w:rsidR="002E102A" w:rsidRPr="002E102A">
              <w:t>during injection</w:t>
            </w:r>
          </w:p>
        </w:tc>
        <w:tc>
          <w:tcPr>
            <w:tcW w:w="6237" w:type="dxa"/>
            <w:tcBorders>
              <w:top w:val="single" w:sz="6" w:space="0" w:color="auto"/>
              <w:left w:val="single" w:sz="6" w:space="0" w:color="auto"/>
              <w:bottom w:val="single" w:sz="6" w:space="0" w:color="auto"/>
              <w:right w:val="single" w:sz="6" w:space="0" w:color="auto"/>
            </w:tcBorders>
            <w:hideMark/>
          </w:tcPr>
          <w:p w14:paraId="45070CE9" w14:textId="3316C995" w:rsidR="002E102A" w:rsidRPr="002E102A" w:rsidRDefault="002E102A" w:rsidP="00532A59">
            <w:pPr>
              <w:numPr>
                <w:ilvl w:val="0"/>
                <w:numId w:val="15"/>
              </w:numPr>
            </w:pPr>
            <w:r w:rsidRPr="002E102A">
              <w:t>MMV settings</w:t>
            </w:r>
            <w:r w:rsidR="003571C5">
              <w:t xml:space="preserve"> </w:t>
            </w:r>
            <w:r w:rsidRPr="002E102A">
              <w:t>underpin the collection and provision of information on the operation of CCS projects.  </w:t>
            </w:r>
          </w:p>
          <w:p w14:paraId="3A872308" w14:textId="529831D0" w:rsidR="002E102A" w:rsidRPr="002E102A" w:rsidRDefault="002E102A" w:rsidP="00532A59">
            <w:pPr>
              <w:numPr>
                <w:ilvl w:val="0"/>
                <w:numId w:val="16"/>
              </w:numPr>
            </w:pPr>
            <w:r w:rsidRPr="002E102A">
              <w:t>This information is needed, for example, to</w:t>
            </w:r>
            <w:r w:rsidR="003571C5">
              <w:t xml:space="preserve"> </w:t>
            </w:r>
            <w:r w:rsidRPr="002E102A">
              <w:t>verify that offshore CCS projects are</w:t>
            </w:r>
            <w:r w:rsidR="00612AD8">
              <w:t xml:space="preserve"> </w:t>
            </w:r>
            <w:r w:rsidRPr="002E102A">
              <w:t>operating</w:t>
            </w:r>
            <w:r w:rsidR="00612AD8">
              <w:t xml:space="preserve"> </w:t>
            </w:r>
            <w:r w:rsidRPr="002E102A">
              <w:t>within predicted and agreed parameters</w:t>
            </w:r>
            <w:r w:rsidR="00612AD8">
              <w:t xml:space="preserve"> </w:t>
            </w:r>
            <w:r w:rsidRPr="002E102A">
              <w:t>during injection phase. </w:t>
            </w:r>
          </w:p>
          <w:p w14:paraId="6D57C252" w14:textId="78609A5E" w:rsidR="002E102A" w:rsidRPr="002E102A" w:rsidRDefault="002E102A" w:rsidP="00532A59">
            <w:pPr>
              <w:numPr>
                <w:ilvl w:val="0"/>
                <w:numId w:val="17"/>
              </w:numPr>
            </w:pPr>
            <w:r w:rsidRPr="002E102A">
              <w:t>However,</w:t>
            </w:r>
            <w:r w:rsidR="003571C5">
              <w:t xml:space="preserve"> </w:t>
            </w:r>
            <w:r w:rsidRPr="002E102A">
              <w:t>under current settings,</w:t>
            </w:r>
            <w:r w:rsidR="003571C5">
              <w:t xml:space="preserve"> </w:t>
            </w:r>
            <w:r w:rsidRPr="002E102A">
              <w:t>MMV requirements are</w:t>
            </w:r>
            <w:r w:rsidR="003571C5">
              <w:t xml:space="preserve"> </w:t>
            </w:r>
            <w:r w:rsidRPr="002E102A">
              <w:t>largely</w:t>
            </w:r>
            <w:r w:rsidR="003571C5">
              <w:t xml:space="preserve"> </w:t>
            </w:r>
            <w:r w:rsidRPr="002E102A">
              <w:t>implicit</w:t>
            </w:r>
            <w:r w:rsidR="003571C5">
              <w:t xml:space="preserve"> </w:t>
            </w:r>
            <w:r w:rsidRPr="002E102A">
              <w:t>in nature</w:t>
            </w:r>
            <w:r w:rsidR="003571C5">
              <w:t xml:space="preserve"> </w:t>
            </w:r>
            <w:r w:rsidRPr="002E102A">
              <w:t>and</w:t>
            </w:r>
            <w:r w:rsidR="003571C5">
              <w:t xml:space="preserve"> </w:t>
            </w:r>
            <w:r w:rsidRPr="002E102A">
              <w:t>there is no clear guidance on</w:t>
            </w:r>
            <w:r w:rsidR="003571C5">
              <w:t xml:space="preserve"> </w:t>
            </w:r>
            <w:r w:rsidRPr="002E102A">
              <w:t>expectations around what is acceptable and</w:t>
            </w:r>
            <w:r w:rsidR="003571C5">
              <w:t xml:space="preserve"> </w:t>
            </w:r>
            <w:r w:rsidRPr="002E102A">
              <w:t>appropriate during</w:t>
            </w:r>
            <w:r w:rsidR="003571C5">
              <w:t xml:space="preserve"> </w:t>
            </w:r>
            <w:r w:rsidRPr="002E102A">
              <w:t>the injection phase</w:t>
            </w:r>
            <w:r w:rsidR="003571C5">
              <w:t xml:space="preserve"> </w:t>
            </w:r>
            <w:r w:rsidRPr="002E102A">
              <w:t>of</w:t>
            </w:r>
            <w:r w:rsidR="003571C5">
              <w:t xml:space="preserve"> </w:t>
            </w:r>
            <w:r w:rsidRPr="002E102A">
              <w:t>a CCS</w:t>
            </w:r>
            <w:r w:rsidR="003571C5">
              <w:t xml:space="preserve"> </w:t>
            </w:r>
            <w:r w:rsidRPr="002E102A">
              <w:t>project.</w:t>
            </w:r>
          </w:p>
          <w:p w14:paraId="5AC6AA84" w14:textId="6B84437F" w:rsidR="002E102A" w:rsidRPr="002E102A" w:rsidRDefault="002E102A" w:rsidP="00532A59">
            <w:pPr>
              <w:numPr>
                <w:ilvl w:val="0"/>
                <w:numId w:val="18"/>
              </w:numPr>
            </w:pPr>
            <w:r w:rsidRPr="002E102A">
              <w:t>In addition,</w:t>
            </w:r>
            <w:r w:rsidR="003571C5">
              <w:t xml:space="preserve"> </w:t>
            </w:r>
            <w:r w:rsidRPr="002E102A">
              <w:t>there are currently no explicit requirements for the installation of metering infrastructure to collect data on the amount of CO</w:t>
            </w:r>
            <w:r w:rsidRPr="002E102A">
              <w:rPr>
                <w:vertAlign w:val="subscript"/>
              </w:rPr>
              <w:t>2</w:t>
            </w:r>
            <w:r w:rsidR="004D4692">
              <w:rPr>
                <w:vertAlign w:val="subscript"/>
              </w:rPr>
              <w:t xml:space="preserve"> </w:t>
            </w:r>
            <w:r w:rsidRPr="002E102A">
              <w:t>injected and stored.</w:t>
            </w:r>
          </w:p>
          <w:p w14:paraId="128864FE" w14:textId="53A522E7" w:rsidR="002E102A" w:rsidRPr="002E102A" w:rsidRDefault="002E102A" w:rsidP="00532A59">
            <w:pPr>
              <w:numPr>
                <w:ilvl w:val="0"/>
                <w:numId w:val="19"/>
              </w:numPr>
            </w:pPr>
            <w:r w:rsidRPr="002E102A">
              <w:t>This gap can be addressed by making</w:t>
            </w:r>
            <w:r w:rsidR="003571C5">
              <w:t xml:space="preserve"> </w:t>
            </w:r>
            <w:r w:rsidRPr="002E102A">
              <w:t>metering infrastructure</w:t>
            </w:r>
            <w:r w:rsidR="003571C5">
              <w:t xml:space="preserve"> </w:t>
            </w:r>
            <w:r w:rsidRPr="002E102A">
              <w:t>a</w:t>
            </w:r>
            <w:r w:rsidR="003571C5">
              <w:t xml:space="preserve"> </w:t>
            </w:r>
            <w:r w:rsidRPr="002E102A">
              <w:t>requirement for undertaking injection activities.</w:t>
            </w:r>
          </w:p>
        </w:tc>
        <w:tc>
          <w:tcPr>
            <w:tcW w:w="6096" w:type="dxa"/>
            <w:tcBorders>
              <w:top w:val="single" w:sz="6" w:space="0" w:color="auto"/>
              <w:left w:val="single" w:sz="6" w:space="0" w:color="auto"/>
              <w:bottom w:val="single" w:sz="6" w:space="0" w:color="auto"/>
              <w:right w:val="single" w:sz="6" w:space="0" w:color="auto"/>
            </w:tcBorders>
            <w:hideMark/>
          </w:tcPr>
          <w:p w14:paraId="1597325A" w14:textId="3B3920D4" w:rsidR="002E102A" w:rsidRPr="002E102A" w:rsidRDefault="002E102A" w:rsidP="00532A59">
            <w:pPr>
              <w:numPr>
                <w:ilvl w:val="0"/>
                <w:numId w:val="20"/>
              </w:numPr>
            </w:pPr>
            <w:r w:rsidRPr="002E102A">
              <w:t>Provide clear expectations for</w:t>
            </w:r>
            <w:r w:rsidR="00612AD8">
              <w:t xml:space="preserve"> </w:t>
            </w:r>
            <w:r w:rsidRPr="002E102A">
              <w:t>MMV requirements</w:t>
            </w:r>
            <w:r w:rsidR="00612AD8">
              <w:t xml:space="preserve"> </w:t>
            </w:r>
            <w:r w:rsidRPr="002E102A">
              <w:t>during injection.</w:t>
            </w:r>
          </w:p>
          <w:p w14:paraId="64736482" w14:textId="7323E1A8" w:rsidR="002E102A" w:rsidRPr="002E102A" w:rsidRDefault="002E102A" w:rsidP="00532A59">
            <w:pPr>
              <w:numPr>
                <w:ilvl w:val="0"/>
                <w:numId w:val="21"/>
              </w:numPr>
            </w:pPr>
            <w:r w:rsidRPr="002E102A">
              <w:t>Metering</w:t>
            </w:r>
            <w:r w:rsidR="00612AD8">
              <w:t xml:space="preserve"> </w:t>
            </w:r>
            <w:r w:rsidRPr="002E102A">
              <w:t>infrastructure requirement will enable</w:t>
            </w:r>
            <w:r w:rsidR="00612AD8">
              <w:t xml:space="preserve"> </w:t>
            </w:r>
            <w:r w:rsidRPr="002E102A">
              <w:t>accurate</w:t>
            </w:r>
            <w:r w:rsidR="00612AD8">
              <w:t xml:space="preserve"> </w:t>
            </w:r>
            <w:r w:rsidRPr="002E102A">
              <w:t>emissions reporting and</w:t>
            </w:r>
            <w:r w:rsidR="00612AD8">
              <w:t xml:space="preserve"> </w:t>
            </w:r>
            <w:r w:rsidRPr="002E102A">
              <w:t>support</w:t>
            </w:r>
            <w:r w:rsidR="00612AD8">
              <w:t xml:space="preserve"> </w:t>
            </w:r>
            <w:r w:rsidRPr="002E102A">
              <w:t>transboundary</w:t>
            </w:r>
            <w:r w:rsidR="00612AD8">
              <w:t xml:space="preserve"> </w:t>
            </w:r>
            <w:r w:rsidRPr="002E102A">
              <w:t>CO</w:t>
            </w:r>
            <w:r w:rsidRPr="002E102A">
              <w:rPr>
                <w:vertAlign w:val="subscript"/>
              </w:rPr>
              <w:t>2</w:t>
            </w:r>
            <w:r w:rsidR="00612AD8">
              <w:rPr>
                <w:vertAlign w:val="subscript"/>
              </w:rPr>
              <w:t xml:space="preserve"> </w:t>
            </w:r>
            <w:r w:rsidRPr="002E102A">
              <w:t>movement.</w:t>
            </w:r>
          </w:p>
          <w:p w14:paraId="39E3C9CF" w14:textId="645863A6" w:rsidR="002E102A" w:rsidRPr="002E102A" w:rsidRDefault="002E102A" w:rsidP="00532A59">
            <w:pPr>
              <w:numPr>
                <w:ilvl w:val="0"/>
                <w:numId w:val="22"/>
              </w:numPr>
            </w:pPr>
            <w:r w:rsidRPr="002E102A">
              <w:t>Supports</w:t>
            </w:r>
            <w:r w:rsidR="00612AD8">
              <w:t xml:space="preserve"> </w:t>
            </w:r>
            <w:r w:rsidRPr="002E102A">
              <w:t>potential future introduction of charging or taxation mechanisms. </w:t>
            </w:r>
          </w:p>
          <w:p w14:paraId="72C1EA54" w14:textId="111A49A9" w:rsidR="002E102A" w:rsidRPr="002E102A" w:rsidRDefault="002E102A" w:rsidP="00532A59">
            <w:pPr>
              <w:numPr>
                <w:ilvl w:val="0"/>
                <w:numId w:val="23"/>
              </w:numPr>
            </w:pPr>
            <w:r w:rsidRPr="002E102A">
              <w:t>Will provide baseline data for post</w:t>
            </w:r>
            <w:r w:rsidR="004D4692">
              <w:t>-</w:t>
            </w:r>
            <w:r w:rsidRPr="002E102A">
              <w:t>injection monitoring</w:t>
            </w:r>
            <w:r w:rsidR="00612AD8">
              <w:t xml:space="preserve"> </w:t>
            </w:r>
            <w:r w:rsidRPr="002E102A">
              <w:t>plans.</w:t>
            </w:r>
          </w:p>
        </w:tc>
      </w:tr>
      <w:tr w:rsidR="008239DB" w:rsidRPr="002E102A" w14:paraId="599E782A" w14:textId="77777777" w:rsidTr="003F3B19">
        <w:trPr>
          <w:trHeight w:val="300"/>
        </w:trPr>
        <w:tc>
          <w:tcPr>
            <w:tcW w:w="1693" w:type="dxa"/>
            <w:tcBorders>
              <w:top w:val="single" w:sz="6" w:space="0" w:color="auto"/>
              <w:left w:val="single" w:sz="6" w:space="0" w:color="auto"/>
              <w:bottom w:val="single" w:sz="6" w:space="0" w:color="auto"/>
              <w:right w:val="single" w:sz="6" w:space="0" w:color="auto"/>
            </w:tcBorders>
            <w:hideMark/>
          </w:tcPr>
          <w:p w14:paraId="4B4D28EF" w14:textId="5D2FAA7A" w:rsidR="002E102A" w:rsidRPr="002E102A" w:rsidRDefault="002E102A" w:rsidP="0015263F">
            <w:pPr>
              <w:ind w:left="127"/>
            </w:pPr>
            <w:r w:rsidRPr="002E102A">
              <w:t>Post-injection</w:t>
            </w:r>
            <w:r w:rsidR="0015263F">
              <w:t xml:space="preserve"> </w:t>
            </w:r>
            <w:r w:rsidRPr="002E102A">
              <w:t>measurement,</w:t>
            </w:r>
            <w:r w:rsidR="00D2157B" w:rsidRPr="002E102A">
              <w:t xml:space="preserve"> </w:t>
            </w:r>
            <w:r w:rsidRPr="002E102A">
              <w:t>monitoring</w:t>
            </w:r>
            <w:r w:rsidR="0015263F">
              <w:t xml:space="preserve"> </w:t>
            </w:r>
            <w:r w:rsidRPr="002E102A">
              <w:t>and verification (MMV)</w:t>
            </w:r>
          </w:p>
        </w:tc>
        <w:tc>
          <w:tcPr>
            <w:tcW w:w="6237" w:type="dxa"/>
            <w:tcBorders>
              <w:top w:val="single" w:sz="6" w:space="0" w:color="auto"/>
              <w:left w:val="single" w:sz="6" w:space="0" w:color="auto"/>
              <w:bottom w:val="single" w:sz="6" w:space="0" w:color="auto"/>
              <w:right w:val="single" w:sz="6" w:space="0" w:color="auto"/>
            </w:tcBorders>
            <w:hideMark/>
          </w:tcPr>
          <w:p w14:paraId="6A283B94" w14:textId="2C6BB27F" w:rsidR="002E102A" w:rsidRPr="002E102A" w:rsidRDefault="002E102A" w:rsidP="00532A59">
            <w:pPr>
              <w:numPr>
                <w:ilvl w:val="0"/>
                <w:numId w:val="24"/>
              </w:numPr>
            </w:pPr>
            <w:r w:rsidRPr="002E102A">
              <w:t>Under current settings, titleholders</w:t>
            </w:r>
            <w:r w:rsidR="00076454">
              <w:t xml:space="preserve"> </w:t>
            </w:r>
            <w:r w:rsidRPr="002E102A">
              <w:t>design and are financially responsible for a program of post-injection MMV activities once injection ceases. This</w:t>
            </w:r>
            <w:r w:rsidR="00076454">
              <w:t xml:space="preserve"> </w:t>
            </w:r>
            <w:r w:rsidRPr="002E102A">
              <w:t>MMV</w:t>
            </w:r>
            <w:r w:rsidR="00076454">
              <w:t xml:space="preserve"> </w:t>
            </w:r>
            <w:r w:rsidRPr="002E102A">
              <w:t>program is then undertaken by government.</w:t>
            </w:r>
          </w:p>
          <w:p w14:paraId="2482860B" w14:textId="48B48BCD" w:rsidR="002E102A" w:rsidRPr="002E102A" w:rsidRDefault="002E102A" w:rsidP="00532A59">
            <w:pPr>
              <w:numPr>
                <w:ilvl w:val="0"/>
                <w:numId w:val="25"/>
              </w:numPr>
            </w:pPr>
            <w:r w:rsidRPr="002E102A">
              <w:t>However, this approach introduces potential for misaligned incentives and asymmetric information. It also increases</w:t>
            </w:r>
            <w:r w:rsidR="00076454">
              <w:t xml:space="preserve"> </w:t>
            </w:r>
            <w:r w:rsidRPr="002E102A">
              <w:t>financial and operational</w:t>
            </w:r>
            <w:r w:rsidR="00076454">
              <w:t xml:space="preserve"> </w:t>
            </w:r>
            <w:r w:rsidRPr="002E102A">
              <w:t>risks for taxpayers.</w:t>
            </w:r>
          </w:p>
          <w:p w14:paraId="3E5D0F57" w14:textId="0250D5B5" w:rsidR="002E102A" w:rsidRPr="002E102A" w:rsidRDefault="002E102A" w:rsidP="00532A59">
            <w:pPr>
              <w:numPr>
                <w:ilvl w:val="0"/>
                <w:numId w:val="26"/>
              </w:numPr>
            </w:pPr>
            <w:r w:rsidRPr="002E102A">
              <w:t>Titleholders</w:t>
            </w:r>
            <w:r w:rsidR="00425252">
              <w:t xml:space="preserve"> </w:t>
            </w:r>
            <w:r w:rsidRPr="002E102A">
              <w:t>have the operational and technical capabilities and</w:t>
            </w:r>
            <w:r w:rsidR="00425252">
              <w:t xml:space="preserve"> </w:t>
            </w:r>
            <w:r w:rsidRPr="002E102A">
              <w:t>(with</w:t>
            </w:r>
            <w:r w:rsidR="00425252">
              <w:t xml:space="preserve"> </w:t>
            </w:r>
            <w:r w:rsidRPr="002E102A">
              <w:t>appropriate government</w:t>
            </w:r>
            <w:r w:rsidR="00076454">
              <w:t xml:space="preserve"> </w:t>
            </w:r>
            <w:r w:rsidRPr="002E102A">
              <w:t>oversight)</w:t>
            </w:r>
            <w:r w:rsidR="00425252">
              <w:t xml:space="preserve"> </w:t>
            </w:r>
            <w:r w:rsidRPr="002E102A">
              <w:t>are best placed to undertake post-injection monitoring</w:t>
            </w:r>
            <w:r w:rsidR="00076454">
              <w:t xml:space="preserve"> </w:t>
            </w:r>
            <w:r w:rsidRPr="002E102A">
              <w:t>due to operations experience and data collected throughout the project’s life.</w:t>
            </w:r>
          </w:p>
          <w:p w14:paraId="268C2E66" w14:textId="06740836" w:rsidR="002E102A" w:rsidRPr="002E102A" w:rsidRDefault="002E102A" w:rsidP="00532A59">
            <w:pPr>
              <w:numPr>
                <w:ilvl w:val="0"/>
                <w:numId w:val="27"/>
              </w:numPr>
            </w:pPr>
            <w:r w:rsidRPr="002E102A">
              <w:t>Proposed act amendments to ensure titleholders</w:t>
            </w:r>
            <w:r w:rsidR="00425252">
              <w:t xml:space="preserve"> </w:t>
            </w:r>
            <w:r w:rsidRPr="00773D96">
              <w:t>fund and undertake</w:t>
            </w:r>
            <w:r w:rsidR="00425252" w:rsidRPr="00773D96">
              <w:t xml:space="preserve"> </w:t>
            </w:r>
            <w:r w:rsidRPr="00E63DBD">
              <w:t>p</w:t>
            </w:r>
            <w:r w:rsidRPr="002E102A">
              <w:t>ost-injection monitoring.</w:t>
            </w:r>
          </w:p>
        </w:tc>
        <w:tc>
          <w:tcPr>
            <w:tcW w:w="6096" w:type="dxa"/>
            <w:tcBorders>
              <w:top w:val="single" w:sz="6" w:space="0" w:color="auto"/>
              <w:left w:val="single" w:sz="6" w:space="0" w:color="auto"/>
              <w:bottom w:val="single" w:sz="6" w:space="0" w:color="auto"/>
              <w:right w:val="single" w:sz="6" w:space="0" w:color="auto"/>
            </w:tcBorders>
            <w:hideMark/>
          </w:tcPr>
          <w:p w14:paraId="6ADCCE40" w14:textId="7D9ABB5C" w:rsidR="002E102A" w:rsidRPr="002E102A" w:rsidRDefault="002E102A" w:rsidP="00532A59">
            <w:pPr>
              <w:numPr>
                <w:ilvl w:val="0"/>
                <w:numId w:val="28"/>
              </w:numPr>
            </w:pPr>
            <w:r w:rsidRPr="002E102A">
              <w:t>Outlines</w:t>
            </w:r>
            <w:r w:rsidR="00AF1D58">
              <w:t xml:space="preserve"> </w:t>
            </w:r>
            <w:r w:rsidRPr="002E102A">
              <w:t>a clear</w:t>
            </w:r>
            <w:r w:rsidR="00AF1D58">
              <w:t xml:space="preserve"> </w:t>
            </w:r>
            <w:r w:rsidRPr="002E102A">
              <w:t>titleholder</w:t>
            </w:r>
            <w:r w:rsidR="00AF1D58">
              <w:t xml:space="preserve"> </w:t>
            </w:r>
            <w:r w:rsidRPr="002E102A">
              <w:t>responsibility to fund and undertake post-injection</w:t>
            </w:r>
            <w:r w:rsidR="00AF1D58">
              <w:t xml:space="preserve"> </w:t>
            </w:r>
            <w:r w:rsidRPr="002E102A">
              <w:t>MMV.</w:t>
            </w:r>
          </w:p>
          <w:p w14:paraId="33E16D3B" w14:textId="0B521A3D" w:rsidR="002E102A" w:rsidRPr="002E102A" w:rsidRDefault="002E102A" w:rsidP="00532A59">
            <w:pPr>
              <w:numPr>
                <w:ilvl w:val="0"/>
                <w:numId w:val="29"/>
              </w:numPr>
            </w:pPr>
            <w:r w:rsidRPr="002E102A">
              <w:t>Reduces operational and budget risks for government (</w:t>
            </w:r>
            <w:r w:rsidR="00583955" w:rsidRPr="002E102A">
              <w:t>e.g.</w:t>
            </w:r>
            <w:r w:rsidRPr="002E102A">
              <w:t>, where cost of MMV exceeds available funding).</w:t>
            </w:r>
          </w:p>
          <w:p w14:paraId="6A282D33" w14:textId="1D6CFB3C" w:rsidR="002E102A" w:rsidRPr="002E102A" w:rsidRDefault="002E102A" w:rsidP="00532A59">
            <w:pPr>
              <w:numPr>
                <w:ilvl w:val="0"/>
                <w:numId w:val="30"/>
              </w:numPr>
            </w:pPr>
            <w:r w:rsidRPr="002E102A">
              <w:t>Strengthens incentives for titleholders to appropriately manage and</w:t>
            </w:r>
            <w:r w:rsidR="00AF1D58">
              <w:t xml:space="preserve"> </w:t>
            </w:r>
            <w:r w:rsidRPr="002E102A">
              <w:t>monitor</w:t>
            </w:r>
            <w:r w:rsidR="00AF1D58">
              <w:t xml:space="preserve"> </w:t>
            </w:r>
            <w:r w:rsidRPr="002E102A">
              <w:t>risks.</w:t>
            </w:r>
          </w:p>
          <w:p w14:paraId="225AE348" w14:textId="78EEE597" w:rsidR="002E102A" w:rsidRPr="002E102A" w:rsidRDefault="002E102A" w:rsidP="00532A59">
            <w:pPr>
              <w:numPr>
                <w:ilvl w:val="0"/>
                <w:numId w:val="31"/>
              </w:numPr>
            </w:pPr>
            <w:r w:rsidRPr="002E102A">
              <w:t>Reduces potential information asymmetries between titleholder/operator and regulator.</w:t>
            </w:r>
          </w:p>
          <w:p w14:paraId="13CE0E43" w14:textId="07B95679" w:rsidR="002E102A" w:rsidRPr="002E102A" w:rsidRDefault="002E102A" w:rsidP="00532A59">
            <w:pPr>
              <w:numPr>
                <w:ilvl w:val="0"/>
                <w:numId w:val="32"/>
              </w:numPr>
            </w:pPr>
            <w:r w:rsidRPr="002E102A">
              <w:t>Consistent with a</w:t>
            </w:r>
            <w:r w:rsidR="00AF1D58">
              <w:t xml:space="preserve"> </w:t>
            </w:r>
            <w:r w:rsidRPr="002E102A">
              <w:t>CCS</w:t>
            </w:r>
            <w:r w:rsidR="00AF1D58">
              <w:t xml:space="preserve"> </w:t>
            </w:r>
            <w:r w:rsidRPr="002E102A">
              <w:t>industry</w:t>
            </w:r>
            <w:r w:rsidR="00AF1D58">
              <w:t xml:space="preserve"> </w:t>
            </w:r>
            <w:r w:rsidRPr="002E102A">
              <w:t>operating</w:t>
            </w:r>
            <w:r w:rsidR="00AF1D58">
              <w:t xml:space="preserve"> </w:t>
            </w:r>
            <w:r w:rsidRPr="002E102A">
              <w:t>at scale. </w:t>
            </w:r>
          </w:p>
          <w:p w14:paraId="6305D04B" w14:textId="152B4FDD" w:rsidR="002E102A" w:rsidRPr="002E102A" w:rsidRDefault="002E102A" w:rsidP="00532A59">
            <w:pPr>
              <w:numPr>
                <w:ilvl w:val="0"/>
                <w:numId w:val="33"/>
              </w:numPr>
            </w:pPr>
            <w:r w:rsidRPr="002E102A">
              <w:t>Consistent with operational capabilities</w:t>
            </w:r>
            <w:r w:rsidR="00AF1D58">
              <w:t xml:space="preserve"> </w:t>
            </w:r>
            <w:r w:rsidRPr="002E102A">
              <w:t>and experience</w:t>
            </w:r>
            <w:r w:rsidR="00AF1D58">
              <w:t xml:space="preserve"> </w:t>
            </w:r>
            <w:r w:rsidRPr="002E102A">
              <w:t>of titleholders.</w:t>
            </w:r>
          </w:p>
        </w:tc>
      </w:tr>
      <w:tr w:rsidR="008239DB" w:rsidRPr="002E102A" w14:paraId="737D3BA8" w14:textId="77777777" w:rsidTr="003F3B19">
        <w:trPr>
          <w:trHeight w:val="300"/>
        </w:trPr>
        <w:tc>
          <w:tcPr>
            <w:tcW w:w="1693" w:type="dxa"/>
            <w:tcBorders>
              <w:top w:val="single" w:sz="6" w:space="0" w:color="auto"/>
              <w:left w:val="single" w:sz="6" w:space="0" w:color="auto"/>
              <w:bottom w:val="single" w:sz="6" w:space="0" w:color="auto"/>
              <w:right w:val="single" w:sz="6" w:space="0" w:color="auto"/>
            </w:tcBorders>
            <w:hideMark/>
          </w:tcPr>
          <w:p w14:paraId="5E44CFD7" w14:textId="53A826A4" w:rsidR="002E102A" w:rsidRPr="002E102A" w:rsidRDefault="002E102A" w:rsidP="0015263F">
            <w:pPr>
              <w:ind w:left="127"/>
            </w:pPr>
            <w:r w:rsidRPr="002E102A">
              <w:t>Technical and administrative OPGGS Act amendments</w:t>
            </w:r>
          </w:p>
        </w:tc>
        <w:tc>
          <w:tcPr>
            <w:tcW w:w="6237" w:type="dxa"/>
            <w:tcBorders>
              <w:top w:val="single" w:sz="6" w:space="0" w:color="auto"/>
              <w:left w:val="single" w:sz="6" w:space="0" w:color="auto"/>
              <w:bottom w:val="single" w:sz="6" w:space="0" w:color="auto"/>
              <w:right w:val="single" w:sz="6" w:space="0" w:color="auto"/>
            </w:tcBorders>
            <w:hideMark/>
          </w:tcPr>
          <w:p w14:paraId="10E650DC" w14:textId="77777777" w:rsidR="002E102A" w:rsidRPr="002E102A" w:rsidRDefault="002E102A" w:rsidP="00532A59">
            <w:pPr>
              <w:numPr>
                <w:ilvl w:val="0"/>
                <w:numId w:val="34"/>
              </w:numPr>
            </w:pPr>
            <w:r w:rsidRPr="002E102A">
              <w:t>Suite of minor technical amendments to the OPGGS Act and the Greenhouse Gas Regulations. </w:t>
            </w:r>
          </w:p>
          <w:p w14:paraId="6EB8D505" w14:textId="62F28AC2" w:rsidR="002E102A" w:rsidRPr="002E102A" w:rsidRDefault="002E102A" w:rsidP="00532A59">
            <w:pPr>
              <w:numPr>
                <w:ilvl w:val="0"/>
                <w:numId w:val="35"/>
              </w:numPr>
            </w:pPr>
            <w:r w:rsidRPr="002E102A">
              <w:t>Examples of potential</w:t>
            </w:r>
            <w:r w:rsidR="00425252">
              <w:t xml:space="preserve"> </w:t>
            </w:r>
            <w:r w:rsidRPr="002E102A">
              <w:t>amendments</w:t>
            </w:r>
            <w:r w:rsidR="00425252">
              <w:t xml:space="preserve"> </w:t>
            </w:r>
            <w:r w:rsidRPr="002E102A">
              <w:t>that could be covered</w:t>
            </w:r>
            <w:r w:rsidR="00425252">
              <w:t xml:space="preserve"> </w:t>
            </w:r>
            <w:r w:rsidRPr="002E102A">
              <w:t>under</w:t>
            </w:r>
            <w:r w:rsidR="00425252">
              <w:t xml:space="preserve"> </w:t>
            </w:r>
            <w:r w:rsidRPr="002E102A">
              <w:t>this</w:t>
            </w:r>
            <w:r w:rsidR="00425252">
              <w:t xml:space="preserve"> </w:t>
            </w:r>
            <w:r w:rsidRPr="002E102A">
              <w:t>opportunity</w:t>
            </w:r>
            <w:r w:rsidR="00425252">
              <w:t xml:space="preserve"> </w:t>
            </w:r>
            <w:r w:rsidRPr="002E102A">
              <w:t>include:</w:t>
            </w:r>
          </w:p>
          <w:p w14:paraId="43D11D7F" w14:textId="0927B544" w:rsidR="002E102A" w:rsidRPr="002E102A" w:rsidRDefault="00BF12E4" w:rsidP="00532A59">
            <w:pPr>
              <w:numPr>
                <w:ilvl w:val="1"/>
                <w:numId w:val="8"/>
              </w:numPr>
              <w:tabs>
                <w:tab w:val="clear" w:pos="1440"/>
                <w:tab w:val="num" w:pos="715"/>
              </w:tabs>
              <w:ind w:left="1140" w:hanging="425"/>
            </w:pPr>
            <w:r>
              <w:t>a</w:t>
            </w:r>
            <w:r w:rsidR="002E102A" w:rsidRPr="002E102A">
              <w:t>ligning decision making for CCS with petroleum</w:t>
            </w:r>
            <w:r w:rsidR="00425252">
              <w:t xml:space="preserve"> </w:t>
            </w:r>
            <w:r w:rsidR="002E102A" w:rsidRPr="002E102A">
              <w:t>where possible</w:t>
            </w:r>
          </w:p>
          <w:p w14:paraId="48657491" w14:textId="37C84459" w:rsidR="002E102A" w:rsidRPr="002E102A" w:rsidRDefault="00BF12E4" w:rsidP="00532A59">
            <w:pPr>
              <w:numPr>
                <w:ilvl w:val="1"/>
                <w:numId w:val="8"/>
              </w:numPr>
              <w:tabs>
                <w:tab w:val="clear" w:pos="1440"/>
                <w:tab w:val="num" w:pos="715"/>
              </w:tabs>
              <w:ind w:left="1140" w:hanging="425"/>
            </w:pPr>
            <w:r>
              <w:t>a</w:t>
            </w:r>
            <w:r w:rsidR="002E102A" w:rsidRPr="002E102A">
              <w:t>mending</w:t>
            </w:r>
            <w:r w:rsidR="00425252">
              <w:t xml:space="preserve"> </w:t>
            </w:r>
            <w:r w:rsidR="002E102A" w:rsidRPr="002E102A">
              <w:t>the</w:t>
            </w:r>
            <w:r w:rsidR="00425252">
              <w:t xml:space="preserve"> </w:t>
            </w:r>
            <w:r w:rsidR="002E102A" w:rsidRPr="002E102A">
              <w:t>definition of ‘key greenhouse operations’ as it is broad and includes activities that may not have a significant adverse impact on petroleum activities (</w:t>
            </w:r>
            <w:r w:rsidRPr="002E102A">
              <w:t>e.g.</w:t>
            </w:r>
            <w:r w:rsidR="002E102A" w:rsidRPr="002E102A">
              <w:t>, seismic surveys,</w:t>
            </w:r>
            <w:r w:rsidR="00425252">
              <w:t xml:space="preserve"> </w:t>
            </w:r>
            <w:r w:rsidR="002E102A" w:rsidRPr="002E102A">
              <w:t>sampling</w:t>
            </w:r>
            <w:r w:rsidR="00425252">
              <w:t xml:space="preserve"> </w:t>
            </w:r>
            <w:r w:rsidR="002E102A" w:rsidRPr="002E102A">
              <w:t>and monitoring)</w:t>
            </w:r>
          </w:p>
          <w:p w14:paraId="7735B9EF" w14:textId="59AA5C29" w:rsidR="002E102A" w:rsidRPr="002E102A" w:rsidRDefault="00BF12E4" w:rsidP="00532A59">
            <w:pPr>
              <w:numPr>
                <w:ilvl w:val="1"/>
                <w:numId w:val="8"/>
              </w:numPr>
              <w:tabs>
                <w:tab w:val="clear" w:pos="1440"/>
                <w:tab w:val="num" w:pos="715"/>
              </w:tabs>
              <w:ind w:left="1140" w:hanging="425"/>
            </w:pPr>
            <w:r>
              <w:t>a</w:t>
            </w:r>
            <w:r w:rsidR="002E102A" w:rsidRPr="002E102A">
              <w:t>ddressing gaps in CCS penalties</w:t>
            </w:r>
            <w:r w:rsidR="00425252">
              <w:t xml:space="preserve"> </w:t>
            </w:r>
            <w:r w:rsidR="002E102A" w:rsidRPr="002E102A">
              <w:t>provisions (</w:t>
            </w:r>
            <w:r w:rsidRPr="002E102A">
              <w:t>e.g.</w:t>
            </w:r>
            <w:r w:rsidR="002E102A" w:rsidRPr="002E102A">
              <w:t>, there is a penalty for</w:t>
            </w:r>
            <w:r w:rsidR="00324B0C">
              <w:t xml:space="preserve"> </w:t>
            </w:r>
            <w:r w:rsidR="002E102A" w:rsidRPr="002E102A">
              <w:t>CO</w:t>
            </w:r>
            <w:r w:rsidR="002E102A" w:rsidRPr="00324B0C">
              <w:rPr>
                <w:vertAlign w:val="subscript"/>
              </w:rPr>
              <w:t>2</w:t>
            </w:r>
            <w:r w:rsidR="00324B0C">
              <w:rPr>
                <w:vertAlign w:val="subscript"/>
              </w:rPr>
              <w:t xml:space="preserve"> </w:t>
            </w:r>
            <w:r w:rsidR="002E102A" w:rsidRPr="002E102A">
              <w:t>leakage but not for hydrocarbon leaks</w:t>
            </w:r>
            <w:r w:rsidR="00324B0C">
              <w:t xml:space="preserve"> </w:t>
            </w:r>
            <w:r w:rsidR="002E102A" w:rsidRPr="002E102A">
              <w:t>caused by</w:t>
            </w:r>
            <w:r w:rsidR="00324B0C">
              <w:t xml:space="preserve"> </w:t>
            </w:r>
            <w:r w:rsidR="002E102A" w:rsidRPr="002E102A">
              <w:t>CO</w:t>
            </w:r>
            <w:r w:rsidR="002E102A" w:rsidRPr="00324B0C">
              <w:rPr>
                <w:vertAlign w:val="subscript"/>
              </w:rPr>
              <w:t>2</w:t>
            </w:r>
            <w:r w:rsidR="00324B0C">
              <w:t xml:space="preserve"> </w:t>
            </w:r>
            <w:r w:rsidR="002E102A" w:rsidRPr="002E102A">
              <w:t>injection).</w:t>
            </w:r>
          </w:p>
        </w:tc>
        <w:tc>
          <w:tcPr>
            <w:tcW w:w="6096" w:type="dxa"/>
            <w:tcBorders>
              <w:top w:val="single" w:sz="6" w:space="0" w:color="auto"/>
              <w:left w:val="single" w:sz="6" w:space="0" w:color="auto"/>
              <w:bottom w:val="single" w:sz="6" w:space="0" w:color="auto"/>
              <w:right w:val="single" w:sz="6" w:space="0" w:color="auto"/>
            </w:tcBorders>
            <w:hideMark/>
          </w:tcPr>
          <w:p w14:paraId="632B0F2A" w14:textId="77777777" w:rsidR="002E102A" w:rsidRPr="002E102A" w:rsidRDefault="002E102A" w:rsidP="00532A59">
            <w:pPr>
              <w:numPr>
                <w:ilvl w:val="0"/>
                <w:numId w:val="36"/>
              </w:numPr>
            </w:pPr>
            <w:r w:rsidRPr="002E102A">
              <w:t>Improve regulatory efficiency and administration. </w:t>
            </w:r>
          </w:p>
          <w:p w14:paraId="05F1BC84" w14:textId="77777777" w:rsidR="002E102A" w:rsidRPr="002E102A" w:rsidRDefault="002E102A" w:rsidP="00532A59">
            <w:pPr>
              <w:numPr>
                <w:ilvl w:val="0"/>
                <w:numId w:val="37"/>
              </w:numPr>
            </w:pPr>
            <w:r w:rsidRPr="002E102A">
              <w:t>Create more efficient and effective decision-making pathways. </w:t>
            </w:r>
          </w:p>
          <w:p w14:paraId="25D9C9E7" w14:textId="4C3AD692" w:rsidR="002E102A" w:rsidRPr="002E102A" w:rsidRDefault="002E102A" w:rsidP="00532A59">
            <w:pPr>
              <w:numPr>
                <w:ilvl w:val="0"/>
                <w:numId w:val="38"/>
              </w:numPr>
            </w:pPr>
            <w:r w:rsidRPr="002E102A">
              <w:t>Align</w:t>
            </w:r>
            <w:r w:rsidR="00425252">
              <w:t xml:space="preserve"> </w:t>
            </w:r>
            <w:r w:rsidRPr="002E102A">
              <w:t>petroleum and</w:t>
            </w:r>
            <w:r w:rsidR="00425252">
              <w:t xml:space="preserve"> </w:t>
            </w:r>
            <w:r w:rsidRPr="002E102A">
              <w:t>greenhouse gas</w:t>
            </w:r>
            <w:r w:rsidR="00425252">
              <w:t xml:space="preserve"> </w:t>
            </w:r>
            <w:r w:rsidRPr="002E102A">
              <w:t>areas where it makes sense to do so.</w:t>
            </w:r>
          </w:p>
        </w:tc>
      </w:tr>
      <w:bookmarkEnd w:id="3"/>
      <w:bookmarkEnd w:id="4"/>
      <w:bookmarkEnd w:id="5"/>
      <w:bookmarkEnd w:id="6"/>
    </w:tbl>
    <w:p w14:paraId="3D577D47" w14:textId="3BFD285C" w:rsidR="00C27CB3" w:rsidRDefault="00C27CB3" w:rsidP="005C129C">
      <w:pPr>
        <w:tabs>
          <w:tab w:val="left" w:pos="7117"/>
        </w:tabs>
      </w:pPr>
    </w:p>
    <w:sectPr w:rsidR="00C27CB3" w:rsidSect="00621190">
      <w:pgSz w:w="16838" w:h="11906" w:orient="landscape" w:code="9"/>
      <w:pgMar w:top="1440" w:right="1276" w:bottom="1440" w:left="1440"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47D7F" w14:textId="77777777" w:rsidR="00682CF4" w:rsidRDefault="00682CF4" w:rsidP="00B251DB">
      <w:pPr>
        <w:spacing w:after="0"/>
      </w:pPr>
      <w:r>
        <w:separator/>
      </w:r>
    </w:p>
  </w:endnote>
  <w:endnote w:type="continuationSeparator" w:id="0">
    <w:p w14:paraId="031D6392" w14:textId="77777777" w:rsidR="00682CF4" w:rsidRDefault="00682CF4" w:rsidP="00B251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4FBCC" w14:textId="77777777" w:rsidR="00335C23" w:rsidRDefault="006A092C">
    <w:pPr>
      <w:pStyle w:val="Footer"/>
    </w:pPr>
    <w:r>
      <w:rPr>
        <w:noProof/>
      </w:rPr>
      <mc:AlternateContent>
        <mc:Choice Requires="wps">
          <w:drawing>
            <wp:anchor distT="0" distB="0" distL="0" distR="0" simplePos="0" relativeHeight="251658246" behindDoc="0" locked="0" layoutInCell="1" allowOverlap="1" wp14:anchorId="182AB57C" wp14:editId="39811D28">
              <wp:simplePos x="635" y="635"/>
              <wp:positionH relativeFrom="page">
                <wp:align>center</wp:align>
              </wp:positionH>
              <wp:positionV relativeFrom="page">
                <wp:align>bottom</wp:align>
              </wp:positionV>
              <wp:extent cx="551815" cy="452755"/>
              <wp:effectExtent l="0" t="0" r="635" b="0"/>
              <wp:wrapNone/>
              <wp:docPr id="38695223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82406D1"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2AB57C" id="_x0000_t202" coordsize="21600,21600" o:spt="202" path="m,l,21600r21600,l21600,xe">
              <v:stroke joinstyle="miter"/>
              <v:path gradientshapeok="t" o:connecttype="rect"/>
            </v:shapetype>
            <v:shape id="Text Box 5" o:spid="_x0000_s1027" type="#_x0000_t202" alt="OFFICIAL" style="position:absolute;margin-left:0;margin-top:0;width:43.45pt;height:35.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682406D1"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FC95F" w14:textId="743FFCF1" w:rsidR="00CD36CB" w:rsidRPr="00F277D1" w:rsidRDefault="00682CF4" w:rsidP="009D2329">
    <w:pPr>
      <w:pStyle w:val="Footer"/>
    </w:pPr>
    <w:sdt>
      <w:sdtPr>
        <w:alias w:val="Title"/>
        <w:tag w:val=""/>
        <w:id w:val="-1005120900"/>
        <w:dataBinding w:prefixMappings="xmlns:ns0='http://purl.org/dc/elements/1.1/' xmlns:ns1='http://schemas.openxmlformats.org/package/2006/metadata/core-properties' " w:xpath="/ns1:coreProperties[1]/ns0:title[1]" w:storeItemID="{6C3C8BC8-F283-45AE-878A-BAB7291924A1}"/>
        <w:text/>
      </w:sdtPr>
      <w:sdtEndPr/>
      <w:sdtContent>
        <w:r w:rsidR="004A0D46">
          <w:t xml:space="preserve">Offshore carbon capture and storage (CCS) review </w:t>
        </w:r>
      </w:sdtContent>
    </w:sdt>
  </w:p>
  <w:p w14:paraId="355CEBD9" w14:textId="562A933E" w:rsidR="00194586" w:rsidRPr="00CD36CB" w:rsidRDefault="00CD36CB" w:rsidP="00CD36CB">
    <w:pPr>
      <w:pStyle w:val="Footer"/>
    </w:pPr>
    <w:r w:rsidRPr="00F277D1">
      <w:rPr>
        <w:b/>
        <w:bCs/>
        <w:color w:val="0766A5" w:themeColor="accent1"/>
      </w:rPr>
      <w:t xml:space="preserve">| </w:t>
    </w:r>
    <w:r w:rsidRPr="00F277D1">
      <w:rPr>
        <w:b/>
        <w:bCs/>
      </w:rPr>
      <w:t>industry</w:t>
    </w:r>
    <w:r w:rsidRPr="007741CC">
      <w:t>.</w:t>
    </w:r>
    <w:r w:rsidRPr="00F277D1">
      <w:t>gov.au/</w:t>
    </w:r>
    <w:r w:rsidRPr="00F277D1">
      <w:tab/>
    </w:r>
    <w:r>
      <w:tab/>
    </w:r>
    <w:sdt>
      <w:sdtPr>
        <w:id w:val="-1044901746"/>
        <w:docPartObj>
          <w:docPartGallery w:val="Page Numbers (Bottom of Page)"/>
          <w:docPartUnique/>
        </w:docPartObj>
      </w:sdtPr>
      <w:sdtEndPr/>
      <w:sdtContent>
        <w:r w:rsidRPr="00F277D1">
          <w:fldChar w:fldCharType="begin"/>
        </w:r>
        <w:r w:rsidRPr="00F277D1">
          <w:instrText xml:space="preserve"> PAGE   \* MERGEFORMAT </w:instrText>
        </w:r>
        <w:r w:rsidRPr="00F277D1">
          <w:fldChar w:fldCharType="separate"/>
        </w:r>
        <w:r>
          <w:t>ii</w:t>
        </w:r>
        <w:r w:rsidRPr="00F277D1">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3793B" w14:textId="17E051B1" w:rsidR="004A7856" w:rsidRPr="006A092C" w:rsidRDefault="00682CF4" w:rsidP="006A092C">
    <w:pPr>
      <w:pStyle w:val="Footer"/>
    </w:pP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EndPr/>
      <w:sdtContent>
        <w:r w:rsidR="004A0D46">
          <w:t xml:space="preserve">Offshore carbon capture and storage (CCS) review </w:t>
        </w:r>
      </w:sdtContent>
    </w:sdt>
  </w:p>
  <w:p w14:paraId="488EACA4" w14:textId="26C2223D" w:rsidR="00194586" w:rsidRPr="006A092C" w:rsidRDefault="004A7856" w:rsidP="006A092C">
    <w:pPr>
      <w:pStyle w:val="Footer"/>
    </w:pPr>
    <w:r w:rsidRPr="00BF6930">
      <w:rPr>
        <w:b/>
        <w:bCs/>
        <w:color w:val="0766A5" w:themeColor="accent1"/>
      </w:rPr>
      <w:t xml:space="preserve">| </w:t>
    </w:r>
    <w:r w:rsidRPr="006A092C">
      <w:rPr>
        <w:rStyle w:val="Strong"/>
      </w:rPr>
      <w:t>industry</w:t>
    </w:r>
    <w:r w:rsidRPr="006A092C">
      <w:t>.gov.au/</w:t>
    </w:r>
    <w:r w:rsidRPr="006A092C">
      <w:tab/>
    </w:r>
    <w:r w:rsidR="00CD36CB" w:rsidRPr="006A092C">
      <w:tab/>
    </w:r>
    <w:sdt>
      <w:sdtPr>
        <w:id w:val="1655647692"/>
        <w:docPartObj>
          <w:docPartGallery w:val="Page Numbers (Bottom of Page)"/>
          <w:docPartUnique/>
        </w:docPartObj>
      </w:sdtPr>
      <w:sdtEndPr/>
      <w:sdtContent>
        <w:r w:rsidRPr="006A092C">
          <w:fldChar w:fldCharType="begin"/>
        </w:r>
        <w:r w:rsidRPr="006A092C">
          <w:instrText xml:space="preserve"> PAGE   \* MERGEFORMAT </w:instrText>
        </w:r>
        <w:r w:rsidRPr="006A092C">
          <w:fldChar w:fldCharType="separate"/>
        </w:r>
        <w:r w:rsidRPr="006A092C">
          <w:t>1</w:t>
        </w:r>
        <w:r w:rsidRPr="006A092C">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0379C" w14:textId="77777777" w:rsidR="00682CF4" w:rsidRDefault="00682CF4" w:rsidP="00B251DB">
      <w:pPr>
        <w:spacing w:after="0"/>
      </w:pPr>
      <w:r>
        <w:separator/>
      </w:r>
    </w:p>
  </w:footnote>
  <w:footnote w:type="continuationSeparator" w:id="0">
    <w:p w14:paraId="5D695B2C" w14:textId="77777777" w:rsidR="00682CF4" w:rsidRDefault="00682CF4" w:rsidP="00B251DB">
      <w:pPr>
        <w:spacing w:after="0"/>
      </w:pPr>
      <w:r>
        <w:continuationSeparator/>
      </w:r>
    </w:p>
  </w:footnote>
  <w:footnote w:id="1">
    <w:p w14:paraId="6D031556" w14:textId="58091D7F" w:rsidR="005C21E7" w:rsidRPr="00E67847" w:rsidRDefault="005C21E7" w:rsidP="00E67847">
      <w:pPr>
        <w:pStyle w:val="FootnoteText"/>
        <w:rPr>
          <w:i/>
          <w:iCs/>
        </w:rPr>
      </w:pPr>
      <w:r w:rsidRPr="00E67847">
        <w:rPr>
          <w:rStyle w:val="FootnoteReference"/>
          <w:i/>
          <w:iCs/>
        </w:rPr>
        <w:footnoteRef/>
      </w:r>
      <w:r w:rsidR="008011F2">
        <w:rPr>
          <w:i/>
          <w:iCs/>
        </w:rPr>
        <w:t>The</w:t>
      </w:r>
      <w:r w:rsidRPr="00E67847">
        <w:rPr>
          <w:i/>
          <w:iCs/>
        </w:rPr>
        <w:t xml:space="preserve"> Global CCS Institute </w:t>
      </w:r>
      <w:r w:rsidR="005430EB">
        <w:rPr>
          <w:i/>
          <w:iCs/>
        </w:rPr>
        <w:t>2025</w:t>
      </w:r>
      <w:r w:rsidRPr="00E67847">
        <w:rPr>
          <w:i/>
          <w:iCs/>
        </w:rPr>
        <w:t xml:space="preserve"> report</w:t>
      </w:r>
      <w:r w:rsidR="008011F2">
        <w:rPr>
          <w:i/>
          <w:iCs/>
        </w:rPr>
        <w:t>s</w:t>
      </w:r>
      <w:r w:rsidRPr="00E67847">
        <w:rPr>
          <w:i/>
          <w:iCs/>
        </w:rPr>
        <w:t xml:space="preserve"> that there were 77 CCS facilities operating worldwide in 2025, compared to 50 in 2024</w:t>
      </w:r>
      <w:r w:rsidR="008011F2">
        <w:rPr>
          <w:i/>
          <w:iCs/>
        </w:rPr>
        <w:t xml:space="preserve"> and </w:t>
      </w:r>
      <w:r w:rsidRPr="00E67847">
        <w:rPr>
          <w:i/>
          <w:iCs/>
        </w:rPr>
        <w:t xml:space="preserve">a further 734 CCS facilities in the development pipeline. </w:t>
      </w:r>
      <w:hyperlink r:id="rId1" w:history="1">
        <w:r w:rsidR="00513371" w:rsidRPr="00CE7676">
          <w:rPr>
            <w:rStyle w:val="Hyperlink"/>
            <w:i/>
            <w:iCs/>
          </w:rPr>
          <w:t>https://www.globalccsinstitute.com/resources/global-status-report/</w:t>
        </w:r>
      </w:hyperlink>
      <w:r w:rsidR="00513371">
        <w:rPr>
          <w:i/>
          <w:iCs/>
        </w:rPr>
        <w:t xml:space="preserve"> </w:t>
      </w:r>
    </w:p>
    <w:p w14:paraId="2A567E3A" w14:textId="7A726F6F" w:rsidR="005C21E7" w:rsidRDefault="005C21E7" w:rsidP="00A1002D">
      <w:pPr>
        <w:pStyle w:val="FootnoteText"/>
        <w:rPr>
          <w:i/>
          <w:iCs/>
        </w:rPr>
      </w:pPr>
      <w:r w:rsidRPr="00E67847">
        <w:rPr>
          <w:i/>
          <w:iCs/>
        </w:rPr>
        <w:t>According to I</w:t>
      </w:r>
      <w:r w:rsidR="0038204B">
        <w:rPr>
          <w:i/>
          <w:iCs/>
        </w:rPr>
        <w:t>nternational Energy Agency’s (IEA)</w:t>
      </w:r>
      <w:r w:rsidRPr="00E67847">
        <w:rPr>
          <w:i/>
          <w:iCs/>
        </w:rPr>
        <w:t xml:space="preserve"> 2026 CCS project database, 86 projects are now operational with 884 projects either planned or under construction.</w:t>
      </w:r>
      <w:r w:rsidR="008011F2">
        <w:rPr>
          <w:i/>
          <w:iCs/>
        </w:rPr>
        <w:t xml:space="preserve"> </w:t>
      </w:r>
      <w:hyperlink r:id="rId2" w:history="1">
        <w:r w:rsidR="008011F2" w:rsidRPr="00CE7676">
          <w:rPr>
            <w:rStyle w:val="Hyperlink"/>
            <w:i/>
            <w:iCs/>
          </w:rPr>
          <w:t>https://www.iea.org/data-and-statistics/data-product/ccus-projects-database</w:t>
        </w:r>
      </w:hyperlink>
    </w:p>
    <w:p w14:paraId="5A3086C2" w14:textId="519B9096" w:rsidR="005C21E7" w:rsidRPr="00E67847" w:rsidRDefault="00EF1300" w:rsidP="001A5385">
      <w:pPr>
        <w:pStyle w:val="FootnoteText"/>
        <w:rPr>
          <w:i/>
          <w:iCs/>
        </w:rPr>
      </w:pPr>
      <w:r>
        <w:rPr>
          <w:i/>
          <w:iCs/>
        </w:rPr>
        <w:t xml:space="preserve">Note: </w:t>
      </w:r>
      <w:r w:rsidR="001A5385" w:rsidRPr="001A5385">
        <w:rPr>
          <w:i/>
          <w:iCs/>
        </w:rPr>
        <w:t>The IEA only includes facilities with capacity of more than 100,000 tonnes/year (or 1000 tonnes/year for direct air capture facilities). GCCSI includes all facilities where CO</w:t>
      </w:r>
      <w:r w:rsidR="001A5385" w:rsidRPr="00E67847">
        <w:rPr>
          <w:i/>
          <w:iCs/>
          <w:vertAlign w:val="subscript"/>
        </w:rPr>
        <w:t>2</w:t>
      </w:r>
      <w:r w:rsidR="001A5385" w:rsidRPr="001A5385">
        <w:rPr>
          <w:i/>
          <w:iCs/>
        </w:rPr>
        <w:t xml:space="preserve"> is captured and transported for permanent storage as part of an ongoing commercial operation</w:t>
      </w:r>
      <w:r w:rsidR="00230775">
        <w:rPr>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CD3A" w14:textId="77777777" w:rsidR="00335C23" w:rsidRDefault="006A092C">
    <w:pPr>
      <w:pStyle w:val="Header"/>
    </w:pPr>
    <w:r>
      <w:rPr>
        <w:noProof/>
      </w:rPr>
      <mc:AlternateContent>
        <mc:Choice Requires="wps">
          <w:drawing>
            <wp:anchor distT="0" distB="0" distL="0" distR="0" simplePos="0" relativeHeight="251658243" behindDoc="0" locked="0" layoutInCell="1" allowOverlap="1" wp14:anchorId="1EE5CC34" wp14:editId="70D7BA35">
              <wp:simplePos x="635" y="635"/>
              <wp:positionH relativeFrom="page">
                <wp:align>center</wp:align>
              </wp:positionH>
              <wp:positionV relativeFrom="page">
                <wp:align>top</wp:align>
              </wp:positionV>
              <wp:extent cx="551815" cy="452755"/>
              <wp:effectExtent l="0" t="0" r="635" b="4445"/>
              <wp:wrapNone/>
              <wp:docPr id="18052281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35D09DD"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E5CC34" id="_x0000_t202" coordsize="21600,21600" o:spt="202" path="m,l,21600r21600,l21600,xe">
              <v:stroke joinstyle="miter"/>
              <v:path gradientshapeok="t" o:connecttype="rect"/>
            </v:shapetype>
            <v:shape id="Text Box 2" o:spid="_x0000_s1026"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435D09DD"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39DC" w14:textId="08F1525B" w:rsidR="00194586" w:rsidRPr="00CD36CB" w:rsidRDefault="00CD36CB" w:rsidP="00CD36CB">
    <w:pPr>
      <w:pStyle w:val="Header"/>
      <w:rPr>
        <w:noProof/>
      </w:rPr>
    </w:pPr>
    <w:r w:rsidRPr="00F277D1">
      <w:rPr>
        <w:noProof/>
      </w:rPr>
      <mc:AlternateContent>
        <mc:Choice Requires="wps">
          <w:drawing>
            <wp:anchor distT="0" distB="0" distL="114300" distR="114300" simplePos="0" relativeHeight="251658240" behindDoc="0" locked="0" layoutInCell="1" allowOverlap="1" wp14:anchorId="748CA78B" wp14:editId="2CF11107">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40EB6777" id="Rectangle 12" o:spid="_x0000_s1026" alt="&quot;&quot;" style="position:absolute;margin-left:0;margin-top:0;width:154.5pt;height:2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path="m,l2332168,r-65527,196581l,336570,,xe" fillcolor="#0766a5 [3204]" stroked="f" strokeweight="1pt">
              <v:stroke joinstyle="miter"/>
              <v:path arrowok="t" o:connecttype="custom" o:connectlocs="0,0;1962000,0;1906874,166110;0,284400;0,0" o:connectangles="0,0,0,0,0"/>
              <w10:wrap anchorx="page" anchory="page"/>
            </v:shape>
          </w:pict>
        </mc:Fallback>
      </mc:AlternateContent>
    </w:r>
    <w:r w:rsidRPr="00F277D1">
      <w:rPr>
        <w:noProof/>
      </w:rPr>
      <w:drawing>
        <wp:anchor distT="0" distB="0" distL="114300" distR="114300" simplePos="0" relativeHeight="251658241" behindDoc="1" locked="0" layoutInCell="1" allowOverlap="1" wp14:anchorId="6E814953" wp14:editId="70E6E099">
          <wp:simplePos x="0" y="0"/>
          <wp:positionH relativeFrom="page">
            <wp:posOffset>3669030</wp:posOffset>
          </wp:positionH>
          <wp:positionV relativeFrom="page">
            <wp:posOffset>0</wp:posOffset>
          </wp:positionV>
          <wp:extent cx="3891600" cy="1843200"/>
          <wp:effectExtent l="0" t="0" r="0" b="5080"/>
          <wp:wrapNone/>
          <wp:docPr id="1235656860" name="Graphic 1235656860">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1764F2"/>
    <w:multiLevelType w:val="multilevel"/>
    <w:tmpl w:val="A426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255578"/>
    <w:multiLevelType w:val="multilevel"/>
    <w:tmpl w:val="32288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61591E"/>
    <w:multiLevelType w:val="multilevel"/>
    <w:tmpl w:val="5086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C72210"/>
    <w:multiLevelType w:val="multilevel"/>
    <w:tmpl w:val="CE16C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595C24"/>
    <w:multiLevelType w:val="multilevel"/>
    <w:tmpl w:val="4FF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883210"/>
    <w:multiLevelType w:val="multilevel"/>
    <w:tmpl w:val="B98848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BA462C"/>
    <w:multiLevelType w:val="multilevel"/>
    <w:tmpl w:val="9F76E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57317E"/>
    <w:multiLevelType w:val="hybridMultilevel"/>
    <w:tmpl w:val="9FAADEA6"/>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B6355A6"/>
    <w:multiLevelType w:val="multilevel"/>
    <w:tmpl w:val="25B6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340F9F"/>
    <w:multiLevelType w:val="multilevel"/>
    <w:tmpl w:val="0742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812EC8"/>
    <w:multiLevelType w:val="multilevel"/>
    <w:tmpl w:val="C67CF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1957AB"/>
    <w:multiLevelType w:val="multilevel"/>
    <w:tmpl w:val="221CD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2A6F21"/>
    <w:multiLevelType w:val="multilevel"/>
    <w:tmpl w:val="200CE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60C15"/>
    <w:multiLevelType w:val="hybridMultilevel"/>
    <w:tmpl w:val="88A83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9FC6912"/>
    <w:multiLevelType w:val="multilevel"/>
    <w:tmpl w:val="62B2C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F17C9A"/>
    <w:multiLevelType w:val="multilevel"/>
    <w:tmpl w:val="CB34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0D1BB8"/>
    <w:multiLevelType w:val="multilevel"/>
    <w:tmpl w:val="0D803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D07E8F"/>
    <w:multiLevelType w:val="multilevel"/>
    <w:tmpl w:val="F060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E82A5C"/>
    <w:multiLevelType w:val="multilevel"/>
    <w:tmpl w:val="86B69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43347C"/>
    <w:multiLevelType w:val="multilevel"/>
    <w:tmpl w:val="7F10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EFF4509"/>
    <w:multiLevelType w:val="multilevel"/>
    <w:tmpl w:val="62E08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D30396"/>
    <w:multiLevelType w:val="hybridMultilevel"/>
    <w:tmpl w:val="A07A1A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49E0AE0"/>
    <w:multiLevelType w:val="multilevel"/>
    <w:tmpl w:val="1CB23B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5991EF7"/>
    <w:multiLevelType w:val="multilevel"/>
    <w:tmpl w:val="3D52F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A91B20"/>
    <w:multiLevelType w:val="multilevel"/>
    <w:tmpl w:val="A1FCC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E924D8F"/>
    <w:multiLevelType w:val="multilevel"/>
    <w:tmpl w:val="6D84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F7E291F"/>
    <w:multiLevelType w:val="multilevel"/>
    <w:tmpl w:val="9394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FD242A"/>
    <w:multiLevelType w:val="hybridMultilevel"/>
    <w:tmpl w:val="FEE6625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36974C8"/>
    <w:multiLevelType w:val="multilevel"/>
    <w:tmpl w:val="FA10D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456429"/>
    <w:multiLevelType w:val="multilevel"/>
    <w:tmpl w:val="62689C5E"/>
    <w:lvl w:ilvl="0">
      <w:start w:val="1"/>
      <w:numFmt w:val="decimal"/>
      <w:pStyle w:val="ListNumber"/>
      <w:lvlText w:val="%1."/>
      <w:lvlJc w:val="left"/>
      <w:pPr>
        <w:ind w:left="369" w:hanging="369"/>
      </w:pPr>
      <w:rPr>
        <w:rFonts w:ascii="Arial" w:hAnsi="Arial" w:hint="default"/>
        <w:color w:val="000000" w:themeColor="text1"/>
        <w:sz w:val="22"/>
      </w:rPr>
    </w:lvl>
    <w:lvl w:ilvl="1">
      <w:start w:val="1"/>
      <w:numFmt w:val="lowerLetter"/>
      <w:pStyle w:val="ListNumber2"/>
      <w:lvlText w:val="%2."/>
      <w:lvlJc w:val="left"/>
      <w:pPr>
        <w:ind w:left="738" w:hanging="369"/>
      </w:pPr>
      <w:rPr>
        <w:rFonts w:hint="default"/>
        <w:color w:val="auto"/>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33" w15:restartNumberingAfterBreak="0">
    <w:nsid w:val="6A934E43"/>
    <w:multiLevelType w:val="multilevel"/>
    <w:tmpl w:val="4048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A87610"/>
    <w:multiLevelType w:val="hybridMultilevel"/>
    <w:tmpl w:val="42225D3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6F525B2B"/>
    <w:multiLevelType w:val="multilevel"/>
    <w:tmpl w:val="A4FE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7B201E"/>
    <w:multiLevelType w:val="multilevel"/>
    <w:tmpl w:val="9DCE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3252D42"/>
    <w:multiLevelType w:val="multilevel"/>
    <w:tmpl w:val="DC7A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AB5BDC"/>
    <w:multiLevelType w:val="multilevel"/>
    <w:tmpl w:val="8BA2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E01ECF"/>
    <w:multiLevelType w:val="multilevel"/>
    <w:tmpl w:val="3F6CA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871683C"/>
    <w:multiLevelType w:val="multilevel"/>
    <w:tmpl w:val="3872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417CAB"/>
    <w:multiLevelType w:val="multilevel"/>
    <w:tmpl w:val="E866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2542C0"/>
    <w:multiLevelType w:val="multilevel"/>
    <w:tmpl w:val="2102A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2605387">
    <w:abstractNumId w:val="25"/>
  </w:num>
  <w:num w:numId="2" w16cid:durableId="660547498">
    <w:abstractNumId w:val="1"/>
  </w:num>
  <w:num w:numId="3" w16cid:durableId="1405948882">
    <w:abstractNumId w:val="0"/>
  </w:num>
  <w:num w:numId="4" w16cid:durableId="1570459285">
    <w:abstractNumId w:val="34"/>
  </w:num>
  <w:num w:numId="5" w16cid:durableId="2041541302">
    <w:abstractNumId w:val="15"/>
  </w:num>
  <w:num w:numId="6" w16cid:durableId="360594244">
    <w:abstractNumId w:val="33"/>
  </w:num>
  <w:num w:numId="7" w16cid:durableId="887885925">
    <w:abstractNumId w:val="35"/>
  </w:num>
  <w:num w:numId="8" w16cid:durableId="1965846700">
    <w:abstractNumId w:val="7"/>
  </w:num>
  <w:num w:numId="9" w16cid:durableId="1314876051">
    <w:abstractNumId w:val="12"/>
  </w:num>
  <w:num w:numId="10" w16cid:durableId="2062945152">
    <w:abstractNumId w:val="8"/>
  </w:num>
  <w:num w:numId="11" w16cid:durableId="316149152">
    <w:abstractNumId w:val="22"/>
  </w:num>
  <w:num w:numId="12" w16cid:durableId="1149517040">
    <w:abstractNumId w:val="27"/>
  </w:num>
  <w:num w:numId="13" w16cid:durableId="623778746">
    <w:abstractNumId w:val="39"/>
  </w:num>
  <w:num w:numId="14" w16cid:durableId="236473985">
    <w:abstractNumId w:val="38"/>
  </w:num>
  <w:num w:numId="15" w16cid:durableId="106313746">
    <w:abstractNumId w:val="10"/>
  </w:num>
  <w:num w:numId="16" w16cid:durableId="323168279">
    <w:abstractNumId w:val="18"/>
  </w:num>
  <w:num w:numId="17" w16cid:durableId="2032685837">
    <w:abstractNumId w:val="14"/>
  </w:num>
  <w:num w:numId="18" w16cid:durableId="1224100028">
    <w:abstractNumId w:val="26"/>
  </w:num>
  <w:num w:numId="19" w16cid:durableId="1543208294">
    <w:abstractNumId w:val="16"/>
  </w:num>
  <w:num w:numId="20" w16cid:durableId="1174684014">
    <w:abstractNumId w:val="41"/>
  </w:num>
  <w:num w:numId="21" w16cid:durableId="346058373">
    <w:abstractNumId w:val="29"/>
  </w:num>
  <w:num w:numId="22" w16cid:durableId="938677282">
    <w:abstractNumId w:val="13"/>
  </w:num>
  <w:num w:numId="23" w16cid:durableId="2009021661">
    <w:abstractNumId w:val="4"/>
  </w:num>
  <w:num w:numId="24" w16cid:durableId="316154824">
    <w:abstractNumId w:val="21"/>
  </w:num>
  <w:num w:numId="25" w16cid:durableId="1734766767">
    <w:abstractNumId w:val="31"/>
  </w:num>
  <w:num w:numId="26" w16cid:durableId="592514114">
    <w:abstractNumId w:val="20"/>
  </w:num>
  <w:num w:numId="27" w16cid:durableId="358090037">
    <w:abstractNumId w:val="5"/>
  </w:num>
  <w:num w:numId="28" w16cid:durableId="741101661">
    <w:abstractNumId w:val="37"/>
  </w:num>
  <w:num w:numId="29" w16cid:durableId="1565331061">
    <w:abstractNumId w:val="19"/>
  </w:num>
  <w:num w:numId="30" w16cid:durableId="1570572928">
    <w:abstractNumId w:val="28"/>
  </w:num>
  <w:num w:numId="31" w16cid:durableId="2137676289">
    <w:abstractNumId w:val="40"/>
  </w:num>
  <w:num w:numId="32" w16cid:durableId="329874346">
    <w:abstractNumId w:val="17"/>
  </w:num>
  <w:num w:numId="33" w16cid:durableId="747271211">
    <w:abstractNumId w:val="3"/>
  </w:num>
  <w:num w:numId="34" w16cid:durableId="1514953476">
    <w:abstractNumId w:val="2"/>
  </w:num>
  <w:num w:numId="35" w16cid:durableId="1255557816">
    <w:abstractNumId w:val="36"/>
  </w:num>
  <w:num w:numId="36" w16cid:durableId="1369990338">
    <w:abstractNumId w:val="6"/>
  </w:num>
  <w:num w:numId="37" w16cid:durableId="1713383282">
    <w:abstractNumId w:val="11"/>
  </w:num>
  <w:num w:numId="38" w16cid:durableId="1558786346">
    <w:abstractNumId w:val="42"/>
  </w:num>
  <w:num w:numId="39" w16cid:durableId="1577855437">
    <w:abstractNumId w:val="9"/>
  </w:num>
  <w:num w:numId="40" w16cid:durableId="124929712">
    <w:abstractNumId w:val="30"/>
  </w:num>
  <w:num w:numId="41" w16cid:durableId="591010065">
    <w:abstractNumId w:val="23"/>
  </w:num>
  <w:num w:numId="42" w16cid:durableId="297684816">
    <w:abstractNumId w:val="32"/>
  </w:num>
  <w:num w:numId="43" w16cid:durableId="1692759004">
    <w:abstractNumId w:val="2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759"/>
    <w:rsid w:val="000004A7"/>
    <w:rsid w:val="000006A8"/>
    <w:rsid w:val="0000080D"/>
    <w:rsid w:val="00000B94"/>
    <w:rsid w:val="000012EA"/>
    <w:rsid w:val="00002982"/>
    <w:rsid w:val="0000358F"/>
    <w:rsid w:val="00003624"/>
    <w:rsid w:val="00003766"/>
    <w:rsid w:val="00003F50"/>
    <w:rsid w:val="0000427C"/>
    <w:rsid w:val="00004E7C"/>
    <w:rsid w:val="00005076"/>
    <w:rsid w:val="000060F8"/>
    <w:rsid w:val="00007078"/>
    <w:rsid w:val="00007F29"/>
    <w:rsid w:val="00010600"/>
    <w:rsid w:val="00010AA2"/>
    <w:rsid w:val="00010C2A"/>
    <w:rsid w:val="00011312"/>
    <w:rsid w:val="00012875"/>
    <w:rsid w:val="00012CC3"/>
    <w:rsid w:val="00013132"/>
    <w:rsid w:val="00013AB6"/>
    <w:rsid w:val="00013BF5"/>
    <w:rsid w:val="00013FCA"/>
    <w:rsid w:val="000140A5"/>
    <w:rsid w:val="00014A7C"/>
    <w:rsid w:val="00015164"/>
    <w:rsid w:val="000153EE"/>
    <w:rsid w:val="0001583C"/>
    <w:rsid w:val="00015E22"/>
    <w:rsid w:val="00016EC1"/>
    <w:rsid w:val="0001757E"/>
    <w:rsid w:val="00017E3A"/>
    <w:rsid w:val="00020247"/>
    <w:rsid w:val="000212DF"/>
    <w:rsid w:val="00022CEB"/>
    <w:rsid w:val="00022F52"/>
    <w:rsid w:val="000233E6"/>
    <w:rsid w:val="000238A2"/>
    <w:rsid w:val="000239F7"/>
    <w:rsid w:val="00024AB1"/>
    <w:rsid w:val="00024E52"/>
    <w:rsid w:val="000260DF"/>
    <w:rsid w:val="00026354"/>
    <w:rsid w:val="00026476"/>
    <w:rsid w:val="000271B9"/>
    <w:rsid w:val="00027A03"/>
    <w:rsid w:val="00030033"/>
    <w:rsid w:val="00030D07"/>
    <w:rsid w:val="00030DF9"/>
    <w:rsid w:val="00030F7F"/>
    <w:rsid w:val="00031069"/>
    <w:rsid w:val="0003108C"/>
    <w:rsid w:val="000319B8"/>
    <w:rsid w:val="00031DEC"/>
    <w:rsid w:val="0003201F"/>
    <w:rsid w:val="00032995"/>
    <w:rsid w:val="00032BF4"/>
    <w:rsid w:val="00032DFA"/>
    <w:rsid w:val="00032F15"/>
    <w:rsid w:val="000333C7"/>
    <w:rsid w:val="000335F7"/>
    <w:rsid w:val="000338D5"/>
    <w:rsid w:val="00034494"/>
    <w:rsid w:val="0003468B"/>
    <w:rsid w:val="000346D5"/>
    <w:rsid w:val="00034867"/>
    <w:rsid w:val="00035E4A"/>
    <w:rsid w:val="00036E0C"/>
    <w:rsid w:val="00040293"/>
    <w:rsid w:val="00040319"/>
    <w:rsid w:val="00040CC0"/>
    <w:rsid w:val="00041B91"/>
    <w:rsid w:val="00042BA5"/>
    <w:rsid w:val="00043293"/>
    <w:rsid w:val="00043F36"/>
    <w:rsid w:val="00044D0A"/>
    <w:rsid w:val="00044EC7"/>
    <w:rsid w:val="0004519F"/>
    <w:rsid w:val="00045354"/>
    <w:rsid w:val="000455A1"/>
    <w:rsid w:val="00045AE9"/>
    <w:rsid w:val="00046C37"/>
    <w:rsid w:val="00046C86"/>
    <w:rsid w:val="00046DF3"/>
    <w:rsid w:val="00050848"/>
    <w:rsid w:val="00051258"/>
    <w:rsid w:val="000512A0"/>
    <w:rsid w:val="00051389"/>
    <w:rsid w:val="00051FAD"/>
    <w:rsid w:val="000522A7"/>
    <w:rsid w:val="00053E1D"/>
    <w:rsid w:val="000540F9"/>
    <w:rsid w:val="00054F60"/>
    <w:rsid w:val="000552B3"/>
    <w:rsid w:val="0005553A"/>
    <w:rsid w:val="000560D2"/>
    <w:rsid w:val="00056CFB"/>
    <w:rsid w:val="000573C7"/>
    <w:rsid w:val="00057659"/>
    <w:rsid w:val="000609A2"/>
    <w:rsid w:val="000616A7"/>
    <w:rsid w:val="0006300D"/>
    <w:rsid w:val="0006450D"/>
    <w:rsid w:val="000656F8"/>
    <w:rsid w:val="00066743"/>
    <w:rsid w:val="00066E1E"/>
    <w:rsid w:val="00067086"/>
    <w:rsid w:val="00067D8E"/>
    <w:rsid w:val="0007067B"/>
    <w:rsid w:val="000708FF"/>
    <w:rsid w:val="00071019"/>
    <w:rsid w:val="0007261D"/>
    <w:rsid w:val="00072BB8"/>
    <w:rsid w:val="00072C63"/>
    <w:rsid w:val="00073861"/>
    <w:rsid w:val="0007390B"/>
    <w:rsid w:val="0007395F"/>
    <w:rsid w:val="00073FEF"/>
    <w:rsid w:val="00074A5E"/>
    <w:rsid w:val="00075A6C"/>
    <w:rsid w:val="00075CED"/>
    <w:rsid w:val="00076454"/>
    <w:rsid w:val="000768D7"/>
    <w:rsid w:val="00076D34"/>
    <w:rsid w:val="00077A2D"/>
    <w:rsid w:val="00077C93"/>
    <w:rsid w:val="000805B0"/>
    <w:rsid w:val="0008063F"/>
    <w:rsid w:val="00080CDC"/>
    <w:rsid w:val="00080E18"/>
    <w:rsid w:val="00081674"/>
    <w:rsid w:val="0008167B"/>
    <w:rsid w:val="00081934"/>
    <w:rsid w:val="00081D07"/>
    <w:rsid w:val="00082B64"/>
    <w:rsid w:val="0008305A"/>
    <w:rsid w:val="00083703"/>
    <w:rsid w:val="0008382A"/>
    <w:rsid w:val="00084A65"/>
    <w:rsid w:val="000861AD"/>
    <w:rsid w:val="000861B4"/>
    <w:rsid w:val="00087273"/>
    <w:rsid w:val="000874A3"/>
    <w:rsid w:val="00090D17"/>
    <w:rsid w:val="00090DDB"/>
    <w:rsid w:val="00091533"/>
    <w:rsid w:val="00091857"/>
    <w:rsid w:val="00091A3C"/>
    <w:rsid w:val="00091B62"/>
    <w:rsid w:val="00091B6A"/>
    <w:rsid w:val="000935F3"/>
    <w:rsid w:val="00096379"/>
    <w:rsid w:val="00097148"/>
    <w:rsid w:val="00097F75"/>
    <w:rsid w:val="000A0865"/>
    <w:rsid w:val="000A0868"/>
    <w:rsid w:val="000A2356"/>
    <w:rsid w:val="000A291B"/>
    <w:rsid w:val="000A2A34"/>
    <w:rsid w:val="000A2BF7"/>
    <w:rsid w:val="000A3255"/>
    <w:rsid w:val="000A393B"/>
    <w:rsid w:val="000A40BF"/>
    <w:rsid w:val="000A4DEF"/>
    <w:rsid w:val="000A4E30"/>
    <w:rsid w:val="000A5076"/>
    <w:rsid w:val="000A53D5"/>
    <w:rsid w:val="000A542A"/>
    <w:rsid w:val="000A6C0C"/>
    <w:rsid w:val="000A75CB"/>
    <w:rsid w:val="000A7DF2"/>
    <w:rsid w:val="000A7E06"/>
    <w:rsid w:val="000B06AA"/>
    <w:rsid w:val="000B1121"/>
    <w:rsid w:val="000B142E"/>
    <w:rsid w:val="000B206E"/>
    <w:rsid w:val="000B2EA8"/>
    <w:rsid w:val="000B325D"/>
    <w:rsid w:val="000B36C1"/>
    <w:rsid w:val="000B3706"/>
    <w:rsid w:val="000B3774"/>
    <w:rsid w:val="000B3813"/>
    <w:rsid w:val="000B39E2"/>
    <w:rsid w:val="000B4699"/>
    <w:rsid w:val="000B544D"/>
    <w:rsid w:val="000B55EF"/>
    <w:rsid w:val="000B6C60"/>
    <w:rsid w:val="000B71D4"/>
    <w:rsid w:val="000B73F6"/>
    <w:rsid w:val="000B7C35"/>
    <w:rsid w:val="000C0172"/>
    <w:rsid w:val="000C05B9"/>
    <w:rsid w:val="000C06AD"/>
    <w:rsid w:val="000C0BB9"/>
    <w:rsid w:val="000C0C05"/>
    <w:rsid w:val="000C0F40"/>
    <w:rsid w:val="000C148B"/>
    <w:rsid w:val="000C28AC"/>
    <w:rsid w:val="000C3494"/>
    <w:rsid w:val="000C3D25"/>
    <w:rsid w:val="000C4CDE"/>
    <w:rsid w:val="000C503B"/>
    <w:rsid w:val="000C5076"/>
    <w:rsid w:val="000C551A"/>
    <w:rsid w:val="000C654D"/>
    <w:rsid w:val="000C7D71"/>
    <w:rsid w:val="000D0A2C"/>
    <w:rsid w:val="000D1FD7"/>
    <w:rsid w:val="000D223D"/>
    <w:rsid w:val="000D3F77"/>
    <w:rsid w:val="000D434E"/>
    <w:rsid w:val="000D4AEB"/>
    <w:rsid w:val="000D5151"/>
    <w:rsid w:val="000D5A9F"/>
    <w:rsid w:val="000D5DB6"/>
    <w:rsid w:val="000D724E"/>
    <w:rsid w:val="000D7A7E"/>
    <w:rsid w:val="000E0EA5"/>
    <w:rsid w:val="000E0F53"/>
    <w:rsid w:val="000E1F44"/>
    <w:rsid w:val="000E2142"/>
    <w:rsid w:val="000E27EA"/>
    <w:rsid w:val="000E2F54"/>
    <w:rsid w:val="000E304B"/>
    <w:rsid w:val="000E4089"/>
    <w:rsid w:val="000E5010"/>
    <w:rsid w:val="000E511F"/>
    <w:rsid w:val="000E544C"/>
    <w:rsid w:val="000E599A"/>
    <w:rsid w:val="000E5A15"/>
    <w:rsid w:val="000E5B02"/>
    <w:rsid w:val="000E5C60"/>
    <w:rsid w:val="000E5D4C"/>
    <w:rsid w:val="000E7BBB"/>
    <w:rsid w:val="000F0A10"/>
    <w:rsid w:val="000F0B00"/>
    <w:rsid w:val="000F1872"/>
    <w:rsid w:val="000F1B0D"/>
    <w:rsid w:val="000F1B10"/>
    <w:rsid w:val="000F1C66"/>
    <w:rsid w:val="000F2564"/>
    <w:rsid w:val="000F2853"/>
    <w:rsid w:val="000F2A4C"/>
    <w:rsid w:val="000F314B"/>
    <w:rsid w:val="000F3966"/>
    <w:rsid w:val="000F535B"/>
    <w:rsid w:val="000F5575"/>
    <w:rsid w:val="000F56FE"/>
    <w:rsid w:val="000F5ACB"/>
    <w:rsid w:val="000F6365"/>
    <w:rsid w:val="000F6590"/>
    <w:rsid w:val="000F666D"/>
    <w:rsid w:val="000F675D"/>
    <w:rsid w:val="000F6E38"/>
    <w:rsid w:val="000F74A7"/>
    <w:rsid w:val="000F77F7"/>
    <w:rsid w:val="000F799D"/>
    <w:rsid w:val="00100370"/>
    <w:rsid w:val="0010095F"/>
    <w:rsid w:val="001014AB"/>
    <w:rsid w:val="001018D3"/>
    <w:rsid w:val="001019EF"/>
    <w:rsid w:val="00101AD0"/>
    <w:rsid w:val="00101B08"/>
    <w:rsid w:val="0010414B"/>
    <w:rsid w:val="001044C8"/>
    <w:rsid w:val="00104545"/>
    <w:rsid w:val="001045EC"/>
    <w:rsid w:val="00105822"/>
    <w:rsid w:val="00105AF1"/>
    <w:rsid w:val="00105F25"/>
    <w:rsid w:val="001067CA"/>
    <w:rsid w:val="00106F27"/>
    <w:rsid w:val="0010797F"/>
    <w:rsid w:val="00110F2C"/>
    <w:rsid w:val="00111014"/>
    <w:rsid w:val="001114BC"/>
    <w:rsid w:val="0011185D"/>
    <w:rsid w:val="00112057"/>
    <w:rsid w:val="0011263F"/>
    <w:rsid w:val="00112AD4"/>
    <w:rsid w:val="00112C68"/>
    <w:rsid w:val="00112F2C"/>
    <w:rsid w:val="001133E6"/>
    <w:rsid w:val="00113A37"/>
    <w:rsid w:val="00114F0F"/>
    <w:rsid w:val="00115924"/>
    <w:rsid w:val="001163A3"/>
    <w:rsid w:val="00116B0B"/>
    <w:rsid w:val="00116F32"/>
    <w:rsid w:val="00117F1B"/>
    <w:rsid w:val="00120197"/>
    <w:rsid w:val="0012108C"/>
    <w:rsid w:val="001218F6"/>
    <w:rsid w:val="00121A80"/>
    <w:rsid w:val="00122817"/>
    <w:rsid w:val="00122C00"/>
    <w:rsid w:val="00122D77"/>
    <w:rsid w:val="00122E34"/>
    <w:rsid w:val="00123C84"/>
    <w:rsid w:val="00124BAB"/>
    <w:rsid w:val="00125087"/>
    <w:rsid w:val="00125879"/>
    <w:rsid w:val="00125E0C"/>
    <w:rsid w:val="00126258"/>
    <w:rsid w:val="0012699F"/>
    <w:rsid w:val="00130553"/>
    <w:rsid w:val="001305D0"/>
    <w:rsid w:val="001307FD"/>
    <w:rsid w:val="00131673"/>
    <w:rsid w:val="00131C0C"/>
    <w:rsid w:val="00132948"/>
    <w:rsid w:val="0013461F"/>
    <w:rsid w:val="00134A4A"/>
    <w:rsid w:val="00134BFA"/>
    <w:rsid w:val="00135456"/>
    <w:rsid w:val="00136117"/>
    <w:rsid w:val="001365D0"/>
    <w:rsid w:val="001366E6"/>
    <w:rsid w:val="0013691C"/>
    <w:rsid w:val="0013695D"/>
    <w:rsid w:val="00136D96"/>
    <w:rsid w:val="00136F80"/>
    <w:rsid w:val="001374E7"/>
    <w:rsid w:val="00137609"/>
    <w:rsid w:val="00137619"/>
    <w:rsid w:val="00137766"/>
    <w:rsid w:val="00140278"/>
    <w:rsid w:val="00140B9B"/>
    <w:rsid w:val="001415B5"/>
    <w:rsid w:val="001417F9"/>
    <w:rsid w:val="00141E5A"/>
    <w:rsid w:val="00142DB0"/>
    <w:rsid w:val="0014333B"/>
    <w:rsid w:val="0014363C"/>
    <w:rsid w:val="00143822"/>
    <w:rsid w:val="00143BD6"/>
    <w:rsid w:val="00143E8C"/>
    <w:rsid w:val="00144305"/>
    <w:rsid w:val="00144C3E"/>
    <w:rsid w:val="0014523D"/>
    <w:rsid w:val="0014574D"/>
    <w:rsid w:val="001458EF"/>
    <w:rsid w:val="001462F0"/>
    <w:rsid w:val="001473DC"/>
    <w:rsid w:val="00147442"/>
    <w:rsid w:val="00147939"/>
    <w:rsid w:val="00147F4C"/>
    <w:rsid w:val="0015023A"/>
    <w:rsid w:val="00150663"/>
    <w:rsid w:val="0015263F"/>
    <w:rsid w:val="00153073"/>
    <w:rsid w:val="0015309F"/>
    <w:rsid w:val="0015369B"/>
    <w:rsid w:val="00153C15"/>
    <w:rsid w:val="00153EB9"/>
    <w:rsid w:val="00153F76"/>
    <w:rsid w:val="00155506"/>
    <w:rsid w:val="00156DC4"/>
    <w:rsid w:val="00156F02"/>
    <w:rsid w:val="00157C4F"/>
    <w:rsid w:val="00157ED6"/>
    <w:rsid w:val="001602D6"/>
    <w:rsid w:val="0016070F"/>
    <w:rsid w:val="001609C8"/>
    <w:rsid w:val="00160E24"/>
    <w:rsid w:val="001611F1"/>
    <w:rsid w:val="001616FF"/>
    <w:rsid w:val="00161834"/>
    <w:rsid w:val="001619F8"/>
    <w:rsid w:val="00161DCC"/>
    <w:rsid w:val="00162DDA"/>
    <w:rsid w:val="001632F3"/>
    <w:rsid w:val="0016362A"/>
    <w:rsid w:val="001638FE"/>
    <w:rsid w:val="001643E5"/>
    <w:rsid w:val="00164E5F"/>
    <w:rsid w:val="0016502B"/>
    <w:rsid w:val="00165958"/>
    <w:rsid w:val="0016608E"/>
    <w:rsid w:val="0016716D"/>
    <w:rsid w:val="001677EA"/>
    <w:rsid w:val="00167CCF"/>
    <w:rsid w:val="00167F8D"/>
    <w:rsid w:val="001706F3"/>
    <w:rsid w:val="001707E6"/>
    <w:rsid w:val="00170DE1"/>
    <w:rsid w:val="0017148C"/>
    <w:rsid w:val="00171757"/>
    <w:rsid w:val="00172110"/>
    <w:rsid w:val="00173657"/>
    <w:rsid w:val="00173A0F"/>
    <w:rsid w:val="00173C73"/>
    <w:rsid w:val="00174893"/>
    <w:rsid w:val="001754E7"/>
    <w:rsid w:val="00175987"/>
    <w:rsid w:val="00175C0C"/>
    <w:rsid w:val="001762B0"/>
    <w:rsid w:val="00176DD4"/>
    <w:rsid w:val="00177759"/>
    <w:rsid w:val="00180187"/>
    <w:rsid w:val="00180B3B"/>
    <w:rsid w:val="00180D6A"/>
    <w:rsid w:val="00180F25"/>
    <w:rsid w:val="00182D89"/>
    <w:rsid w:val="00184109"/>
    <w:rsid w:val="00184256"/>
    <w:rsid w:val="00185415"/>
    <w:rsid w:val="00185B06"/>
    <w:rsid w:val="001860EB"/>
    <w:rsid w:val="00186712"/>
    <w:rsid w:val="0018676B"/>
    <w:rsid w:val="00187243"/>
    <w:rsid w:val="001873EA"/>
    <w:rsid w:val="00187507"/>
    <w:rsid w:val="0018753C"/>
    <w:rsid w:val="00187755"/>
    <w:rsid w:val="00187843"/>
    <w:rsid w:val="00187D79"/>
    <w:rsid w:val="0019030B"/>
    <w:rsid w:val="001916C7"/>
    <w:rsid w:val="0019170C"/>
    <w:rsid w:val="00191E1A"/>
    <w:rsid w:val="00193F00"/>
    <w:rsid w:val="00193F92"/>
    <w:rsid w:val="00194040"/>
    <w:rsid w:val="00194586"/>
    <w:rsid w:val="00194A2C"/>
    <w:rsid w:val="00194AA0"/>
    <w:rsid w:val="001951AD"/>
    <w:rsid w:val="001956A2"/>
    <w:rsid w:val="001961DC"/>
    <w:rsid w:val="001964C2"/>
    <w:rsid w:val="00196585"/>
    <w:rsid w:val="00196767"/>
    <w:rsid w:val="00196E20"/>
    <w:rsid w:val="00196FF6"/>
    <w:rsid w:val="0019749C"/>
    <w:rsid w:val="00197BF6"/>
    <w:rsid w:val="001A0308"/>
    <w:rsid w:val="001A05B3"/>
    <w:rsid w:val="001A088D"/>
    <w:rsid w:val="001A093F"/>
    <w:rsid w:val="001A14E2"/>
    <w:rsid w:val="001A1B91"/>
    <w:rsid w:val="001A269B"/>
    <w:rsid w:val="001A28C2"/>
    <w:rsid w:val="001A2B3A"/>
    <w:rsid w:val="001A2EA3"/>
    <w:rsid w:val="001A2FB3"/>
    <w:rsid w:val="001A38CC"/>
    <w:rsid w:val="001A3AD1"/>
    <w:rsid w:val="001A4044"/>
    <w:rsid w:val="001A4FF8"/>
    <w:rsid w:val="001A5385"/>
    <w:rsid w:val="001A5432"/>
    <w:rsid w:val="001A5448"/>
    <w:rsid w:val="001A5FCE"/>
    <w:rsid w:val="001A601E"/>
    <w:rsid w:val="001A6352"/>
    <w:rsid w:val="001A665B"/>
    <w:rsid w:val="001A6F54"/>
    <w:rsid w:val="001A7513"/>
    <w:rsid w:val="001B0586"/>
    <w:rsid w:val="001B07A2"/>
    <w:rsid w:val="001B0848"/>
    <w:rsid w:val="001B08EB"/>
    <w:rsid w:val="001B0954"/>
    <w:rsid w:val="001B0D58"/>
    <w:rsid w:val="001B220C"/>
    <w:rsid w:val="001B26F8"/>
    <w:rsid w:val="001B2EE6"/>
    <w:rsid w:val="001B313F"/>
    <w:rsid w:val="001B3147"/>
    <w:rsid w:val="001B314C"/>
    <w:rsid w:val="001B5181"/>
    <w:rsid w:val="001B5679"/>
    <w:rsid w:val="001B6003"/>
    <w:rsid w:val="001B6CD5"/>
    <w:rsid w:val="001B711F"/>
    <w:rsid w:val="001B7529"/>
    <w:rsid w:val="001B75F4"/>
    <w:rsid w:val="001B7C49"/>
    <w:rsid w:val="001C0A1D"/>
    <w:rsid w:val="001C142E"/>
    <w:rsid w:val="001C203E"/>
    <w:rsid w:val="001C2147"/>
    <w:rsid w:val="001C226C"/>
    <w:rsid w:val="001C2EC4"/>
    <w:rsid w:val="001C3476"/>
    <w:rsid w:val="001C3842"/>
    <w:rsid w:val="001C3EFB"/>
    <w:rsid w:val="001C41A6"/>
    <w:rsid w:val="001C446C"/>
    <w:rsid w:val="001C4B38"/>
    <w:rsid w:val="001C6658"/>
    <w:rsid w:val="001D00BE"/>
    <w:rsid w:val="001D216A"/>
    <w:rsid w:val="001D2571"/>
    <w:rsid w:val="001D2E82"/>
    <w:rsid w:val="001D32F2"/>
    <w:rsid w:val="001D3319"/>
    <w:rsid w:val="001D3722"/>
    <w:rsid w:val="001D4614"/>
    <w:rsid w:val="001D4754"/>
    <w:rsid w:val="001D5067"/>
    <w:rsid w:val="001D51DA"/>
    <w:rsid w:val="001D6182"/>
    <w:rsid w:val="001D6792"/>
    <w:rsid w:val="001D7E63"/>
    <w:rsid w:val="001D7F65"/>
    <w:rsid w:val="001E041C"/>
    <w:rsid w:val="001E04F6"/>
    <w:rsid w:val="001E1413"/>
    <w:rsid w:val="001E16FD"/>
    <w:rsid w:val="001E1B6C"/>
    <w:rsid w:val="001E3355"/>
    <w:rsid w:val="001E379B"/>
    <w:rsid w:val="001E38E1"/>
    <w:rsid w:val="001E3927"/>
    <w:rsid w:val="001E3B04"/>
    <w:rsid w:val="001E4F8C"/>
    <w:rsid w:val="001E52ED"/>
    <w:rsid w:val="001E585F"/>
    <w:rsid w:val="001E59B1"/>
    <w:rsid w:val="001F04BC"/>
    <w:rsid w:val="001F0730"/>
    <w:rsid w:val="001F15EE"/>
    <w:rsid w:val="001F1633"/>
    <w:rsid w:val="001F28EF"/>
    <w:rsid w:val="001F2F98"/>
    <w:rsid w:val="001F328A"/>
    <w:rsid w:val="001F330E"/>
    <w:rsid w:val="001F5AB1"/>
    <w:rsid w:val="001F67D7"/>
    <w:rsid w:val="001F7750"/>
    <w:rsid w:val="001F7CF5"/>
    <w:rsid w:val="001F7F0C"/>
    <w:rsid w:val="002003B6"/>
    <w:rsid w:val="002006E5"/>
    <w:rsid w:val="002006E6"/>
    <w:rsid w:val="00201254"/>
    <w:rsid w:val="002013A9"/>
    <w:rsid w:val="002017D3"/>
    <w:rsid w:val="00203055"/>
    <w:rsid w:val="0020391A"/>
    <w:rsid w:val="00203DAC"/>
    <w:rsid w:val="00203E94"/>
    <w:rsid w:val="0020430A"/>
    <w:rsid w:val="0020434B"/>
    <w:rsid w:val="00205C52"/>
    <w:rsid w:val="00205DF3"/>
    <w:rsid w:val="0020676B"/>
    <w:rsid w:val="002068AA"/>
    <w:rsid w:val="002068B6"/>
    <w:rsid w:val="00207075"/>
    <w:rsid w:val="00207166"/>
    <w:rsid w:val="002102AC"/>
    <w:rsid w:val="002108E9"/>
    <w:rsid w:val="00210B2D"/>
    <w:rsid w:val="00210CD7"/>
    <w:rsid w:val="0021153D"/>
    <w:rsid w:val="00211910"/>
    <w:rsid w:val="00211CCE"/>
    <w:rsid w:val="0021286C"/>
    <w:rsid w:val="00212A9D"/>
    <w:rsid w:val="00212DC7"/>
    <w:rsid w:val="0021437B"/>
    <w:rsid w:val="002143B4"/>
    <w:rsid w:val="00214511"/>
    <w:rsid w:val="00214BEE"/>
    <w:rsid w:val="0021628D"/>
    <w:rsid w:val="00216AA4"/>
    <w:rsid w:val="002176D7"/>
    <w:rsid w:val="0022083E"/>
    <w:rsid w:val="00220BF2"/>
    <w:rsid w:val="00221AF0"/>
    <w:rsid w:val="00221EF5"/>
    <w:rsid w:val="002229E3"/>
    <w:rsid w:val="00222D0B"/>
    <w:rsid w:val="00222D21"/>
    <w:rsid w:val="002231E7"/>
    <w:rsid w:val="00223B98"/>
    <w:rsid w:val="00223F6A"/>
    <w:rsid w:val="00224BED"/>
    <w:rsid w:val="00224C55"/>
    <w:rsid w:val="002252EC"/>
    <w:rsid w:val="0022660E"/>
    <w:rsid w:val="0022686B"/>
    <w:rsid w:val="00226A1E"/>
    <w:rsid w:val="00226DB1"/>
    <w:rsid w:val="0022713E"/>
    <w:rsid w:val="00227E41"/>
    <w:rsid w:val="002306B7"/>
    <w:rsid w:val="00230775"/>
    <w:rsid w:val="002307FF"/>
    <w:rsid w:val="00230AE9"/>
    <w:rsid w:val="002311BE"/>
    <w:rsid w:val="002316A3"/>
    <w:rsid w:val="002320BE"/>
    <w:rsid w:val="00232ED9"/>
    <w:rsid w:val="002348FA"/>
    <w:rsid w:val="0023664B"/>
    <w:rsid w:val="00236D21"/>
    <w:rsid w:val="002401E4"/>
    <w:rsid w:val="002409DD"/>
    <w:rsid w:val="002410C8"/>
    <w:rsid w:val="00241210"/>
    <w:rsid w:val="00241D3D"/>
    <w:rsid w:val="0024280C"/>
    <w:rsid w:val="00243DBD"/>
    <w:rsid w:val="002442E9"/>
    <w:rsid w:val="00251B64"/>
    <w:rsid w:val="00251B76"/>
    <w:rsid w:val="00251B91"/>
    <w:rsid w:val="0025247B"/>
    <w:rsid w:val="00252FFE"/>
    <w:rsid w:val="002531F4"/>
    <w:rsid w:val="002537A4"/>
    <w:rsid w:val="002537B8"/>
    <w:rsid w:val="00253C24"/>
    <w:rsid w:val="00253D75"/>
    <w:rsid w:val="00254385"/>
    <w:rsid w:val="00254DA8"/>
    <w:rsid w:val="00255D2C"/>
    <w:rsid w:val="00255E48"/>
    <w:rsid w:val="0025686F"/>
    <w:rsid w:val="0025724B"/>
    <w:rsid w:val="00257436"/>
    <w:rsid w:val="002575FE"/>
    <w:rsid w:val="00260AAC"/>
    <w:rsid w:val="002618BC"/>
    <w:rsid w:val="00261A3E"/>
    <w:rsid w:val="00261E87"/>
    <w:rsid w:val="00262C77"/>
    <w:rsid w:val="0026370C"/>
    <w:rsid w:val="002637D9"/>
    <w:rsid w:val="00264E0D"/>
    <w:rsid w:val="002651C8"/>
    <w:rsid w:val="00265504"/>
    <w:rsid w:val="00265C9E"/>
    <w:rsid w:val="00265E22"/>
    <w:rsid w:val="00266246"/>
    <w:rsid w:val="00266ABC"/>
    <w:rsid w:val="00266F28"/>
    <w:rsid w:val="00266F7C"/>
    <w:rsid w:val="00267745"/>
    <w:rsid w:val="00267C9E"/>
    <w:rsid w:val="00267E39"/>
    <w:rsid w:val="00271870"/>
    <w:rsid w:val="0027190E"/>
    <w:rsid w:val="0027204C"/>
    <w:rsid w:val="0027246D"/>
    <w:rsid w:val="00272602"/>
    <w:rsid w:val="00272B04"/>
    <w:rsid w:val="00272F62"/>
    <w:rsid w:val="00273056"/>
    <w:rsid w:val="0027324B"/>
    <w:rsid w:val="002739B7"/>
    <w:rsid w:val="00274C94"/>
    <w:rsid w:val="00275850"/>
    <w:rsid w:val="0027673C"/>
    <w:rsid w:val="00276AE7"/>
    <w:rsid w:val="00276B7A"/>
    <w:rsid w:val="00277669"/>
    <w:rsid w:val="00281022"/>
    <w:rsid w:val="002813FB"/>
    <w:rsid w:val="00281C2B"/>
    <w:rsid w:val="002829D0"/>
    <w:rsid w:val="00282ED3"/>
    <w:rsid w:val="0028322F"/>
    <w:rsid w:val="00285449"/>
    <w:rsid w:val="00285CF7"/>
    <w:rsid w:val="00285F86"/>
    <w:rsid w:val="002867C7"/>
    <w:rsid w:val="002867F1"/>
    <w:rsid w:val="002871B1"/>
    <w:rsid w:val="002873B4"/>
    <w:rsid w:val="002875C8"/>
    <w:rsid w:val="002879D4"/>
    <w:rsid w:val="00287CD0"/>
    <w:rsid w:val="00287D54"/>
    <w:rsid w:val="002909D5"/>
    <w:rsid w:val="00290F90"/>
    <w:rsid w:val="002912B7"/>
    <w:rsid w:val="00291B10"/>
    <w:rsid w:val="00292856"/>
    <w:rsid w:val="00292861"/>
    <w:rsid w:val="00292B49"/>
    <w:rsid w:val="00293B16"/>
    <w:rsid w:val="00293C2F"/>
    <w:rsid w:val="00294872"/>
    <w:rsid w:val="00295378"/>
    <w:rsid w:val="0029571C"/>
    <w:rsid w:val="00295785"/>
    <w:rsid w:val="00296ED8"/>
    <w:rsid w:val="00297114"/>
    <w:rsid w:val="0029762B"/>
    <w:rsid w:val="0029789A"/>
    <w:rsid w:val="00297C6D"/>
    <w:rsid w:val="002A0939"/>
    <w:rsid w:val="002A101F"/>
    <w:rsid w:val="002A15AB"/>
    <w:rsid w:val="002A388E"/>
    <w:rsid w:val="002A419D"/>
    <w:rsid w:val="002A4D6A"/>
    <w:rsid w:val="002A5189"/>
    <w:rsid w:val="002A56C0"/>
    <w:rsid w:val="002A5993"/>
    <w:rsid w:val="002A6BD4"/>
    <w:rsid w:val="002A6BFF"/>
    <w:rsid w:val="002A6DF5"/>
    <w:rsid w:val="002A708F"/>
    <w:rsid w:val="002A7AFF"/>
    <w:rsid w:val="002A7D76"/>
    <w:rsid w:val="002B02AA"/>
    <w:rsid w:val="002B0F0A"/>
    <w:rsid w:val="002B1DDC"/>
    <w:rsid w:val="002B22A3"/>
    <w:rsid w:val="002B3265"/>
    <w:rsid w:val="002B3A3A"/>
    <w:rsid w:val="002B3ADB"/>
    <w:rsid w:val="002B3FD1"/>
    <w:rsid w:val="002B4862"/>
    <w:rsid w:val="002B4D7B"/>
    <w:rsid w:val="002B529D"/>
    <w:rsid w:val="002B53EF"/>
    <w:rsid w:val="002B5C69"/>
    <w:rsid w:val="002B6319"/>
    <w:rsid w:val="002B684E"/>
    <w:rsid w:val="002B777C"/>
    <w:rsid w:val="002B784E"/>
    <w:rsid w:val="002B7F3A"/>
    <w:rsid w:val="002C12D4"/>
    <w:rsid w:val="002C20C8"/>
    <w:rsid w:val="002C2773"/>
    <w:rsid w:val="002C3470"/>
    <w:rsid w:val="002C350A"/>
    <w:rsid w:val="002C41D3"/>
    <w:rsid w:val="002C4B7A"/>
    <w:rsid w:val="002C4FD2"/>
    <w:rsid w:val="002C654A"/>
    <w:rsid w:val="002C6C4E"/>
    <w:rsid w:val="002C6E86"/>
    <w:rsid w:val="002C7C82"/>
    <w:rsid w:val="002C7DBB"/>
    <w:rsid w:val="002D0794"/>
    <w:rsid w:val="002D142E"/>
    <w:rsid w:val="002D1602"/>
    <w:rsid w:val="002D230B"/>
    <w:rsid w:val="002D295C"/>
    <w:rsid w:val="002D29A3"/>
    <w:rsid w:val="002D3561"/>
    <w:rsid w:val="002D4A07"/>
    <w:rsid w:val="002D4D37"/>
    <w:rsid w:val="002D5230"/>
    <w:rsid w:val="002D53DC"/>
    <w:rsid w:val="002D56C8"/>
    <w:rsid w:val="002D5B3B"/>
    <w:rsid w:val="002D5D9B"/>
    <w:rsid w:val="002D64AB"/>
    <w:rsid w:val="002D7125"/>
    <w:rsid w:val="002D77E7"/>
    <w:rsid w:val="002E0A5D"/>
    <w:rsid w:val="002E0CBA"/>
    <w:rsid w:val="002E102A"/>
    <w:rsid w:val="002E1A40"/>
    <w:rsid w:val="002E1B01"/>
    <w:rsid w:val="002E2242"/>
    <w:rsid w:val="002E2433"/>
    <w:rsid w:val="002E2C13"/>
    <w:rsid w:val="002E2EB0"/>
    <w:rsid w:val="002E3630"/>
    <w:rsid w:val="002E37A4"/>
    <w:rsid w:val="002E53B8"/>
    <w:rsid w:val="002E58E7"/>
    <w:rsid w:val="002E710A"/>
    <w:rsid w:val="002E7336"/>
    <w:rsid w:val="002F03F6"/>
    <w:rsid w:val="002F06B1"/>
    <w:rsid w:val="002F06E5"/>
    <w:rsid w:val="002F0B1F"/>
    <w:rsid w:val="002F217B"/>
    <w:rsid w:val="002F27F1"/>
    <w:rsid w:val="002F2971"/>
    <w:rsid w:val="002F3A0C"/>
    <w:rsid w:val="002F43EE"/>
    <w:rsid w:val="002F47EF"/>
    <w:rsid w:val="002F4908"/>
    <w:rsid w:val="002F4BBE"/>
    <w:rsid w:val="002F4C66"/>
    <w:rsid w:val="002F4F25"/>
    <w:rsid w:val="002F5464"/>
    <w:rsid w:val="002F60C0"/>
    <w:rsid w:val="002F6C60"/>
    <w:rsid w:val="002F74F3"/>
    <w:rsid w:val="002F7CEF"/>
    <w:rsid w:val="00300CAB"/>
    <w:rsid w:val="00301126"/>
    <w:rsid w:val="00301924"/>
    <w:rsid w:val="003022BA"/>
    <w:rsid w:val="00302A8A"/>
    <w:rsid w:val="0030317B"/>
    <w:rsid w:val="003033FF"/>
    <w:rsid w:val="003058D5"/>
    <w:rsid w:val="00305FF6"/>
    <w:rsid w:val="00306AEF"/>
    <w:rsid w:val="00306E85"/>
    <w:rsid w:val="0030753E"/>
    <w:rsid w:val="00307626"/>
    <w:rsid w:val="003102FA"/>
    <w:rsid w:val="0031048E"/>
    <w:rsid w:val="003105AB"/>
    <w:rsid w:val="003110D4"/>
    <w:rsid w:val="00311F57"/>
    <w:rsid w:val="00312208"/>
    <w:rsid w:val="0031254E"/>
    <w:rsid w:val="003126A6"/>
    <w:rsid w:val="003129FC"/>
    <w:rsid w:val="00313F7A"/>
    <w:rsid w:val="0031492F"/>
    <w:rsid w:val="00314BC7"/>
    <w:rsid w:val="00314DC9"/>
    <w:rsid w:val="00314F6A"/>
    <w:rsid w:val="00315876"/>
    <w:rsid w:val="00315F10"/>
    <w:rsid w:val="0031611B"/>
    <w:rsid w:val="0031654A"/>
    <w:rsid w:val="00317FA2"/>
    <w:rsid w:val="00320025"/>
    <w:rsid w:val="0032135C"/>
    <w:rsid w:val="00321FA1"/>
    <w:rsid w:val="003222BB"/>
    <w:rsid w:val="003223EC"/>
    <w:rsid w:val="00322E4C"/>
    <w:rsid w:val="00323215"/>
    <w:rsid w:val="00323472"/>
    <w:rsid w:val="0032397B"/>
    <w:rsid w:val="00324753"/>
    <w:rsid w:val="00324B0C"/>
    <w:rsid w:val="00325F70"/>
    <w:rsid w:val="00326479"/>
    <w:rsid w:val="003264CF"/>
    <w:rsid w:val="00326800"/>
    <w:rsid w:val="003270F9"/>
    <w:rsid w:val="00327688"/>
    <w:rsid w:val="00327974"/>
    <w:rsid w:val="00327F6B"/>
    <w:rsid w:val="00330C0B"/>
    <w:rsid w:val="003326EA"/>
    <w:rsid w:val="003327A0"/>
    <w:rsid w:val="00332817"/>
    <w:rsid w:val="00335555"/>
    <w:rsid w:val="00335C23"/>
    <w:rsid w:val="00336662"/>
    <w:rsid w:val="00337228"/>
    <w:rsid w:val="00341517"/>
    <w:rsid w:val="003419E2"/>
    <w:rsid w:val="00341DAE"/>
    <w:rsid w:val="00342235"/>
    <w:rsid w:val="003436B4"/>
    <w:rsid w:val="00343945"/>
    <w:rsid w:val="00343CAD"/>
    <w:rsid w:val="003447A1"/>
    <w:rsid w:val="00344F47"/>
    <w:rsid w:val="0034521A"/>
    <w:rsid w:val="003454DD"/>
    <w:rsid w:val="003457AB"/>
    <w:rsid w:val="00345DDB"/>
    <w:rsid w:val="00346D20"/>
    <w:rsid w:val="003479EE"/>
    <w:rsid w:val="0035009F"/>
    <w:rsid w:val="00350290"/>
    <w:rsid w:val="0035140F"/>
    <w:rsid w:val="00351A0C"/>
    <w:rsid w:val="00351F4A"/>
    <w:rsid w:val="00353458"/>
    <w:rsid w:val="00353F4A"/>
    <w:rsid w:val="00354301"/>
    <w:rsid w:val="003557AF"/>
    <w:rsid w:val="00355B42"/>
    <w:rsid w:val="0035661D"/>
    <w:rsid w:val="00356A94"/>
    <w:rsid w:val="00356AFB"/>
    <w:rsid w:val="003571C5"/>
    <w:rsid w:val="00361D74"/>
    <w:rsid w:val="00361EA5"/>
    <w:rsid w:val="00363DBE"/>
    <w:rsid w:val="00364240"/>
    <w:rsid w:val="003642F2"/>
    <w:rsid w:val="003645D8"/>
    <w:rsid w:val="003650A3"/>
    <w:rsid w:val="0036538D"/>
    <w:rsid w:val="003653EB"/>
    <w:rsid w:val="00365E65"/>
    <w:rsid w:val="0036620E"/>
    <w:rsid w:val="00367B88"/>
    <w:rsid w:val="0037061F"/>
    <w:rsid w:val="00370765"/>
    <w:rsid w:val="00370F4F"/>
    <w:rsid w:val="00371BF0"/>
    <w:rsid w:val="0037293A"/>
    <w:rsid w:val="003731D4"/>
    <w:rsid w:val="00373383"/>
    <w:rsid w:val="00373438"/>
    <w:rsid w:val="00375998"/>
    <w:rsid w:val="00376184"/>
    <w:rsid w:val="003766BA"/>
    <w:rsid w:val="00376724"/>
    <w:rsid w:val="00376A4B"/>
    <w:rsid w:val="00376D6A"/>
    <w:rsid w:val="003777E4"/>
    <w:rsid w:val="003779A4"/>
    <w:rsid w:val="00377C17"/>
    <w:rsid w:val="0038190B"/>
    <w:rsid w:val="0038204B"/>
    <w:rsid w:val="003827BD"/>
    <w:rsid w:val="00382FB8"/>
    <w:rsid w:val="00383D90"/>
    <w:rsid w:val="00384B2D"/>
    <w:rsid w:val="0038567C"/>
    <w:rsid w:val="003858DA"/>
    <w:rsid w:val="00385990"/>
    <w:rsid w:val="0038603E"/>
    <w:rsid w:val="00387637"/>
    <w:rsid w:val="00387817"/>
    <w:rsid w:val="00390A38"/>
    <w:rsid w:val="00390A9F"/>
    <w:rsid w:val="00390D23"/>
    <w:rsid w:val="00390E14"/>
    <w:rsid w:val="00391184"/>
    <w:rsid w:val="003911E3"/>
    <w:rsid w:val="00391DB3"/>
    <w:rsid w:val="003924E5"/>
    <w:rsid w:val="00393784"/>
    <w:rsid w:val="00393D2B"/>
    <w:rsid w:val="0039400D"/>
    <w:rsid w:val="003940BB"/>
    <w:rsid w:val="00395129"/>
    <w:rsid w:val="00395323"/>
    <w:rsid w:val="0039565A"/>
    <w:rsid w:val="0039682A"/>
    <w:rsid w:val="00396CCC"/>
    <w:rsid w:val="003A0883"/>
    <w:rsid w:val="003A0E7F"/>
    <w:rsid w:val="003A1BE6"/>
    <w:rsid w:val="003A2BE8"/>
    <w:rsid w:val="003A3180"/>
    <w:rsid w:val="003A378C"/>
    <w:rsid w:val="003A5248"/>
    <w:rsid w:val="003A56C8"/>
    <w:rsid w:val="003A6B30"/>
    <w:rsid w:val="003A74A0"/>
    <w:rsid w:val="003A7543"/>
    <w:rsid w:val="003A77BF"/>
    <w:rsid w:val="003B07B1"/>
    <w:rsid w:val="003B0AFB"/>
    <w:rsid w:val="003B14F9"/>
    <w:rsid w:val="003B180F"/>
    <w:rsid w:val="003B1E67"/>
    <w:rsid w:val="003B1F5A"/>
    <w:rsid w:val="003B23D2"/>
    <w:rsid w:val="003B348B"/>
    <w:rsid w:val="003B3785"/>
    <w:rsid w:val="003B49FD"/>
    <w:rsid w:val="003B4A87"/>
    <w:rsid w:val="003B4C2C"/>
    <w:rsid w:val="003B5D14"/>
    <w:rsid w:val="003B68FE"/>
    <w:rsid w:val="003B6F8A"/>
    <w:rsid w:val="003B6FC4"/>
    <w:rsid w:val="003C027A"/>
    <w:rsid w:val="003C08E2"/>
    <w:rsid w:val="003C13E0"/>
    <w:rsid w:val="003C1CE2"/>
    <w:rsid w:val="003C25EC"/>
    <w:rsid w:val="003C3091"/>
    <w:rsid w:val="003C3486"/>
    <w:rsid w:val="003C3A49"/>
    <w:rsid w:val="003C4438"/>
    <w:rsid w:val="003C4659"/>
    <w:rsid w:val="003C5009"/>
    <w:rsid w:val="003C53A8"/>
    <w:rsid w:val="003C5AB5"/>
    <w:rsid w:val="003C5B93"/>
    <w:rsid w:val="003C5F0C"/>
    <w:rsid w:val="003C5FDA"/>
    <w:rsid w:val="003C64FB"/>
    <w:rsid w:val="003C6545"/>
    <w:rsid w:val="003C65B7"/>
    <w:rsid w:val="003C6AFB"/>
    <w:rsid w:val="003C6FB5"/>
    <w:rsid w:val="003C71E1"/>
    <w:rsid w:val="003C7B11"/>
    <w:rsid w:val="003C7B88"/>
    <w:rsid w:val="003D0583"/>
    <w:rsid w:val="003D06A7"/>
    <w:rsid w:val="003D0A29"/>
    <w:rsid w:val="003D1992"/>
    <w:rsid w:val="003D2105"/>
    <w:rsid w:val="003D23E2"/>
    <w:rsid w:val="003D2584"/>
    <w:rsid w:val="003D2A70"/>
    <w:rsid w:val="003D2BF9"/>
    <w:rsid w:val="003D38ED"/>
    <w:rsid w:val="003D400C"/>
    <w:rsid w:val="003D47CB"/>
    <w:rsid w:val="003D4A0A"/>
    <w:rsid w:val="003D5010"/>
    <w:rsid w:val="003D561E"/>
    <w:rsid w:val="003D5A9A"/>
    <w:rsid w:val="003D6B92"/>
    <w:rsid w:val="003D6FEF"/>
    <w:rsid w:val="003D71E7"/>
    <w:rsid w:val="003D747D"/>
    <w:rsid w:val="003E01F0"/>
    <w:rsid w:val="003E0635"/>
    <w:rsid w:val="003E0A1F"/>
    <w:rsid w:val="003E0C76"/>
    <w:rsid w:val="003E1D12"/>
    <w:rsid w:val="003E2D42"/>
    <w:rsid w:val="003E2EC7"/>
    <w:rsid w:val="003E514D"/>
    <w:rsid w:val="003E54DC"/>
    <w:rsid w:val="003E57B8"/>
    <w:rsid w:val="003E57F5"/>
    <w:rsid w:val="003E5925"/>
    <w:rsid w:val="003E759E"/>
    <w:rsid w:val="003E7D1A"/>
    <w:rsid w:val="003F0294"/>
    <w:rsid w:val="003F03A2"/>
    <w:rsid w:val="003F196C"/>
    <w:rsid w:val="003F22CE"/>
    <w:rsid w:val="003F2C0A"/>
    <w:rsid w:val="003F36A8"/>
    <w:rsid w:val="003F3B19"/>
    <w:rsid w:val="003F47D9"/>
    <w:rsid w:val="003F57E3"/>
    <w:rsid w:val="003F7B7E"/>
    <w:rsid w:val="004004BE"/>
    <w:rsid w:val="00400F4D"/>
    <w:rsid w:val="00401285"/>
    <w:rsid w:val="004016F7"/>
    <w:rsid w:val="00401DE6"/>
    <w:rsid w:val="00402F19"/>
    <w:rsid w:val="00403564"/>
    <w:rsid w:val="0040458E"/>
    <w:rsid w:val="00404B36"/>
    <w:rsid w:val="00406032"/>
    <w:rsid w:val="004062CE"/>
    <w:rsid w:val="004063EB"/>
    <w:rsid w:val="00406520"/>
    <w:rsid w:val="00406947"/>
    <w:rsid w:val="00406A9F"/>
    <w:rsid w:val="00407210"/>
    <w:rsid w:val="00407415"/>
    <w:rsid w:val="00407944"/>
    <w:rsid w:val="004113F2"/>
    <w:rsid w:val="004126C2"/>
    <w:rsid w:val="00412F04"/>
    <w:rsid w:val="0041342F"/>
    <w:rsid w:val="00413F54"/>
    <w:rsid w:val="00414DF1"/>
    <w:rsid w:val="00415724"/>
    <w:rsid w:val="00416561"/>
    <w:rsid w:val="004171BB"/>
    <w:rsid w:val="00417990"/>
    <w:rsid w:val="004179CB"/>
    <w:rsid w:val="00417C3A"/>
    <w:rsid w:val="00422388"/>
    <w:rsid w:val="004228F9"/>
    <w:rsid w:val="004238ED"/>
    <w:rsid w:val="00423B2E"/>
    <w:rsid w:val="00423D13"/>
    <w:rsid w:val="00424134"/>
    <w:rsid w:val="004241A0"/>
    <w:rsid w:val="004245B3"/>
    <w:rsid w:val="00425252"/>
    <w:rsid w:val="00426818"/>
    <w:rsid w:val="00426BA2"/>
    <w:rsid w:val="0042770A"/>
    <w:rsid w:val="00427CFB"/>
    <w:rsid w:val="00430A78"/>
    <w:rsid w:val="004318B4"/>
    <w:rsid w:val="00431CFA"/>
    <w:rsid w:val="0043276C"/>
    <w:rsid w:val="00432E10"/>
    <w:rsid w:val="00433CE2"/>
    <w:rsid w:val="00435649"/>
    <w:rsid w:val="004356F3"/>
    <w:rsid w:val="0043673E"/>
    <w:rsid w:val="00436753"/>
    <w:rsid w:val="00436DDD"/>
    <w:rsid w:val="0043705D"/>
    <w:rsid w:val="0043720A"/>
    <w:rsid w:val="004400FA"/>
    <w:rsid w:val="004410C5"/>
    <w:rsid w:val="004411C8"/>
    <w:rsid w:val="00441E6E"/>
    <w:rsid w:val="00442909"/>
    <w:rsid w:val="00443495"/>
    <w:rsid w:val="00443548"/>
    <w:rsid w:val="0044388D"/>
    <w:rsid w:val="004444F5"/>
    <w:rsid w:val="00444852"/>
    <w:rsid w:val="00444C58"/>
    <w:rsid w:val="00445723"/>
    <w:rsid w:val="00447044"/>
    <w:rsid w:val="00447407"/>
    <w:rsid w:val="00447AC4"/>
    <w:rsid w:val="00451948"/>
    <w:rsid w:val="00452135"/>
    <w:rsid w:val="004522AE"/>
    <w:rsid w:val="00452B27"/>
    <w:rsid w:val="00454256"/>
    <w:rsid w:val="00455237"/>
    <w:rsid w:val="00455BF0"/>
    <w:rsid w:val="004560A5"/>
    <w:rsid w:val="00456608"/>
    <w:rsid w:val="0046054A"/>
    <w:rsid w:val="00460CAC"/>
    <w:rsid w:val="00460F75"/>
    <w:rsid w:val="00461068"/>
    <w:rsid w:val="00462B98"/>
    <w:rsid w:val="00462F5D"/>
    <w:rsid w:val="0046326A"/>
    <w:rsid w:val="004632E9"/>
    <w:rsid w:val="00463696"/>
    <w:rsid w:val="00463E6C"/>
    <w:rsid w:val="00463FE4"/>
    <w:rsid w:val="00464BB5"/>
    <w:rsid w:val="00464CC1"/>
    <w:rsid w:val="00465813"/>
    <w:rsid w:val="0046678C"/>
    <w:rsid w:val="00466995"/>
    <w:rsid w:val="00466A0C"/>
    <w:rsid w:val="00467E00"/>
    <w:rsid w:val="0047150B"/>
    <w:rsid w:val="0047157E"/>
    <w:rsid w:val="0047182A"/>
    <w:rsid w:val="0047236F"/>
    <w:rsid w:val="004729E6"/>
    <w:rsid w:val="00474096"/>
    <w:rsid w:val="00474CE0"/>
    <w:rsid w:val="004758B5"/>
    <w:rsid w:val="004763E9"/>
    <w:rsid w:val="004765B0"/>
    <w:rsid w:val="004765C9"/>
    <w:rsid w:val="0047672B"/>
    <w:rsid w:val="0047681E"/>
    <w:rsid w:val="004768A9"/>
    <w:rsid w:val="00477242"/>
    <w:rsid w:val="00477E3B"/>
    <w:rsid w:val="004809FE"/>
    <w:rsid w:val="00480D1B"/>
    <w:rsid w:val="00480E71"/>
    <w:rsid w:val="004810ED"/>
    <w:rsid w:val="00481574"/>
    <w:rsid w:val="00481613"/>
    <w:rsid w:val="00481BF7"/>
    <w:rsid w:val="00481C03"/>
    <w:rsid w:val="00481E87"/>
    <w:rsid w:val="00482201"/>
    <w:rsid w:val="0048236F"/>
    <w:rsid w:val="00482DED"/>
    <w:rsid w:val="004837C5"/>
    <w:rsid w:val="00483845"/>
    <w:rsid w:val="0048408B"/>
    <w:rsid w:val="00484C60"/>
    <w:rsid w:val="004850FB"/>
    <w:rsid w:val="00485779"/>
    <w:rsid w:val="00485F89"/>
    <w:rsid w:val="00486F60"/>
    <w:rsid w:val="00490106"/>
    <w:rsid w:val="00490136"/>
    <w:rsid w:val="004901D7"/>
    <w:rsid w:val="00490C9B"/>
    <w:rsid w:val="00490CC3"/>
    <w:rsid w:val="004918A2"/>
    <w:rsid w:val="00492A51"/>
    <w:rsid w:val="00492CFD"/>
    <w:rsid w:val="00492EBB"/>
    <w:rsid w:val="0049323F"/>
    <w:rsid w:val="00493355"/>
    <w:rsid w:val="004941B1"/>
    <w:rsid w:val="004949E2"/>
    <w:rsid w:val="00494C68"/>
    <w:rsid w:val="004952E9"/>
    <w:rsid w:val="00495580"/>
    <w:rsid w:val="004A0D46"/>
    <w:rsid w:val="004A0DC9"/>
    <w:rsid w:val="004A1126"/>
    <w:rsid w:val="004A1265"/>
    <w:rsid w:val="004A2C6D"/>
    <w:rsid w:val="004A2D2C"/>
    <w:rsid w:val="004A2F4D"/>
    <w:rsid w:val="004A32B9"/>
    <w:rsid w:val="004A41D8"/>
    <w:rsid w:val="004A5067"/>
    <w:rsid w:val="004A70BA"/>
    <w:rsid w:val="004A7856"/>
    <w:rsid w:val="004A7A15"/>
    <w:rsid w:val="004A7E88"/>
    <w:rsid w:val="004A7FF9"/>
    <w:rsid w:val="004B0A7B"/>
    <w:rsid w:val="004B10F4"/>
    <w:rsid w:val="004B1262"/>
    <w:rsid w:val="004B1B00"/>
    <w:rsid w:val="004B2CAB"/>
    <w:rsid w:val="004B34AF"/>
    <w:rsid w:val="004B34B2"/>
    <w:rsid w:val="004B354A"/>
    <w:rsid w:val="004B3791"/>
    <w:rsid w:val="004B38AB"/>
    <w:rsid w:val="004B3927"/>
    <w:rsid w:val="004B4254"/>
    <w:rsid w:val="004B4FDA"/>
    <w:rsid w:val="004B514E"/>
    <w:rsid w:val="004B5559"/>
    <w:rsid w:val="004B6140"/>
    <w:rsid w:val="004B7460"/>
    <w:rsid w:val="004B7E2D"/>
    <w:rsid w:val="004C10C3"/>
    <w:rsid w:val="004C1424"/>
    <w:rsid w:val="004C1467"/>
    <w:rsid w:val="004C21C2"/>
    <w:rsid w:val="004C3946"/>
    <w:rsid w:val="004C3B5F"/>
    <w:rsid w:val="004C3C30"/>
    <w:rsid w:val="004C3F0D"/>
    <w:rsid w:val="004C4E12"/>
    <w:rsid w:val="004C4FBA"/>
    <w:rsid w:val="004C5187"/>
    <w:rsid w:val="004C5853"/>
    <w:rsid w:val="004C63DA"/>
    <w:rsid w:val="004C7329"/>
    <w:rsid w:val="004C78E4"/>
    <w:rsid w:val="004D0152"/>
    <w:rsid w:val="004D02C8"/>
    <w:rsid w:val="004D031D"/>
    <w:rsid w:val="004D20F3"/>
    <w:rsid w:val="004D2A58"/>
    <w:rsid w:val="004D3200"/>
    <w:rsid w:val="004D3B0F"/>
    <w:rsid w:val="004D3BA0"/>
    <w:rsid w:val="004D4691"/>
    <w:rsid w:val="004D4692"/>
    <w:rsid w:val="004D4D68"/>
    <w:rsid w:val="004D5ACE"/>
    <w:rsid w:val="004D5D9D"/>
    <w:rsid w:val="004D67C0"/>
    <w:rsid w:val="004D6CF1"/>
    <w:rsid w:val="004D799A"/>
    <w:rsid w:val="004D7AFA"/>
    <w:rsid w:val="004E23A9"/>
    <w:rsid w:val="004E2A8A"/>
    <w:rsid w:val="004E373A"/>
    <w:rsid w:val="004E3B04"/>
    <w:rsid w:val="004E3D80"/>
    <w:rsid w:val="004E46BD"/>
    <w:rsid w:val="004E50CE"/>
    <w:rsid w:val="004E5181"/>
    <w:rsid w:val="004E52B7"/>
    <w:rsid w:val="004E6258"/>
    <w:rsid w:val="004E75D2"/>
    <w:rsid w:val="004E7B70"/>
    <w:rsid w:val="004E7C3B"/>
    <w:rsid w:val="004E7E6E"/>
    <w:rsid w:val="004E7F77"/>
    <w:rsid w:val="004F010E"/>
    <w:rsid w:val="004F07C2"/>
    <w:rsid w:val="004F0AFD"/>
    <w:rsid w:val="004F197A"/>
    <w:rsid w:val="004F279A"/>
    <w:rsid w:val="004F27E6"/>
    <w:rsid w:val="004F2900"/>
    <w:rsid w:val="004F294D"/>
    <w:rsid w:val="004F4E8F"/>
    <w:rsid w:val="004F5BB1"/>
    <w:rsid w:val="004F606D"/>
    <w:rsid w:val="004F6197"/>
    <w:rsid w:val="004F644A"/>
    <w:rsid w:val="004F718E"/>
    <w:rsid w:val="0050082C"/>
    <w:rsid w:val="00500B30"/>
    <w:rsid w:val="00502285"/>
    <w:rsid w:val="00502958"/>
    <w:rsid w:val="0050368D"/>
    <w:rsid w:val="00503F29"/>
    <w:rsid w:val="0050625E"/>
    <w:rsid w:val="00506349"/>
    <w:rsid w:val="00506EAB"/>
    <w:rsid w:val="005076A9"/>
    <w:rsid w:val="0050772E"/>
    <w:rsid w:val="005079CA"/>
    <w:rsid w:val="00507AEE"/>
    <w:rsid w:val="00507C0F"/>
    <w:rsid w:val="00510009"/>
    <w:rsid w:val="005102C8"/>
    <w:rsid w:val="00510654"/>
    <w:rsid w:val="0051094B"/>
    <w:rsid w:val="00510BD0"/>
    <w:rsid w:val="00510D32"/>
    <w:rsid w:val="00511827"/>
    <w:rsid w:val="005125A0"/>
    <w:rsid w:val="00512647"/>
    <w:rsid w:val="005129D4"/>
    <w:rsid w:val="00512B42"/>
    <w:rsid w:val="00512E53"/>
    <w:rsid w:val="00513371"/>
    <w:rsid w:val="005133CC"/>
    <w:rsid w:val="00513CE6"/>
    <w:rsid w:val="00513D9B"/>
    <w:rsid w:val="00514494"/>
    <w:rsid w:val="0051488E"/>
    <w:rsid w:val="00515A7E"/>
    <w:rsid w:val="00516A15"/>
    <w:rsid w:val="00516B0E"/>
    <w:rsid w:val="005170F1"/>
    <w:rsid w:val="0052039C"/>
    <w:rsid w:val="0052376D"/>
    <w:rsid w:val="005242ED"/>
    <w:rsid w:val="00524DA9"/>
    <w:rsid w:val="00524DF4"/>
    <w:rsid w:val="00524F8D"/>
    <w:rsid w:val="00525018"/>
    <w:rsid w:val="0052501C"/>
    <w:rsid w:val="0052559C"/>
    <w:rsid w:val="00525AFB"/>
    <w:rsid w:val="0052645A"/>
    <w:rsid w:val="00526962"/>
    <w:rsid w:val="00527381"/>
    <w:rsid w:val="00527C5A"/>
    <w:rsid w:val="005309D6"/>
    <w:rsid w:val="00531C93"/>
    <w:rsid w:val="00531CAD"/>
    <w:rsid w:val="00531ED7"/>
    <w:rsid w:val="00532A59"/>
    <w:rsid w:val="0053387B"/>
    <w:rsid w:val="005344AE"/>
    <w:rsid w:val="00534D64"/>
    <w:rsid w:val="00535317"/>
    <w:rsid w:val="00536993"/>
    <w:rsid w:val="005371A9"/>
    <w:rsid w:val="005400A0"/>
    <w:rsid w:val="005408D1"/>
    <w:rsid w:val="005417AE"/>
    <w:rsid w:val="005418A4"/>
    <w:rsid w:val="005419C2"/>
    <w:rsid w:val="005429B8"/>
    <w:rsid w:val="00542A1B"/>
    <w:rsid w:val="00542BD7"/>
    <w:rsid w:val="005430EB"/>
    <w:rsid w:val="0054326A"/>
    <w:rsid w:val="005448D6"/>
    <w:rsid w:val="0054573C"/>
    <w:rsid w:val="005457FD"/>
    <w:rsid w:val="00545FEB"/>
    <w:rsid w:val="00547F9C"/>
    <w:rsid w:val="00550233"/>
    <w:rsid w:val="00550AB1"/>
    <w:rsid w:val="00550BB7"/>
    <w:rsid w:val="00550D6D"/>
    <w:rsid w:val="00551536"/>
    <w:rsid w:val="005517DD"/>
    <w:rsid w:val="005526A3"/>
    <w:rsid w:val="00552D17"/>
    <w:rsid w:val="00553CC7"/>
    <w:rsid w:val="00553E9F"/>
    <w:rsid w:val="0055419E"/>
    <w:rsid w:val="00554718"/>
    <w:rsid w:val="00554B7D"/>
    <w:rsid w:val="00554E94"/>
    <w:rsid w:val="00555032"/>
    <w:rsid w:val="00555DF8"/>
    <w:rsid w:val="0055624D"/>
    <w:rsid w:val="005564C4"/>
    <w:rsid w:val="00556771"/>
    <w:rsid w:val="00556DD0"/>
    <w:rsid w:val="005574C8"/>
    <w:rsid w:val="00557BF8"/>
    <w:rsid w:val="00557C00"/>
    <w:rsid w:val="005610B7"/>
    <w:rsid w:val="00561110"/>
    <w:rsid w:val="00561AB5"/>
    <w:rsid w:val="00561DD7"/>
    <w:rsid w:val="00561E3E"/>
    <w:rsid w:val="00562021"/>
    <w:rsid w:val="00564B79"/>
    <w:rsid w:val="00564C23"/>
    <w:rsid w:val="00566621"/>
    <w:rsid w:val="00566731"/>
    <w:rsid w:val="00566BBE"/>
    <w:rsid w:val="00567D42"/>
    <w:rsid w:val="00567EDC"/>
    <w:rsid w:val="00570274"/>
    <w:rsid w:val="00570639"/>
    <w:rsid w:val="005706FD"/>
    <w:rsid w:val="00571530"/>
    <w:rsid w:val="00571FA6"/>
    <w:rsid w:val="00572521"/>
    <w:rsid w:val="005734F3"/>
    <w:rsid w:val="00573ABF"/>
    <w:rsid w:val="00574C10"/>
    <w:rsid w:val="00574E8A"/>
    <w:rsid w:val="00575D00"/>
    <w:rsid w:val="00576085"/>
    <w:rsid w:val="00576884"/>
    <w:rsid w:val="00576CC7"/>
    <w:rsid w:val="0057706B"/>
    <w:rsid w:val="005777BC"/>
    <w:rsid w:val="00577F0A"/>
    <w:rsid w:val="00581179"/>
    <w:rsid w:val="0058125B"/>
    <w:rsid w:val="005829B4"/>
    <w:rsid w:val="00582A2E"/>
    <w:rsid w:val="00582E1E"/>
    <w:rsid w:val="00583955"/>
    <w:rsid w:val="00584873"/>
    <w:rsid w:val="005848BC"/>
    <w:rsid w:val="00584B74"/>
    <w:rsid w:val="00585756"/>
    <w:rsid w:val="005863AE"/>
    <w:rsid w:val="00586430"/>
    <w:rsid w:val="00586C31"/>
    <w:rsid w:val="005871F7"/>
    <w:rsid w:val="00587290"/>
    <w:rsid w:val="00587938"/>
    <w:rsid w:val="0059060B"/>
    <w:rsid w:val="0059158A"/>
    <w:rsid w:val="0059197D"/>
    <w:rsid w:val="00592A15"/>
    <w:rsid w:val="005942F1"/>
    <w:rsid w:val="005953B3"/>
    <w:rsid w:val="00595825"/>
    <w:rsid w:val="00596B24"/>
    <w:rsid w:val="005973F3"/>
    <w:rsid w:val="00597617"/>
    <w:rsid w:val="005A0C87"/>
    <w:rsid w:val="005A1B5C"/>
    <w:rsid w:val="005A2121"/>
    <w:rsid w:val="005A2189"/>
    <w:rsid w:val="005A223A"/>
    <w:rsid w:val="005A254B"/>
    <w:rsid w:val="005A2EBD"/>
    <w:rsid w:val="005A37F9"/>
    <w:rsid w:val="005A3D57"/>
    <w:rsid w:val="005A4131"/>
    <w:rsid w:val="005A417A"/>
    <w:rsid w:val="005A4BAC"/>
    <w:rsid w:val="005A4EDE"/>
    <w:rsid w:val="005A5A39"/>
    <w:rsid w:val="005A5CBD"/>
    <w:rsid w:val="005A6224"/>
    <w:rsid w:val="005A687D"/>
    <w:rsid w:val="005A71EA"/>
    <w:rsid w:val="005A785C"/>
    <w:rsid w:val="005A7A6C"/>
    <w:rsid w:val="005A7B69"/>
    <w:rsid w:val="005B045B"/>
    <w:rsid w:val="005B0772"/>
    <w:rsid w:val="005B0786"/>
    <w:rsid w:val="005B0BF4"/>
    <w:rsid w:val="005B0EE3"/>
    <w:rsid w:val="005B0F64"/>
    <w:rsid w:val="005B3C48"/>
    <w:rsid w:val="005B44A9"/>
    <w:rsid w:val="005B52B0"/>
    <w:rsid w:val="005B53AE"/>
    <w:rsid w:val="005B53DB"/>
    <w:rsid w:val="005B5918"/>
    <w:rsid w:val="005B5B19"/>
    <w:rsid w:val="005B5B1F"/>
    <w:rsid w:val="005B5DF3"/>
    <w:rsid w:val="005B659F"/>
    <w:rsid w:val="005B6CAA"/>
    <w:rsid w:val="005B7AC6"/>
    <w:rsid w:val="005B7E48"/>
    <w:rsid w:val="005C0BAC"/>
    <w:rsid w:val="005C0BD6"/>
    <w:rsid w:val="005C0DF4"/>
    <w:rsid w:val="005C129C"/>
    <w:rsid w:val="005C21E7"/>
    <w:rsid w:val="005C2DE0"/>
    <w:rsid w:val="005C34D7"/>
    <w:rsid w:val="005C3668"/>
    <w:rsid w:val="005C4BB5"/>
    <w:rsid w:val="005C5D08"/>
    <w:rsid w:val="005C6326"/>
    <w:rsid w:val="005C7097"/>
    <w:rsid w:val="005C73AB"/>
    <w:rsid w:val="005C7D46"/>
    <w:rsid w:val="005D0DCB"/>
    <w:rsid w:val="005D1F55"/>
    <w:rsid w:val="005D27F7"/>
    <w:rsid w:val="005D2935"/>
    <w:rsid w:val="005D2DFC"/>
    <w:rsid w:val="005D3460"/>
    <w:rsid w:val="005D3897"/>
    <w:rsid w:val="005D42BA"/>
    <w:rsid w:val="005D4AE2"/>
    <w:rsid w:val="005D4E1E"/>
    <w:rsid w:val="005D4E8E"/>
    <w:rsid w:val="005D5A6B"/>
    <w:rsid w:val="005D5CF6"/>
    <w:rsid w:val="005D7D6F"/>
    <w:rsid w:val="005E0BB2"/>
    <w:rsid w:val="005E1193"/>
    <w:rsid w:val="005E1777"/>
    <w:rsid w:val="005E1ED2"/>
    <w:rsid w:val="005E1F8F"/>
    <w:rsid w:val="005E22C0"/>
    <w:rsid w:val="005E2533"/>
    <w:rsid w:val="005E25DA"/>
    <w:rsid w:val="005E26D0"/>
    <w:rsid w:val="005E2C2E"/>
    <w:rsid w:val="005E37E9"/>
    <w:rsid w:val="005E530C"/>
    <w:rsid w:val="005E5566"/>
    <w:rsid w:val="005E5954"/>
    <w:rsid w:val="005E5DBC"/>
    <w:rsid w:val="005E5F5F"/>
    <w:rsid w:val="005E687E"/>
    <w:rsid w:val="005E70C8"/>
    <w:rsid w:val="005F02A2"/>
    <w:rsid w:val="005F056C"/>
    <w:rsid w:val="005F0593"/>
    <w:rsid w:val="005F05E4"/>
    <w:rsid w:val="005F114B"/>
    <w:rsid w:val="005F1D43"/>
    <w:rsid w:val="005F2EDC"/>
    <w:rsid w:val="005F405B"/>
    <w:rsid w:val="005F442B"/>
    <w:rsid w:val="005F551E"/>
    <w:rsid w:val="005F5B98"/>
    <w:rsid w:val="005F5C59"/>
    <w:rsid w:val="005F62B1"/>
    <w:rsid w:val="005F64C9"/>
    <w:rsid w:val="005F64FF"/>
    <w:rsid w:val="005F70E7"/>
    <w:rsid w:val="005F7F38"/>
    <w:rsid w:val="005F7FAE"/>
    <w:rsid w:val="00600556"/>
    <w:rsid w:val="00601077"/>
    <w:rsid w:val="006011D1"/>
    <w:rsid w:val="006013CC"/>
    <w:rsid w:val="00602369"/>
    <w:rsid w:val="00603A87"/>
    <w:rsid w:val="00603C85"/>
    <w:rsid w:val="00603DDF"/>
    <w:rsid w:val="006049C0"/>
    <w:rsid w:val="0060530F"/>
    <w:rsid w:val="00605382"/>
    <w:rsid w:val="00605F17"/>
    <w:rsid w:val="00606D22"/>
    <w:rsid w:val="00607188"/>
    <w:rsid w:val="00607A3B"/>
    <w:rsid w:val="00607CEB"/>
    <w:rsid w:val="00607F39"/>
    <w:rsid w:val="00610B39"/>
    <w:rsid w:val="00611DFF"/>
    <w:rsid w:val="0061220D"/>
    <w:rsid w:val="006122DF"/>
    <w:rsid w:val="00612569"/>
    <w:rsid w:val="00612AD8"/>
    <w:rsid w:val="006141D0"/>
    <w:rsid w:val="00614611"/>
    <w:rsid w:val="00615074"/>
    <w:rsid w:val="00615414"/>
    <w:rsid w:val="0061549B"/>
    <w:rsid w:val="00616280"/>
    <w:rsid w:val="0061644C"/>
    <w:rsid w:val="0061744E"/>
    <w:rsid w:val="00617478"/>
    <w:rsid w:val="00617B6A"/>
    <w:rsid w:val="006206D0"/>
    <w:rsid w:val="00621190"/>
    <w:rsid w:val="00621A7F"/>
    <w:rsid w:val="00621BCF"/>
    <w:rsid w:val="00622464"/>
    <w:rsid w:val="006229EE"/>
    <w:rsid w:val="00622CAA"/>
    <w:rsid w:val="00623204"/>
    <w:rsid w:val="00624184"/>
    <w:rsid w:val="006249A3"/>
    <w:rsid w:val="0062528C"/>
    <w:rsid w:val="0062550F"/>
    <w:rsid w:val="0062561C"/>
    <w:rsid w:val="00625659"/>
    <w:rsid w:val="00625C9F"/>
    <w:rsid w:val="00626A59"/>
    <w:rsid w:val="00626EFF"/>
    <w:rsid w:val="00626FF2"/>
    <w:rsid w:val="006271AD"/>
    <w:rsid w:val="0062720A"/>
    <w:rsid w:val="00627B8C"/>
    <w:rsid w:val="00627BF9"/>
    <w:rsid w:val="00630299"/>
    <w:rsid w:val="00630AE2"/>
    <w:rsid w:val="00631AE5"/>
    <w:rsid w:val="00632C9F"/>
    <w:rsid w:val="006337C7"/>
    <w:rsid w:val="006339BF"/>
    <w:rsid w:val="00633DA0"/>
    <w:rsid w:val="006340F9"/>
    <w:rsid w:val="00635C39"/>
    <w:rsid w:val="00635D7F"/>
    <w:rsid w:val="00635EA5"/>
    <w:rsid w:val="0063643A"/>
    <w:rsid w:val="0063729A"/>
    <w:rsid w:val="00637511"/>
    <w:rsid w:val="00637CBB"/>
    <w:rsid w:val="006400EE"/>
    <w:rsid w:val="00640482"/>
    <w:rsid w:val="00641796"/>
    <w:rsid w:val="0064204E"/>
    <w:rsid w:val="00642216"/>
    <w:rsid w:val="00642D85"/>
    <w:rsid w:val="00643D43"/>
    <w:rsid w:val="006446BB"/>
    <w:rsid w:val="00645330"/>
    <w:rsid w:val="006454BB"/>
    <w:rsid w:val="00645668"/>
    <w:rsid w:val="0064602D"/>
    <w:rsid w:val="00646200"/>
    <w:rsid w:val="0064751B"/>
    <w:rsid w:val="006478B8"/>
    <w:rsid w:val="00647CA6"/>
    <w:rsid w:val="00647D39"/>
    <w:rsid w:val="0065064F"/>
    <w:rsid w:val="00651081"/>
    <w:rsid w:val="006510CB"/>
    <w:rsid w:val="0065112A"/>
    <w:rsid w:val="00651BB5"/>
    <w:rsid w:val="0065224D"/>
    <w:rsid w:val="00652814"/>
    <w:rsid w:val="0065325E"/>
    <w:rsid w:val="006536FC"/>
    <w:rsid w:val="00655A4D"/>
    <w:rsid w:val="006577AE"/>
    <w:rsid w:val="00657A72"/>
    <w:rsid w:val="00660413"/>
    <w:rsid w:val="0066051E"/>
    <w:rsid w:val="006605AA"/>
    <w:rsid w:val="00660ECC"/>
    <w:rsid w:val="0066151E"/>
    <w:rsid w:val="0066159A"/>
    <w:rsid w:val="006626AF"/>
    <w:rsid w:val="00662E93"/>
    <w:rsid w:val="00663685"/>
    <w:rsid w:val="0066420F"/>
    <w:rsid w:val="00664D0F"/>
    <w:rsid w:val="00665306"/>
    <w:rsid w:val="00665CDC"/>
    <w:rsid w:val="00666240"/>
    <w:rsid w:val="006668FE"/>
    <w:rsid w:val="006673EA"/>
    <w:rsid w:val="00667448"/>
    <w:rsid w:val="00667762"/>
    <w:rsid w:val="00670162"/>
    <w:rsid w:val="00670315"/>
    <w:rsid w:val="00670AF7"/>
    <w:rsid w:val="00670C8E"/>
    <w:rsid w:val="00671705"/>
    <w:rsid w:val="00671D1D"/>
    <w:rsid w:val="00671F7F"/>
    <w:rsid w:val="00671FC8"/>
    <w:rsid w:val="006728ED"/>
    <w:rsid w:val="00673679"/>
    <w:rsid w:val="0067430D"/>
    <w:rsid w:val="006748F7"/>
    <w:rsid w:val="00674B55"/>
    <w:rsid w:val="00675A4E"/>
    <w:rsid w:val="00676228"/>
    <w:rsid w:val="00676899"/>
    <w:rsid w:val="00676BFB"/>
    <w:rsid w:val="006775D6"/>
    <w:rsid w:val="006776CB"/>
    <w:rsid w:val="00677C47"/>
    <w:rsid w:val="00680C5B"/>
    <w:rsid w:val="00682221"/>
    <w:rsid w:val="0068244D"/>
    <w:rsid w:val="006826F6"/>
    <w:rsid w:val="0068271A"/>
    <w:rsid w:val="0068286F"/>
    <w:rsid w:val="00682CF1"/>
    <w:rsid w:val="00682CF4"/>
    <w:rsid w:val="00682EE3"/>
    <w:rsid w:val="00683116"/>
    <w:rsid w:val="00683B9A"/>
    <w:rsid w:val="00684212"/>
    <w:rsid w:val="00684580"/>
    <w:rsid w:val="006849F2"/>
    <w:rsid w:val="00685FC4"/>
    <w:rsid w:val="006860DB"/>
    <w:rsid w:val="0068676F"/>
    <w:rsid w:val="00687E5E"/>
    <w:rsid w:val="00687FC7"/>
    <w:rsid w:val="00690402"/>
    <w:rsid w:val="00690699"/>
    <w:rsid w:val="0069155D"/>
    <w:rsid w:val="0069244D"/>
    <w:rsid w:val="0069399A"/>
    <w:rsid w:val="00693A37"/>
    <w:rsid w:val="00694A0E"/>
    <w:rsid w:val="00694BAF"/>
    <w:rsid w:val="00695125"/>
    <w:rsid w:val="00695806"/>
    <w:rsid w:val="00695B12"/>
    <w:rsid w:val="0069679C"/>
    <w:rsid w:val="0069703E"/>
    <w:rsid w:val="00697567"/>
    <w:rsid w:val="00697B2E"/>
    <w:rsid w:val="00697C73"/>
    <w:rsid w:val="006A02EA"/>
    <w:rsid w:val="006A092C"/>
    <w:rsid w:val="006A11DD"/>
    <w:rsid w:val="006A160C"/>
    <w:rsid w:val="006A1731"/>
    <w:rsid w:val="006A18AB"/>
    <w:rsid w:val="006A19E0"/>
    <w:rsid w:val="006A2EFD"/>
    <w:rsid w:val="006A36DF"/>
    <w:rsid w:val="006A393D"/>
    <w:rsid w:val="006A3B1E"/>
    <w:rsid w:val="006A5C13"/>
    <w:rsid w:val="006A630E"/>
    <w:rsid w:val="006A6AD6"/>
    <w:rsid w:val="006A7499"/>
    <w:rsid w:val="006A76C4"/>
    <w:rsid w:val="006B01C8"/>
    <w:rsid w:val="006B02F8"/>
    <w:rsid w:val="006B0B6A"/>
    <w:rsid w:val="006B0FA1"/>
    <w:rsid w:val="006B16EC"/>
    <w:rsid w:val="006B1F9E"/>
    <w:rsid w:val="006B22A6"/>
    <w:rsid w:val="006B23F0"/>
    <w:rsid w:val="006B3C8C"/>
    <w:rsid w:val="006B48EA"/>
    <w:rsid w:val="006B5E38"/>
    <w:rsid w:val="006B65A2"/>
    <w:rsid w:val="006B6A87"/>
    <w:rsid w:val="006B6CE2"/>
    <w:rsid w:val="006B7879"/>
    <w:rsid w:val="006C00CC"/>
    <w:rsid w:val="006C24AA"/>
    <w:rsid w:val="006C361F"/>
    <w:rsid w:val="006C3B61"/>
    <w:rsid w:val="006C3E26"/>
    <w:rsid w:val="006C4C9C"/>
    <w:rsid w:val="006C5851"/>
    <w:rsid w:val="006C6AB1"/>
    <w:rsid w:val="006C72ED"/>
    <w:rsid w:val="006C7800"/>
    <w:rsid w:val="006C7860"/>
    <w:rsid w:val="006D0011"/>
    <w:rsid w:val="006D0195"/>
    <w:rsid w:val="006D07AB"/>
    <w:rsid w:val="006D117F"/>
    <w:rsid w:val="006D2221"/>
    <w:rsid w:val="006D22E2"/>
    <w:rsid w:val="006D275D"/>
    <w:rsid w:val="006D27F6"/>
    <w:rsid w:val="006D39A9"/>
    <w:rsid w:val="006D4D2E"/>
    <w:rsid w:val="006D5302"/>
    <w:rsid w:val="006D54A0"/>
    <w:rsid w:val="006D5786"/>
    <w:rsid w:val="006D5A75"/>
    <w:rsid w:val="006D6627"/>
    <w:rsid w:val="006D6752"/>
    <w:rsid w:val="006D67CE"/>
    <w:rsid w:val="006D732A"/>
    <w:rsid w:val="006D7BF5"/>
    <w:rsid w:val="006D7DA3"/>
    <w:rsid w:val="006E003A"/>
    <w:rsid w:val="006E03C9"/>
    <w:rsid w:val="006E0D9F"/>
    <w:rsid w:val="006E1636"/>
    <w:rsid w:val="006E1AB1"/>
    <w:rsid w:val="006E1E6A"/>
    <w:rsid w:val="006E28B3"/>
    <w:rsid w:val="006E3E73"/>
    <w:rsid w:val="006E4001"/>
    <w:rsid w:val="006E468A"/>
    <w:rsid w:val="006E46F6"/>
    <w:rsid w:val="006E48B5"/>
    <w:rsid w:val="006E501D"/>
    <w:rsid w:val="006E7363"/>
    <w:rsid w:val="006F05D9"/>
    <w:rsid w:val="006F09FC"/>
    <w:rsid w:val="006F1D1D"/>
    <w:rsid w:val="006F3265"/>
    <w:rsid w:val="006F3A0C"/>
    <w:rsid w:val="006F4C7E"/>
    <w:rsid w:val="006F58A5"/>
    <w:rsid w:val="006F68EB"/>
    <w:rsid w:val="006F6A70"/>
    <w:rsid w:val="006F6B7A"/>
    <w:rsid w:val="006F7654"/>
    <w:rsid w:val="006F7791"/>
    <w:rsid w:val="00700A4D"/>
    <w:rsid w:val="00700CE0"/>
    <w:rsid w:val="007014A4"/>
    <w:rsid w:val="00702FC0"/>
    <w:rsid w:val="0070307A"/>
    <w:rsid w:val="00703425"/>
    <w:rsid w:val="00703734"/>
    <w:rsid w:val="00703795"/>
    <w:rsid w:val="00703E79"/>
    <w:rsid w:val="00704AAE"/>
    <w:rsid w:val="00705237"/>
    <w:rsid w:val="007058C7"/>
    <w:rsid w:val="00705C3B"/>
    <w:rsid w:val="00706835"/>
    <w:rsid w:val="00706AF5"/>
    <w:rsid w:val="00706AFE"/>
    <w:rsid w:val="00707ACE"/>
    <w:rsid w:val="00707F6B"/>
    <w:rsid w:val="007106A2"/>
    <w:rsid w:val="007106D3"/>
    <w:rsid w:val="007107F8"/>
    <w:rsid w:val="007108FA"/>
    <w:rsid w:val="00710F49"/>
    <w:rsid w:val="00711349"/>
    <w:rsid w:val="00711AE8"/>
    <w:rsid w:val="00712DFE"/>
    <w:rsid w:val="00713795"/>
    <w:rsid w:val="00713C08"/>
    <w:rsid w:val="00713FF8"/>
    <w:rsid w:val="007144FC"/>
    <w:rsid w:val="0071573E"/>
    <w:rsid w:val="007159B0"/>
    <w:rsid w:val="00715A6F"/>
    <w:rsid w:val="00715E85"/>
    <w:rsid w:val="007161A4"/>
    <w:rsid w:val="00716A18"/>
    <w:rsid w:val="00716CC3"/>
    <w:rsid w:val="00717415"/>
    <w:rsid w:val="007205BA"/>
    <w:rsid w:val="00720874"/>
    <w:rsid w:val="007209A1"/>
    <w:rsid w:val="0072257B"/>
    <w:rsid w:val="00722AFB"/>
    <w:rsid w:val="00722D2A"/>
    <w:rsid w:val="00723124"/>
    <w:rsid w:val="0072362A"/>
    <w:rsid w:val="00723C5D"/>
    <w:rsid w:val="007248DD"/>
    <w:rsid w:val="00725A90"/>
    <w:rsid w:val="007262A1"/>
    <w:rsid w:val="007265E9"/>
    <w:rsid w:val="00726A65"/>
    <w:rsid w:val="00726C58"/>
    <w:rsid w:val="00727364"/>
    <w:rsid w:val="00730322"/>
    <w:rsid w:val="00730B0F"/>
    <w:rsid w:val="00730FC1"/>
    <w:rsid w:val="00731637"/>
    <w:rsid w:val="00731B8F"/>
    <w:rsid w:val="00731DD7"/>
    <w:rsid w:val="00731FB6"/>
    <w:rsid w:val="007321FD"/>
    <w:rsid w:val="0073221C"/>
    <w:rsid w:val="00732F89"/>
    <w:rsid w:val="0073362E"/>
    <w:rsid w:val="007341ED"/>
    <w:rsid w:val="00734570"/>
    <w:rsid w:val="007348E0"/>
    <w:rsid w:val="00735191"/>
    <w:rsid w:val="0073583F"/>
    <w:rsid w:val="007362CA"/>
    <w:rsid w:val="007366EC"/>
    <w:rsid w:val="007367F5"/>
    <w:rsid w:val="00736B3D"/>
    <w:rsid w:val="00737144"/>
    <w:rsid w:val="00737201"/>
    <w:rsid w:val="00737F98"/>
    <w:rsid w:val="0074021C"/>
    <w:rsid w:val="00740969"/>
    <w:rsid w:val="00740E0F"/>
    <w:rsid w:val="0074228C"/>
    <w:rsid w:val="00742490"/>
    <w:rsid w:val="00742A7C"/>
    <w:rsid w:val="00744C45"/>
    <w:rsid w:val="00745388"/>
    <w:rsid w:val="00746A23"/>
    <w:rsid w:val="007471BE"/>
    <w:rsid w:val="0074768D"/>
    <w:rsid w:val="00750991"/>
    <w:rsid w:val="007510D9"/>
    <w:rsid w:val="00751875"/>
    <w:rsid w:val="0075194F"/>
    <w:rsid w:val="007527F3"/>
    <w:rsid w:val="007534B1"/>
    <w:rsid w:val="007534C2"/>
    <w:rsid w:val="0075376A"/>
    <w:rsid w:val="00753AD3"/>
    <w:rsid w:val="00754304"/>
    <w:rsid w:val="0075488E"/>
    <w:rsid w:val="00754DDF"/>
    <w:rsid w:val="007556BF"/>
    <w:rsid w:val="0075582B"/>
    <w:rsid w:val="00755AF7"/>
    <w:rsid w:val="00755D79"/>
    <w:rsid w:val="007565C2"/>
    <w:rsid w:val="00756D84"/>
    <w:rsid w:val="00757729"/>
    <w:rsid w:val="007578A1"/>
    <w:rsid w:val="0075798E"/>
    <w:rsid w:val="0076071D"/>
    <w:rsid w:val="00760F63"/>
    <w:rsid w:val="007613C8"/>
    <w:rsid w:val="00761878"/>
    <w:rsid w:val="007619D5"/>
    <w:rsid w:val="00761DDB"/>
    <w:rsid w:val="00764031"/>
    <w:rsid w:val="007640F0"/>
    <w:rsid w:val="007644F0"/>
    <w:rsid w:val="0076652F"/>
    <w:rsid w:val="007667EA"/>
    <w:rsid w:val="00766FD5"/>
    <w:rsid w:val="007679AE"/>
    <w:rsid w:val="00767FF0"/>
    <w:rsid w:val="00771F3B"/>
    <w:rsid w:val="007725FA"/>
    <w:rsid w:val="00772649"/>
    <w:rsid w:val="00773D50"/>
    <w:rsid w:val="00773D96"/>
    <w:rsid w:val="00773E76"/>
    <w:rsid w:val="007741CC"/>
    <w:rsid w:val="00774A20"/>
    <w:rsid w:val="00774C97"/>
    <w:rsid w:val="0077564E"/>
    <w:rsid w:val="00775A64"/>
    <w:rsid w:val="00775DBD"/>
    <w:rsid w:val="00776918"/>
    <w:rsid w:val="007779E7"/>
    <w:rsid w:val="0078035D"/>
    <w:rsid w:val="00780C96"/>
    <w:rsid w:val="00781D9C"/>
    <w:rsid w:val="00782526"/>
    <w:rsid w:val="00782777"/>
    <w:rsid w:val="0078283E"/>
    <w:rsid w:val="00782EC4"/>
    <w:rsid w:val="00782F98"/>
    <w:rsid w:val="007833EE"/>
    <w:rsid w:val="007848BA"/>
    <w:rsid w:val="00784D88"/>
    <w:rsid w:val="00786936"/>
    <w:rsid w:val="00787754"/>
    <w:rsid w:val="00787A02"/>
    <w:rsid w:val="00787F28"/>
    <w:rsid w:val="00790F05"/>
    <w:rsid w:val="0079129E"/>
    <w:rsid w:val="007917E2"/>
    <w:rsid w:val="00792BCB"/>
    <w:rsid w:val="007930D6"/>
    <w:rsid w:val="00793553"/>
    <w:rsid w:val="00794EAE"/>
    <w:rsid w:val="00795561"/>
    <w:rsid w:val="007958EB"/>
    <w:rsid w:val="00795A7E"/>
    <w:rsid w:val="0079602C"/>
    <w:rsid w:val="00796854"/>
    <w:rsid w:val="00796EDA"/>
    <w:rsid w:val="007978B3"/>
    <w:rsid w:val="00797B2C"/>
    <w:rsid w:val="00797CDD"/>
    <w:rsid w:val="007A020C"/>
    <w:rsid w:val="007A0869"/>
    <w:rsid w:val="007A22BC"/>
    <w:rsid w:val="007A22F8"/>
    <w:rsid w:val="007A2302"/>
    <w:rsid w:val="007A32E0"/>
    <w:rsid w:val="007A3C14"/>
    <w:rsid w:val="007A401F"/>
    <w:rsid w:val="007A43B7"/>
    <w:rsid w:val="007A47DB"/>
    <w:rsid w:val="007A4824"/>
    <w:rsid w:val="007A50FE"/>
    <w:rsid w:val="007A5DAF"/>
    <w:rsid w:val="007A6284"/>
    <w:rsid w:val="007A7421"/>
    <w:rsid w:val="007A772C"/>
    <w:rsid w:val="007B016B"/>
    <w:rsid w:val="007B049B"/>
    <w:rsid w:val="007B1D1B"/>
    <w:rsid w:val="007B2975"/>
    <w:rsid w:val="007B2A51"/>
    <w:rsid w:val="007B3F8F"/>
    <w:rsid w:val="007B489A"/>
    <w:rsid w:val="007B553F"/>
    <w:rsid w:val="007B6146"/>
    <w:rsid w:val="007B6D67"/>
    <w:rsid w:val="007C0309"/>
    <w:rsid w:val="007C0462"/>
    <w:rsid w:val="007C06E1"/>
    <w:rsid w:val="007C0740"/>
    <w:rsid w:val="007C0E6B"/>
    <w:rsid w:val="007C1F95"/>
    <w:rsid w:val="007C250D"/>
    <w:rsid w:val="007C3022"/>
    <w:rsid w:val="007C3FC7"/>
    <w:rsid w:val="007C4479"/>
    <w:rsid w:val="007C5A53"/>
    <w:rsid w:val="007C60CF"/>
    <w:rsid w:val="007C64EC"/>
    <w:rsid w:val="007C6691"/>
    <w:rsid w:val="007C6889"/>
    <w:rsid w:val="007C69CE"/>
    <w:rsid w:val="007C70D4"/>
    <w:rsid w:val="007C7883"/>
    <w:rsid w:val="007C7DDC"/>
    <w:rsid w:val="007C7E47"/>
    <w:rsid w:val="007D0E0B"/>
    <w:rsid w:val="007D0F29"/>
    <w:rsid w:val="007D161C"/>
    <w:rsid w:val="007D1E52"/>
    <w:rsid w:val="007D2642"/>
    <w:rsid w:val="007D28DA"/>
    <w:rsid w:val="007D31CE"/>
    <w:rsid w:val="007D3E06"/>
    <w:rsid w:val="007D3E59"/>
    <w:rsid w:val="007D4065"/>
    <w:rsid w:val="007D571B"/>
    <w:rsid w:val="007D5729"/>
    <w:rsid w:val="007D68A3"/>
    <w:rsid w:val="007D700B"/>
    <w:rsid w:val="007D74F1"/>
    <w:rsid w:val="007E0670"/>
    <w:rsid w:val="007E0A60"/>
    <w:rsid w:val="007E0D1E"/>
    <w:rsid w:val="007E1FF9"/>
    <w:rsid w:val="007E2280"/>
    <w:rsid w:val="007E228A"/>
    <w:rsid w:val="007E36DA"/>
    <w:rsid w:val="007E38F5"/>
    <w:rsid w:val="007E3908"/>
    <w:rsid w:val="007E49D1"/>
    <w:rsid w:val="007E6BCB"/>
    <w:rsid w:val="007E7B72"/>
    <w:rsid w:val="007F0741"/>
    <w:rsid w:val="007F170D"/>
    <w:rsid w:val="007F343C"/>
    <w:rsid w:val="007F3544"/>
    <w:rsid w:val="007F4BFB"/>
    <w:rsid w:val="007F4CEA"/>
    <w:rsid w:val="007F5F8F"/>
    <w:rsid w:val="007F66C8"/>
    <w:rsid w:val="007F70F3"/>
    <w:rsid w:val="007F7584"/>
    <w:rsid w:val="00800437"/>
    <w:rsid w:val="008011F2"/>
    <w:rsid w:val="00801488"/>
    <w:rsid w:val="00801BD1"/>
    <w:rsid w:val="008024A9"/>
    <w:rsid w:val="00802ABF"/>
    <w:rsid w:val="00802F23"/>
    <w:rsid w:val="0080357A"/>
    <w:rsid w:val="00804334"/>
    <w:rsid w:val="00804DBB"/>
    <w:rsid w:val="00805A76"/>
    <w:rsid w:val="00805B24"/>
    <w:rsid w:val="00805D3E"/>
    <w:rsid w:val="00806473"/>
    <w:rsid w:val="008065F3"/>
    <w:rsid w:val="0080705D"/>
    <w:rsid w:val="00807336"/>
    <w:rsid w:val="00810503"/>
    <w:rsid w:val="0081055D"/>
    <w:rsid w:val="00812620"/>
    <w:rsid w:val="00812903"/>
    <w:rsid w:val="0081294A"/>
    <w:rsid w:val="00812C77"/>
    <w:rsid w:val="00813268"/>
    <w:rsid w:val="008139CB"/>
    <w:rsid w:val="00814220"/>
    <w:rsid w:val="008150DF"/>
    <w:rsid w:val="00815301"/>
    <w:rsid w:val="00815640"/>
    <w:rsid w:val="0081631A"/>
    <w:rsid w:val="0081715F"/>
    <w:rsid w:val="00817C95"/>
    <w:rsid w:val="0082030C"/>
    <w:rsid w:val="0082091C"/>
    <w:rsid w:val="00820FDA"/>
    <w:rsid w:val="008214C0"/>
    <w:rsid w:val="0082162F"/>
    <w:rsid w:val="0082189B"/>
    <w:rsid w:val="00821A44"/>
    <w:rsid w:val="008221CF"/>
    <w:rsid w:val="00822E01"/>
    <w:rsid w:val="008239DB"/>
    <w:rsid w:val="00824279"/>
    <w:rsid w:val="00824435"/>
    <w:rsid w:val="00825EC5"/>
    <w:rsid w:val="00826293"/>
    <w:rsid w:val="008266F8"/>
    <w:rsid w:val="00826CDB"/>
    <w:rsid w:val="008273F0"/>
    <w:rsid w:val="00827566"/>
    <w:rsid w:val="0082758C"/>
    <w:rsid w:val="00831415"/>
    <w:rsid w:val="008318E2"/>
    <w:rsid w:val="00831EB9"/>
    <w:rsid w:val="00832A77"/>
    <w:rsid w:val="0083407A"/>
    <w:rsid w:val="0083513B"/>
    <w:rsid w:val="008354BF"/>
    <w:rsid w:val="00835A6C"/>
    <w:rsid w:val="0083682E"/>
    <w:rsid w:val="00837823"/>
    <w:rsid w:val="00841469"/>
    <w:rsid w:val="00843FB6"/>
    <w:rsid w:val="00844B6A"/>
    <w:rsid w:val="00844F4A"/>
    <w:rsid w:val="00845A55"/>
    <w:rsid w:val="008463AB"/>
    <w:rsid w:val="00846861"/>
    <w:rsid w:val="00846BDB"/>
    <w:rsid w:val="00850A95"/>
    <w:rsid w:val="00852601"/>
    <w:rsid w:val="008539E7"/>
    <w:rsid w:val="00853A7A"/>
    <w:rsid w:val="00853B40"/>
    <w:rsid w:val="008548E3"/>
    <w:rsid w:val="00855790"/>
    <w:rsid w:val="00855855"/>
    <w:rsid w:val="00856F34"/>
    <w:rsid w:val="008614B6"/>
    <w:rsid w:val="008618E5"/>
    <w:rsid w:val="00862205"/>
    <w:rsid w:val="00862799"/>
    <w:rsid w:val="008630CD"/>
    <w:rsid w:val="00864093"/>
    <w:rsid w:val="0086429A"/>
    <w:rsid w:val="008646E7"/>
    <w:rsid w:val="00865342"/>
    <w:rsid w:val="008653E9"/>
    <w:rsid w:val="0086542A"/>
    <w:rsid w:val="00866DAE"/>
    <w:rsid w:val="00866F33"/>
    <w:rsid w:val="00867680"/>
    <w:rsid w:val="008703C6"/>
    <w:rsid w:val="00871B89"/>
    <w:rsid w:val="00872DFF"/>
    <w:rsid w:val="008730AC"/>
    <w:rsid w:val="0087314C"/>
    <w:rsid w:val="0087353F"/>
    <w:rsid w:val="00873F7D"/>
    <w:rsid w:val="008748E6"/>
    <w:rsid w:val="00874A24"/>
    <w:rsid w:val="00874CEF"/>
    <w:rsid w:val="00875A22"/>
    <w:rsid w:val="00875E70"/>
    <w:rsid w:val="008761DC"/>
    <w:rsid w:val="008768BB"/>
    <w:rsid w:val="008768DE"/>
    <w:rsid w:val="0087690D"/>
    <w:rsid w:val="00876CB8"/>
    <w:rsid w:val="00876FC9"/>
    <w:rsid w:val="008779D5"/>
    <w:rsid w:val="00877A27"/>
    <w:rsid w:val="00880D8E"/>
    <w:rsid w:val="00881699"/>
    <w:rsid w:val="00881A87"/>
    <w:rsid w:val="00881E04"/>
    <w:rsid w:val="008823DE"/>
    <w:rsid w:val="0088351E"/>
    <w:rsid w:val="00884AC4"/>
    <w:rsid w:val="008864D3"/>
    <w:rsid w:val="00886CD0"/>
    <w:rsid w:val="00887951"/>
    <w:rsid w:val="008900D4"/>
    <w:rsid w:val="008902AF"/>
    <w:rsid w:val="00890410"/>
    <w:rsid w:val="00890F07"/>
    <w:rsid w:val="00891162"/>
    <w:rsid w:val="00891299"/>
    <w:rsid w:val="008914A5"/>
    <w:rsid w:val="00891DAA"/>
    <w:rsid w:val="0089254F"/>
    <w:rsid w:val="00892B6E"/>
    <w:rsid w:val="00893097"/>
    <w:rsid w:val="0089332D"/>
    <w:rsid w:val="00893617"/>
    <w:rsid w:val="00893730"/>
    <w:rsid w:val="00893A47"/>
    <w:rsid w:val="00893FDD"/>
    <w:rsid w:val="00894169"/>
    <w:rsid w:val="00894C32"/>
    <w:rsid w:val="008965DD"/>
    <w:rsid w:val="00896EA6"/>
    <w:rsid w:val="0089706C"/>
    <w:rsid w:val="00897485"/>
    <w:rsid w:val="008978C7"/>
    <w:rsid w:val="0089799F"/>
    <w:rsid w:val="00897BB0"/>
    <w:rsid w:val="008A105E"/>
    <w:rsid w:val="008A12CB"/>
    <w:rsid w:val="008A13B4"/>
    <w:rsid w:val="008A1D60"/>
    <w:rsid w:val="008A1F54"/>
    <w:rsid w:val="008A2366"/>
    <w:rsid w:val="008A2B89"/>
    <w:rsid w:val="008A2BC7"/>
    <w:rsid w:val="008A3267"/>
    <w:rsid w:val="008A59A7"/>
    <w:rsid w:val="008A5A91"/>
    <w:rsid w:val="008A5E6E"/>
    <w:rsid w:val="008A6156"/>
    <w:rsid w:val="008A69FC"/>
    <w:rsid w:val="008A78FF"/>
    <w:rsid w:val="008B0747"/>
    <w:rsid w:val="008B0862"/>
    <w:rsid w:val="008B0ACB"/>
    <w:rsid w:val="008B143A"/>
    <w:rsid w:val="008B1F5A"/>
    <w:rsid w:val="008B21EF"/>
    <w:rsid w:val="008B26F6"/>
    <w:rsid w:val="008B2BB6"/>
    <w:rsid w:val="008B3B58"/>
    <w:rsid w:val="008B48FB"/>
    <w:rsid w:val="008B55CE"/>
    <w:rsid w:val="008B64AA"/>
    <w:rsid w:val="008B6995"/>
    <w:rsid w:val="008B70F5"/>
    <w:rsid w:val="008B7B1E"/>
    <w:rsid w:val="008B7ED8"/>
    <w:rsid w:val="008C05C4"/>
    <w:rsid w:val="008C12B7"/>
    <w:rsid w:val="008C1369"/>
    <w:rsid w:val="008C2626"/>
    <w:rsid w:val="008C2718"/>
    <w:rsid w:val="008C2741"/>
    <w:rsid w:val="008C2E16"/>
    <w:rsid w:val="008C2E44"/>
    <w:rsid w:val="008C399E"/>
    <w:rsid w:val="008C3B21"/>
    <w:rsid w:val="008C3B60"/>
    <w:rsid w:val="008C405C"/>
    <w:rsid w:val="008C4DA2"/>
    <w:rsid w:val="008C52B7"/>
    <w:rsid w:val="008C559E"/>
    <w:rsid w:val="008C6577"/>
    <w:rsid w:val="008C6BBF"/>
    <w:rsid w:val="008C7C8D"/>
    <w:rsid w:val="008D02C6"/>
    <w:rsid w:val="008D0503"/>
    <w:rsid w:val="008D071E"/>
    <w:rsid w:val="008D07C4"/>
    <w:rsid w:val="008D15E9"/>
    <w:rsid w:val="008D170A"/>
    <w:rsid w:val="008D1B07"/>
    <w:rsid w:val="008D2334"/>
    <w:rsid w:val="008D233C"/>
    <w:rsid w:val="008D244C"/>
    <w:rsid w:val="008D31C0"/>
    <w:rsid w:val="008D32CD"/>
    <w:rsid w:val="008D3BFE"/>
    <w:rsid w:val="008D3D57"/>
    <w:rsid w:val="008D4327"/>
    <w:rsid w:val="008D4387"/>
    <w:rsid w:val="008D5AB8"/>
    <w:rsid w:val="008D6B6F"/>
    <w:rsid w:val="008D6C61"/>
    <w:rsid w:val="008D7040"/>
    <w:rsid w:val="008D75B4"/>
    <w:rsid w:val="008D7F7A"/>
    <w:rsid w:val="008E0AA7"/>
    <w:rsid w:val="008E0BF5"/>
    <w:rsid w:val="008E1FCA"/>
    <w:rsid w:val="008E2255"/>
    <w:rsid w:val="008E25B2"/>
    <w:rsid w:val="008E2C99"/>
    <w:rsid w:val="008E30B5"/>
    <w:rsid w:val="008E345B"/>
    <w:rsid w:val="008E3C31"/>
    <w:rsid w:val="008E44D2"/>
    <w:rsid w:val="008E5E4B"/>
    <w:rsid w:val="008E6342"/>
    <w:rsid w:val="008E66F3"/>
    <w:rsid w:val="008E6D4D"/>
    <w:rsid w:val="008E7472"/>
    <w:rsid w:val="008E77EF"/>
    <w:rsid w:val="008E7DE5"/>
    <w:rsid w:val="008F01CB"/>
    <w:rsid w:val="008F0A70"/>
    <w:rsid w:val="008F0AD5"/>
    <w:rsid w:val="008F0C4C"/>
    <w:rsid w:val="008F1B9C"/>
    <w:rsid w:val="008F1DD5"/>
    <w:rsid w:val="008F2A25"/>
    <w:rsid w:val="008F34A4"/>
    <w:rsid w:val="008F3638"/>
    <w:rsid w:val="008F470C"/>
    <w:rsid w:val="008F4CA0"/>
    <w:rsid w:val="008F5087"/>
    <w:rsid w:val="008F508D"/>
    <w:rsid w:val="008F53B0"/>
    <w:rsid w:val="008F586B"/>
    <w:rsid w:val="008F62E8"/>
    <w:rsid w:val="008F6B71"/>
    <w:rsid w:val="008F6B9C"/>
    <w:rsid w:val="008F6CFD"/>
    <w:rsid w:val="008F7943"/>
    <w:rsid w:val="009005BD"/>
    <w:rsid w:val="0090086A"/>
    <w:rsid w:val="00900E48"/>
    <w:rsid w:val="009012B9"/>
    <w:rsid w:val="009013E9"/>
    <w:rsid w:val="00901A68"/>
    <w:rsid w:val="00901BBB"/>
    <w:rsid w:val="009020F5"/>
    <w:rsid w:val="0090498B"/>
    <w:rsid w:val="009056D7"/>
    <w:rsid w:val="009059E9"/>
    <w:rsid w:val="00905D74"/>
    <w:rsid w:val="00905EA4"/>
    <w:rsid w:val="00906064"/>
    <w:rsid w:val="009060AB"/>
    <w:rsid w:val="00907142"/>
    <w:rsid w:val="00910466"/>
    <w:rsid w:val="009120FE"/>
    <w:rsid w:val="0091253F"/>
    <w:rsid w:val="00913223"/>
    <w:rsid w:val="0091327D"/>
    <w:rsid w:val="009140CD"/>
    <w:rsid w:val="0091411D"/>
    <w:rsid w:val="00914E83"/>
    <w:rsid w:val="00915240"/>
    <w:rsid w:val="0091556D"/>
    <w:rsid w:val="00915578"/>
    <w:rsid w:val="00915A3F"/>
    <w:rsid w:val="00915B04"/>
    <w:rsid w:val="00915E9F"/>
    <w:rsid w:val="00916290"/>
    <w:rsid w:val="0091679C"/>
    <w:rsid w:val="00916FC3"/>
    <w:rsid w:val="00917329"/>
    <w:rsid w:val="009202CE"/>
    <w:rsid w:val="00920622"/>
    <w:rsid w:val="00920B28"/>
    <w:rsid w:val="00920D0A"/>
    <w:rsid w:val="009224A9"/>
    <w:rsid w:val="0092404D"/>
    <w:rsid w:val="00925287"/>
    <w:rsid w:val="00925C77"/>
    <w:rsid w:val="00926DB1"/>
    <w:rsid w:val="00930240"/>
    <w:rsid w:val="00930E91"/>
    <w:rsid w:val="00930EB0"/>
    <w:rsid w:val="00931DD8"/>
    <w:rsid w:val="0093270B"/>
    <w:rsid w:val="00932849"/>
    <w:rsid w:val="00932A35"/>
    <w:rsid w:val="00932A66"/>
    <w:rsid w:val="00932C23"/>
    <w:rsid w:val="00932C44"/>
    <w:rsid w:val="009330AE"/>
    <w:rsid w:val="00933294"/>
    <w:rsid w:val="00933645"/>
    <w:rsid w:val="0093407A"/>
    <w:rsid w:val="009340D1"/>
    <w:rsid w:val="0093450D"/>
    <w:rsid w:val="00934D4C"/>
    <w:rsid w:val="00935B0F"/>
    <w:rsid w:val="00935B29"/>
    <w:rsid w:val="00936018"/>
    <w:rsid w:val="0093678E"/>
    <w:rsid w:val="009369BD"/>
    <w:rsid w:val="00936DAB"/>
    <w:rsid w:val="009370D0"/>
    <w:rsid w:val="009371AF"/>
    <w:rsid w:val="0093751F"/>
    <w:rsid w:val="00937C39"/>
    <w:rsid w:val="0094022B"/>
    <w:rsid w:val="0094023E"/>
    <w:rsid w:val="009403BA"/>
    <w:rsid w:val="00940721"/>
    <w:rsid w:val="009407E6"/>
    <w:rsid w:val="00940E84"/>
    <w:rsid w:val="009410DD"/>
    <w:rsid w:val="009418CD"/>
    <w:rsid w:val="00941D84"/>
    <w:rsid w:val="0094238B"/>
    <w:rsid w:val="00942513"/>
    <w:rsid w:val="009425F5"/>
    <w:rsid w:val="00943694"/>
    <w:rsid w:val="00943E46"/>
    <w:rsid w:val="00943FF0"/>
    <w:rsid w:val="00944A3D"/>
    <w:rsid w:val="0094642D"/>
    <w:rsid w:val="009467A0"/>
    <w:rsid w:val="009467E6"/>
    <w:rsid w:val="00947029"/>
    <w:rsid w:val="00950ACC"/>
    <w:rsid w:val="009516B0"/>
    <w:rsid w:val="0095175E"/>
    <w:rsid w:val="00952C50"/>
    <w:rsid w:val="0095355A"/>
    <w:rsid w:val="00953823"/>
    <w:rsid w:val="00953EA3"/>
    <w:rsid w:val="00954851"/>
    <w:rsid w:val="00955388"/>
    <w:rsid w:val="00955A92"/>
    <w:rsid w:val="00955AE8"/>
    <w:rsid w:val="00956C45"/>
    <w:rsid w:val="00956CB2"/>
    <w:rsid w:val="00956ECC"/>
    <w:rsid w:val="00957433"/>
    <w:rsid w:val="00957618"/>
    <w:rsid w:val="00960CB5"/>
    <w:rsid w:val="00960D98"/>
    <w:rsid w:val="0096168E"/>
    <w:rsid w:val="00962A61"/>
    <w:rsid w:val="00962B8E"/>
    <w:rsid w:val="0096339C"/>
    <w:rsid w:val="00964668"/>
    <w:rsid w:val="0096476A"/>
    <w:rsid w:val="00964E14"/>
    <w:rsid w:val="00965F3C"/>
    <w:rsid w:val="00966DA3"/>
    <w:rsid w:val="009670CA"/>
    <w:rsid w:val="00967253"/>
    <w:rsid w:val="0096776E"/>
    <w:rsid w:val="0097031B"/>
    <w:rsid w:val="00970981"/>
    <w:rsid w:val="00971814"/>
    <w:rsid w:val="00971AC2"/>
    <w:rsid w:val="00972010"/>
    <w:rsid w:val="009727FA"/>
    <w:rsid w:val="00972A18"/>
    <w:rsid w:val="00972A39"/>
    <w:rsid w:val="00972EDA"/>
    <w:rsid w:val="0097404A"/>
    <w:rsid w:val="0097484C"/>
    <w:rsid w:val="00977642"/>
    <w:rsid w:val="0098291E"/>
    <w:rsid w:val="009830D1"/>
    <w:rsid w:val="00983345"/>
    <w:rsid w:val="00983D79"/>
    <w:rsid w:val="00983FC3"/>
    <w:rsid w:val="0098445B"/>
    <w:rsid w:val="009846BB"/>
    <w:rsid w:val="00984C6C"/>
    <w:rsid w:val="0098777B"/>
    <w:rsid w:val="009929A9"/>
    <w:rsid w:val="0099313D"/>
    <w:rsid w:val="0099375D"/>
    <w:rsid w:val="00993985"/>
    <w:rsid w:val="009939C1"/>
    <w:rsid w:val="00994225"/>
    <w:rsid w:val="0099431A"/>
    <w:rsid w:val="00994A21"/>
    <w:rsid w:val="0099648D"/>
    <w:rsid w:val="00996982"/>
    <w:rsid w:val="009969C6"/>
    <w:rsid w:val="009969EF"/>
    <w:rsid w:val="00996CF7"/>
    <w:rsid w:val="0099708B"/>
    <w:rsid w:val="009977B2"/>
    <w:rsid w:val="00997840"/>
    <w:rsid w:val="009A02C4"/>
    <w:rsid w:val="009A0563"/>
    <w:rsid w:val="009A0FE9"/>
    <w:rsid w:val="009A11FF"/>
    <w:rsid w:val="009A1362"/>
    <w:rsid w:val="009A1ECE"/>
    <w:rsid w:val="009A1F62"/>
    <w:rsid w:val="009A2551"/>
    <w:rsid w:val="009A368F"/>
    <w:rsid w:val="009A4115"/>
    <w:rsid w:val="009A4539"/>
    <w:rsid w:val="009A46A9"/>
    <w:rsid w:val="009A4B60"/>
    <w:rsid w:val="009A549D"/>
    <w:rsid w:val="009A64AF"/>
    <w:rsid w:val="009A65BF"/>
    <w:rsid w:val="009A669E"/>
    <w:rsid w:val="009A69BA"/>
    <w:rsid w:val="009A6B06"/>
    <w:rsid w:val="009A7B5B"/>
    <w:rsid w:val="009A7B74"/>
    <w:rsid w:val="009B027D"/>
    <w:rsid w:val="009B0711"/>
    <w:rsid w:val="009B0989"/>
    <w:rsid w:val="009B1069"/>
    <w:rsid w:val="009B1195"/>
    <w:rsid w:val="009B2B90"/>
    <w:rsid w:val="009B2BFE"/>
    <w:rsid w:val="009B39FE"/>
    <w:rsid w:val="009B3B79"/>
    <w:rsid w:val="009B3BAC"/>
    <w:rsid w:val="009B45DE"/>
    <w:rsid w:val="009B48CB"/>
    <w:rsid w:val="009B48DF"/>
    <w:rsid w:val="009B4F38"/>
    <w:rsid w:val="009B530A"/>
    <w:rsid w:val="009B5758"/>
    <w:rsid w:val="009B5B08"/>
    <w:rsid w:val="009B5FE7"/>
    <w:rsid w:val="009B68FE"/>
    <w:rsid w:val="009C09D0"/>
    <w:rsid w:val="009C0B6E"/>
    <w:rsid w:val="009C0FCB"/>
    <w:rsid w:val="009C112E"/>
    <w:rsid w:val="009C17E2"/>
    <w:rsid w:val="009C195C"/>
    <w:rsid w:val="009C1C94"/>
    <w:rsid w:val="009C1D01"/>
    <w:rsid w:val="009C24B3"/>
    <w:rsid w:val="009C2670"/>
    <w:rsid w:val="009C299D"/>
    <w:rsid w:val="009C4CF7"/>
    <w:rsid w:val="009C5946"/>
    <w:rsid w:val="009C5BF3"/>
    <w:rsid w:val="009C5C34"/>
    <w:rsid w:val="009C5CA1"/>
    <w:rsid w:val="009C60B9"/>
    <w:rsid w:val="009C63E3"/>
    <w:rsid w:val="009C7014"/>
    <w:rsid w:val="009D08A4"/>
    <w:rsid w:val="009D2329"/>
    <w:rsid w:val="009D2625"/>
    <w:rsid w:val="009D2657"/>
    <w:rsid w:val="009D286D"/>
    <w:rsid w:val="009D3753"/>
    <w:rsid w:val="009D3917"/>
    <w:rsid w:val="009D3F97"/>
    <w:rsid w:val="009D4386"/>
    <w:rsid w:val="009D440E"/>
    <w:rsid w:val="009D4C1E"/>
    <w:rsid w:val="009D50EF"/>
    <w:rsid w:val="009D52AA"/>
    <w:rsid w:val="009D6B2E"/>
    <w:rsid w:val="009D6D17"/>
    <w:rsid w:val="009D7615"/>
    <w:rsid w:val="009E1570"/>
    <w:rsid w:val="009E18ED"/>
    <w:rsid w:val="009E1DE3"/>
    <w:rsid w:val="009E1E8D"/>
    <w:rsid w:val="009E2083"/>
    <w:rsid w:val="009E2B04"/>
    <w:rsid w:val="009E2F5A"/>
    <w:rsid w:val="009E39E6"/>
    <w:rsid w:val="009E3A4A"/>
    <w:rsid w:val="009E3A75"/>
    <w:rsid w:val="009E472B"/>
    <w:rsid w:val="009E4815"/>
    <w:rsid w:val="009E49FA"/>
    <w:rsid w:val="009E4C57"/>
    <w:rsid w:val="009E5B9E"/>
    <w:rsid w:val="009E5E22"/>
    <w:rsid w:val="009E7D29"/>
    <w:rsid w:val="009F1255"/>
    <w:rsid w:val="009F139C"/>
    <w:rsid w:val="009F23C0"/>
    <w:rsid w:val="009F24B9"/>
    <w:rsid w:val="009F27E2"/>
    <w:rsid w:val="009F2B87"/>
    <w:rsid w:val="009F2DD5"/>
    <w:rsid w:val="009F3506"/>
    <w:rsid w:val="009F40CA"/>
    <w:rsid w:val="009F4608"/>
    <w:rsid w:val="009F4C62"/>
    <w:rsid w:val="009F76EA"/>
    <w:rsid w:val="009F7D95"/>
    <w:rsid w:val="009F7F74"/>
    <w:rsid w:val="00A00676"/>
    <w:rsid w:val="00A00909"/>
    <w:rsid w:val="00A00C52"/>
    <w:rsid w:val="00A00DEE"/>
    <w:rsid w:val="00A00E82"/>
    <w:rsid w:val="00A01317"/>
    <w:rsid w:val="00A01692"/>
    <w:rsid w:val="00A01856"/>
    <w:rsid w:val="00A0393C"/>
    <w:rsid w:val="00A03A99"/>
    <w:rsid w:val="00A040F2"/>
    <w:rsid w:val="00A0422B"/>
    <w:rsid w:val="00A04735"/>
    <w:rsid w:val="00A051A9"/>
    <w:rsid w:val="00A05501"/>
    <w:rsid w:val="00A05E5A"/>
    <w:rsid w:val="00A06FF5"/>
    <w:rsid w:val="00A074D5"/>
    <w:rsid w:val="00A0766F"/>
    <w:rsid w:val="00A077FD"/>
    <w:rsid w:val="00A07C19"/>
    <w:rsid w:val="00A07C1B"/>
    <w:rsid w:val="00A07C69"/>
    <w:rsid w:val="00A07CC1"/>
    <w:rsid w:val="00A07E0F"/>
    <w:rsid w:val="00A1002D"/>
    <w:rsid w:val="00A107F9"/>
    <w:rsid w:val="00A10A10"/>
    <w:rsid w:val="00A11303"/>
    <w:rsid w:val="00A11BEF"/>
    <w:rsid w:val="00A135A1"/>
    <w:rsid w:val="00A14300"/>
    <w:rsid w:val="00A14415"/>
    <w:rsid w:val="00A14AAA"/>
    <w:rsid w:val="00A14EBC"/>
    <w:rsid w:val="00A174D3"/>
    <w:rsid w:val="00A17C0F"/>
    <w:rsid w:val="00A17CFE"/>
    <w:rsid w:val="00A20687"/>
    <w:rsid w:val="00A21612"/>
    <w:rsid w:val="00A2164A"/>
    <w:rsid w:val="00A21AC6"/>
    <w:rsid w:val="00A221B9"/>
    <w:rsid w:val="00A22B20"/>
    <w:rsid w:val="00A22C02"/>
    <w:rsid w:val="00A23D41"/>
    <w:rsid w:val="00A23FEC"/>
    <w:rsid w:val="00A242F1"/>
    <w:rsid w:val="00A24595"/>
    <w:rsid w:val="00A25282"/>
    <w:rsid w:val="00A2794C"/>
    <w:rsid w:val="00A279F9"/>
    <w:rsid w:val="00A27B23"/>
    <w:rsid w:val="00A301F2"/>
    <w:rsid w:val="00A306E2"/>
    <w:rsid w:val="00A30AF1"/>
    <w:rsid w:val="00A30CD8"/>
    <w:rsid w:val="00A31A4A"/>
    <w:rsid w:val="00A32C7A"/>
    <w:rsid w:val="00A334AE"/>
    <w:rsid w:val="00A35D92"/>
    <w:rsid w:val="00A36A2D"/>
    <w:rsid w:val="00A37027"/>
    <w:rsid w:val="00A3720F"/>
    <w:rsid w:val="00A410FB"/>
    <w:rsid w:val="00A430EE"/>
    <w:rsid w:val="00A43E54"/>
    <w:rsid w:val="00A443B8"/>
    <w:rsid w:val="00A452C8"/>
    <w:rsid w:val="00A45A20"/>
    <w:rsid w:val="00A45F23"/>
    <w:rsid w:val="00A47177"/>
    <w:rsid w:val="00A47679"/>
    <w:rsid w:val="00A5014B"/>
    <w:rsid w:val="00A50211"/>
    <w:rsid w:val="00A5027C"/>
    <w:rsid w:val="00A512A6"/>
    <w:rsid w:val="00A512CA"/>
    <w:rsid w:val="00A5130D"/>
    <w:rsid w:val="00A5234C"/>
    <w:rsid w:val="00A52AF4"/>
    <w:rsid w:val="00A52F3D"/>
    <w:rsid w:val="00A5393F"/>
    <w:rsid w:val="00A53D1F"/>
    <w:rsid w:val="00A5418A"/>
    <w:rsid w:val="00A54490"/>
    <w:rsid w:val="00A548CC"/>
    <w:rsid w:val="00A55BAE"/>
    <w:rsid w:val="00A55E16"/>
    <w:rsid w:val="00A564FC"/>
    <w:rsid w:val="00A56FFE"/>
    <w:rsid w:val="00A57478"/>
    <w:rsid w:val="00A57480"/>
    <w:rsid w:val="00A57D7E"/>
    <w:rsid w:val="00A60E99"/>
    <w:rsid w:val="00A61699"/>
    <w:rsid w:val="00A61D6C"/>
    <w:rsid w:val="00A6365B"/>
    <w:rsid w:val="00A63D8E"/>
    <w:rsid w:val="00A640E1"/>
    <w:rsid w:val="00A64972"/>
    <w:rsid w:val="00A65873"/>
    <w:rsid w:val="00A67395"/>
    <w:rsid w:val="00A67644"/>
    <w:rsid w:val="00A67C85"/>
    <w:rsid w:val="00A67F08"/>
    <w:rsid w:val="00A702F8"/>
    <w:rsid w:val="00A70AB7"/>
    <w:rsid w:val="00A70EC2"/>
    <w:rsid w:val="00A7121D"/>
    <w:rsid w:val="00A712D2"/>
    <w:rsid w:val="00A713B2"/>
    <w:rsid w:val="00A7176F"/>
    <w:rsid w:val="00A731BB"/>
    <w:rsid w:val="00A73945"/>
    <w:rsid w:val="00A73A6D"/>
    <w:rsid w:val="00A73AE4"/>
    <w:rsid w:val="00A744AD"/>
    <w:rsid w:val="00A74D3D"/>
    <w:rsid w:val="00A74DB2"/>
    <w:rsid w:val="00A74FB7"/>
    <w:rsid w:val="00A762D5"/>
    <w:rsid w:val="00A76609"/>
    <w:rsid w:val="00A768B6"/>
    <w:rsid w:val="00A772D0"/>
    <w:rsid w:val="00A80AF0"/>
    <w:rsid w:val="00A813E8"/>
    <w:rsid w:val="00A82081"/>
    <w:rsid w:val="00A8268D"/>
    <w:rsid w:val="00A826C2"/>
    <w:rsid w:val="00A82B13"/>
    <w:rsid w:val="00A82B94"/>
    <w:rsid w:val="00A83E29"/>
    <w:rsid w:val="00A85386"/>
    <w:rsid w:val="00A85BBA"/>
    <w:rsid w:val="00A85D55"/>
    <w:rsid w:val="00A8615C"/>
    <w:rsid w:val="00A86751"/>
    <w:rsid w:val="00A8760D"/>
    <w:rsid w:val="00A8787B"/>
    <w:rsid w:val="00A90CE5"/>
    <w:rsid w:val="00A90D32"/>
    <w:rsid w:val="00A91797"/>
    <w:rsid w:val="00A91844"/>
    <w:rsid w:val="00A91D7C"/>
    <w:rsid w:val="00A92BF8"/>
    <w:rsid w:val="00A92CCE"/>
    <w:rsid w:val="00A92D99"/>
    <w:rsid w:val="00A92DF8"/>
    <w:rsid w:val="00A937B0"/>
    <w:rsid w:val="00A93F16"/>
    <w:rsid w:val="00A9401D"/>
    <w:rsid w:val="00A94946"/>
    <w:rsid w:val="00A95D23"/>
    <w:rsid w:val="00A961E5"/>
    <w:rsid w:val="00A9654E"/>
    <w:rsid w:val="00A96FFB"/>
    <w:rsid w:val="00A979C6"/>
    <w:rsid w:val="00A97C05"/>
    <w:rsid w:val="00A97CD1"/>
    <w:rsid w:val="00AA083D"/>
    <w:rsid w:val="00AA1713"/>
    <w:rsid w:val="00AA287A"/>
    <w:rsid w:val="00AA2F78"/>
    <w:rsid w:val="00AA37CB"/>
    <w:rsid w:val="00AA4096"/>
    <w:rsid w:val="00AA4361"/>
    <w:rsid w:val="00AA4FD0"/>
    <w:rsid w:val="00AA5DA5"/>
    <w:rsid w:val="00AA61D8"/>
    <w:rsid w:val="00AA6473"/>
    <w:rsid w:val="00AA6A08"/>
    <w:rsid w:val="00AA6C1B"/>
    <w:rsid w:val="00AA6D9B"/>
    <w:rsid w:val="00AA6DC6"/>
    <w:rsid w:val="00AA6E33"/>
    <w:rsid w:val="00AA740C"/>
    <w:rsid w:val="00AA7510"/>
    <w:rsid w:val="00AA7CC8"/>
    <w:rsid w:val="00AB0F04"/>
    <w:rsid w:val="00AB106A"/>
    <w:rsid w:val="00AB1095"/>
    <w:rsid w:val="00AB1AB4"/>
    <w:rsid w:val="00AB245E"/>
    <w:rsid w:val="00AB2EB5"/>
    <w:rsid w:val="00AB304F"/>
    <w:rsid w:val="00AB4943"/>
    <w:rsid w:val="00AB4B65"/>
    <w:rsid w:val="00AB4D86"/>
    <w:rsid w:val="00AB6095"/>
    <w:rsid w:val="00AB6776"/>
    <w:rsid w:val="00AB6801"/>
    <w:rsid w:val="00AB6F58"/>
    <w:rsid w:val="00AC0715"/>
    <w:rsid w:val="00AC110A"/>
    <w:rsid w:val="00AC1FB4"/>
    <w:rsid w:val="00AC2C79"/>
    <w:rsid w:val="00AC2E90"/>
    <w:rsid w:val="00AC486D"/>
    <w:rsid w:val="00AC48A8"/>
    <w:rsid w:val="00AC5302"/>
    <w:rsid w:val="00AC540C"/>
    <w:rsid w:val="00AC5639"/>
    <w:rsid w:val="00AC5D29"/>
    <w:rsid w:val="00AC640A"/>
    <w:rsid w:val="00AC65EB"/>
    <w:rsid w:val="00AC660A"/>
    <w:rsid w:val="00AC6D62"/>
    <w:rsid w:val="00AD06B9"/>
    <w:rsid w:val="00AD1A47"/>
    <w:rsid w:val="00AD2105"/>
    <w:rsid w:val="00AD22BA"/>
    <w:rsid w:val="00AD26F2"/>
    <w:rsid w:val="00AD5740"/>
    <w:rsid w:val="00AD5FEF"/>
    <w:rsid w:val="00AD6020"/>
    <w:rsid w:val="00AD6DE1"/>
    <w:rsid w:val="00AD76B5"/>
    <w:rsid w:val="00AE1608"/>
    <w:rsid w:val="00AE1F6F"/>
    <w:rsid w:val="00AE22BA"/>
    <w:rsid w:val="00AE3094"/>
    <w:rsid w:val="00AE4E40"/>
    <w:rsid w:val="00AE5376"/>
    <w:rsid w:val="00AE6258"/>
    <w:rsid w:val="00AE6AB1"/>
    <w:rsid w:val="00AE6B4C"/>
    <w:rsid w:val="00AE7BF2"/>
    <w:rsid w:val="00AF0146"/>
    <w:rsid w:val="00AF18F7"/>
    <w:rsid w:val="00AF1D58"/>
    <w:rsid w:val="00AF2337"/>
    <w:rsid w:val="00AF30EB"/>
    <w:rsid w:val="00AF3748"/>
    <w:rsid w:val="00AF4268"/>
    <w:rsid w:val="00AF4862"/>
    <w:rsid w:val="00AF4D23"/>
    <w:rsid w:val="00AF51E1"/>
    <w:rsid w:val="00AF58BD"/>
    <w:rsid w:val="00AF6832"/>
    <w:rsid w:val="00AF6DD3"/>
    <w:rsid w:val="00AF6E02"/>
    <w:rsid w:val="00AF6E79"/>
    <w:rsid w:val="00AF6F8F"/>
    <w:rsid w:val="00AF7FF2"/>
    <w:rsid w:val="00B0042F"/>
    <w:rsid w:val="00B01119"/>
    <w:rsid w:val="00B02547"/>
    <w:rsid w:val="00B02C7B"/>
    <w:rsid w:val="00B03134"/>
    <w:rsid w:val="00B03306"/>
    <w:rsid w:val="00B035A7"/>
    <w:rsid w:val="00B03FAD"/>
    <w:rsid w:val="00B045CC"/>
    <w:rsid w:val="00B049D2"/>
    <w:rsid w:val="00B05744"/>
    <w:rsid w:val="00B05796"/>
    <w:rsid w:val="00B06FD0"/>
    <w:rsid w:val="00B072C5"/>
    <w:rsid w:val="00B0758F"/>
    <w:rsid w:val="00B07A02"/>
    <w:rsid w:val="00B07C7B"/>
    <w:rsid w:val="00B12A1C"/>
    <w:rsid w:val="00B14162"/>
    <w:rsid w:val="00B15148"/>
    <w:rsid w:val="00B15868"/>
    <w:rsid w:val="00B15C01"/>
    <w:rsid w:val="00B160E1"/>
    <w:rsid w:val="00B17B99"/>
    <w:rsid w:val="00B17FF6"/>
    <w:rsid w:val="00B20027"/>
    <w:rsid w:val="00B209EF"/>
    <w:rsid w:val="00B20BE7"/>
    <w:rsid w:val="00B21557"/>
    <w:rsid w:val="00B219D9"/>
    <w:rsid w:val="00B22245"/>
    <w:rsid w:val="00B23C30"/>
    <w:rsid w:val="00B23D89"/>
    <w:rsid w:val="00B23DDA"/>
    <w:rsid w:val="00B24017"/>
    <w:rsid w:val="00B242CD"/>
    <w:rsid w:val="00B251DB"/>
    <w:rsid w:val="00B259B7"/>
    <w:rsid w:val="00B261B8"/>
    <w:rsid w:val="00B26880"/>
    <w:rsid w:val="00B26C25"/>
    <w:rsid w:val="00B26E41"/>
    <w:rsid w:val="00B270E6"/>
    <w:rsid w:val="00B3066F"/>
    <w:rsid w:val="00B313A8"/>
    <w:rsid w:val="00B31977"/>
    <w:rsid w:val="00B320B4"/>
    <w:rsid w:val="00B3325C"/>
    <w:rsid w:val="00B33740"/>
    <w:rsid w:val="00B35680"/>
    <w:rsid w:val="00B358E7"/>
    <w:rsid w:val="00B35C0C"/>
    <w:rsid w:val="00B3647F"/>
    <w:rsid w:val="00B368B0"/>
    <w:rsid w:val="00B36D57"/>
    <w:rsid w:val="00B37046"/>
    <w:rsid w:val="00B378CF"/>
    <w:rsid w:val="00B40273"/>
    <w:rsid w:val="00B4045F"/>
    <w:rsid w:val="00B408EE"/>
    <w:rsid w:val="00B409BB"/>
    <w:rsid w:val="00B40A60"/>
    <w:rsid w:val="00B40B73"/>
    <w:rsid w:val="00B414B3"/>
    <w:rsid w:val="00B41879"/>
    <w:rsid w:val="00B42103"/>
    <w:rsid w:val="00B4210F"/>
    <w:rsid w:val="00B43497"/>
    <w:rsid w:val="00B43EE0"/>
    <w:rsid w:val="00B446A6"/>
    <w:rsid w:val="00B451AA"/>
    <w:rsid w:val="00B45B98"/>
    <w:rsid w:val="00B45E7F"/>
    <w:rsid w:val="00B45F52"/>
    <w:rsid w:val="00B46558"/>
    <w:rsid w:val="00B46BA3"/>
    <w:rsid w:val="00B47258"/>
    <w:rsid w:val="00B473B6"/>
    <w:rsid w:val="00B507D9"/>
    <w:rsid w:val="00B510FF"/>
    <w:rsid w:val="00B5330C"/>
    <w:rsid w:val="00B538B9"/>
    <w:rsid w:val="00B53EE9"/>
    <w:rsid w:val="00B54387"/>
    <w:rsid w:val="00B54A0C"/>
    <w:rsid w:val="00B54B2C"/>
    <w:rsid w:val="00B54E17"/>
    <w:rsid w:val="00B55458"/>
    <w:rsid w:val="00B55DB5"/>
    <w:rsid w:val="00B57C68"/>
    <w:rsid w:val="00B6182C"/>
    <w:rsid w:val="00B619AD"/>
    <w:rsid w:val="00B61A60"/>
    <w:rsid w:val="00B61AA1"/>
    <w:rsid w:val="00B61B31"/>
    <w:rsid w:val="00B622CB"/>
    <w:rsid w:val="00B62342"/>
    <w:rsid w:val="00B62DEE"/>
    <w:rsid w:val="00B63FEE"/>
    <w:rsid w:val="00B64358"/>
    <w:rsid w:val="00B64628"/>
    <w:rsid w:val="00B64855"/>
    <w:rsid w:val="00B65A5B"/>
    <w:rsid w:val="00B65B5E"/>
    <w:rsid w:val="00B663C9"/>
    <w:rsid w:val="00B66402"/>
    <w:rsid w:val="00B664FD"/>
    <w:rsid w:val="00B6658F"/>
    <w:rsid w:val="00B66985"/>
    <w:rsid w:val="00B6722A"/>
    <w:rsid w:val="00B67A9E"/>
    <w:rsid w:val="00B704F9"/>
    <w:rsid w:val="00B705A1"/>
    <w:rsid w:val="00B70D73"/>
    <w:rsid w:val="00B71821"/>
    <w:rsid w:val="00B71C35"/>
    <w:rsid w:val="00B723D4"/>
    <w:rsid w:val="00B729D6"/>
    <w:rsid w:val="00B72E84"/>
    <w:rsid w:val="00B732EF"/>
    <w:rsid w:val="00B73458"/>
    <w:rsid w:val="00B73D10"/>
    <w:rsid w:val="00B74F61"/>
    <w:rsid w:val="00B760A7"/>
    <w:rsid w:val="00B76790"/>
    <w:rsid w:val="00B767C7"/>
    <w:rsid w:val="00B76D41"/>
    <w:rsid w:val="00B80608"/>
    <w:rsid w:val="00B817AE"/>
    <w:rsid w:val="00B81930"/>
    <w:rsid w:val="00B82078"/>
    <w:rsid w:val="00B82636"/>
    <w:rsid w:val="00B83646"/>
    <w:rsid w:val="00B83EE6"/>
    <w:rsid w:val="00B83F44"/>
    <w:rsid w:val="00B86022"/>
    <w:rsid w:val="00B8676A"/>
    <w:rsid w:val="00B87091"/>
    <w:rsid w:val="00B900BD"/>
    <w:rsid w:val="00B918D6"/>
    <w:rsid w:val="00B92F43"/>
    <w:rsid w:val="00B9312E"/>
    <w:rsid w:val="00B936F6"/>
    <w:rsid w:val="00B93968"/>
    <w:rsid w:val="00B94370"/>
    <w:rsid w:val="00B946F2"/>
    <w:rsid w:val="00B946F8"/>
    <w:rsid w:val="00B95B1D"/>
    <w:rsid w:val="00B95D11"/>
    <w:rsid w:val="00B96451"/>
    <w:rsid w:val="00B96883"/>
    <w:rsid w:val="00B96CF1"/>
    <w:rsid w:val="00B973A3"/>
    <w:rsid w:val="00B975A5"/>
    <w:rsid w:val="00B97652"/>
    <w:rsid w:val="00B9799A"/>
    <w:rsid w:val="00BA06C7"/>
    <w:rsid w:val="00BA2D7B"/>
    <w:rsid w:val="00BA2EBB"/>
    <w:rsid w:val="00BA4108"/>
    <w:rsid w:val="00BA4268"/>
    <w:rsid w:val="00BA4916"/>
    <w:rsid w:val="00BA4DE2"/>
    <w:rsid w:val="00BA5538"/>
    <w:rsid w:val="00BA5F34"/>
    <w:rsid w:val="00BA6250"/>
    <w:rsid w:val="00BA6A12"/>
    <w:rsid w:val="00BA71C4"/>
    <w:rsid w:val="00BB020D"/>
    <w:rsid w:val="00BB0F9E"/>
    <w:rsid w:val="00BB1080"/>
    <w:rsid w:val="00BB10C0"/>
    <w:rsid w:val="00BB1165"/>
    <w:rsid w:val="00BB176C"/>
    <w:rsid w:val="00BB1827"/>
    <w:rsid w:val="00BB1BC7"/>
    <w:rsid w:val="00BB1EDA"/>
    <w:rsid w:val="00BB26C7"/>
    <w:rsid w:val="00BB2934"/>
    <w:rsid w:val="00BB33F0"/>
    <w:rsid w:val="00BB350F"/>
    <w:rsid w:val="00BB4946"/>
    <w:rsid w:val="00BB549B"/>
    <w:rsid w:val="00BB5CC8"/>
    <w:rsid w:val="00BB6048"/>
    <w:rsid w:val="00BB6576"/>
    <w:rsid w:val="00BB753D"/>
    <w:rsid w:val="00BB779E"/>
    <w:rsid w:val="00BC289C"/>
    <w:rsid w:val="00BC301A"/>
    <w:rsid w:val="00BC3A49"/>
    <w:rsid w:val="00BC4FB3"/>
    <w:rsid w:val="00BC5157"/>
    <w:rsid w:val="00BC5594"/>
    <w:rsid w:val="00BC56FE"/>
    <w:rsid w:val="00BC617C"/>
    <w:rsid w:val="00BC63F8"/>
    <w:rsid w:val="00BC65F0"/>
    <w:rsid w:val="00BC68A5"/>
    <w:rsid w:val="00BC68CA"/>
    <w:rsid w:val="00BC6D33"/>
    <w:rsid w:val="00BC7246"/>
    <w:rsid w:val="00BC777D"/>
    <w:rsid w:val="00BC797B"/>
    <w:rsid w:val="00BC7B29"/>
    <w:rsid w:val="00BC7C89"/>
    <w:rsid w:val="00BD0F8A"/>
    <w:rsid w:val="00BD1406"/>
    <w:rsid w:val="00BD2977"/>
    <w:rsid w:val="00BD3475"/>
    <w:rsid w:val="00BD3A89"/>
    <w:rsid w:val="00BD3C8C"/>
    <w:rsid w:val="00BD570C"/>
    <w:rsid w:val="00BD5778"/>
    <w:rsid w:val="00BD5E93"/>
    <w:rsid w:val="00BD5F51"/>
    <w:rsid w:val="00BD65F0"/>
    <w:rsid w:val="00BD66D4"/>
    <w:rsid w:val="00BD6CA7"/>
    <w:rsid w:val="00BD72A1"/>
    <w:rsid w:val="00BD79AB"/>
    <w:rsid w:val="00BE1A69"/>
    <w:rsid w:val="00BE1CB4"/>
    <w:rsid w:val="00BE3E34"/>
    <w:rsid w:val="00BE3EBB"/>
    <w:rsid w:val="00BE40FE"/>
    <w:rsid w:val="00BE53C7"/>
    <w:rsid w:val="00BE5AB3"/>
    <w:rsid w:val="00BE645D"/>
    <w:rsid w:val="00BE65F5"/>
    <w:rsid w:val="00BE6ADD"/>
    <w:rsid w:val="00BE6EEA"/>
    <w:rsid w:val="00BE7BBC"/>
    <w:rsid w:val="00BF0FF5"/>
    <w:rsid w:val="00BF105F"/>
    <w:rsid w:val="00BF11CE"/>
    <w:rsid w:val="00BF12E4"/>
    <w:rsid w:val="00BF13E1"/>
    <w:rsid w:val="00BF2014"/>
    <w:rsid w:val="00BF2289"/>
    <w:rsid w:val="00BF2295"/>
    <w:rsid w:val="00BF311E"/>
    <w:rsid w:val="00BF33EA"/>
    <w:rsid w:val="00BF34D8"/>
    <w:rsid w:val="00BF34DB"/>
    <w:rsid w:val="00BF36BE"/>
    <w:rsid w:val="00BF36E7"/>
    <w:rsid w:val="00BF495E"/>
    <w:rsid w:val="00BF4E7A"/>
    <w:rsid w:val="00BF5700"/>
    <w:rsid w:val="00BF6930"/>
    <w:rsid w:val="00BF6BD5"/>
    <w:rsid w:val="00BF7209"/>
    <w:rsid w:val="00BF7B1B"/>
    <w:rsid w:val="00BF7E18"/>
    <w:rsid w:val="00C001F6"/>
    <w:rsid w:val="00C00977"/>
    <w:rsid w:val="00C01087"/>
    <w:rsid w:val="00C01505"/>
    <w:rsid w:val="00C0286D"/>
    <w:rsid w:val="00C02B68"/>
    <w:rsid w:val="00C033D9"/>
    <w:rsid w:val="00C041CF"/>
    <w:rsid w:val="00C0429A"/>
    <w:rsid w:val="00C0450C"/>
    <w:rsid w:val="00C04E75"/>
    <w:rsid w:val="00C05769"/>
    <w:rsid w:val="00C05D5A"/>
    <w:rsid w:val="00C0726E"/>
    <w:rsid w:val="00C072E4"/>
    <w:rsid w:val="00C0741F"/>
    <w:rsid w:val="00C07880"/>
    <w:rsid w:val="00C07A5E"/>
    <w:rsid w:val="00C07BE7"/>
    <w:rsid w:val="00C10051"/>
    <w:rsid w:val="00C12BD9"/>
    <w:rsid w:val="00C1472B"/>
    <w:rsid w:val="00C15483"/>
    <w:rsid w:val="00C157D8"/>
    <w:rsid w:val="00C16BD8"/>
    <w:rsid w:val="00C16C94"/>
    <w:rsid w:val="00C171DD"/>
    <w:rsid w:val="00C17EB1"/>
    <w:rsid w:val="00C203EB"/>
    <w:rsid w:val="00C208F9"/>
    <w:rsid w:val="00C2119C"/>
    <w:rsid w:val="00C21B48"/>
    <w:rsid w:val="00C2387B"/>
    <w:rsid w:val="00C240E1"/>
    <w:rsid w:val="00C25705"/>
    <w:rsid w:val="00C25BE1"/>
    <w:rsid w:val="00C26158"/>
    <w:rsid w:val="00C26CE2"/>
    <w:rsid w:val="00C271B5"/>
    <w:rsid w:val="00C278A8"/>
    <w:rsid w:val="00C27BB1"/>
    <w:rsid w:val="00C27CB3"/>
    <w:rsid w:val="00C3037A"/>
    <w:rsid w:val="00C30946"/>
    <w:rsid w:val="00C30950"/>
    <w:rsid w:val="00C31648"/>
    <w:rsid w:val="00C31A91"/>
    <w:rsid w:val="00C320FF"/>
    <w:rsid w:val="00C3228D"/>
    <w:rsid w:val="00C3258F"/>
    <w:rsid w:val="00C3269B"/>
    <w:rsid w:val="00C3275D"/>
    <w:rsid w:val="00C32C8D"/>
    <w:rsid w:val="00C33101"/>
    <w:rsid w:val="00C33ADC"/>
    <w:rsid w:val="00C34F0F"/>
    <w:rsid w:val="00C35F10"/>
    <w:rsid w:val="00C35F9F"/>
    <w:rsid w:val="00C35FC8"/>
    <w:rsid w:val="00C3749D"/>
    <w:rsid w:val="00C40636"/>
    <w:rsid w:val="00C417A8"/>
    <w:rsid w:val="00C42900"/>
    <w:rsid w:val="00C42F09"/>
    <w:rsid w:val="00C43968"/>
    <w:rsid w:val="00C43D48"/>
    <w:rsid w:val="00C43E46"/>
    <w:rsid w:val="00C4455B"/>
    <w:rsid w:val="00C44818"/>
    <w:rsid w:val="00C45597"/>
    <w:rsid w:val="00C45EFA"/>
    <w:rsid w:val="00C4660C"/>
    <w:rsid w:val="00C476F5"/>
    <w:rsid w:val="00C4793F"/>
    <w:rsid w:val="00C507A8"/>
    <w:rsid w:val="00C507B7"/>
    <w:rsid w:val="00C50A57"/>
    <w:rsid w:val="00C50A9A"/>
    <w:rsid w:val="00C50AD6"/>
    <w:rsid w:val="00C52007"/>
    <w:rsid w:val="00C52859"/>
    <w:rsid w:val="00C5296D"/>
    <w:rsid w:val="00C53331"/>
    <w:rsid w:val="00C534D2"/>
    <w:rsid w:val="00C538B5"/>
    <w:rsid w:val="00C543C9"/>
    <w:rsid w:val="00C54988"/>
    <w:rsid w:val="00C553E0"/>
    <w:rsid w:val="00C55B4F"/>
    <w:rsid w:val="00C562E1"/>
    <w:rsid w:val="00C56458"/>
    <w:rsid w:val="00C56A35"/>
    <w:rsid w:val="00C57129"/>
    <w:rsid w:val="00C5720D"/>
    <w:rsid w:val="00C57FEB"/>
    <w:rsid w:val="00C609FA"/>
    <w:rsid w:val="00C60DDA"/>
    <w:rsid w:val="00C6143C"/>
    <w:rsid w:val="00C61C49"/>
    <w:rsid w:val="00C61E1B"/>
    <w:rsid w:val="00C61EB6"/>
    <w:rsid w:val="00C629EA"/>
    <w:rsid w:val="00C62F5F"/>
    <w:rsid w:val="00C631A6"/>
    <w:rsid w:val="00C63A00"/>
    <w:rsid w:val="00C650F8"/>
    <w:rsid w:val="00C651B7"/>
    <w:rsid w:val="00C6536E"/>
    <w:rsid w:val="00C656CA"/>
    <w:rsid w:val="00C657DE"/>
    <w:rsid w:val="00C65E4E"/>
    <w:rsid w:val="00C67B35"/>
    <w:rsid w:val="00C67BFA"/>
    <w:rsid w:val="00C703BC"/>
    <w:rsid w:val="00C70531"/>
    <w:rsid w:val="00C708CB"/>
    <w:rsid w:val="00C71C20"/>
    <w:rsid w:val="00C72282"/>
    <w:rsid w:val="00C72ED0"/>
    <w:rsid w:val="00C73643"/>
    <w:rsid w:val="00C74E63"/>
    <w:rsid w:val="00C759C4"/>
    <w:rsid w:val="00C7606E"/>
    <w:rsid w:val="00C762B8"/>
    <w:rsid w:val="00C77181"/>
    <w:rsid w:val="00C80A34"/>
    <w:rsid w:val="00C829EA"/>
    <w:rsid w:val="00C82D3F"/>
    <w:rsid w:val="00C83C69"/>
    <w:rsid w:val="00C846C6"/>
    <w:rsid w:val="00C85066"/>
    <w:rsid w:val="00C85F0F"/>
    <w:rsid w:val="00C86115"/>
    <w:rsid w:val="00C861C6"/>
    <w:rsid w:val="00C8704A"/>
    <w:rsid w:val="00C8758D"/>
    <w:rsid w:val="00C901A9"/>
    <w:rsid w:val="00C9041E"/>
    <w:rsid w:val="00C90681"/>
    <w:rsid w:val="00C923E0"/>
    <w:rsid w:val="00C92815"/>
    <w:rsid w:val="00C93203"/>
    <w:rsid w:val="00C93227"/>
    <w:rsid w:val="00C93C62"/>
    <w:rsid w:val="00C96B8F"/>
    <w:rsid w:val="00C9721C"/>
    <w:rsid w:val="00CA09D1"/>
    <w:rsid w:val="00CA0B50"/>
    <w:rsid w:val="00CA10DA"/>
    <w:rsid w:val="00CA1129"/>
    <w:rsid w:val="00CA15F2"/>
    <w:rsid w:val="00CA1A02"/>
    <w:rsid w:val="00CA2202"/>
    <w:rsid w:val="00CA24A9"/>
    <w:rsid w:val="00CA28CA"/>
    <w:rsid w:val="00CA2C1A"/>
    <w:rsid w:val="00CA2DF4"/>
    <w:rsid w:val="00CA34CF"/>
    <w:rsid w:val="00CA37D1"/>
    <w:rsid w:val="00CA3F49"/>
    <w:rsid w:val="00CA4469"/>
    <w:rsid w:val="00CA5874"/>
    <w:rsid w:val="00CA5DFB"/>
    <w:rsid w:val="00CA5EF1"/>
    <w:rsid w:val="00CA6530"/>
    <w:rsid w:val="00CA67D4"/>
    <w:rsid w:val="00CA689F"/>
    <w:rsid w:val="00CA7B1E"/>
    <w:rsid w:val="00CB0B84"/>
    <w:rsid w:val="00CB11A7"/>
    <w:rsid w:val="00CB1758"/>
    <w:rsid w:val="00CB2DE1"/>
    <w:rsid w:val="00CB3B9E"/>
    <w:rsid w:val="00CB3E0A"/>
    <w:rsid w:val="00CB3E2C"/>
    <w:rsid w:val="00CB3F12"/>
    <w:rsid w:val="00CB4242"/>
    <w:rsid w:val="00CB4B20"/>
    <w:rsid w:val="00CB4C16"/>
    <w:rsid w:val="00CB5666"/>
    <w:rsid w:val="00CB5BB9"/>
    <w:rsid w:val="00CB649F"/>
    <w:rsid w:val="00CB6996"/>
    <w:rsid w:val="00CB69FF"/>
    <w:rsid w:val="00CB6E11"/>
    <w:rsid w:val="00CB7499"/>
    <w:rsid w:val="00CB771F"/>
    <w:rsid w:val="00CB78A3"/>
    <w:rsid w:val="00CC0149"/>
    <w:rsid w:val="00CC1604"/>
    <w:rsid w:val="00CC1C1B"/>
    <w:rsid w:val="00CC1FEE"/>
    <w:rsid w:val="00CC300A"/>
    <w:rsid w:val="00CC4DB9"/>
    <w:rsid w:val="00CC5585"/>
    <w:rsid w:val="00CC5654"/>
    <w:rsid w:val="00CC5AC3"/>
    <w:rsid w:val="00CC6032"/>
    <w:rsid w:val="00CC659E"/>
    <w:rsid w:val="00CC6FBD"/>
    <w:rsid w:val="00CD0279"/>
    <w:rsid w:val="00CD0E3C"/>
    <w:rsid w:val="00CD120E"/>
    <w:rsid w:val="00CD25D5"/>
    <w:rsid w:val="00CD2768"/>
    <w:rsid w:val="00CD29D1"/>
    <w:rsid w:val="00CD2D6D"/>
    <w:rsid w:val="00CD36CB"/>
    <w:rsid w:val="00CD3FDC"/>
    <w:rsid w:val="00CD416A"/>
    <w:rsid w:val="00CD4E6F"/>
    <w:rsid w:val="00CD589A"/>
    <w:rsid w:val="00CD6C20"/>
    <w:rsid w:val="00CE0C21"/>
    <w:rsid w:val="00CE0F0D"/>
    <w:rsid w:val="00CE14A1"/>
    <w:rsid w:val="00CE16F3"/>
    <w:rsid w:val="00CE1818"/>
    <w:rsid w:val="00CE2690"/>
    <w:rsid w:val="00CE4789"/>
    <w:rsid w:val="00CE4FF9"/>
    <w:rsid w:val="00CE669B"/>
    <w:rsid w:val="00CE671B"/>
    <w:rsid w:val="00CE6BBD"/>
    <w:rsid w:val="00CE7C11"/>
    <w:rsid w:val="00CE7F17"/>
    <w:rsid w:val="00CF0227"/>
    <w:rsid w:val="00CF1404"/>
    <w:rsid w:val="00CF1FC2"/>
    <w:rsid w:val="00CF28DB"/>
    <w:rsid w:val="00CF353B"/>
    <w:rsid w:val="00CF3DCD"/>
    <w:rsid w:val="00CF3F83"/>
    <w:rsid w:val="00CF50B0"/>
    <w:rsid w:val="00CF5AD8"/>
    <w:rsid w:val="00CF5CBE"/>
    <w:rsid w:val="00CF639B"/>
    <w:rsid w:val="00CF655D"/>
    <w:rsid w:val="00CF6906"/>
    <w:rsid w:val="00CF6B6B"/>
    <w:rsid w:val="00CF74D7"/>
    <w:rsid w:val="00CF7A54"/>
    <w:rsid w:val="00CF7B2D"/>
    <w:rsid w:val="00D0175F"/>
    <w:rsid w:val="00D02836"/>
    <w:rsid w:val="00D02ABC"/>
    <w:rsid w:val="00D035DC"/>
    <w:rsid w:val="00D037AD"/>
    <w:rsid w:val="00D0545A"/>
    <w:rsid w:val="00D055DF"/>
    <w:rsid w:val="00D07DEB"/>
    <w:rsid w:val="00D100C4"/>
    <w:rsid w:val="00D10782"/>
    <w:rsid w:val="00D1214B"/>
    <w:rsid w:val="00D124F8"/>
    <w:rsid w:val="00D1339D"/>
    <w:rsid w:val="00D146B1"/>
    <w:rsid w:val="00D14D5B"/>
    <w:rsid w:val="00D15304"/>
    <w:rsid w:val="00D15D63"/>
    <w:rsid w:val="00D15F55"/>
    <w:rsid w:val="00D16FDC"/>
    <w:rsid w:val="00D17775"/>
    <w:rsid w:val="00D200A6"/>
    <w:rsid w:val="00D20369"/>
    <w:rsid w:val="00D20A5E"/>
    <w:rsid w:val="00D20FCD"/>
    <w:rsid w:val="00D2157B"/>
    <w:rsid w:val="00D21FEB"/>
    <w:rsid w:val="00D220CF"/>
    <w:rsid w:val="00D2363A"/>
    <w:rsid w:val="00D23FCA"/>
    <w:rsid w:val="00D24812"/>
    <w:rsid w:val="00D250EF"/>
    <w:rsid w:val="00D256AB"/>
    <w:rsid w:val="00D258FC"/>
    <w:rsid w:val="00D25CEE"/>
    <w:rsid w:val="00D26689"/>
    <w:rsid w:val="00D27B99"/>
    <w:rsid w:val="00D3049C"/>
    <w:rsid w:val="00D30535"/>
    <w:rsid w:val="00D30AFC"/>
    <w:rsid w:val="00D3148D"/>
    <w:rsid w:val="00D314AB"/>
    <w:rsid w:val="00D3347F"/>
    <w:rsid w:val="00D3382A"/>
    <w:rsid w:val="00D33925"/>
    <w:rsid w:val="00D33ECD"/>
    <w:rsid w:val="00D344C2"/>
    <w:rsid w:val="00D34914"/>
    <w:rsid w:val="00D34AFD"/>
    <w:rsid w:val="00D34D1C"/>
    <w:rsid w:val="00D34D20"/>
    <w:rsid w:val="00D34DF8"/>
    <w:rsid w:val="00D35970"/>
    <w:rsid w:val="00D359E4"/>
    <w:rsid w:val="00D37260"/>
    <w:rsid w:val="00D40357"/>
    <w:rsid w:val="00D40DBC"/>
    <w:rsid w:val="00D411A4"/>
    <w:rsid w:val="00D41868"/>
    <w:rsid w:val="00D41F0A"/>
    <w:rsid w:val="00D42041"/>
    <w:rsid w:val="00D42ABC"/>
    <w:rsid w:val="00D42F8F"/>
    <w:rsid w:val="00D43CE2"/>
    <w:rsid w:val="00D43FE9"/>
    <w:rsid w:val="00D44C3A"/>
    <w:rsid w:val="00D460F4"/>
    <w:rsid w:val="00D4686E"/>
    <w:rsid w:val="00D46C31"/>
    <w:rsid w:val="00D46FCA"/>
    <w:rsid w:val="00D471C3"/>
    <w:rsid w:val="00D47BED"/>
    <w:rsid w:val="00D50A80"/>
    <w:rsid w:val="00D50FD4"/>
    <w:rsid w:val="00D51D8E"/>
    <w:rsid w:val="00D520CC"/>
    <w:rsid w:val="00D52E50"/>
    <w:rsid w:val="00D5343B"/>
    <w:rsid w:val="00D5359E"/>
    <w:rsid w:val="00D54AB2"/>
    <w:rsid w:val="00D54EAA"/>
    <w:rsid w:val="00D550F8"/>
    <w:rsid w:val="00D55AB9"/>
    <w:rsid w:val="00D561A3"/>
    <w:rsid w:val="00D5674B"/>
    <w:rsid w:val="00D56B7E"/>
    <w:rsid w:val="00D56DCE"/>
    <w:rsid w:val="00D56F93"/>
    <w:rsid w:val="00D5770C"/>
    <w:rsid w:val="00D57B19"/>
    <w:rsid w:val="00D57BF1"/>
    <w:rsid w:val="00D57EB9"/>
    <w:rsid w:val="00D606DA"/>
    <w:rsid w:val="00D61A11"/>
    <w:rsid w:val="00D623BA"/>
    <w:rsid w:val="00D62FDC"/>
    <w:rsid w:val="00D631B7"/>
    <w:rsid w:val="00D6460A"/>
    <w:rsid w:val="00D64BFA"/>
    <w:rsid w:val="00D6531C"/>
    <w:rsid w:val="00D65340"/>
    <w:rsid w:val="00D66510"/>
    <w:rsid w:val="00D6698A"/>
    <w:rsid w:val="00D67F29"/>
    <w:rsid w:val="00D70392"/>
    <w:rsid w:val="00D70B1D"/>
    <w:rsid w:val="00D70FFF"/>
    <w:rsid w:val="00D733F5"/>
    <w:rsid w:val="00D7348A"/>
    <w:rsid w:val="00D736E9"/>
    <w:rsid w:val="00D73C07"/>
    <w:rsid w:val="00D74195"/>
    <w:rsid w:val="00D74605"/>
    <w:rsid w:val="00D76B0B"/>
    <w:rsid w:val="00D770BA"/>
    <w:rsid w:val="00D77288"/>
    <w:rsid w:val="00D81587"/>
    <w:rsid w:val="00D81E99"/>
    <w:rsid w:val="00D820E8"/>
    <w:rsid w:val="00D82338"/>
    <w:rsid w:val="00D82933"/>
    <w:rsid w:val="00D841E9"/>
    <w:rsid w:val="00D84488"/>
    <w:rsid w:val="00D84609"/>
    <w:rsid w:val="00D84ABF"/>
    <w:rsid w:val="00D8508E"/>
    <w:rsid w:val="00D85684"/>
    <w:rsid w:val="00D862A3"/>
    <w:rsid w:val="00D86954"/>
    <w:rsid w:val="00D86B3F"/>
    <w:rsid w:val="00D87E39"/>
    <w:rsid w:val="00D87F5B"/>
    <w:rsid w:val="00D90B2E"/>
    <w:rsid w:val="00D90D40"/>
    <w:rsid w:val="00D9122B"/>
    <w:rsid w:val="00D91EF9"/>
    <w:rsid w:val="00D926B1"/>
    <w:rsid w:val="00D92BAE"/>
    <w:rsid w:val="00D93335"/>
    <w:rsid w:val="00D935DC"/>
    <w:rsid w:val="00D93886"/>
    <w:rsid w:val="00D93F2A"/>
    <w:rsid w:val="00D94375"/>
    <w:rsid w:val="00D948D9"/>
    <w:rsid w:val="00D94F09"/>
    <w:rsid w:val="00D9524A"/>
    <w:rsid w:val="00D95636"/>
    <w:rsid w:val="00D9566D"/>
    <w:rsid w:val="00DA02D4"/>
    <w:rsid w:val="00DA162C"/>
    <w:rsid w:val="00DA1745"/>
    <w:rsid w:val="00DA1772"/>
    <w:rsid w:val="00DA3273"/>
    <w:rsid w:val="00DA3583"/>
    <w:rsid w:val="00DA37F6"/>
    <w:rsid w:val="00DA47DA"/>
    <w:rsid w:val="00DA52F0"/>
    <w:rsid w:val="00DA53A3"/>
    <w:rsid w:val="00DA5833"/>
    <w:rsid w:val="00DA60FA"/>
    <w:rsid w:val="00DA621D"/>
    <w:rsid w:val="00DA6A65"/>
    <w:rsid w:val="00DA70C0"/>
    <w:rsid w:val="00DA75D1"/>
    <w:rsid w:val="00DA7769"/>
    <w:rsid w:val="00DB097D"/>
    <w:rsid w:val="00DB0B49"/>
    <w:rsid w:val="00DB0FF2"/>
    <w:rsid w:val="00DB1AC4"/>
    <w:rsid w:val="00DB3DF0"/>
    <w:rsid w:val="00DB53B0"/>
    <w:rsid w:val="00DB58DC"/>
    <w:rsid w:val="00DB5A16"/>
    <w:rsid w:val="00DB5A3D"/>
    <w:rsid w:val="00DB5CAE"/>
    <w:rsid w:val="00DB637A"/>
    <w:rsid w:val="00DB7CD2"/>
    <w:rsid w:val="00DB7DE0"/>
    <w:rsid w:val="00DC01DA"/>
    <w:rsid w:val="00DC04CE"/>
    <w:rsid w:val="00DC0530"/>
    <w:rsid w:val="00DC0725"/>
    <w:rsid w:val="00DC0C60"/>
    <w:rsid w:val="00DC1F0C"/>
    <w:rsid w:val="00DC22A9"/>
    <w:rsid w:val="00DC27B8"/>
    <w:rsid w:val="00DC327D"/>
    <w:rsid w:val="00DC3AC2"/>
    <w:rsid w:val="00DC46AA"/>
    <w:rsid w:val="00DC4E4E"/>
    <w:rsid w:val="00DC536C"/>
    <w:rsid w:val="00DC5551"/>
    <w:rsid w:val="00DC557B"/>
    <w:rsid w:val="00DC5AAB"/>
    <w:rsid w:val="00DC61DF"/>
    <w:rsid w:val="00DC6D97"/>
    <w:rsid w:val="00DC750A"/>
    <w:rsid w:val="00DD08FD"/>
    <w:rsid w:val="00DD0916"/>
    <w:rsid w:val="00DD0C2A"/>
    <w:rsid w:val="00DD0E08"/>
    <w:rsid w:val="00DD1467"/>
    <w:rsid w:val="00DD1B18"/>
    <w:rsid w:val="00DD29C7"/>
    <w:rsid w:val="00DD2ECD"/>
    <w:rsid w:val="00DD3286"/>
    <w:rsid w:val="00DD339E"/>
    <w:rsid w:val="00DD33B8"/>
    <w:rsid w:val="00DD3A10"/>
    <w:rsid w:val="00DD4C53"/>
    <w:rsid w:val="00DD4FCB"/>
    <w:rsid w:val="00DD5960"/>
    <w:rsid w:val="00DD659E"/>
    <w:rsid w:val="00DD7360"/>
    <w:rsid w:val="00DD7573"/>
    <w:rsid w:val="00DD75B2"/>
    <w:rsid w:val="00DD768C"/>
    <w:rsid w:val="00DD7A13"/>
    <w:rsid w:val="00DD7BBE"/>
    <w:rsid w:val="00DE04A8"/>
    <w:rsid w:val="00DE057B"/>
    <w:rsid w:val="00DE0BC4"/>
    <w:rsid w:val="00DE0F0F"/>
    <w:rsid w:val="00DE1060"/>
    <w:rsid w:val="00DE1D90"/>
    <w:rsid w:val="00DE2395"/>
    <w:rsid w:val="00DE2823"/>
    <w:rsid w:val="00DE3621"/>
    <w:rsid w:val="00DE4358"/>
    <w:rsid w:val="00DE445F"/>
    <w:rsid w:val="00DE493B"/>
    <w:rsid w:val="00DE5803"/>
    <w:rsid w:val="00DE61A3"/>
    <w:rsid w:val="00DE6510"/>
    <w:rsid w:val="00DF08B0"/>
    <w:rsid w:val="00DF0A9B"/>
    <w:rsid w:val="00DF0DAA"/>
    <w:rsid w:val="00DF2A43"/>
    <w:rsid w:val="00DF2FBF"/>
    <w:rsid w:val="00DF300D"/>
    <w:rsid w:val="00DF43B2"/>
    <w:rsid w:val="00DF5D4C"/>
    <w:rsid w:val="00DF5F72"/>
    <w:rsid w:val="00DF726E"/>
    <w:rsid w:val="00E00B0B"/>
    <w:rsid w:val="00E013C4"/>
    <w:rsid w:val="00E01BA6"/>
    <w:rsid w:val="00E01D7D"/>
    <w:rsid w:val="00E02A8A"/>
    <w:rsid w:val="00E02D5F"/>
    <w:rsid w:val="00E02F1C"/>
    <w:rsid w:val="00E033AA"/>
    <w:rsid w:val="00E03B00"/>
    <w:rsid w:val="00E04DA0"/>
    <w:rsid w:val="00E05945"/>
    <w:rsid w:val="00E05D61"/>
    <w:rsid w:val="00E0629F"/>
    <w:rsid w:val="00E06887"/>
    <w:rsid w:val="00E06C5A"/>
    <w:rsid w:val="00E06E7A"/>
    <w:rsid w:val="00E06F31"/>
    <w:rsid w:val="00E1099E"/>
    <w:rsid w:val="00E10BAF"/>
    <w:rsid w:val="00E113E8"/>
    <w:rsid w:val="00E11B00"/>
    <w:rsid w:val="00E11DF5"/>
    <w:rsid w:val="00E1214F"/>
    <w:rsid w:val="00E12438"/>
    <w:rsid w:val="00E12533"/>
    <w:rsid w:val="00E12717"/>
    <w:rsid w:val="00E12E70"/>
    <w:rsid w:val="00E12EE9"/>
    <w:rsid w:val="00E13036"/>
    <w:rsid w:val="00E13091"/>
    <w:rsid w:val="00E133D7"/>
    <w:rsid w:val="00E13CC9"/>
    <w:rsid w:val="00E14760"/>
    <w:rsid w:val="00E148FF"/>
    <w:rsid w:val="00E16C07"/>
    <w:rsid w:val="00E173C6"/>
    <w:rsid w:val="00E17947"/>
    <w:rsid w:val="00E202C1"/>
    <w:rsid w:val="00E21178"/>
    <w:rsid w:val="00E215FD"/>
    <w:rsid w:val="00E21DC3"/>
    <w:rsid w:val="00E220BF"/>
    <w:rsid w:val="00E22516"/>
    <w:rsid w:val="00E227A0"/>
    <w:rsid w:val="00E23C6C"/>
    <w:rsid w:val="00E23F96"/>
    <w:rsid w:val="00E254E6"/>
    <w:rsid w:val="00E2596B"/>
    <w:rsid w:val="00E25DAD"/>
    <w:rsid w:val="00E268C5"/>
    <w:rsid w:val="00E2724E"/>
    <w:rsid w:val="00E2753F"/>
    <w:rsid w:val="00E275AF"/>
    <w:rsid w:val="00E3027E"/>
    <w:rsid w:val="00E305EE"/>
    <w:rsid w:val="00E31B21"/>
    <w:rsid w:val="00E324AC"/>
    <w:rsid w:val="00E324B1"/>
    <w:rsid w:val="00E32AC1"/>
    <w:rsid w:val="00E331BA"/>
    <w:rsid w:val="00E3356E"/>
    <w:rsid w:val="00E337C8"/>
    <w:rsid w:val="00E3402A"/>
    <w:rsid w:val="00E342BD"/>
    <w:rsid w:val="00E35A76"/>
    <w:rsid w:val="00E362D2"/>
    <w:rsid w:val="00E36DAF"/>
    <w:rsid w:val="00E37443"/>
    <w:rsid w:val="00E37A3B"/>
    <w:rsid w:val="00E40426"/>
    <w:rsid w:val="00E40C42"/>
    <w:rsid w:val="00E40F45"/>
    <w:rsid w:val="00E417C7"/>
    <w:rsid w:val="00E42632"/>
    <w:rsid w:val="00E4264B"/>
    <w:rsid w:val="00E437D9"/>
    <w:rsid w:val="00E43DEF"/>
    <w:rsid w:val="00E4402E"/>
    <w:rsid w:val="00E45F84"/>
    <w:rsid w:val="00E46220"/>
    <w:rsid w:val="00E4699C"/>
    <w:rsid w:val="00E46D78"/>
    <w:rsid w:val="00E47466"/>
    <w:rsid w:val="00E50482"/>
    <w:rsid w:val="00E50BA3"/>
    <w:rsid w:val="00E51250"/>
    <w:rsid w:val="00E5139E"/>
    <w:rsid w:val="00E51EC5"/>
    <w:rsid w:val="00E52C94"/>
    <w:rsid w:val="00E52D0F"/>
    <w:rsid w:val="00E53940"/>
    <w:rsid w:val="00E548B9"/>
    <w:rsid w:val="00E54C80"/>
    <w:rsid w:val="00E54FB9"/>
    <w:rsid w:val="00E550D3"/>
    <w:rsid w:val="00E5551E"/>
    <w:rsid w:val="00E56FA0"/>
    <w:rsid w:val="00E5705D"/>
    <w:rsid w:val="00E57130"/>
    <w:rsid w:val="00E57391"/>
    <w:rsid w:val="00E57B12"/>
    <w:rsid w:val="00E612E4"/>
    <w:rsid w:val="00E61D5D"/>
    <w:rsid w:val="00E623C4"/>
    <w:rsid w:val="00E63102"/>
    <w:rsid w:val="00E631EE"/>
    <w:rsid w:val="00E63A66"/>
    <w:rsid w:val="00E63DBD"/>
    <w:rsid w:val="00E63F27"/>
    <w:rsid w:val="00E64459"/>
    <w:rsid w:val="00E6473E"/>
    <w:rsid w:val="00E666A9"/>
    <w:rsid w:val="00E66B68"/>
    <w:rsid w:val="00E67000"/>
    <w:rsid w:val="00E67775"/>
    <w:rsid w:val="00E67847"/>
    <w:rsid w:val="00E678F7"/>
    <w:rsid w:val="00E67C42"/>
    <w:rsid w:val="00E67FC0"/>
    <w:rsid w:val="00E71065"/>
    <w:rsid w:val="00E7116F"/>
    <w:rsid w:val="00E728A7"/>
    <w:rsid w:val="00E730AC"/>
    <w:rsid w:val="00E74C03"/>
    <w:rsid w:val="00E75483"/>
    <w:rsid w:val="00E75A13"/>
    <w:rsid w:val="00E75FDE"/>
    <w:rsid w:val="00E76971"/>
    <w:rsid w:val="00E76B0E"/>
    <w:rsid w:val="00E77388"/>
    <w:rsid w:val="00E77A8B"/>
    <w:rsid w:val="00E77AA4"/>
    <w:rsid w:val="00E77EC7"/>
    <w:rsid w:val="00E81643"/>
    <w:rsid w:val="00E817BE"/>
    <w:rsid w:val="00E81ADB"/>
    <w:rsid w:val="00E82EC6"/>
    <w:rsid w:val="00E83B17"/>
    <w:rsid w:val="00E84D84"/>
    <w:rsid w:val="00E85156"/>
    <w:rsid w:val="00E8543D"/>
    <w:rsid w:val="00E86068"/>
    <w:rsid w:val="00E862BA"/>
    <w:rsid w:val="00E866F9"/>
    <w:rsid w:val="00E86F60"/>
    <w:rsid w:val="00E86FE7"/>
    <w:rsid w:val="00E8723E"/>
    <w:rsid w:val="00E876B1"/>
    <w:rsid w:val="00E87DBF"/>
    <w:rsid w:val="00E90DAD"/>
    <w:rsid w:val="00E91F60"/>
    <w:rsid w:val="00E91FD8"/>
    <w:rsid w:val="00E92247"/>
    <w:rsid w:val="00E92AB2"/>
    <w:rsid w:val="00E93C77"/>
    <w:rsid w:val="00E94546"/>
    <w:rsid w:val="00E95372"/>
    <w:rsid w:val="00E960C2"/>
    <w:rsid w:val="00E966DD"/>
    <w:rsid w:val="00E968E8"/>
    <w:rsid w:val="00E975E1"/>
    <w:rsid w:val="00E97855"/>
    <w:rsid w:val="00EA0739"/>
    <w:rsid w:val="00EA0D22"/>
    <w:rsid w:val="00EA105C"/>
    <w:rsid w:val="00EA110C"/>
    <w:rsid w:val="00EA1CA3"/>
    <w:rsid w:val="00EA2153"/>
    <w:rsid w:val="00EA21DD"/>
    <w:rsid w:val="00EA256A"/>
    <w:rsid w:val="00EA491C"/>
    <w:rsid w:val="00EA681B"/>
    <w:rsid w:val="00EA68AE"/>
    <w:rsid w:val="00EA69DC"/>
    <w:rsid w:val="00EA7325"/>
    <w:rsid w:val="00EA7710"/>
    <w:rsid w:val="00EA7F28"/>
    <w:rsid w:val="00EB0B81"/>
    <w:rsid w:val="00EB0EA9"/>
    <w:rsid w:val="00EB1457"/>
    <w:rsid w:val="00EB159E"/>
    <w:rsid w:val="00EB2051"/>
    <w:rsid w:val="00EB25DB"/>
    <w:rsid w:val="00EB2983"/>
    <w:rsid w:val="00EB2A69"/>
    <w:rsid w:val="00EB2B5A"/>
    <w:rsid w:val="00EB3738"/>
    <w:rsid w:val="00EB3C1A"/>
    <w:rsid w:val="00EB4011"/>
    <w:rsid w:val="00EB407B"/>
    <w:rsid w:val="00EB40D4"/>
    <w:rsid w:val="00EB4C7A"/>
    <w:rsid w:val="00EB5398"/>
    <w:rsid w:val="00EB5700"/>
    <w:rsid w:val="00EB5748"/>
    <w:rsid w:val="00EB5809"/>
    <w:rsid w:val="00EB61D5"/>
    <w:rsid w:val="00EB62CF"/>
    <w:rsid w:val="00EC0D4D"/>
    <w:rsid w:val="00EC1A41"/>
    <w:rsid w:val="00EC1FDA"/>
    <w:rsid w:val="00EC27E3"/>
    <w:rsid w:val="00EC38DA"/>
    <w:rsid w:val="00EC40E0"/>
    <w:rsid w:val="00EC5A47"/>
    <w:rsid w:val="00EC5A63"/>
    <w:rsid w:val="00EC6FD2"/>
    <w:rsid w:val="00EC70F3"/>
    <w:rsid w:val="00EC7ED4"/>
    <w:rsid w:val="00ED005C"/>
    <w:rsid w:val="00ED0C4C"/>
    <w:rsid w:val="00ED173E"/>
    <w:rsid w:val="00ED1BA2"/>
    <w:rsid w:val="00ED24EA"/>
    <w:rsid w:val="00ED2813"/>
    <w:rsid w:val="00ED2F3B"/>
    <w:rsid w:val="00ED3089"/>
    <w:rsid w:val="00ED3DDD"/>
    <w:rsid w:val="00ED3F58"/>
    <w:rsid w:val="00ED5073"/>
    <w:rsid w:val="00ED50A0"/>
    <w:rsid w:val="00ED6069"/>
    <w:rsid w:val="00ED637F"/>
    <w:rsid w:val="00ED6C45"/>
    <w:rsid w:val="00ED715D"/>
    <w:rsid w:val="00ED7772"/>
    <w:rsid w:val="00ED7937"/>
    <w:rsid w:val="00EE0458"/>
    <w:rsid w:val="00EE0A5E"/>
    <w:rsid w:val="00EE0BD5"/>
    <w:rsid w:val="00EE122A"/>
    <w:rsid w:val="00EE1286"/>
    <w:rsid w:val="00EE137A"/>
    <w:rsid w:val="00EE1D0E"/>
    <w:rsid w:val="00EE1F4B"/>
    <w:rsid w:val="00EE25DF"/>
    <w:rsid w:val="00EE2DE9"/>
    <w:rsid w:val="00EE2E49"/>
    <w:rsid w:val="00EE3134"/>
    <w:rsid w:val="00EE3853"/>
    <w:rsid w:val="00EE3AF9"/>
    <w:rsid w:val="00EE3D00"/>
    <w:rsid w:val="00EE5EC1"/>
    <w:rsid w:val="00EE6786"/>
    <w:rsid w:val="00EE7B22"/>
    <w:rsid w:val="00EE7E34"/>
    <w:rsid w:val="00EF0694"/>
    <w:rsid w:val="00EF07F2"/>
    <w:rsid w:val="00EF10B7"/>
    <w:rsid w:val="00EF1300"/>
    <w:rsid w:val="00EF1F25"/>
    <w:rsid w:val="00EF236B"/>
    <w:rsid w:val="00EF2378"/>
    <w:rsid w:val="00EF40A5"/>
    <w:rsid w:val="00EF53DB"/>
    <w:rsid w:val="00EF61A0"/>
    <w:rsid w:val="00EF64B7"/>
    <w:rsid w:val="00EF6601"/>
    <w:rsid w:val="00EF776F"/>
    <w:rsid w:val="00EF7DE5"/>
    <w:rsid w:val="00F002B0"/>
    <w:rsid w:val="00F00980"/>
    <w:rsid w:val="00F0117F"/>
    <w:rsid w:val="00F01437"/>
    <w:rsid w:val="00F01C8D"/>
    <w:rsid w:val="00F02613"/>
    <w:rsid w:val="00F02DD1"/>
    <w:rsid w:val="00F02E89"/>
    <w:rsid w:val="00F03905"/>
    <w:rsid w:val="00F04145"/>
    <w:rsid w:val="00F0427B"/>
    <w:rsid w:val="00F04C1C"/>
    <w:rsid w:val="00F04FF4"/>
    <w:rsid w:val="00F05C85"/>
    <w:rsid w:val="00F066C6"/>
    <w:rsid w:val="00F06840"/>
    <w:rsid w:val="00F073CC"/>
    <w:rsid w:val="00F07700"/>
    <w:rsid w:val="00F07E62"/>
    <w:rsid w:val="00F10BD6"/>
    <w:rsid w:val="00F10C0F"/>
    <w:rsid w:val="00F11F87"/>
    <w:rsid w:val="00F1230C"/>
    <w:rsid w:val="00F12550"/>
    <w:rsid w:val="00F12F43"/>
    <w:rsid w:val="00F1366F"/>
    <w:rsid w:val="00F1441E"/>
    <w:rsid w:val="00F14909"/>
    <w:rsid w:val="00F14AC0"/>
    <w:rsid w:val="00F14F50"/>
    <w:rsid w:val="00F15DFF"/>
    <w:rsid w:val="00F164BC"/>
    <w:rsid w:val="00F16830"/>
    <w:rsid w:val="00F16FE0"/>
    <w:rsid w:val="00F213AB"/>
    <w:rsid w:val="00F213C1"/>
    <w:rsid w:val="00F21460"/>
    <w:rsid w:val="00F2181D"/>
    <w:rsid w:val="00F2194E"/>
    <w:rsid w:val="00F21C07"/>
    <w:rsid w:val="00F21C2B"/>
    <w:rsid w:val="00F220CF"/>
    <w:rsid w:val="00F220EA"/>
    <w:rsid w:val="00F2219F"/>
    <w:rsid w:val="00F22585"/>
    <w:rsid w:val="00F229F6"/>
    <w:rsid w:val="00F22BB9"/>
    <w:rsid w:val="00F24528"/>
    <w:rsid w:val="00F24A61"/>
    <w:rsid w:val="00F24D53"/>
    <w:rsid w:val="00F24F70"/>
    <w:rsid w:val="00F26238"/>
    <w:rsid w:val="00F2632C"/>
    <w:rsid w:val="00F2638F"/>
    <w:rsid w:val="00F27B8D"/>
    <w:rsid w:val="00F3001A"/>
    <w:rsid w:val="00F300D8"/>
    <w:rsid w:val="00F30D26"/>
    <w:rsid w:val="00F31092"/>
    <w:rsid w:val="00F3168A"/>
    <w:rsid w:val="00F31B4D"/>
    <w:rsid w:val="00F31F62"/>
    <w:rsid w:val="00F3219A"/>
    <w:rsid w:val="00F32384"/>
    <w:rsid w:val="00F32757"/>
    <w:rsid w:val="00F3283F"/>
    <w:rsid w:val="00F32EBD"/>
    <w:rsid w:val="00F332C9"/>
    <w:rsid w:val="00F3409A"/>
    <w:rsid w:val="00F34B5B"/>
    <w:rsid w:val="00F351CE"/>
    <w:rsid w:val="00F354E4"/>
    <w:rsid w:val="00F35CF4"/>
    <w:rsid w:val="00F400C9"/>
    <w:rsid w:val="00F40159"/>
    <w:rsid w:val="00F40A22"/>
    <w:rsid w:val="00F40BD9"/>
    <w:rsid w:val="00F40E0B"/>
    <w:rsid w:val="00F41179"/>
    <w:rsid w:val="00F41D15"/>
    <w:rsid w:val="00F4205E"/>
    <w:rsid w:val="00F42883"/>
    <w:rsid w:val="00F43679"/>
    <w:rsid w:val="00F44CDB"/>
    <w:rsid w:val="00F44F8C"/>
    <w:rsid w:val="00F455C4"/>
    <w:rsid w:val="00F45816"/>
    <w:rsid w:val="00F50FA6"/>
    <w:rsid w:val="00F50FA7"/>
    <w:rsid w:val="00F5147B"/>
    <w:rsid w:val="00F51784"/>
    <w:rsid w:val="00F51A37"/>
    <w:rsid w:val="00F51B06"/>
    <w:rsid w:val="00F51ED1"/>
    <w:rsid w:val="00F525C6"/>
    <w:rsid w:val="00F52B8B"/>
    <w:rsid w:val="00F52FDF"/>
    <w:rsid w:val="00F551AA"/>
    <w:rsid w:val="00F555AE"/>
    <w:rsid w:val="00F556A7"/>
    <w:rsid w:val="00F55765"/>
    <w:rsid w:val="00F55920"/>
    <w:rsid w:val="00F55B26"/>
    <w:rsid w:val="00F56070"/>
    <w:rsid w:val="00F572C5"/>
    <w:rsid w:val="00F5779B"/>
    <w:rsid w:val="00F57938"/>
    <w:rsid w:val="00F5793C"/>
    <w:rsid w:val="00F614C5"/>
    <w:rsid w:val="00F62A76"/>
    <w:rsid w:val="00F62B4E"/>
    <w:rsid w:val="00F6309F"/>
    <w:rsid w:val="00F63137"/>
    <w:rsid w:val="00F64351"/>
    <w:rsid w:val="00F644E7"/>
    <w:rsid w:val="00F64780"/>
    <w:rsid w:val="00F64797"/>
    <w:rsid w:val="00F6484B"/>
    <w:rsid w:val="00F669E4"/>
    <w:rsid w:val="00F66A4B"/>
    <w:rsid w:val="00F66C75"/>
    <w:rsid w:val="00F6729D"/>
    <w:rsid w:val="00F67426"/>
    <w:rsid w:val="00F6798E"/>
    <w:rsid w:val="00F67B9A"/>
    <w:rsid w:val="00F67C49"/>
    <w:rsid w:val="00F700A0"/>
    <w:rsid w:val="00F702C2"/>
    <w:rsid w:val="00F7058A"/>
    <w:rsid w:val="00F70937"/>
    <w:rsid w:val="00F70F7F"/>
    <w:rsid w:val="00F72321"/>
    <w:rsid w:val="00F737C3"/>
    <w:rsid w:val="00F73E46"/>
    <w:rsid w:val="00F75B43"/>
    <w:rsid w:val="00F75CC2"/>
    <w:rsid w:val="00F75E28"/>
    <w:rsid w:val="00F7628A"/>
    <w:rsid w:val="00F762CB"/>
    <w:rsid w:val="00F768B8"/>
    <w:rsid w:val="00F769CD"/>
    <w:rsid w:val="00F76E5E"/>
    <w:rsid w:val="00F77989"/>
    <w:rsid w:val="00F77FE3"/>
    <w:rsid w:val="00F80AB2"/>
    <w:rsid w:val="00F80B8F"/>
    <w:rsid w:val="00F80E86"/>
    <w:rsid w:val="00F818B8"/>
    <w:rsid w:val="00F81A86"/>
    <w:rsid w:val="00F81FD9"/>
    <w:rsid w:val="00F82044"/>
    <w:rsid w:val="00F820E3"/>
    <w:rsid w:val="00F822AB"/>
    <w:rsid w:val="00F82C09"/>
    <w:rsid w:val="00F82EF5"/>
    <w:rsid w:val="00F8396B"/>
    <w:rsid w:val="00F83BD6"/>
    <w:rsid w:val="00F84883"/>
    <w:rsid w:val="00F84A17"/>
    <w:rsid w:val="00F8740B"/>
    <w:rsid w:val="00F8794A"/>
    <w:rsid w:val="00F92735"/>
    <w:rsid w:val="00F92D20"/>
    <w:rsid w:val="00F92DEA"/>
    <w:rsid w:val="00F92E2D"/>
    <w:rsid w:val="00F93278"/>
    <w:rsid w:val="00F93AEE"/>
    <w:rsid w:val="00F94305"/>
    <w:rsid w:val="00F95441"/>
    <w:rsid w:val="00F958AD"/>
    <w:rsid w:val="00F95A15"/>
    <w:rsid w:val="00F96535"/>
    <w:rsid w:val="00F9675F"/>
    <w:rsid w:val="00F969EF"/>
    <w:rsid w:val="00F96CE1"/>
    <w:rsid w:val="00F96F9D"/>
    <w:rsid w:val="00F97406"/>
    <w:rsid w:val="00F975BD"/>
    <w:rsid w:val="00F97863"/>
    <w:rsid w:val="00F979D6"/>
    <w:rsid w:val="00F97F5E"/>
    <w:rsid w:val="00FA015F"/>
    <w:rsid w:val="00FA1EE3"/>
    <w:rsid w:val="00FA231D"/>
    <w:rsid w:val="00FA2434"/>
    <w:rsid w:val="00FA2938"/>
    <w:rsid w:val="00FA2B03"/>
    <w:rsid w:val="00FA2FBB"/>
    <w:rsid w:val="00FA4414"/>
    <w:rsid w:val="00FA4A9C"/>
    <w:rsid w:val="00FA5712"/>
    <w:rsid w:val="00FA615E"/>
    <w:rsid w:val="00FA6FA9"/>
    <w:rsid w:val="00FA7BFA"/>
    <w:rsid w:val="00FB0270"/>
    <w:rsid w:val="00FB02B5"/>
    <w:rsid w:val="00FB096B"/>
    <w:rsid w:val="00FB0C28"/>
    <w:rsid w:val="00FB1C5A"/>
    <w:rsid w:val="00FB2EEE"/>
    <w:rsid w:val="00FB313E"/>
    <w:rsid w:val="00FB31DC"/>
    <w:rsid w:val="00FB3986"/>
    <w:rsid w:val="00FB414A"/>
    <w:rsid w:val="00FB417F"/>
    <w:rsid w:val="00FB4445"/>
    <w:rsid w:val="00FB5398"/>
    <w:rsid w:val="00FB5B82"/>
    <w:rsid w:val="00FB67C0"/>
    <w:rsid w:val="00FB6F67"/>
    <w:rsid w:val="00FB7DA5"/>
    <w:rsid w:val="00FC0AB6"/>
    <w:rsid w:val="00FC1503"/>
    <w:rsid w:val="00FC2BEB"/>
    <w:rsid w:val="00FC3E95"/>
    <w:rsid w:val="00FC43C3"/>
    <w:rsid w:val="00FC60DD"/>
    <w:rsid w:val="00FC66B4"/>
    <w:rsid w:val="00FC6D3D"/>
    <w:rsid w:val="00FC6DF9"/>
    <w:rsid w:val="00FC6E2D"/>
    <w:rsid w:val="00FC6EFA"/>
    <w:rsid w:val="00FC7A8F"/>
    <w:rsid w:val="00FD10F9"/>
    <w:rsid w:val="00FD1152"/>
    <w:rsid w:val="00FD1275"/>
    <w:rsid w:val="00FD143F"/>
    <w:rsid w:val="00FD3672"/>
    <w:rsid w:val="00FD3B10"/>
    <w:rsid w:val="00FD4970"/>
    <w:rsid w:val="00FD4EBD"/>
    <w:rsid w:val="00FD5698"/>
    <w:rsid w:val="00FD63A6"/>
    <w:rsid w:val="00FD7A11"/>
    <w:rsid w:val="00FE1187"/>
    <w:rsid w:val="00FE1A1A"/>
    <w:rsid w:val="00FE21C4"/>
    <w:rsid w:val="00FE27C5"/>
    <w:rsid w:val="00FE386C"/>
    <w:rsid w:val="00FE4475"/>
    <w:rsid w:val="00FE4569"/>
    <w:rsid w:val="00FE465D"/>
    <w:rsid w:val="00FE5A5B"/>
    <w:rsid w:val="00FE65B8"/>
    <w:rsid w:val="00FE72EC"/>
    <w:rsid w:val="00FE73A0"/>
    <w:rsid w:val="00FE74BA"/>
    <w:rsid w:val="00FE7745"/>
    <w:rsid w:val="00FE7DB2"/>
    <w:rsid w:val="00FE7F68"/>
    <w:rsid w:val="00FF0E48"/>
    <w:rsid w:val="00FF1C30"/>
    <w:rsid w:val="00FF1FE1"/>
    <w:rsid w:val="00FF2763"/>
    <w:rsid w:val="00FF2968"/>
    <w:rsid w:val="00FF2FFE"/>
    <w:rsid w:val="00FF35BF"/>
    <w:rsid w:val="00FF35F8"/>
    <w:rsid w:val="00FF3A91"/>
    <w:rsid w:val="00FF3C94"/>
    <w:rsid w:val="00FF4A1D"/>
    <w:rsid w:val="00FF528F"/>
    <w:rsid w:val="00FF59BD"/>
    <w:rsid w:val="00FF5D02"/>
    <w:rsid w:val="00FF7300"/>
    <w:rsid w:val="00FF7850"/>
    <w:rsid w:val="01DA549B"/>
    <w:rsid w:val="04023C62"/>
    <w:rsid w:val="06774436"/>
    <w:rsid w:val="0711D652"/>
    <w:rsid w:val="0800A1ED"/>
    <w:rsid w:val="0C9838F6"/>
    <w:rsid w:val="0CDEF9B4"/>
    <w:rsid w:val="0EC334C4"/>
    <w:rsid w:val="0F3437CA"/>
    <w:rsid w:val="0F826C5A"/>
    <w:rsid w:val="11AB1A8A"/>
    <w:rsid w:val="11F427D9"/>
    <w:rsid w:val="12AFE470"/>
    <w:rsid w:val="14012883"/>
    <w:rsid w:val="16BA72A8"/>
    <w:rsid w:val="1703A183"/>
    <w:rsid w:val="1A2980B2"/>
    <w:rsid w:val="1A9868A1"/>
    <w:rsid w:val="1B62782B"/>
    <w:rsid w:val="1C873588"/>
    <w:rsid w:val="2184FD77"/>
    <w:rsid w:val="2493E647"/>
    <w:rsid w:val="29B259C2"/>
    <w:rsid w:val="2B6EFE72"/>
    <w:rsid w:val="2B9BFB57"/>
    <w:rsid w:val="2BD20324"/>
    <w:rsid w:val="2C894136"/>
    <w:rsid w:val="2DB78E82"/>
    <w:rsid w:val="2E380617"/>
    <w:rsid w:val="2F7FDC92"/>
    <w:rsid w:val="31684A0E"/>
    <w:rsid w:val="3334647C"/>
    <w:rsid w:val="33DE13F1"/>
    <w:rsid w:val="34CA91B5"/>
    <w:rsid w:val="368F8C51"/>
    <w:rsid w:val="369DBF32"/>
    <w:rsid w:val="39E49109"/>
    <w:rsid w:val="3B601123"/>
    <w:rsid w:val="3B692C5E"/>
    <w:rsid w:val="3C09C334"/>
    <w:rsid w:val="3C74094E"/>
    <w:rsid w:val="3C77E6EC"/>
    <w:rsid w:val="3DA89A95"/>
    <w:rsid w:val="3DE5DCD6"/>
    <w:rsid w:val="40266579"/>
    <w:rsid w:val="40B632D8"/>
    <w:rsid w:val="425A4F97"/>
    <w:rsid w:val="427B25E7"/>
    <w:rsid w:val="4599E606"/>
    <w:rsid w:val="45C10972"/>
    <w:rsid w:val="45D6F012"/>
    <w:rsid w:val="46090CE1"/>
    <w:rsid w:val="460C21F6"/>
    <w:rsid w:val="466BA2E2"/>
    <w:rsid w:val="467A6AEF"/>
    <w:rsid w:val="4770823F"/>
    <w:rsid w:val="49F901D1"/>
    <w:rsid w:val="4BC78E16"/>
    <w:rsid w:val="530CE00C"/>
    <w:rsid w:val="53F9F5E2"/>
    <w:rsid w:val="55950037"/>
    <w:rsid w:val="55D9B479"/>
    <w:rsid w:val="55E032EC"/>
    <w:rsid w:val="5713A44F"/>
    <w:rsid w:val="5CF8624B"/>
    <w:rsid w:val="5D18E57C"/>
    <w:rsid w:val="5DFA6369"/>
    <w:rsid w:val="60A95BB5"/>
    <w:rsid w:val="60B2E743"/>
    <w:rsid w:val="62719A57"/>
    <w:rsid w:val="62D8831D"/>
    <w:rsid w:val="631A4A92"/>
    <w:rsid w:val="63CC6BA6"/>
    <w:rsid w:val="6424F408"/>
    <w:rsid w:val="655D8A20"/>
    <w:rsid w:val="665B2F09"/>
    <w:rsid w:val="666BB98E"/>
    <w:rsid w:val="66C58733"/>
    <w:rsid w:val="66FFEA48"/>
    <w:rsid w:val="67B3B79F"/>
    <w:rsid w:val="691986F1"/>
    <w:rsid w:val="6B847AD5"/>
    <w:rsid w:val="6B878CD8"/>
    <w:rsid w:val="6BC2FAB4"/>
    <w:rsid w:val="6C578A06"/>
    <w:rsid w:val="6CACF394"/>
    <w:rsid w:val="6CDC13F9"/>
    <w:rsid w:val="6E626C04"/>
    <w:rsid w:val="6EF43EA1"/>
    <w:rsid w:val="6FFD0680"/>
    <w:rsid w:val="70FBD0C5"/>
    <w:rsid w:val="710497D1"/>
    <w:rsid w:val="71778EE3"/>
    <w:rsid w:val="71C07152"/>
    <w:rsid w:val="7299C6A8"/>
    <w:rsid w:val="736769EF"/>
    <w:rsid w:val="752D46D4"/>
    <w:rsid w:val="75E121AE"/>
    <w:rsid w:val="762BCF76"/>
    <w:rsid w:val="77744776"/>
    <w:rsid w:val="77BFD6CC"/>
    <w:rsid w:val="77E58071"/>
    <w:rsid w:val="77F3DAB9"/>
    <w:rsid w:val="7879083B"/>
    <w:rsid w:val="7D8F7CF1"/>
    <w:rsid w:val="7E2D31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2DB4E"/>
  <w15:chartTrackingRefBased/>
  <w15:docId w15:val="{5E10CAF2-5032-4A73-AF20-C7455EFD1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180"/>
    <w:pPr>
      <w:spacing w:before="120" w:after="120" w:line="240" w:lineRule="auto"/>
    </w:pPr>
    <w:rPr>
      <w:sz w:val="24"/>
    </w:rPr>
  </w:style>
  <w:style w:type="paragraph" w:styleId="Heading1">
    <w:name w:val="heading 1"/>
    <w:basedOn w:val="Normal"/>
    <w:next w:val="Normal"/>
    <w:link w:val="Heading1Char"/>
    <w:uiPriority w:val="9"/>
    <w:qFormat/>
    <w:rsid w:val="000874A3"/>
    <w:pPr>
      <w:keepNext/>
      <w:keepLines/>
      <w:spacing w:before="600"/>
      <w:contextualSpacing/>
      <w:outlineLvl w:val="0"/>
    </w:pPr>
    <w:rPr>
      <w:rFonts w:asciiTheme="majorHAnsi" w:eastAsiaTheme="majorEastAsia" w:hAnsiTheme="majorHAnsi" w:cstheme="majorBidi"/>
      <w:color w:val="0766A5" w:themeColor="accent1"/>
      <w:sz w:val="72"/>
      <w:szCs w:val="32"/>
    </w:rPr>
  </w:style>
  <w:style w:type="paragraph" w:styleId="Heading2">
    <w:name w:val="heading 2"/>
    <w:basedOn w:val="Normal"/>
    <w:next w:val="Normal"/>
    <w:link w:val="Heading2Char"/>
    <w:uiPriority w:val="9"/>
    <w:qFormat/>
    <w:rsid w:val="00BD5778"/>
    <w:pPr>
      <w:keepNext/>
      <w:keepLines/>
      <w:spacing w:before="360"/>
      <w:outlineLvl w:val="1"/>
    </w:pPr>
    <w:rPr>
      <w:rFonts w:asciiTheme="majorHAnsi" w:eastAsiaTheme="majorEastAsia" w:hAnsiTheme="majorHAnsi" w:cstheme="majorBidi"/>
      <w:color w:val="0766A5" w:themeColor="accent1"/>
      <w:sz w:val="48"/>
      <w:szCs w:val="48"/>
    </w:rPr>
  </w:style>
  <w:style w:type="paragraph" w:styleId="Heading3">
    <w:name w:val="heading 3"/>
    <w:basedOn w:val="Normal"/>
    <w:next w:val="Normal"/>
    <w:link w:val="Heading3Char"/>
    <w:uiPriority w:val="9"/>
    <w:qFormat/>
    <w:rsid w:val="00BD5778"/>
    <w:pPr>
      <w:keepNext/>
      <w:keepLines/>
      <w:spacing w:before="240"/>
      <w:outlineLvl w:val="2"/>
    </w:pPr>
    <w:rPr>
      <w:rFonts w:asciiTheme="majorHAnsi" w:eastAsiaTheme="majorEastAsia" w:hAnsiTheme="majorHAnsi" w:cstheme="majorBidi"/>
      <w:color w:val="0766A5" w:themeColor="accent1"/>
      <w:sz w:val="40"/>
      <w:szCs w:val="40"/>
    </w:rPr>
  </w:style>
  <w:style w:type="paragraph" w:styleId="Heading4">
    <w:name w:val="heading 4"/>
    <w:basedOn w:val="Normal"/>
    <w:next w:val="Normal"/>
    <w:link w:val="Heading4Char"/>
    <w:uiPriority w:val="9"/>
    <w:qFormat/>
    <w:rsid w:val="00BD5778"/>
    <w:pPr>
      <w:keepNext/>
      <w:keepLines/>
      <w:spacing w:before="240"/>
      <w:outlineLvl w:val="3"/>
    </w:pPr>
    <w:rPr>
      <w:rFonts w:asciiTheme="majorHAnsi" w:eastAsiaTheme="majorEastAsia" w:hAnsiTheme="majorHAnsi" w:cstheme="majorBidi"/>
      <w:iCs/>
      <w:color w:val="0766A5" w:themeColor="accent1"/>
      <w:sz w:val="32"/>
      <w:szCs w:val="28"/>
    </w:rPr>
  </w:style>
  <w:style w:type="paragraph" w:styleId="Heading5">
    <w:name w:val="heading 5"/>
    <w:basedOn w:val="Normal"/>
    <w:next w:val="Normal"/>
    <w:link w:val="Heading5Char"/>
    <w:uiPriority w:val="9"/>
    <w:unhideWhenUsed/>
    <w:qFormat/>
    <w:rsid w:val="00900E48"/>
    <w:pPr>
      <w:keepNext/>
      <w:keepLines/>
      <w:spacing w:before="240"/>
      <w:outlineLvl w:val="4"/>
    </w:pPr>
    <w:rPr>
      <w:rFonts w:asciiTheme="majorHAnsi" w:eastAsiaTheme="majorEastAsia" w:hAnsiTheme="majorHAnsi" w:cstheme="majorBidi"/>
      <w:color w:val="0766A5" w:themeColor="accent1"/>
      <w:sz w:val="26"/>
      <w:szCs w:val="26"/>
    </w:rPr>
  </w:style>
  <w:style w:type="paragraph" w:styleId="Heading6">
    <w:name w:val="heading 6"/>
    <w:basedOn w:val="Normal"/>
    <w:next w:val="Normal"/>
    <w:link w:val="Heading6Char"/>
    <w:uiPriority w:val="9"/>
    <w:unhideWhenUsed/>
    <w:rsid w:val="00C50A9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C50A9A"/>
    <w:pPr>
      <w:keepNext/>
      <w:keepLines/>
      <w:spacing w:before="240"/>
      <w:outlineLvl w:val="6"/>
    </w:pPr>
    <w:rPr>
      <w:rFonts w:asciiTheme="majorHAnsi" w:eastAsiaTheme="majorEastAsia" w:hAnsiTheme="majorHAnsi" w:cstheme="majorBidi"/>
      <w:b/>
      <w:iCs/>
      <w:color w:val="0766A5" w:themeColor="accent1"/>
    </w:rPr>
  </w:style>
  <w:style w:type="paragraph" w:styleId="Heading8">
    <w:name w:val="heading 8"/>
    <w:basedOn w:val="Normal"/>
    <w:next w:val="Normal"/>
    <w:link w:val="Heading8Char"/>
    <w:uiPriority w:val="9"/>
    <w:unhideWhenUsed/>
    <w:rsid w:val="00C50A9A"/>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A6DC6"/>
    <w:pPr>
      <w:tabs>
        <w:tab w:val="center" w:pos="4513"/>
        <w:tab w:val="right" w:pos="9026"/>
      </w:tabs>
      <w:spacing w:after="0"/>
    </w:pPr>
    <w:rPr>
      <w:sz w:val="20"/>
    </w:rPr>
  </w:style>
  <w:style w:type="character" w:customStyle="1" w:styleId="HeaderChar">
    <w:name w:val="Header Char"/>
    <w:basedOn w:val="DefaultParagraphFont"/>
    <w:link w:val="Header"/>
    <w:uiPriority w:val="99"/>
    <w:rsid w:val="00AA6DC6"/>
    <w:rPr>
      <w:sz w:val="20"/>
    </w:rPr>
  </w:style>
  <w:style w:type="paragraph" w:styleId="Footer">
    <w:name w:val="footer"/>
    <w:basedOn w:val="Normal"/>
    <w:link w:val="FooterChar"/>
    <w:uiPriority w:val="99"/>
    <w:rsid w:val="00AA6DC6"/>
    <w:pPr>
      <w:tabs>
        <w:tab w:val="center" w:pos="4513"/>
        <w:tab w:val="right" w:pos="9026"/>
      </w:tabs>
      <w:spacing w:after="0"/>
    </w:pPr>
    <w:rPr>
      <w:color w:val="001B35" w:themeColor="text2"/>
      <w:sz w:val="20"/>
    </w:rPr>
  </w:style>
  <w:style w:type="character" w:customStyle="1" w:styleId="FooterChar">
    <w:name w:val="Footer Char"/>
    <w:basedOn w:val="DefaultParagraphFont"/>
    <w:link w:val="Footer"/>
    <w:uiPriority w:val="99"/>
    <w:rsid w:val="00AA6DC6"/>
    <w:rPr>
      <w:color w:val="001B35" w:themeColor="text2"/>
      <w:sz w:val="20"/>
    </w:rPr>
  </w:style>
  <w:style w:type="character" w:customStyle="1" w:styleId="Heading1Char">
    <w:name w:val="Heading 1 Char"/>
    <w:basedOn w:val="DefaultParagraphFont"/>
    <w:link w:val="Heading1"/>
    <w:uiPriority w:val="9"/>
    <w:rsid w:val="000874A3"/>
    <w:rPr>
      <w:rFonts w:asciiTheme="majorHAnsi" w:eastAsiaTheme="majorEastAsia" w:hAnsiTheme="majorHAnsi" w:cstheme="majorBidi"/>
      <w:color w:val="0766A5" w:themeColor="accent1"/>
      <w:sz w:val="72"/>
      <w:szCs w:val="32"/>
    </w:rPr>
  </w:style>
  <w:style w:type="table" w:customStyle="1" w:styleId="Verticaltable">
    <w:name w:val="Vertical table"/>
    <w:basedOn w:val="TableNormal"/>
    <w:uiPriority w:val="99"/>
    <w:rsid w:val="00AA6DC6"/>
    <w:pPr>
      <w:spacing w:after="0" w:line="240" w:lineRule="auto"/>
    </w:pPr>
    <w:tblPr>
      <w:tblBorders>
        <w:top w:val="single" w:sz="4" w:space="0" w:color="0766A5" w:themeColor="accent1"/>
        <w:left w:val="single" w:sz="4" w:space="0" w:color="0766A5" w:themeColor="accent1"/>
        <w:bottom w:val="single" w:sz="4" w:space="0" w:color="0766A5" w:themeColor="accent1"/>
        <w:right w:val="single" w:sz="4" w:space="0" w:color="0766A5" w:themeColor="accent1"/>
        <w:insideH w:val="single" w:sz="4" w:space="0" w:color="0766A5" w:themeColor="accent1"/>
        <w:insideV w:val="single" w:sz="4" w:space="0" w:color="0766A5"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0766A5" w:themeFill="accent1"/>
      </w:tcPr>
    </w:tblStylePr>
  </w:style>
  <w:style w:type="character" w:styleId="FollowedHyperlink">
    <w:name w:val="FollowedHyperlink"/>
    <w:basedOn w:val="DefaultParagraphFont"/>
    <w:uiPriority w:val="99"/>
    <w:semiHidden/>
    <w:unhideWhenUsed/>
    <w:rsid w:val="00872DFF"/>
    <w:rPr>
      <w:color w:val="001B35" w:themeColor="followedHyperlink"/>
      <w:u w:val="single"/>
    </w:rPr>
  </w:style>
  <w:style w:type="paragraph" w:styleId="Subtitle">
    <w:name w:val="Subtitle"/>
    <w:basedOn w:val="Normal"/>
    <w:next w:val="Normal"/>
    <w:link w:val="SubtitleChar"/>
    <w:uiPriority w:val="11"/>
    <w:qFormat/>
    <w:rsid w:val="006A092C"/>
    <w:pPr>
      <w:numPr>
        <w:ilvl w:val="1"/>
      </w:numPr>
    </w:pPr>
    <w:rPr>
      <w:rFonts w:eastAsiaTheme="minorEastAsia"/>
      <w:color w:val="001B35" w:themeColor="text2"/>
      <w:sz w:val="40"/>
    </w:rPr>
  </w:style>
  <w:style w:type="character" w:customStyle="1" w:styleId="SubtitleChar">
    <w:name w:val="Subtitle Char"/>
    <w:basedOn w:val="DefaultParagraphFont"/>
    <w:link w:val="Subtitle"/>
    <w:uiPriority w:val="11"/>
    <w:rsid w:val="006A092C"/>
    <w:rPr>
      <w:rFonts w:eastAsiaTheme="minorEastAsia"/>
      <w:color w:val="001B35" w:themeColor="text2"/>
      <w:sz w:val="40"/>
    </w:rPr>
  </w:style>
  <w:style w:type="character" w:customStyle="1" w:styleId="Heading2Char">
    <w:name w:val="Heading 2 Char"/>
    <w:basedOn w:val="DefaultParagraphFont"/>
    <w:link w:val="Heading2"/>
    <w:uiPriority w:val="9"/>
    <w:rsid w:val="00EA68AE"/>
    <w:rPr>
      <w:rFonts w:asciiTheme="majorHAnsi" w:eastAsiaTheme="majorEastAsia" w:hAnsiTheme="majorHAnsi" w:cstheme="majorBidi"/>
      <w:color w:val="0766A5" w:themeColor="accent1"/>
      <w:sz w:val="48"/>
      <w:szCs w:val="48"/>
    </w:rPr>
  </w:style>
  <w:style w:type="character" w:customStyle="1" w:styleId="Heading3Char">
    <w:name w:val="Heading 3 Char"/>
    <w:basedOn w:val="DefaultParagraphFont"/>
    <w:link w:val="Heading3"/>
    <w:uiPriority w:val="9"/>
    <w:rsid w:val="00EA68AE"/>
    <w:rPr>
      <w:rFonts w:asciiTheme="majorHAnsi" w:eastAsiaTheme="majorEastAsia" w:hAnsiTheme="majorHAnsi" w:cstheme="majorBidi"/>
      <w:color w:val="0766A5" w:themeColor="accent1"/>
      <w:sz w:val="40"/>
      <w:szCs w:val="40"/>
    </w:rPr>
  </w:style>
  <w:style w:type="character" w:customStyle="1" w:styleId="Heading4Char">
    <w:name w:val="Heading 4 Char"/>
    <w:basedOn w:val="DefaultParagraphFont"/>
    <w:link w:val="Heading4"/>
    <w:uiPriority w:val="9"/>
    <w:rsid w:val="00EA68AE"/>
    <w:rPr>
      <w:rFonts w:asciiTheme="majorHAnsi" w:eastAsiaTheme="majorEastAsia" w:hAnsiTheme="majorHAnsi" w:cstheme="majorBidi"/>
      <w:iCs/>
      <w:color w:val="0766A5" w:themeColor="accent1"/>
      <w:sz w:val="32"/>
      <w:szCs w:val="28"/>
    </w:rPr>
  </w:style>
  <w:style w:type="character" w:customStyle="1" w:styleId="Heading5Char">
    <w:name w:val="Heading 5 Char"/>
    <w:basedOn w:val="DefaultParagraphFont"/>
    <w:link w:val="Heading5"/>
    <w:uiPriority w:val="9"/>
    <w:rsid w:val="00900E48"/>
    <w:rPr>
      <w:rFonts w:asciiTheme="majorHAnsi" w:eastAsiaTheme="majorEastAsia" w:hAnsiTheme="majorHAnsi" w:cstheme="majorBidi"/>
      <w:color w:val="0766A5" w:themeColor="accent1"/>
      <w:sz w:val="26"/>
      <w:szCs w:val="26"/>
    </w:rPr>
  </w:style>
  <w:style w:type="paragraph" w:styleId="Quote">
    <w:name w:val="Quote"/>
    <w:basedOn w:val="Normal"/>
    <w:next w:val="Normal"/>
    <w:link w:val="QuoteChar"/>
    <w:uiPriority w:val="29"/>
    <w:qFormat/>
    <w:rsid w:val="00BD5778"/>
    <w:pPr>
      <w:pBdr>
        <w:top w:val="single" w:sz="4" w:space="6" w:color="0766A5" w:themeColor="accent1"/>
        <w:bottom w:val="single" w:sz="4" w:space="6" w:color="0766A5"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BD5778"/>
    <w:rPr>
      <w:iCs/>
      <w:color w:val="000000" w:themeColor="text1"/>
      <w:sz w:val="24"/>
      <w:szCs w:val="24"/>
    </w:rPr>
  </w:style>
  <w:style w:type="character" w:styleId="Strong">
    <w:name w:val="Strong"/>
    <w:basedOn w:val="DefaultParagraphFont"/>
    <w:uiPriority w:val="22"/>
    <w:qFormat/>
    <w:rsid w:val="00B251DB"/>
    <w:rPr>
      <w:b/>
      <w:bCs/>
    </w:rPr>
  </w:style>
  <w:style w:type="character" w:styleId="Emphasis">
    <w:name w:val="Emphasis"/>
    <w:basedOn w:val="DefaultParagraphFont"/>
    <w:uiPriority w:val="20"/>
    <w:qFormat/>
    <w:rsid w:val="00B251DB"/>
    <w:rPr>
      <w:i/>
      <w:iCs/>
    </w:rPr>
  </w:style>
  <w:style w:type="paragraph" w:styleId="ListParagraph">
    <w:name w:val="List Paragraph"/>
    <w:basedOn w:val="Normal"/>
    <w:uiPriority w:val="34"/>
    <w:qFormat/>
    <w:rsid w:val="00090DDB"/>
    <w:pPr>
      <w:numPr>
        <w:numId w:val="1"/>
      </w:numPr>
      <w:spacing w:before="0"/>
    </w:pPr>
  </w:style>
  <w:style w:type="character" w:styleId="Hyperlink">
    <w:name w:val="Hyperlink"/>
    <w:basedOn w:val="DefaultParagraphFont"/>
    <w:uiPriority w:val="99"/>
    <w:rsid w:val="00BF6930"/>
    <w:rPr>
      <w:color w:val="0766A5" w:themeColor="accent1"/>
      <w:u w:val="single"/>
    </w:rPr>
  </w:style>
  <w:style w:type="table" w:styleId="TableGrid">
    <w:name w:val="Table Grid"/>
    <w:aliases w:val="DISR plain Table 1"/>
    <w:basedOn w:val="TableNormal"/>
    <w:uiPriority w:val="39"/>
    <w:rsid w:val="005777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71134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71134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qFormat/>
    <w:rsid w:val="005777BC"/>
    <w:rPr>
      <w:b/>
      <w:iCs/>
      <w:szCs w:val="18"/>
    </w:rPr>
  </w:style>
  <w:style w:type="character" w:styleId="PlaceholderText">
    <w:name w:val="Placeholder Text"/>
    <w:basedOn w:val="DefaultParagraphFont"/>
    <w:uiPriority w:val="99"/>
    <w:semiHidden/>
    <w:rsid w:val="00BD0F8A"/>
    <w:rPr>
      <w:color w:val="808080"/>
    </w:rPr>
  </w:style>
  <w:style w:type="paragraph" w:styleId="NoSpacing">
    <w:name w:val="No Spacing"/>
    <w:link w:val="NoSpacingChar"/>
    <w:uiPriority w:val="1"/>
    <w:qFormat/>
    <w:rsid w:val="00BD5778"/>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BD5778"/>
    <w:rPr>
      <w:rFonts w:eastAsiaTheme="minorEastAsia"/>
      <w:sz w:val="24"/>
      <w:lang w:val="en-US"/>
    </w:rPr>
  </w:style>
  <w:style w:type="paragraph" w:styleId="TOCHeading">
    <w:name w:val="TOC Heading"/>
    <w:basedOn w:val="Heading2"/>
    <w:next w:val="Normal"/>
    <w:uiPriority w:val="39"/>
    <w:unhideWhenUsed/>
    <w:rsid w:val="000F2564"/>
    <w:pPr>
      <w:spacing w:after="480"/>
      <w:outlineLvl w:val="9"/>
    </w:pPr>
    <w:rPr>
      <w:lang w:val="en-US"/>
    </w:rPr>
  </w:style>
  <w:style w:type="paragraph" w:styleId="TOC1">
    <w:name w:val="toc 1"/>
    <w:basedOn w:val="Normal"/>
    <w:next w:val="Normal"/>
    <w:autoRedefine/>
    <w:uiPriority w:val="39"/>
    <w:unhideWhenUsed/>
    <w:rsid w:val="000F2564"/>
    <w:pPr>
      <w:tabs>
        <w:tab w:val="right" w:leader="dot" w:pos="9016"/>
      </w:tabs>
      <w:spacing w:after="100"/>
    </w:pPr>
  </w:style>
  <w:style w:type="paragraph" w:styleId="TOC2">
    <w:name w:val="toc 2"/>
    <w:basedOn w:val="Normal"/>
    <w:next w:val="Normal"/>
    <w:autoRedefine/>
    <w:uiPriority w:val="39"/>
    <w:unhideWhenUsed/>
    <w:rsid w:val="0043720A"/>
    <w:pPr>
      <w:spacing w:after="100"/>
    </w:pPr>
  </w:style>
  <w:style w:type="paragraph" w:styleId="TOC3">
    <w:name w:val="toc 3"/>
    <w:basedOn w:val="Normal"/>
    <w:next w:val="Normal"/>
    <w:autoRedefine/>
    <w:uiPriority w:val="39"/>
    <w:unhideWhenUsed/>
    <w:rsid w:val="0043720A"/>
    <w:pPr>
      <w:spacing w:after="100"/>
      <w:ind w:left="221"/>
    </w:pPr>
  </w:style>
  <w:style w:type="paragraph" w:customStyle="1" w:styleId="Address">
    <w:name w:val="Address"/>
    <w:basedOn w:val="Subtitle"/>
    <w:semiHidden/>
    <w:rsid w:val="009A549D"/>
    <w:pPr>
      <w:spacing w:after="0"/>
    </w:pPr>
    <w:rPr>
      <w:sz w:val="24"/>
    </w:rPr>
  </w:style>
  <w:style w:type="paragraph" w:styleId="BalloonText">
    <w:name w:val="Balloon Text"/>
    <w:basedOn w:val="Normal"/>
    <w:link w:val="BalloonTextChar"/>
    <w:uiPriority w:val="99"/>
    <w:semiHidden/>
    <w:unhideWhenUsed/>
    <w:rsid w:val="00E3027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27E"/>
    <w:rPr>
      <w:rFonts w:ascii="Segoe UI" w:hAnsi="Segoe UI" w:cs="Segoe UI"/>
      <w:sz w:val="18"/>
      <w:szCs w:val="18"/>
    </w:rPr>
  </w:style>
  <w:style w:type="table" w:styleId="ListTable3-Accent2">
    <w:name w:val="List Table 3 Accent 2"/>
    <w:basedOn w:val="TableNormal"/>
    <w:uiPriority w:val="48"/>
    <w:rsid w:val="00153C15"/>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153C15"/>
    <w:pPr>
      <w:spacing w:after="0" w:line="240" w:lineRule="auto"/>
    </w:pPr>
    <w:tblPr>
      <w:tblStyleRowBandSize w:val="1"/>
      <w:tblStyleColBandSize w:val="1"/>
      <w:tblBorders>
        <w:top w:val="single" w:sz="4" w:space="0" w:color="4999E1" w:themeColor="accent3"/>
        <w:left w:val="single" w:sz="4" w:space="0" w:color="4999E1" w:themeColor="accent3"/>
        <w:bottom w:val="single" w:sz="4" w:space="0" w:color="4999E1" w:themeColor="accent3"/>
        <w:right w:val="single" w:sz="4" w:space="0" w:color="4999E1" w:themeColor="accent3"/>
      </w:tblBorders>
    </w:tblPr>
    <w:tblStylePr w:type="firstRow">
      <w:rPr>
        <w:b/>
        <w:bCs/>
        <w:color w:val="FFFFFF" w:themeColor="background1"/>
      </w:rPr>
      <w:tblPr/>
      <w:tcPr>
        <w:shd w:val="clear" w:color="auto" w:fill="4999E1" w:themeFill="accent3"/>
      </w:tcPr>
    </w:tblStylePr>
    <w:tblStylePr w:type="lastRow">
      <w:rPr>
        <w:b/>
        <w:bCs/>
      </w:rPr>
      <w:tblPr/>
      <w:tcPr>
        <w:tcBorders>
          <w:top w:val="double" w:sz="4" w:space="0" w:color="4999E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99E1" w:themeColor="accent3"/>
          <w:right w:val="single" w:sz="4" w:space="0" w:color="4999E1" w:themeColor="accent3"/>
        </w:tcBorders>
      </w:tcPr>
    </w:tblStylePr>
    <w:tblStylePr w:type="band1Horz">
      <w:tblPr/>
      <w:tcPr>
        <w:tcBorders>
          <w:top w:val="single" w:sz="4" w:space="0" w:color="4999E1" w:themeColor="accent3"/>
          <w:bottom w:val="single" w:sz="4" w:space="0" w:color="4999E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99E1" w:themeColor="accent3"/>
          <w:left w:val="nil"/>
        </w:tcBorders>
      </w:tcPr>
    </w:tblStylePr>
    <w:tblStylePr w:type="swCell">
      <w:tblPr/>
      <w:tcPr>
        <w:tcBorders>
          <w:top w:val="double" w:sz="4" w:space="0" w:color="4999E1" w:themeColor="accent3"/>
          <w:right w:val="nil"/>
        </w:tcBorders>
      </w:tcPr>
    </w:tblStylePr>
  </w:style>
  <w:style w:type="paragraph" w:styleId="IntenseQuote">
    <w:name w:val="Intense Quote"/>
    <w:basedOn w:val="Normal"/>
    <w:next w:val="Normal"/>
    <w:link w:val="IntenseQuoteChar"/>
    <w:uiPriority w:val="30"/>
    <w:rsid w:val="00CD36CB"/>
    <w:pPr>
      <w:pBdr>
        <w:top w:val="single" w:sz="4" w:space="6" w:color="0766A5" w:themeColor="accent1"/>
        <w:bottom w:val="single" w:sz="4" w:space="6" w:color="0766A5"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CD36CB"/>
    <w:rPr>
      <w:b/>
      <w:iCs/>
      <w:sz w:val="24"/>
    </w:rPr>
  </w:style>
  <w:style w:type="paragraph" w:customStyle="1" w:styleId="Calloutbox">
    <w:name w:val="Call out box"/>
    <w:basedOn w:val="Normal"/>
    <w:qFormat/>
    <w:rsid w:val="00BF6930"/>
    <w:pPr>
      <w:pBdr>
        <w:top w:val="single" w:sz="4" w:space="6" w:color="E2E1E1" w:themeColor="accent5" w:themeTint="33"/>
        <w:left w:val="single" w:sz="4" w:space="4" w:color="E2E1E1" w:themeColor="accent5" w:themeTint="33"/>
        <w:bottom w:val="single" w:sz="4" w:space="6" w:color="E2E1E1" w:themeColor="accent5" w:themeTint="33"/>
        <w:right w:val="single" w:sz="4" w:space="4" w:color="E2E1E1" w:themeColor="accent5" w:themeTint="33"/>
      </w:pBdr>
      <w:shd w:val="clear" w:color="auto" w:fill="E2E1E1" w:themeFill="accent5" w:themeFillTint="33"/>
    </w:pPr>
  </w:style>
  <w:style w:type="character" w:customStyle="1" w:styleId="Heading6Char">
    <w:name w:val="Heading 6 Char"/>
    <w:basedOn w:val="DefaultParagraphFont"/>
    <w:link w:val="Heading6"/>
    <w:uiPriority w:val="9"/>
    <w:rsid w:val="00C50A9A"/>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4D3B0F"/>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4D3B0F"/>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4D3B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3F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766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766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766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766A5" w:themeFill="accent1"/>
      </w:tcPr>
    </w:tblStylePr>
    <w:tblStylePr w:type="band1Vert">
      <w:tblPr/>
      <w:tcPr>
        <w:shd w:val="clear" w:color="auto" w:fill="7DC7F9" w:themeFill="accent1" w:themeFillTint="66"/>
      </w:tcPr>
    </w:tblStylePr>
    <w:tblStylePr w:type="band1Horz">
      <w:tblPr/>
      <w:tcPr>
        <w:shd w:val="clear" w:color="auto" w:fill="7DC7F9" w:themeFill="accent1" w:themeFillTint="66"/>
      </w:tcPr>
    </w:tblStylePr>
  </w:style>
  <w:style w:type="table" w:styleId="GridTable4-Accent1">
    <w:name w:val="Grid Table 4 Accent 1"/>
    <w:basedOn w:val="TableNormal"/>
    <w:uiPriority w:val="49"/>
    <w:rsid w:val="00F32757"/>
    <w:pPr>
      <w:spacing w:after="0" w:line="240" w:lineRule="auto"/>
    </w:pPr>
    <w:tblPr>
      <w:tblStyleRowBandSize w:val="1"/>
      <w:tblStyleColBandSize w:val="1"/>
      <w:tblBorders>
        <w:top w:val="single" w:sz="4" w:space="0" w:color="3CACF6" w:themeColor="accent1" w:themeTint="99"/>
        <w:left w:val="single" w:sz="4" w:space="0" w:color="3CACF6" w:themeColor="accent1" w:themeTint="99"/>
        <w:bottom w:val="single" w:sz="4" w:space="0" w:color="3CACF6" w:themeColor="accent1" w:themeTint="99"/>
        <w:right w:val="single" w:sz="4" w:space="0" w:color="3CACF6" w:themeColor="accent1" w:themeTint="99"/>
        <w:insideH w:val="single" w:sz="4" w:space="0" w:color="3CACF6" w:themeColor="accent1" w:themeTint="99"/>
        <w:insideV w:val="single" w:sz="4" w:space="0" w:color="3CACF6" w:themeColor="accent1" w:themeTint="99"/>
      </w:tblBorders>
    </w:tblPr>
    <w:tblStylePr w:type="firstRow">
      <w:rPr>
        <w:b/>
        <w:bCs/>
        <w:color w:val="FFFFFF" w:themeColor="background1"/>
      </w:rPr>
      <w:tblPr/>
      <w:tcPr>
        <w:shd w:val="clear" w:color="auto" w:fill="054C7B" w:themeFill="accent1" w:themeFillShade="BF"/>
      </w:tcPr>
    </w:tblStylePr>
    <w:tblStylePr w:type="lastRow">
      <w:rPr>
        <w:b/>
        <w:bCs/>
      </w:rPr>
      <w:tblPr/>
      <w:tcPr>
        <w:tcBorders>
          <w:top w:val="double" w:sz="4" w:space="0" w:color="0766A5" w:themeColor="accent1"/>
        </w:tcBorders>
      </w:tcPr>
    </w:tblStylePr>
    <w:tblStylePr w:type="firstCol">
      <w:rPr>
        <w:b/>
        <w:bCs/>
      </w:rPr>
    </w:tblStylePr>
    <w:tblStylePr w:type="lastCol">
      <w:rPr>
        <w:b/>
        <w:bCs/>
      </w:rPr>
    </w:tblStylePr>
    <w:tblStylePr w:type="band1Vert">
      <w:tblPr/>
      <w:tcPr>
        <w:shd w:val="clear" w:color="auto" w:fill="BEE3FC" w:themeFill="accent1" w:themeFillTint="33"/>
      </w:tcPr>
    </w:tblStylePr>
    <w:tblStylePr w:type="band1Horz">
      <w:tblPr/>
      <w:tcPr>
        <w:shd w:val="clear" w:color="auto" w:fill="BEE3FC" w:themeFill="accent1" w:themeFillTint="33"/>
      </w:tcPr>
    </w:tblStylePr>
  </w:style>
  <w:style w:type="table" w:styleId="GridTable4-Accent5">
    <w:name w:val="Grid Table 4 Accent 5"/>
    <w:basedOn w:val="TableNormal"/>
    <w:uiPriority w:val="49"/>
    <w:rsid w:val="004D3B0F"/>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BF6930"/>
    <w:pPr>
      <w:spacing w:after="0" w:line="240" w:lineRule="auto"/>
    </w:pPr>
    <w:tblPr>
      <w:tblStyleRowBandSize w:val="1"/>
      <w:tblStyleColBandSize w:val="1"/>
      <w:tblBorders>
        <w:top w:val="single" w:sz="4" w:space="0" w:color="0766A5" w:themeColor="accent1"/>
        <w:left w:val="single" w:sz="4" w:space="0" w:color="0766A5" w:themeColor="accent1"/>
        <w:bottom w:val="single" w:sz="4" w:space="0" w:color="0766A5" w:themeColor="accent1"/>
        <w:right w:val="single" w:sz="4" w:space="0" w:color="0766A5" w:themeColor="accent1"/>
        <w:insideH w:val="single" w:sz="4" w:space="0" w:color="0766A5" w:themeColor="accent1"/>
        <w:insideV w:val="single" w:sz="4" w:space="0" w:color="0766A5" w:themeColor="accent1"/>
      </w:tblBorders>
    </w:tblPr>
    <w:tblStylePr w:type="firstRow">
      <w:rPr>
        <w:b/>
        <w:bCs/>
        <w:color w:val="FFFFFF" w:themeColor="background1"/>
      </w:rPr>
      <w:tblPr/>
      <w:tcPr>
        <w:shd w:val="clear" w:color="auto" w:fill="0766A5"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4D3B0F"/>
    <w:pPr>
      <w:spacing w:after="0" w:line="240" w:lineRule="auto"/>
    </w:pPr>
    <w:tblPr>
      <w:tblStyleRowBandSize w:val="1"/>
      <w:tblStyleColBandSize w:val="1"/>
      <w:tblBorders>
        <w:top w:val="single" w:sz="4" w:space="0" w:color="91C1ED" w:themeColor="accent3" w:themeTint="99"/>
        <w:left w:val="single" w:sz="4" w:space="0" w:color="91C1ED" w:themeColor="accent3" w:themeTint="99"/>
        <w:bottom w:val="single" w:sz="4" w:space="0" w:color="91C1ED" w:themeColor="accent3" w:themeTint="99"/>
        <w:right w:val="single" w:sz="4" w:space="0" w:color="91C1ED" w:themeColor="accent3" w:themeTint="99"/>
        <w:insideH w:val="single" w:sz="4" w:space="0" w:color="91C1ED" w:themeColor="accent3" w:themeTint="99"/>
        <w:insideV w:val="single" w:sz="4" w:space="0" w:color="91C1ED" w:themeColor="accent3" w:themeTint="99"/>
      </w:tblBorders>
    </w:tblPr>
    <w:tblStylePr w:type="firstRow">
      <w:rPr>
        <w:b/>
        <w:bCs/>
        <w:color w:val="FFFFFF" w:themeColor="background1"/>
      </w:rPr>
      <w:tblPr/>
      <w:tcPr>
        <w:tcBorders>
          <w:top w:val="single" w:sz="4" w:space="0" w:color="4999E1" w:themeColor="accent3"/>
          <w:left w:val="single" w:sz="4" w:space="0" w:color="4999E1" w:themeColor="accent3"/>
          <w:bottom w:val="single" w:sz="4" w:space="0" w:color="4999E1" w:themeColor="accent3"/>
          <w:right w:val="single" w:sz="4" w:space="0" w:color="4999E1" w:themeColor="accent3"/>
          <w:insideH w:val="nil"/>
          <w:insideV w:val="nil"/>
        </w:tcBorders>
        <w:shd w:val="clear" w:color="auto" w:fill="4999E1" w:themeFill="accent3"/>
      </w:tcPr>
    </w:tblStylePr>
    <w:tblStylePr w:type="lastRow">
      <w:rPr>
        <w:b/>
        <w:bCs/>
      </w:rPr>
      <w:tblPr/>
      <w:tcPr>
        <w:tcBorders>
          <w:top w:val="double" w:sz="4" w:space="0" w:color="4999E1" w:themeColor="accent3"/>
        </w:tcBorders>
      </w:tcPr>
    </w:tblStylePr>
    <w:tblStylePr w:type="firstCol">
      <w:rPr>
        <w:b/>
        <w:bCs/>
      </w:rPr>
    </w:tblStylePr>
    <w:tblStylePr w:type="lastCol">
      <w:rPr>
        <w:b/>
        <w:bCs/>
      </w:rPr>
    </w:tblStylePr>
    <w:tblStylePr w:type="band1Vert">
      <w:tblPr/>
      <w:tcPr>
        <w:shd w:val="clear" w:color="auto" w:fill="DAEAF9" w:themeFill="accent3" w:themeFillTint="33"/>
      </w:tcPr>
    </w:tblStylePr>
    <w:tblStylePr w:type="band1Horz">
      <w:tblPr/>
      <w:tcPr>
        <w:shd w:val="clear" w:color="auto" w:fill="DAEAF9" w:themeFill="accent3" w:themeFillTint="33"/>
      </w:tcPr>
    </w:tblStylePr>
  </w:style>
  <w:style w:type="paragraph" w:customStyle="1" w:styleId="Authoranddate">
    <w:name w:val="Author and date"/>
    <w:basedOn w:val="Subtitle"/>
    <w:link w:val="AuthoranddateChar"/>
    <w:rsid w:val="001D51DA"/>
    <w:rPr>
      <w:szCs w:val="40"/>
    </w:rPr>
  </w:style>
  <w:style w:type="character" w:customStyle="1" w:styleId="AuthoranddateChar">
    <w:name w:val="Author and date Char"/>
    <w:basedOn w:val="SubtitleChar"/>
    <w:link w:val="Authoranddate"/>
    <w:rsid w:val="001D51DA"/>
    <w:rPr>
      <w:rFonts w:eastAsiaTheme="minorEastAsia"/>
      <w:color w:val="CE5958" w:themeColor="background2"/>
      <w:sz w:val="40"/>
      <w:szCs w:val="40"/>
    </w:rPr>
  </w:style>
  <w:style w:type="character" w:customStyle="1" w:styleId="Heading7Char">
    <w:name w:val="Heading 7 Char"/>
    <w:basedOn w:val="DefaultParagraphFont"/>
    <w:link w:val="Heading7"/>
    <w:uiPriority w:val="9"/>
    <w:rsid w:val="00C50A9A"/>
    <w:rPr>
      <w:rFonts w:asciiTheme="majorHAnsi" w:eastAsiaTheme="majorEastAsia" w:hAnsiTheme="majorHAnsi" w:cstheme="majorBidi"/>
      <w:b/>
      <w:iCs/>
      <w:color w:val="0766A5" w:themeColor="accent1"/>
    </w:rPr>
  </w:style>
  <w:style w:type="character" w:styleId="UnresolvedMention">
    <w:name w:val="Unresolved Mention"/>
    <w:basedOn w:val="DefaultParagraphFont"/>
    <w:uiPriority w:val="99"/>
    <w:semiHidden/>
    <w:unhideWhenUsed/>
    <w:rsid w:val="00282ED3"/>
    <w:rPr>
      <w:color w:val="605E5C"/>
      <w:shd w:val="clear" w:color="auto" w:fill="E1DFDD"/>
    </w:rPr>
  </w:style>
  <w:style w:type="table" w:styleId="GridTable4">
    <w:name w:val="Grid Table 4"/>
    <w:basedOn w:val="TableNormal"/>
    <w:uiPriority w:val="49"/>
    <w:rsid w:val="004060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31654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43720A"/>
    <w:pPr>
      <w:spacing w:after="100"/>
      <w:ind w:left="442"/>
    </w:pPr>
  </w:style>
  <w:style w:type="paragraph" w:styleId="TOC5">
    <w:name w:val="toc 5"/>
    <w:basedOn w:val="Normal"/>
    <w:next w:val="Normal"/>
    <w:autoRedefine/>
    <w:uiPriority w:val="39"/>
    <w:unhideWhenUsed/>
    <w:rsid w:val="0043720A"/>
    <w:pPr>
      <w:spacing w:after="100"/>
      <w:ind w:left="601"/>
    </w:pPr>
  </w:style>
  <w:style w:type="paragraph" w:styleId="ListBullet">
    <w:name w:val="List Bullet"/>
    <w:basedOn w:val="Normal"/>
    <w:uiPriority w:val="99"/>
    <w:rsid w:val="00703734"/>
    <w:pPr>
      <w:numPr>
        <w:numId w:val="2"/>
      </w:numPr>
      <w:contextualSpacing/>
    </w:pPr>
  </w:style>
  <w:style w:type="paragraph" w:styleId="ListBullet2">
    <w:name w:val="List Bullet 2"/>
    <w:basedOn w:val="Normal"/>
    <w:uiPriority w:val="99"/>
    <w:semiHidden/>
    <w:unhideWhenUsed/>
    <w:rsid w:val="00703734"/>
    <w:pPr>
      <w:numPr>
        <w:numId w:val="3"/>
      </w:numPr>
      <w:contextualSpacing/>
    </w:pPr>
  </w:style>
  <w:style w:type="character" w:customStyle="1" w:styleId="Heading8Char">
    <w:name w:val="Heading 8 Char"/>
    <w:basedOn w:val="DefaultParagraphFont"/>
    <w:link w:val="Heading8"/>
    <w:uiPriority w:val="9"/>
    <w:rsid w:val="00C50A9A"/>
    <w:rPr>
      <w:rFonts w:asciiTheme="majorHAnsi" w:eastAsiaTheme="majorEastAsia" w:hAnsiTheme="majorHAnsi" w:cstheme="majorBidi"/>
      <w:color w:val="272727" w:themeColor="text1" w:themeTint="D8"/>
      <w:sz w:val="20"/>
      <w:szCs w:val="21"/>
    </w:rPr>
  </w:style>
  <w:style w:type="character" w:styleId="CommentReference">
    <w:name w:val="annotation reference"/>
    <w:basedOn w:val="DefaultParagraphFont"/>
    <w:uiPriority w:val="99"/>
    <w:semiHidden/>
    <w:unhideWhenUsed/>
    <w:rsid w:val="00FE4569"/>
    <w:rPr>
      <w:sz w:val="16"/>
      <w:szCs w:val="16"/>
    </w:rPr>
  </w:style>
  <w:style w:type="paragraph" w:styleId="CommentText">
    <w:name w:val="annotation text"/>
    <w:basedOn w:val="Normal"/>
    <w:link w:val="CommentTextChar"/>
    <w:uiPriority w:val="99"/>
    <w:semiHidden/>
    <w:rsid w:val="00FE4569"/>
    <w:rPr>
      <w:szCs w:val="20"/>
    </w:rPr>
  </w:style>
  <w:style w:type="character" w:customStyle="1" w:styleId="CommentTextChar">
    <w:name w:val="Comment Text Char"/>
    <w:basedOn w:val="DefaultParagraphFont"/>
    <w:link w:val="CommentText"/>
    <w:uiPriority w:val="99"/>
    <w:semiHidden/>
    <w:rsid w:val="00CD0279"/>
    <w:rPr>
      <w:sz w:val="20"/>
      <w:szCs w:val="20"/>
    </w:rPr>
  </w:style>
  <w:style w:type="paragraph" w:styleId="CommentSubject">
    <w:name w:val="annotation subject"/>
    <w:basedOn w:val="CommentText"/>
    <w:next w:val="CommentText"/>
    <w:link w:val="CommentSubjectChar"/>
    <w:uiPriority w:val="99"/>
    <w:semiHidden/>
    <w:unhideWhenUsed/>
    <w:rsid w:val="00FE4569"/>
    <w:rPr>
      <w:b/>
      <w:bCs/>
    </w:rPr>
  </w:style>
  <w:style w:type="character" w:customStyle="1" w:styleId="CommentSubjectChar">
    <w:name w:val="Comment Subject Char"/>
    <w:basedOn w:val="CommentTextChar"/>
    <w:link w:val="CommentSubject"/>
    <w:uiPriority w:val="99"/>
    <w:semiHidden/>
    <w:rsid w:val="00FE4569"/>
    <w:rPr>
      <w:b/>
      <w:bCs/>
      <w:sz w:val="20"/>
      <w:szCs w:val="20"/>
    </w:rPr>
  </w:style>
  <w:style w:type="table" w:styleId="ListTable3-Accent1">
    <w:name w:val="List Table 3 Accent 1"/>
    <w:basedOn w:val="TableNormal"/>
    <w:uiPriority w:val="48"/>
    <w:rsid w:val="00BF6930"/>
    <w:pPr>
      <w:spacing w:after="0" w:line="240" w:lineRule="auto"/>
    </w:pPr>
    <w:tblPr>
      <w:tblStyleRowBandSize w:val="1"/>
      <w:tblStyleColBandSize w:val="1"/>
      <w:tblBorders>
        <w:top w:val="single" w:sz="4" w:space="0" w:color="0766A5" w:themeColor="accent1"/>
        <w:left w:val="single" w:sz="4" w:space="0" w:color="0766A5" w:themeColor="accent1"/>
        <w:bottom w:val="single" w:sz="4" w:space="0" w:color="0766A5" w:themeColor="accent1"/>
        <w:right w:val="single" w:sz="4" w:space="0" w:color="0766A5" w:themeColor="accent1"/>
      </w:tblBorders>
    </w:tblPr>
    <w:tblStylePr w:type="firstRow">
      <w:rPr>
        <w:b/>
        <w:bCs/>
        <w:color w:val="FFFFFF" w:themeColor="background1"/>
      </w:rPr>
      <w:tblPr/>
      <w:tcPr>
        <w:shd w:val="clear" w:color="auto" w:fill="0766A5" w:themeFill="accent1"/>
      </w:tcPr>
    </w:tblStylePr>
    <w:tblStylePr w:type="lastRow">
      <w:rPr>
        <w:b/>
        <w:bCs/>
      </w:rPr>
      <w:tblPr/>
      <w:tcPr>
        <w:tcBorders>
          <w:top w:val="double" w:sz="4" w:space="0" w:color="0766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766A5" w:themeColor="accent1"/>
          <w:right w:val="single" w:sz="4" w:space="0" w:color="0766A5" w:themeColor="accent1"/>
        </w:tcBorders>
      </w:tcPr>
    </w:tblStylePr>
    <w:tblStylePr w:type="band1Horz">
      <w:tblPr/>
      <w:tcPr>
        <w:tcBorders>
          <w:top w:val="single" w:sz="4" w:space="0" w:color="0766A5" w:themeColor="accent1"/>
          <w:bottom w:val="single" w:sz="4" w:space="0" w:color="0766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766A5" w:themeColor="accent1"/>
          <w:left w:val="nil"/>
        </w:tcBorders>
      </w:tcPr>
    </w:tblStylePr>
    <w:tblStylePr w:type="swCell">
      <w:tblPr/>
      <w:tcPr>
        <w:tcBorders>
          <w:top w:val="double" w:sz="4" w:space="0" w:color="0766A5" w:themeColor="accent1"/>
          <w:right w:val="nil"/>
        </w:tcBorders>
      </w:tcPr>
    </w:tblStylePr>
  </w:style>
  <w:style w:type="paragraph" w:styleId="NormalWeb">
    <w:name w:val="Normal (Web)"/>
    <w:basedOn w:val="Normal"/>
    <w:uiPriority w:val="99"/>
    <w:semiHidden/>
    <w:unhideWhenUsed/>
    <w:rsid w:val="00FA2434"/>
    <w:pPr>
      <w:spacing w:before="100" w:beforeAutospacing="1" w:after="100" w:afterAutospacing="1"/>
    </w:pPr>
    <w:rPr>
      <w:rFonts w:ascii="Times New Roman" w:eastAsia="Times New Roman" w:hAnsi="Times New Roman" w:cs="Times New Roman"/>
      <w:szCs w:val="24"/>
      <w:lang w:eastAsia="en-AU"/>
    </w:rPr>
  </w:style>
  <w:style w:type="paragraph" w:customStyle="1" w:styleId="Tagline">
    <w:name w:val="Tagline"/>
    <w:basedOn w:val="Normal"/>
    <w:rsid w:val="00797CDD"/>
    <w:rPr>
      <w:bCs/>
      <w:iCs/>
      <w:color w:val="0766A5" w:themeColor="accent1"/>
      <w:kern w:val="18"/>
      <w:szCs w:val="20"/>
    </w:rPr>
  </w:style>
  <w:style w:type="paragraph" w:customStyle="1" w:styleId="URL">
    <w:name w:val="URL"/>
    <w:basedOn w:val="Normal"/>
    <w:rsid w:val="006A092C"/>
    <w:rPr>
      <w:iCs/>
      <w:color w:val="001B35" w:themeColor="text2"/>
      <w:kern w:val="18"/>
    </w:rPr>
  </w:style>
  <w:style w:type="paragraph" w:styleId="Revision">
    <w:name w:val="Revision"/>
    <w:hidden/>
    <w:uiPriority w:val="99"/>
    <w:semiHidden/>
    <w:rsid w:val="005E2533"/>
    <w:pPr>
      <w:spacing w:after="0" w:line="240" w:lineRule="auto"/>
    </w:pPr>
    <w:rPr>
      <w:sz w:val="24"/>
    </w:rPr>
  </w:style>
  <w:style w:type="character" w:customStyle="1" w:styleId="Advisorytext">
    <w:name w:val="Advisory text"/>
    <w:basedOn w:val="DefaultParagraphFont"/>
    <w:uiPriority w:val="99"/>
    <w:rsid w:val="00364240"/>
    <w:rPr>
      <w:color w:val="FF0000"/>
    </w:rPr>
  </w:style>
  <w:style w:type="paragraph" w:styleId="FootnoteText">
    <w:name w:val="footnote text"/>
    <w:basedOn w:val="Normal"/>
    <w:link w:val="FootnoteTextChar"/>
    <w:uiPriority w:val="99"/>
    <w:semiHidden/>
    <w:unhideWhenUsed/>
    <w:rsid w:val="00894169"/>
    <w:pPr>
      <w:spacing w:before="0" w:after="0"/>
    </w:pPr>
    <w:rPr>
      <w:sz w:val="20"/>
      <w:szCs w:val="20"/>
    </w:rPr>
  </w:style>
  <w:style w:type="character" w:customStyle="1" w:styleId="FootnoteTextChar">
    <w:name w:val="Footnote Text Char"/>
    <w:basedOn w:val="DefaultParagraphFont"/>
    <w:link w:val="FootnoteText"/>
    <w:uiPriority w:val="99"/>
    <w:semiHidden/>
    <w:rsid w:val="00894169"/>
    <w:rPr>
      <w:sz w:val="20"/>
      <w:szCs w:val="20"/>
    </w:rPr>
  </w:style>
  <w:style w:type="character" w:styleId="FootnoteReference">
    <w:name w:val="footnote reference"/>
    <w:basedOn w:val="DefaultParagraphFont"/>
    <w:uiPriority w:val="99"/>
    <w:semiHidden/>
    <w:unhideWhenUsed/>
    <w:rsid w:val="00894169"/>
    <w:rPr>
      <w:vertAlign w:val="superscript"/>
    </w:rPr>
  </w:style>
  <w:style w:type="paragraph" w:styleId="ListNumber">
    <w:name w:val="List Number"/>
    <w:basedOn w:val="Normal"/>
    <w:uiPriority w:val="99"/>
    <w:qFormat/>
    <w:rsid w:val="00E966DD"/>
    <w:pPr>
      <w:numPr>
        <w:numId w:val="42"/>
      </w:numPr>
      <w:spacing w:before="0" w:after="200" w:line="276" w:lineRule="auto"/>
    </w:pPr>
    <w:rPr>
      <w:rFonts w:ascii="Arial" w:eastAsia="Calibri" w:hAnsi="Arial" w:cs="Times New Roman"/>
      <w:sz w:val="22"/>
    </w:rPr>
  </w:style>
  <w:style w:type="paragraph" w:styleId="ListNumber2">
    <w:name w:val="List Number 2"/>
    <w:basedOn w:val="Normal"/>
    <w:uiPriority w:val="99"/>
    <w:rsid w:val="00E966DD"/>
    <w:pPr>
      <w:numPr>
        <w:ilvl w:val="1"/>
        <w:numId w:val="42"/>
      </w:numPr>
      <w:spacing w:before="0" w:after="200" w:line="276" w:lineRule="auto"/>
      <w:ind w:left="0" w:firstLine="0"/>
    </w:pPr>
    <w:rPr>
      <w:rFonts w:ascii="Arial" w:eastAsia="Calibri" w:hAnsi="Arial" w:cs="Times New Roman"/>
      <w:sz w:val="22"/>
    </w:rPr>
  </w:style>
  <w:style w:type="paragraph" w:styleId="ListNumber3">
    <w:name w:val="List Number 3"/>
    <w:basedOn w:val="Normal"/>
    <w:uiPriority w:val="99"/>
    <w:rsid w:val="00E966DD"/>
    <w:pPr>
      <w:numPr>
        <w:ilvl w:val="2"/>
        <w:numId w:val="42"/>
      </w:numPr>
      <w:spacing w:before="0" w:after="200" w:line="276" w:lineRule="auto"/>
      <w:ind w:left="0" w:firstLine="0"/>
    </w:pPr>
    <w:rPr>
      <w:rFonts w:ascii="Arial" w:eastAsia="Calibri" w:hAnsi="Arial" w:cs="Times New Roman"/>
      <w:sz w:val="22"/>
    </w:rPr>
  </w:style>
  <w:style w:type="paragraph" w:styleId="ListNumber4">
    <w:name w:val="List Number 4"/>
    <w:basedOn w:val="Normal"/>
    <w:uiPriority w:val="99"/>
    <w:rsid w:val="00E966DD"/>
    <w:pPr>
      <w:numPr>
        <w:ilvl w:val="3"/>
        <w:numId w:val="42"/>
      </w:numPr>
      <w:spacing w:before="0" w:after="200" w:line="276" w:lineRule="auto"/>
      <w:ind w:left="0" w:firstLine="0"/>
    </w:pPr>
    <w:rPr>
      <w:rFonts w:ascii="Arial" w:eastAsia="Calibri" w:hAnsi="Arial" w:cs="Times New Roman"/>
      <w:sz w:val="22"/>
    </w:rPr>
  </w:style>
  <w:style w:type="paragraph" w:styleId="ListNumber5">
    <w:name w:val="List Number 5"/>
    <w:basedOn w:val="Normal"/>
    <w:uiPriority w:val="99"/>
    <w:rsid w:val="00E966DD"/>
    <w:pPr>
      <w:numPr>
        <w:ilvl w:val="4"/>
        <w:numId w:val="42"/>
      </w:numPr>
      <w:spacing w:before="0" w:after="200" w:line="276" w:lineRule="auto"/>
      <w:ind w:left="0" w:firstLine="0"/>
    </w:pPr>
    <w:rPr>
      <w:rFonts w:ascii="Arial" w:eastAsia="Calibri" w:hAnsi="Arial"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241917156">
          <w:marLeft w:val="360"/>
          <w:marRight w:val="0"/>
          <w:marTop w:val="120"/>
          <w:marBottom w:val="120"/>
          <w:divBdr>
            <w:top w:val="none" w:sz="0" w:space="0" w:color="auto"/>
            <w:left w:val="none" w:sz="0" w:space="0" w:color="auto"/>
            <w:bottom w:val="none" w:sz="0" w:space="0" w:color="auto"/>
            <w:right w:val="none" w:sz="0" w:space="0" w:color="auto"/>
          </w:divBdr>
        </w:div>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iea.org/data-and-statistics/data-product/ccus-projects-database" TargetMode="External"/><Relationship Id="rId1" Type="http://schemas.openxmlformats.org/officeDocument/2006/relationships/hyperlink" Target="https://www.globalccsinstitute.com/resources/global-status-repor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978D00DE954317A38746FAA17D08F3"/>
        <w:category>
          <w:name w:val="General"/>
          <w:gallery w:val="placeholder"/>
        </w:category>
        <w:types>
          <w:type w:val="bbPlcHdr"/>
        </w:types>
        <w:behaviors>
          <w:behavior w:val="content"/>
        </w:behaviors>
        <w:guid w:val="{67865356-C9F2-45CE-AD81-66DA224F52C6}"/>
      </w:docPartPr>
      <w:docPartBody>
        <w:p w:rsidR="007A50FE" w:rsidRDefault="007A50FE">
          <w:pPr>
            <w:pStyle w:val="7C978D00DE954317A38746FAA17D08F3"/>
          </w:pPr>
          <w:r w:rsidRPr="00DB39D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2"/>
    <w:rsid w:val="00057EB0"/>
    <w:rsid w:val="0006309B"/>
    <w:rsid w:val="00092A37"/>
    <w:rsid w:val="000E511F"/>
    <w:rsid w:val="00117E70"/>
    <w:rsid w:val="001218AD"/>
    <w:rsid w:val="00166937"/>
    <w:rsid w:val="00176DD4"/>
    <w:rsid w:val="00194AA0"/>
    <w:rsid w:val="001B08EB"/>
    <w:rsid w:val="001B220C"/>
    <w:rsid w:val="001C203E"/>
    <w:rsid w:val="001C3842"/>
    <w:rsid w:val="00261A3E"/>
    <w:rsid w:val="002A1E45"/>
    <w:rsid w:val="002D5B3B"/>
    <w:rsid w:val="002F7FBE"/>
    <w:rsid w:val="003033FF"/>
    <w:rsid w:val="00307626"/>
    <w:rsid w:val="003A6D4E"/>
    <w:rsid w:val="003B180F"/>
    <w:rsid w:val="003C5AB5"/>
    <w:rsid w:val="003C5FDA"/>
    <w:rsid w:val="00401317"/>
    <w:rsid w:val="00435775"/>
    <w:rsid w:val="00444C58"/>
    <w:rsid w:val="004765B0"/>
    <w:rsid w:val="004D7B5C"/>
    <w:rsid w:val="004F2900"/>
    <w:rsid w:val="00524F0A"/>
    <w:rsid w:val="00586AA0"/>
    <w:rsid w:val="00596834"/>
    <w:rsid w:val="0061744E"/>
    <w:rsid w:val="00664D0F"/>
    <w:rsid w:val="00667448"/>
    <w:rsid w:val="00670162"/>
    <w:rsid w:val="006747D3"/>
    <w:rsid w:val="006B35B1"/>
    <w:rsid w:val="006D3421"/>
    <w:rsid w:val="006D5DC5"/>
    <w:rsid w:val="00763EDB"/>
    <w:rsid w:val="007702C2"/>
    <w:rsid w:val="00786DE5"/>
    <w:rsid w:val="007A50FE"/>
    <w:rsid w:val="007A7421"/>
    <w:rsid w:val="007B489A"/>
    <w:rsid w:val="007B511D"/>
    <w:rsid w:val="007E12B4"/>
    <w:rsid w:val="007E5AE2"/>
    <w:rsid w:val="007E7B72"/>
    <w:rsid w:val="007F2E3B"/>
    <w:rsid w:val="00815381"/>
    <w:rsid w:val="00894C32"/>
    <w:rsid w:val="008B64DE"/>
    <w:rsid w:val="008D32CD"/>
    <w:rsid w:val="008E1FCA"/>
    <w:rsid w:val="008E68EE"/>
    <w:rsid w:val="008F6B71"/>
    <w:rsid w:val="009021EE"/>
    <w:rsid w:val="00937BA5"/>
    <w:rsid w:val="00985A92"/>
    <w:rsid w:val="009B0D61"/>
    <w:rsid w:val="009D3C7B"/>
    <w:rsid w:val="009E532A"/>
    <w:rsid w:val="009F139C"/>
    <w:rsid w:val="00A55E69"/>
    <w:rsid w:val="00A762D5"/>
    <w:rsid w:val="00A93B37"/>
    <w:rsid w:val="00AA0F17"/>
    <w:rsid w:val="00AC660A"/>
    <w:rsid w:val="00AE1608"/>
    <w:rsid w:val="00AE64C3"/>
    <w:rsid w:val="00AE7BF2"/>
    <w:rsid w:val="00AF58BD"/>
    <w:rsid w:val="00B03134"/>
    <w:rsid w:val="00B05D6E"/>
    <w:rsid w:val="00B47A21"/>
    <w:rsid w:val="00B607B2"/>
    <w:rsid w:val="00B61AA1"/>
    <w:rsid w:val="00B73458"/>
    <w:rsid w:val="00B742DA"/>
    <w:rsid w:val="00BA7E9A"/>
    <w:rsid w:val="00C072E4"/>
    <w:rsid w:val="00C14BDA"/>
    <w:rsid w:val="00C17EB1"/>
    <w:rsid w:val="00C203EB"/>
    <w:rsid w:val="00C32E4D"/>
    <w:rsid w:val="00C4449D"/>
    <w:rsid w:val="00C72A6F"/>
    <w:rsid w:val="00C83225"/>
    <w:rsid w:val="00CB4B20"/>
    <w:rsid w:val="00CB6E11"/>
    <w:rsid w:val="00CE2515"/>
    <w:rsid w:val="00D256AB"/>
    <w:rsid w:val="00D70FFF"/>
    <w:rsid w:val="00D94F09"/>
    <w:rsid w:val="00DC5AAB"/>
    <w:rsid w:val="00DF2A43"/>
    <w:rsid w:val="00DF2FBF"/>
    <w:rsid w:val="00E2058C"/>
    <w:rsid w:val="00E4264B"/>
    <w:rsid w:val="00E4459A"/>
    <w:rsid w:val="00E45E1F"/>
    <w:rsid w:val="00E623C4"/>
    <w:rsid w:val="00E75FDE"/>
    <w:rsid w:val="00E8224C"/>
    <w:rsid w:val="00EB0EA9"/>
    <w:rsid w:val="00EB5398"/>
    <w:rsid w:val="00EB5D87"/>
    <w:rsid w:val="00EE3134"/>
    <w:rsid w:val="00F01C8D"/>
    <w:rsid w:val="00F066C6"/>
    <w:rsid w:val="00F12F43"/>
    <w:rsid w:val="00F22C04"/>
    <w:rsid w:val="00F51B06"/>
    <w:rsid w:val="00F975BD"/>
    <w:rsid w:val="00F97954"/>
    <w:rsid w:val="00FE65B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C978D00DE954317A38746FAA17D08F3">
    <w:name w:val="7C978D00DE954317A38746FAA17D08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ISR">
      <a:dk1>
        <a:sysClr val="windowText" lastClr="000000"/>
      </a:dk1>
      <a:lt1>
        <a:sysClr val="window" lastClr="FFFFFF"/>
      </a:lt1>
      <a:dk2>
        <a:srgbClr val="001B35"/>
      </a:dk2>
      <a:lt2>
        <a:srgbClr val="CE5958"/>
      </a:lt2>
      <a:accent1>
        <a:srgbClr val="0766A5"/>
      </a:accent1>
      <a:accent2>
        <a:srgbClr val="960000"/>
      </a:accent2>
      <a:accent3>
        <a:srgbClr val="4999E1"/>
      </a:accent3>
      <a:accent4>
        <a:srgbClr val="0B474D"/>
      </a:accent4>
      <a:accent5>
        <a:srgbClr val="706E6E"/>
      </a:accent5>
      <a:accent6>
        <a:srgbClr val="61008E"/>
      </a:accent6>
      <a:hlink>
        <a:srgbClr val="0766A5"/>
      </a:hlink>
      <a:folHlink>
        <a:srgbClr val="001B35"/>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1C0C63E-08EC-401F-8970-7B76F875E15A}">
  <we:reference id="8021f97c-8905-4693-9bcb-ecda41b4cf7b" version="1.0.1.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s xmlns="http://schemas.microsoft.com/sharepoint/v3" xsi:nil="true"/>
    <TaxCatchAll xmlns="a45c3ea4-9cfc-4d48-aa71-aeaee108196b">
      <Value>185</Value>
      <Value>184</Value>
      <Value>470</Value>
      <Value>89</Value>
      <Value>3</Value>
      <Value>87</Value>
    </TaxCatchAll>
    <a6bf06c7a8bf478e9f4bcfbb09f21538 xmlns="a45c3ea4-9cfc-4d48-aa71-aeaee108196b">
      <Terms xmlns="http://schemas.microsoft.com/office/infopath/2007/PartnerControls">
        <TermInfo xmlns="http://schemas.microsoft.com/office/infopath/2007/PartnerControls">
          <TermName xmlns="http://schemas.microsoft.com/office/infopath/2007/PartnerControls">Web page</TermName>
          <TermId xmlns="http://schemas.microsoft.com/office/infopath/2007/PartnerControls">10188640-e14f-449e-b17f-9c5da466ab3d</TermId>
        </TermInfo>
      </Terms>
    </a6bf06c7a8bf478e9f4bcfbb09f21538>
    <kcc7c3c6a1ca4993ad58c375b1e79f26 xmlns="a45c3ea4-9cfc-4d48-aa71-aeaee108196b">
      <Terms xmlns="http://schemas.microsoft.com/office/infopath/2007/PartnerControls">
        <TermInfo xmlns="http://schemas.microsoft.com/office/infopath/2007/PartnerControls">
          <TermName xmlns="http://schemas.microsoft.com/office/infopath/2007/PartnerControls">Mining, Oil ＆ Gas</TermName>
          <TermId xmlns="http://schemas.microsoft.com/office/infopath/2007/PartnerControls">810f86fc-b933-45ba-a4ab-3a00b2484446</TermId>
        </TermInfo>
      </Terms>
    </kcc7c3c6a1ca4993ad58c375b1e79f26>
    <d9ef3ab7ddea451a8b47933061591c36 xmlns="a45c3ea4-9cfc-4d48-aa71-aeaee108196b">
      <Terms xmlns="http://schemas.microsoft.com/office/infopath/2007/PartnerControls">
        <TermInfo xmlns="http://schemas.microsoft.com/office/infopath/2007/PartnerControls">
          <TermName xmlns="http://schemas.microsoft.com/office/infopath/2007/PartnerControls">Content Development</TermName>
          <TermId xmlns="http://schemas.microsoft.com/office/infopath/2007/PartnerControls">ca34a842-5df8-49e3-9fab-d1bddaa485a4</TermId>
        </TermInfo>
      </Terms>
    </d9ef3ab7ddea451a8b47933061591c36>
    <ke5b0cd31c4f451cba604ba37cacb920 xmlns="a45c3ea4-9cfc-4d48-aa71-aeaee108196b">
      <Terms xmlns="http://schemas.microsoft.com/office/infopath/2007/PartnerControls">
        <TermInfo xmlns="http://schemas.microsoft.com/office/infopath/2007/PartnerControls">
          <TermName xmlns="http://schemas.microsoft.com/office/infopath/2007/PartnerControls">Department of Industry, Science ＆ Resources</TermName>
          <TermId xmlns="http://schemas.microsoft.com/office/infopath/2007/PartnerControls">7bc8d192-b4d4-440d-8850-52e149307a87</TermId>
        </TermInfo>
      </Terms>
    </ke5b0cd31c4f451cba604ba37cacb920>
    <e8c23ea635d74c0187796b18258d5048 xmlns="a45c3ea4-9cfc-4d48-aa71-aeaee108196b">
      <Terms xmlns="http://schemas.microsoft.com/office/infopath/2007/PartnerControls">
        <TermInfo xmlns="http://schemas.microsoft.com/office/infopath/2007/PartnerControls">
          <TermName xmlns="http://schemas.microsoft.com/office/infopath/2007/PartnerControls">Publication</TermName>
          <TermId xmlns="http://schemas.microsoft.com/office/infopath/2007/PartnerControls">35193ef7-8df7-46c3-bfdd-5c17cdfe5691</TermId>
        </TermInfo>
      </Terms>
    </e8c23ea635d74c0187796b18258d5048>
    <b425fef5ada14da685dcceef3358c7b4 xmlns="a45c3ea4-9cfc-4d48-aa71-aeaee108196b">
      <Terms xmlns="http://schemas.microsoft.com/office/infopath/2007/PartnerControls"/>
    </b425fef5ada14da685dcceef3358c7b4>
    <cb91e83f9355480d972a6ccec1e3f258 xmlns="a45c3ea4-9cfc-4d48-aa71-aeaee108196b">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cb91e83f9355480d972a6ccec1e3f258>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1ACA1E897469C4A8E02AC077F34B885" ma:contentTypeVersion="26" ma:contentTypeDescription="Create a new document." ma:contentTypeScope="" ma:versionID="7217c2cba62cb8038aaf10b18d71f6ad">
  <xsd:schema xmlns:xsd="http://www.w3.org/2001/XMLSchema" xmlns:xs="http://www.w3.org/2001/XMLSchema" xmlns:p="http://schemas.microsoft.com/office/2006/metadata/properties" xmlns:ns1="http://schemas.microsoft.com/sharepoint/v3" xmlns:ns2="a45c3ea4-9cfc-4d48-aa71-aeaee108196b" xmlns:ns3="27da9b93-234c-4925-89b0-fa856957b306" targetNamespace="http://schemas.microsoft.com/office/2006/metadata/properties" ma:root="true" ma:fieldsID="6a8bdee877b25468bcfa39ed6610c0ec" ns1:_="" ns2:_="" ns3:_="">
    <xsd:import namespace="http://schemas.microsoft.com/sharepoint/v3"/>
    <xsd:import namespace="a45c3ea4-9cfc-4d48-aa71-aeaee108196b"/>
    <xsd:import namespace="27da9b93-234c-4925-89b0-fa856957b306"/>
    <xsd:element name="properties">
      <xsd:complexType>
        <xsd:sequence>
          <xsd:element name="documentManagement">
            <xsd:complexType>
              <xsd:all>
                <xsd:element ref="ns2:a6bf06c7a8bf478e9f4bcfbb09f21538" minOccurs="0"/>
                <xsd:element ref="ns2:TaxCatchAll" minOccurs="0"/>
                <xsd:element ref="ns2:d9ef3ab7ddea451a8b47933061591c36" minOccurs="0"/>
                <xsd:element ref="ns2:cb91e83f9355480d972a6ccec1e3f258" minOccurs="0"/>
                <xsd:element ref="ns2:b425fef5ada14da685dcceef3358c7b4" minOccurs="0"/>
                <xsd:element ref="ns1:Comments" minOccurs="0"/>
                <xsd:element ref="ns2:ke5b0cd31c4f451cba604ba37cacb920" minOccurs="0"/>
                <xsd:element ref="ns2:kcc7c3c6a1ca4993ad58c375b1e79f26" minOccurs="0"/>
                <xsd:element ref="ns2:e8c23ea635d74c0187796b18258d5048"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5c3ea4-9cfc-4d48-aa71-aeaee108196b" elementFormDefault="qualified">
    <xsd:import namespace="http://schemas.microsoft.com/office/2006/documentManagement/types"/>
    <xsd:import namespace="http://schemas.microsoft.com/office/infopath/2007/PartnerControls"/>
    <xsd:element name="a6bf06c7a8bf478e9f4bcfbb09f21538" ma:index="9" ma:taxonomy="true" ma:internalName="a6bf06c7a8bf478e9f4bcfbb09f21538" ma:taxonomyFieldName="Stratus_DocumentType" ma:displayName="Document Type" ma:fieldId="{a6bf06c7-a8bf-478e-9f4b-cfbb09f21538}"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0e60b2df-c2d4-41ed-9812-295600ad4e89}" ma:internalName="TaxCatchAll" ma:showField="CatchAllData" ma:web="a45c3ea4-9cfc-4d48-aa71-aeaee108196b">
      <xsd:complexType>
        <xsd:complexContent>
          <xsd:extension base="dms:MultiChoiceLookup">
            <xsd:sequence>
              <xsd:element name="Value" type="dms:Lookup" maxOccurs="unbounded" minOccurs="0" nillable="true"/>
            </xsd:sequence>
          </xsd:extension>
        </xsd:complexContent>
      </xsd:complexType>
    </xsd:element>
    <xsd:element name="d9ef3ab7ddea451a8b47933061591c36" ma:index="12" nillable="true" ma:taxonomy="true" ma:internalName="d9ef3ab7ddea451a8b47933061591c36" ma:taxonomyFieldName="Stratus_WorkActivity" ma:displayName="Work Activity" ma:fieldId="{d9ef3ab7-ddea-451a-8b47-933061591c36}"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cb91e83f9355480d972a6ccec1e3f258" ma:index="14" ma:taxonomy="true" ma:internalName="cb91e83f9355480d972a6ccec1e3f258" ma:taxonomyFieldName="Stratus_SecurityClassification" ma:displayName="Security Classification" ma:fieldId="{cb91e83f-9355-480d-972a-6ccec1e3f258}"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b425fef5ada14da685dcceef3358c7b4" ma:index="16" nillable="true" ma:taxonomy="true" ma:internalName="b425fef5ada14da685dcceef3358c7b4" ma:taxonomyFieldName="Stratus_Year" ma:displayName="Year" ma:fieldId="{b425fef5-ada1-4da6-85dc-ceef3358c7b4}"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ke5b0cd31c4f451cba604ba37cacb920" ma:index="19" nillable="true" ma:taxonomy="true" ma:internalName="ke5b0cd31c4f451cba604ba37cacb920" ma:taxonomyFieldName="Stratus_IGAWebsiteContentEntity" ma:displayName="Entity" ma:default="" ma:fieldId="{4e5b0cd3-1c4f-451c-ba60-4ba37cacb920}" ma:sspId="b6206a2c-5ee7-4d50-b3ee-2668e744af9d" ma:termSetId="1d27ed74-9fe3-4d8c-a55c-8634061928f7" ma:anchorId="00000000-0000-0000-0000-000000000000" ma:open="false" ma:isKeyword="false">
      <xsd:complexType>
        <xsd:sequence>
          <xsd:element ref="pc:Terms" minOccurs="0" maxOccurs="1"/>
        </xsd:sequence>
      </xsd:complexType>
    </xsd:element>
    <xsd:element name="kcc7c3c6a1ca4993ad58c375b1e79f26" ma:index="21" nillable="true" ma:taxonomy="true" ma:internalName="kcc7c3c6a1ca4993ad58c375b1e79f26" ma:taxonomyFieldName="Stratus_IGAMainWebsiteTopic" ma:displayName="Main Topic" ma:default="" ma:fieldId="{4cc7c3c6-a1ca-4993-ad58-c375b1e79f26}" ma:sspId="b6206a2c-5ee7-4d50-b3ee-2668e744af9d" ma:termSetId="f848ae66-21c2-485e-8542-e97bdb8ce6d0" ma:anchorId="00000000-0000-0000-0000-000000000000" ma:open="false" ma:isKeyword="false">
      <xsd:complexType>
        <xsd:sequence>
          <xsd:element ref="pc:Terms" minOccurs="0" maxOccurs="1"/>
        </xsd:sequence>
      </xsd:complexType>
    </xsd:element>
    <xsd:element name="e8c23ea635d74c0187796b18258d5048" ma:index="23" nillable="true" ma:taxonomy="true" ma:internalName="e8c23ea635d74c0187796b18258d5048" ma:taxonomyFieldName="Stratus_CommunicationsWebContentType" ma:displayName="Web Content Type" ma:default="" ma:fieldId="{e8c23ea6-35d7-4c01-8779-6b18258d5048}" ma:sspId="b6206a2c-5ee7-4d50-b3ee-2668e744af9d" ma:termSetId="a7b7286d-6292-46dd-8b95-566748a2ee1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7da9b93-234c-4925-89b0-fa856957b306"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5AE6EB-A8D4-4D9D-8D6C-A552C96C0E4C}">
  <ds:schemaRefs>
    <ds:schemaRef ds:uri="http://schemas.microsoft.com/sharepoint/v3/contenttype/forms"/>
  </ds:schemaRefs>
</ds:datastoreItem>
</file>

<file path=customXml/itemProps2.xml><?xml version="1.0" encoding="utf-8"?>
<ds:datastoreItem xmlns:ds="http://schemas.openxmlformats.org/officeDocument/2006/customXml" ds:itemID="{297BCF5D-ECED-40B9-848C-61973DAC72C5}">
  <ds:schemaRefs>
    <ds:schemaRef ds:uri="http://schemas.microsoft.com/office/2006/metadata/properties"/>
    <ds:schemaRef ds:uri="http://schemas.microsoft.com/office/infopath/2007/PartnerControls"/>
    <ds:schemaRef ds:uri="http://schemas.microsoft.com/sharepoint/v3"/>
    <ds:schemaRef ds:uri="a45c3ea4-9cfc-4d48-aa71-aeaee108196b"/>
  </ds:schemaRefs>
</ds:datastoreItem>
</file>

<file path=customXml/itemProps3.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customXml/itemProps4.xml><?xml version="1.0" encoding="utf-8"?>
<ds:datastoreItem xmlns:ds="http://schemas.openxmlformats.org/officeDocument/2006/customXml" ds:itemID="{79C931E2-8CE6-4485-A4F1-4F9EE048E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45c3ea4-9cfc-4d48-aa71-aeaee108196b"/>
    <ds:schemaRef ds:uri="27da9b93-234c-4925-89b0-fa856957b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2982</Words>
  <Characters>18493</Characters>
  <Application>Microsoft Office Word</Application>
  <DocSecurity>0</DocSecurity>
  <Lines>393</Lines>
  <Paragraphs>145</Paragraphs>
  <ScaleCrop>false</ScaleCrop>
  <HeadingPairs>
    <vt:vector size="2" baseType="variant">
      <vt:variant>
        <vt:lpstr>Title</vt:lpstr>
      </vt:variant>
      <vt:variant>
        <vt:i4>1</vt:i4>
      </vt:variant>
    </vt:vector>
  </HeadingPairs>
  <TitlesOfParts>
    <vt:vector size="1" baseType="lpstr">
      <vt:lpstr>Offshore Carbon Capture and Storage (CCS) review</vt:lpstr>
    </vt:vector>
  </TitlesOfParts>
  <Manager/>
  <Company/>
  <LinksUpToDate>false</LinksUpToDate>
  <CharactersWithSpaces>21330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carbon capture and storage (CCS) review</dc:title>
  <dc:subject/>
  <cp:keywords/>
  <dc:description/>
  <cp:lastPrinted>2026-09-15T10:53:00Z</cp:lastPrinted>
  <dcterms:created xsi:type="dcterms:W3CDTF">2026-09-15T10:53:00Z</dcterms:created>
  <dcterms:modified xsi:type="dcterms:W3CDTF">2026-09-15T10:53:00Z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0x010100B1ACA1E897469C4A8E02AC077F34B885</vt:lpwstr>
  </property>
  <property fmtid="{D5CDD505-2E9C-101B-9397-08002B2CF9AE}" pid="3" name="MediaServiceImageTags">
    <vt:lpwstr/>
  </property>
  <property fmtid="{D5CDD505-2E9C-101B-9397-08002B2CF9AE}" pid="4" name="ClassificationContentMarkingHeaderShapeIds">
    <vt:lpwstr>6134cecd,6b999868,2052233</vt:lpwstr>
  </property>
  <property fmtid="{D5CDD505-2E9C-101B-9397-08002B2CF9AE}" pid="5" name="ClassificationContentMarkingHeaderFontProps">
    <vt:lpwstr>#c00000,12,Calibri</vt:lpwstr>
  </property>
  <property fmtid="{D5CDD505-2E9C-101B-9397-08002B2CF9AE}" pid="6" name="ClassificationContentMarkingHeaderText">
    <vt:lpwstr>OFFICIAL</vt:lpwstr>
  </property>
  <property fmtid="{D5CDD505-2E9C-101B-9397-08002B2CF9AE}" pid="7" name="ClassificationContentMarkingFooterShapeIds">
    <vt:lpwstr>2062132e,17106c27,7a74d69c</vt:lpwstr>
  </property>
  <property fmtid="{D5CDD505-2E9C-101B-9397-08002B2CF9AE}" pid="8" name="ClassificationContentMarkingFooterFontProps">
    <vt:lpwstr>#c00000,12,Calibri</vt:lpwstr>
  </property>
  <property fmtid="{D5CDD505-2E9C-101B-9397-08002B2CF9AE}" pid="9" name="ClassificationContentMarkingFooterText">
    <vt:lpwstr>OFFICIAL</vt:lpwstr>
  </property>
  <property fmtid="{D5CDD505-2E9C-101B-9397-08002B2CF9AE}" pid="10" name="Stratus_WorkActivity">
    <vt:lpwstr>89;#Content Development|ca34a842-5df8-49e3-9fab-d1bddaa485a4</vt:lpwstr>
  </property>
  <property fmtid="{D5CDD505-2E9C-101B-9397-08002B2CF9AE}" pid="11" name="Stratus_DocumentType">
    <vt:lpwstr>87;#Web page|10188640-e14f-449e-b17f-9c5da466ab3d</vt:lpwstr>
  </property>
  <property fmtid="{D5CDD505-2E9C-101B-9397-08002B2CF9AE}" pid="12" name="Stratus_Year">
    <vt:lpwstr/>
  </property>
  <property fmtid="{D5CDD505-2E9C-101B-9397-08002B2CF9AE}" pid="13" name="Stratus_SecurityClassification">
    <vt:lpwstr>3;#OFFICIAL|1077e141-03cb-4307-8c0f-d43dc85f509f</vt:lpwstr>
  </property>
  <property fmtid="{D5CDD505-2E9C-101B-9397-08002B2CF9AE}" pid="14" name="docLang">
    <vt:lpwstr>en</vt:lpwstr>
  </property>
  <property fmtid="{D5CDD505-2E9C-101B-9397-08002B2CF9AE}" pid="15" name="Stratus_IGAMainWebsiteTopic">
    <vt:lpwstr>185;#Mining, Oil ＆ Gas|810f86fc-b933-45ba-a4ab-3a00b2484446</vt:lpwstr>
  </property>
  <property fmtid="{D5CDD505-2E9C-101B-9397-08002B2CF9AE}" pid="16" name="Stratus_CommunicationsWebContentType">
    <vt:lpwstr>470;#Publication|35193ef7-8df7-46c3-bfdd-5c17cdfe5691</vt:lpwstr>
  </property>
  <property fmtid="{D5CDD505-2E9C-101B-9397-08002B2CF9AE}" pid="17" name="Stratus_IGAWebsiteContentEntity">
    <vt:lpwstr>184;#Department of Industry, Science ＆ Resources|7bc8d192-b4d4-440d-8850-52e149307a87</vt:lpwstr>
  </property>
</Properties>
</file>