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0C357" w14:textId="77777777" w:rsidR="0066416C" w:rsidRPr="0011571D" w:rsidRDefault="0066416C" w:rsidP="00320A6A">
      <w:pPr>
        <w:spacing w:after="1080"/>
      </w:pPr>
      <w:bookmarkStart w:id="0" w:name="_Toc19289801"/>
      <w:r w:rsidRPr="0011571D">
        <w:rPr>
          <w:noProof/>
          <w:lang w:eastAsia="en-AU"/>
        </w:rPr>
        <w:drawing>
          <wp:inline distT="0" distB="0" distL="0" distR="0" wp14:anchorId="2ADFA3AA" wp14:editId="60966A27">
            <wp:extent cx="3612138" cy="651600"/>
            <wp:effectExtent l="0" t="0" r="7620" b="0"/>
            <wp:docPr id="3" name="Picture 3" descr="National Measurement Institute, Despartment of Industry, Science and Resou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National Measurement Institute, Despartment of Industry, Science and Resources"/>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3612138" cy="651600"/>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r w:rsidRPr="0011571D">
        <w:t xml:space="preserve"> </w:t>
      </w:r>
    </w:p>
    <w:bookmarkStart w:id="1" w:name="_Toc155191311" w:displacedByCustomXml="next"/>
    <w:bookmarkStart w:id="2" w:name="_Toc144911604" w:displacedByCustomXml="next"/>
    <w:sdt>
      <w:sdtPr>
        <w:rPr>
          <w:rFonts w:asciiTheme="minorHAnsi" w:eastAsiaTheme="minorHAnsi" w:hAnsiTheme="minorHAnsi" w:cstheme="minorBidi"/>
          <w:color w:val="auto"/>
          <w:sz w:val="22"/>
          <w:szCs w:val="22"/>
        </w:rPr>
        <w:id w:val="-2088995269"/>
        <w:docPartObj>
          <w:docPartGallery w:val="Cover Pages"/>
          <w:docPartUnique/>
        </w:docPartObj>
      </w:sdtPr>
      <w:sdtEndPr>
        <w:rPr>
          <w:sz w:val="20"/>
        </w:rPr>
      </w:sdtEndPr>
      <w:sdtContent>
        <w:bookmarkEnd w:id="2" w:displacedByCustomXml="prev"/>
        <w:bookmarkEnd w:id="1" w:displacedByCustomXml="prev"/>
        <w:bookmarkEnd w:id="0" w:displacedByCustomXml="prev"/>
        <w:p w14:paraId="0CE2C7DC" w14:textId="297963D0" w:rsidR="0066416C" w:rsidRPr="0011571D" w:rsidRDefault="00920BBA" w:rsidP="00315092">
          <w:pPr>
            <w:pStyle w:val="Heading1-Title"/>
            <w:pageBreakBefore w:val="0"/>
            <w:spacing w:before="120"/>
          </w:pPr>
          <w:r>
            <w:t>NMI R 126:2025 - Guide to pattern approval and certification</w:t>
          </w:r>
        </w:p>
        <w:p w14:paraId="731A01EF" w14:textId="0EB20849" w:rsidR="0066416C" w:rsidRPr="0011571D" w:rsidRDefault="00F6160C" w:rsidP="00BA1488">
          <w:pPr>
            <w:pStyle w:val="Subtitle"/>
            <w:rPr>
              <w:bCs/>
              <w:iCs/>
              <w:sz w:val="26"/>
              <w:szCs w:val="26"/>
            </w:rPr>
          </w:pPr>
          <w:r w:rsidRPr="0011571D">
            <w:t>Guide to pattern approval and certification</w:t>
          </w:r>
          <w:r w:rsidR="00F90A89" w:rsidRPr="0011571D">
            <w:t xml:space="preserve"> </w:t>
          </w:r>
        </w:p>
        <w:p w14:paraId="47C924CF" w14:textId="59321CE1" w:rsidR="00724E08" w:rsidRPr="0011571D" w:rsidRDefault="00E15FCA" w:rsidP="00BA1488">
          <w:pPr>
            <w:pStyle w:val="Authoranddate"/>
          </w:pPr>
          <w:r w:rsidRPr="0011571D">
            <w:t>National Measurement Institute</w:t>
          </w:r>
          <w:r w:rsidR="0066416C" w:rsidRPr="0011571D">
            <w:rPr>
              <w:color w:val="B7B09C" w:themeColor="accent4"/>
            </w:rPr>
            <w:t xml:space="preserve"> | </w:t>
          </w:r>
          <w:r w:rsidR="00C63751" w:rsidRPr="0011571D">
            <w:t>March</w:t>
          </w:r>
          <w:r w:rsidRPr="0011571D">
            <w:t xml:space="preserve"> 202</w:t>
          </w:r>
          <w:r w:rsidR="001F7C05" w:rsidRPr="0011571D">
            <w:t>6</w:t>
          </w:r>
        </w:p>
        <w:p w14:paraId="61F85CCF" w14:textId="77777777" w:rsidR="00315092" w:rsidRPr="0011571D" w:rsidRDefault="00315092" w:rsidP="006D5151">
          <w:pPr>
            <w:pStyle w:val="Subtitle"/>
            <w:spacing w:before="5040"/>
          </w:pPr>
          <w:r w:rsidRPr="0011571D">
            <w:t>Measurement for a fair, safe, healthy</w:t>
          </w:r>
          <w:r w:rsidRPr="0011571D">
            <w:br/>
            <w:t>and competitive Australia</w:t>
          </w:r>
        </w:p>
        <w:p w14:paraId="321AC038" w14:textId="0F7977D1" w:rsidR="00F12030" w:rsidRPr="0011571D" w:rsidRDefault="00315092" w:rsidP="00F12030">
          <w:r w:rsidRPr="0011571D">
            <w:rPr>
              <w:color w:val="993533" w:themeColor="accent2"/>
              <w:sz w:val="28"/>
              <w:szCs w:val="28"/>
            </w:rPr>
            <w:t>|</w:t>
          </w:r>
          <w:r w:rsidRPr="0011571D">
            <w:rPr>
              <w:color w:val="B7B09C" w:themeColor="accent4"/>
              <w:sz w:val="28"/>
              <w:szCs w:val="28"/>
            </w:rPr>
            <w:t xml:space="preserve"> </w:t>
          </w:r>
          <w:r w:rsidRPr="0011571D">
            <w:t>measurement.gov.au</w:t>
          </w:r>
        </w:p>
        <w:p w14:paraId="27BDEB59" w14:textId="77777777" w:rsidR="00F12030" w:rsidRPr="0011571D" w:rsidRDefault="00F12030" w:rsidP="00F12030">
          <w:pPr>
            <w:pStyle w:val="Whitetext"/>
          </w:pPr>
        </w:p>
        <w:p w14:paraId="166A5BA0" w14:textId="77777777" w:rsidR="00F12030" w:rsidRPr="0011571D" w:rsidRDefault="00F12030" w:rsidP="00F12030">
          <w:pPr>
            <w:pStyle w:val="Whitetext"/>
          </w:pPr>
        </w:p>
        <w:p w14:paraId="6D92E914" w14:textId="77777777" w:rsidR="00F12030" w:rsidRPr="0011571D" w:rsidRDefault="00F12030" w:rsidP="00F12030">
          <w:pPr>
            <w:pStyle w:val="Whitetext"/>
          </w:pPr>
        </w:p>
        <w:p w14:paraId="1DBB707B" w14:textId="77777777" w:rsidR="006D5151" w:rsidRPr="0011571D" w:rsidRDefault="006D5151" w:rsidP="00F12030">
          <w:pPr>
            <w:pStyle w:val="Whitetext"/>
          </w:pPr>
        </w:p>
        <w:p w14:paraId="70AEB802" w14:textId="77777777" w:rsidR="00F12030" w:rsidRPr="0011571D" w:rsidRDefault="00F12030" w:rsidP="00F12030">
          <w:pPr>
            <w:pStyle w:val="Whitetext"/>
          </w:pPr>
        </w:p>
        <w:p w14:paraId="0A960420" w14:textId="7D25EA47" w:rsidR="0066416C" w:rsidRPr="0011571D" w:rsidRDefault="00F12030" w:rsidP="00872B78">
          <w:pPr>
            <w:pStyle w:val="Whitetext"/>
          </w:pPr>
          <w:r w:rsidRPr="0011571D">
            <w:t>Measurement for a fair, safe, healthy and competitive Australia measurement.gov.au</w:t>
          </w:r>
        </w:p>
        <w:p w14:paraId="3828FAD2" w14:textId="77777777" w:rsidR="0066416C" w:rsidRPr="0011571D" w:rsidRDefault="0066416C" w:rsidP="009239EA">
          <w:pPr>
            <w:pStyle w:val="Heading2-Nonumber"/>
          </w:pPr>
          <w:bookmarkStart w:id="3" w:name="_Toc19023739"/>
          <w:bookmarkStart w:id="4" w:name="_Toc19289802"/>
          <w:bookmarkStart w:id="5" w:name="_Toc144911605"/>
          <w:bookmarkStart w:id="6" w:name="_Toc155191312"/>
          <w:r w:rsidRPr="0011571D">
            <w:t>Copyright</w:t>
          </w:r>
          <w:bookmarkEnd w:id="3"/>
          <w:bookmarkEnd w:id="4"/>
          <w:bookmarkEnd w:id="5"/>
          <w:bookmarkEnd w:id="6"/>
        </w:p>
        <w:p w14:paraId="172B10CD" w14:textId="3D0A8BC7" w:rsidR="0066416C" w:rsidRPr="0011571D" w:rsidRDefault="0066416C" w:rsidP="00BA1488">
          <w:pPr>
            <w:rPr>
              <w:rStyle w:val="Strong"/>
            </w:rPr>
          </w:pPr>
          <w:r w:rsidRPr="0011571D">
            <w:rPr>
              <w:rStyle w:val="Strong"/>
            </w:rPr>
            <w:t xml:space="preserve">© Commonwealth of Australia </w:t>
          </w:r>
          <w:r w:rsidR="001F7C05" w:rsidRPr="0011571D">
            <w:rPr>
              <w:rStyle w:val="Strong"/>
            </w:rPr>
            <w:t>2026</w:t>
          </w:r>
        </w:p>
        <w:p w14:paraId="02A2977E" w14:textId="77777777" w:rsidR="00C977AD" w:rsidRPr="0011571D" w:rsidRDefault="00C977AD" w:rsidP="00340B51">
          <w:r w:rsidRPr="0011571D">
            <w:t>Ownership of intellectual property rights</w:t>
          </w:r>
        </w:p>
        <w:p w14:paraId="329A76D8" w14:textId="77777777" w:rsidR="00C977AD" w:rsidRPr="0011571D" w:rsidRDefault="00C977AD" w:rsidP="00340B51">
          <w:r w:rsidRPr="0011571D">
            <w:t>Unless otherwise noted, copyright (and any other intellectual property rights, if any) in this publication is owned by the Commonwealth of Australia.</w:t>
          </w:r>
        </w:p>
        <w:p w14:paraId="6ACE0D8B" w14:textId="77777777" w:rsidR="00C977AD" w:rsidRPr="0011571D" w:rsidRDefault="00C977AD" w:rsidP="00340B51">
          <w:r w:rsidRPr="0011571D">
            <w:rPr>
              <w:noProof/>
            </w:rPr>
            <w:drawing>
              <wp:inline distT="0" distB="0" distL="0" distR="0" wp14:anchorId="296CD0CB" wp14:editId="4E92BDD5">
                <wp:extent cx="1128889" cy="440267"/>
                <wp:effectExtent l="0" t="0" r="0" b="0"/>
                <wp:docPr id="4" name="Picture 4" descr="Creative Commons C C B 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reative Commons C C B Y logo"/>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1129401" cy="440467"/>
                        </a:xfrm>
                        <a:prstGeom prst="rect">
                          <a:avLst/>
                        </a:prstGeom>
                        <a:ln>
                          <a:noFill/>
                        </a:ln>
                        <a:extLst>
                          <a:ext uri="{53640926-AAD7-44D8-BBD7-CCE9431645EC}">
                            <a14:shadowObscured xmlns:a14="http://schemas.microsoft.com/office/drawing/2010/main"/>
                          </a:ext>
                        </a:extLst>
                      </pic:spPr>
                    </pic:pic>
                  </a:graphicData>
                </a:graphic>
              </wp:inline>
            </w:drawing>
          </w:r>
        </w:p>
        <w:p w14:paraId="7DEA6C80" w14:textId="77777777" w:rsidR="00C977AD" w:rsidRPr="0011571D" w:rsidRDefault="00C977AD" w:rsidP="00340B51">
          <w:hyperlink r:id="rId10" w:history="1">
            <w:r w:rsidRPr="0011571D">
              <w:rPr>
                <w:rStyle w:val="Hyperlink"/>
                <w:b/>
                <w:bCs/>
              </w:rPr>
              <w:t>Creative Commons Attribution – 4.0 No Derivatives International Licence CC BY 4.0</w:t>
            </w:r>
          </w:hyperlink>
        </w:p>
        <w:p w14:paraId="255176FE" w14:textId="77777777" w:rsidR="00C977AD" w:rsidRPr="0011571D" w:rsidRDefault="00C977AD" w:rsidP="00340B51">
          <w:r w:rsidRPr="0011571D">
            <w:t xml:space="preserve">All material in this publication is licensed under Creative Commons Attribution – No Derivatives 4.0 International Licence, </w:t>
          </w:r>
          <w:proofErr w:type="gramStart"/>
          <w:r w:rsidRPr="0011571D">
            <w:t>with the exception of</w:t>
          </w:r>
          <w:proofErr w:type="gramEnd"/>
          <w:r w:rsidRPr="0011571D">
            <w:t>:</w:t>
          </w:r>
        </w:p>
        <w:p w14:paraId="414EB7EE" w14:textId="77777777" w:rsidR="00C977AD" w:rsidRPr="0011571D" w:rsidRDefault="00C977AD" w:rsidP="00340B51">
          <w:pPr>
            <w:pStyle w:val="ListParagraph"/>
          </w:pPr>
          <w:r w:rsidRPr="0011571D">
            <w:t>the Commonwealth Coat of Arms</w:t>
          </w:r>
        </w:p>
        <w:p w14:paraId="03F2EE25" w14:textId="77777777" w:rsidR="00C977AD" w:rsidRPr="0011571D" w:rsidRDefault="00C977AD" w:rsidP="00340B51">
          <w:pPr>
            <w:pStyle w:val="ListParagraph"/>
          </w:pPr>
          <w:r w:rsidRPr="0011571D">
            <w:t>content supplied by third parties</w:t>
          </w:r>
        </w:p>
        <w:p w14:paraId="19A6BC43" w14:textId="77777777" w:rsidR="00C977AD" w:rsidRPr="0011571D" w:rsidRDefault="00C977AD" w:rsidP="00340B51">
          <w:pPr>
            <w:pStyle w:val="ListParagraph"/>
          </w:pPr>
          <w:r w:rsidRPr="0011571D">
            <w:t>logos</w:t>
          </w:r>
        </w:p>
        <w:p w14:paraId="2C91205F" w14:textId="77777777" w:rsidR="00C977AD" w:rsidRPr="0011571D" w:rsidRDefault="00C977AD" w:rsidP="00340B51">
          <w:pPr>
            <w:pStyle w:val="ListParagraph"/>
          </w:pPr>
          <w:r w:rsidRPr="0011571D">
            <w:t>any material protected by trademark or otherwise noted in this publication.</w:t>
          </w:r>
        </w:p>
        <w:p w14:paraId="5693A1AB" w14:textId="43DCD5D1" w:rsidR="00C977AD" w:rsidRPr="0011571D" w:rsidRDefault="00C977AD" w:rsidP="00340B51">
          <w:r w:rsidRPr="0011571D">
            <w:t>Creative Commons Attribution – No Derivatives 4.0 International Licence is a standard form licence agreement</w:t>
          </w:r>
          <w:r w:rsidR="003C09E0" w:rsidRPr="0011571D">
            <w:t>. It</w:t>
          </w:r>
          <w:r w:rsidRPr="0011571D">
            <w:t xml:space="preserve"> allows you to copy, distribute and transmit this publication provided you attribute the work. If you remix, transform, or build upon the material, you may not distribute the modified material. A summary of the licence terms is available from </w:t>
          </w:r>
          <w:hyperlink r:id="rId11" w:history="1">
            <w:r w:rsidRPr="0011571D">
              <w:rPr>
                <w:rStyle w:val="Hyperlink"/>
              </w:rPr>
              <w:t>https://creativecommons.org/licenses/by-nd/4.0/</w:t>
            </w:r>
          </w:hyperlink>
          <w:r w:rsidRPr="0011571D">
            <w:t xml:space="preserve"> . The full licence terms are available from </w:t>
          </w:r>
          <w:hyperlink r:id="rId12" w:history="1">
            <w:r w:rsidRPr="0011571D">
              <w:rPr>
                <w:rStyle w:val="Hyperlink"/>
              </w:rPr>
              <w:t>https://creativecommons.org/licenses/by-nd/4.0/legalcode.en</w:t>
            </w:r>
          </w:hyperlink>
          <w:r w:rsidRPr="0011571D">
            <w:t xml:space="preserve"> .</w:t>
          </w:r>
        </w:p>
        <w:p w14:paraId="78AE100F" w14:textId="77777777" w:rsidR="00C977AD" w:rsidRPr="0011571D" w:rsidRDefault="00C977AD" w:rsidP="00340B51">
          <w:r w:rsidRPr="0011571D">
            <w:t>This notice excludes the Commonwealth Coat of Arms, any logos and any material protected by trademark or otherwise noted in the publication, from the application of the Creative Commons licence. These are all forms of property which the Commonwealth cannot or usually would not licence others to use.</w:t>
          </w:r>
        </w:p>
        <w:p w14:paraId="48AB01B7" w14:textId="77777777" w:rsidR="00C977AD" w:rsidRPr="0011571D" w:rsidRDefault="00C977AD" w:rsidP="009239EA">
          <w:pPr>
            <w:pStyle w:val="Heading2-Nonumber"/>
          </w:pPr>
          <w:r w:rsidRPr="0011571D">
            <w:t>Attribution</w:t>
          </w:r>
        </w:p>
        <w:p w14:paraId="636DA378" w14:textId="77777777" w:rsidR="00C977AD" w:rsidRPr="0011571D" w:rsidRDefault="00C977AD" w:rsidP="00340B51">
          <w:r w:rsidRPr="0011571D">
            <w:t>Content contained herein should be attributed as:</w:t>
          </w:r>
        </w:p>
        <w:p w14:paraId="00251235" w14:textId="79FDBF35" w:rsidR="00DD41C7" w:rsidRPr="0011571D" w:rsidRDefault="006940D4" w:rsidP="00BA1488">
          <w:pPr>
            <w:sectPr w:rsidR="00DD41C7" w:rsidRPr="0011571D" w:rsidSect="008707C6">
              <w:headerReference w:type="even" r:id="rId13"/>
              <w:footerReference w:type="even" r:id="rId14"/>
              <w:footerReference w:type="default" r:id="rId15"/>
              <w:headerReference w:type="first" r:id="rId16"/>
              <w:footerReference w:type="first" r:id="rId17"/>
              <w:type w:val="continuous"/>
              <w:pgSz w:w="11906" w:h="16838"/>
              <w:pgMar w:top="1276" w:right="1416" w:bottom="1276" w:left="1440" w:header="851" w:footer="708" w:gutter="0"/>
              <w:cols w:space="708"/>
              <w:titlePg/>
              <w:docGrid w:linePitch="360"/>
            </w:sectPr>
          </w:pPr>
          <w:r w:rsidRPr="0011571D">
            <w:t xml:space="preserve">National Measurement Institute </w:t>
          </w:r>
          <w:r w:rsidR="00A465E4" w:rsidRPr="0011571D">
            <w:t>2026</w:t>
          </w:r>
          <w:r w:rsidRPr="0011571D">
            <w:t xml:space="preserve"> </w:t>
          </w:r>
          <w:r w:rsidR="00920BBA">
            <w:rPr>
              <w:i/>
            </w:rPr>
            <w:t>NMI R 126:2025 - Guide to pattern approval and certification</w:t>
          </w:r>
          <w:r w:rsidR="00A465E4" w:rsidRPr="0011571D">
            <w:rPr>
              <w:i/>
            </w:rPr>
            <w:t xml:space="preserve">, </w:t>
          </w:r>
          <w:r w:rsidR="00BD05A3" w:rsidRPr="0011571D">
            <w:rPr>
              <w:i/>
            </w:rPr>
            <w:t>Guide to pattern approval and certification</w:t>
          </w:r>
          <w:r w:rsidRPr="0011571D">
            <w:rPr>
              <w:i/>
            </w:rPr>
            <w:t xml:space="preserve">, </w:t>
          </w:r>
          <w:r w:rsidR="00C977AD" w:rsidRPr="0011571D">
            <w:t>National Measurement Institute,</w:t>
          </w:r>
          <w:r w:rsidR="00C977AD" w:rsidRPr="0011571D">
            <w:rPr>
              <w:i/>
            </w:rPr>
            <w:t xml:space="preserve"> </w:t>
          </w:r>
          <w:r w:rsidRPr="0011571D">
            <w:t>Australian Government Department of Industry, Science and Resources, Canberra, Australia.</w:t>
          </w:r>
          <w:r w:rsidR="0066416C" w:rsidRPr="0011571D">
            <w:br w:type="page"/>
          </w:r>
        </w:p>
        <w:bookmarkStart w:id="7" w:name="_Toc144911607" w:displacedByCustomXml="next"/>
        <w:bookmarkStart w:id="8" w:name="_Toc19289804" w:displacedByCustomXml="next"/>
        <w:sdt>
          <w:sdtPr>
            <w:rPr>
              <w:rFonts w:asciiTheme="minorHAnsi" w:eastAsiaTheme="minorHAnsi" w:hAnsiTheme="minorHAnsi" w:cstheme="minorBidi"/>
              <w:color w:val="auto"/>
              <w:sz w:val="20"/>
              <w:szCs w:val="22"/>
            </w:rPr>
            <w:id w:val="1578165311"/>
            <w:docPartObj>
              <w:docPartGallery w:val="Table of Contents"/>
              <w:docPartUnique/>
            </w:docPartObj>
          </w:sdtPr>
          <w:sdtEndPr/>
          <w:sdtContent>
            <w:p w14:paraId="2938260A" w14:textId="77777777" w:rsidR="00612AD0" w:rsidRPr="0011571D" w:rsidRDefault="00612AD0" w:rsidP="00BA1488">
              <w:pPr>
                <w:pStyle w:val="TOCHeading"/>
              </w:pPr>
              <w:r w:rsidRPr="0011571D">
                <w:t>Contents</w:t>
              </w:r>
            </w:p>
            <w:p w14:paraId="6340C4D9" w14:textId="4733A9E4" w:rsidR="0037210A" w:rsidRDefault="00612AD0">
              <w:pPr>
                <w:pStyle w:val="TOC1"/>
                <w:rPr>
                  <w:rFonts w:eastAsiaTheme="minorEastAsia"/>
                  <w:noProof/>
                  <w:kern w:val="2"/>
                  <w:sz w:val="24"/>
                  <w:szCs w:val="24"/>
                  <w:lang w:eastAsia="en-AU"/>
                  <w14:ligatures w14:val="standardContextual"/>
                </w:rPr>
              </w:pPr>
              <w:r w:rsidRPr="0011571D">
                <w:fldChar w:fldCharType="begin"/>
              </w:r>
              <w:r w:rsidRPr="0011571D">
                <w:instrText xml:space="preserve"> </w:instrText>
              </w:r>
              <w:r w:rsidR="009D6DA4" w:rsidRPr="0011571D">
                <w:instrText xml:space="preserve">TOC </w:instrText>
              </w:r>
              <w:r w:rsidR="00A8199D" w:rsidRPr="0011571D">
                <w:instrText xml:space="preserve"> </w:instrText>
              </w:r>
              <w:r w:rsidR="009D6DA4" w:rsidRPr="0011571D">
                <w:instrText xml:space="preserve">\h \z \t " </w:instrText>
              </w:r>
              <w:r w:rsidR="00FF0252" w:rsidRPr="0011571D">
                <w:instrText xml:space="preserve">Heading 1,1, </w:instrText>
              </w:r>
              <w:r w:rsidR="009D6DA4" w:rsidRPr="0011571D">
                <w:instrText>Heading 2,</w:instrText>
              </w:r>
              <w:r w:rsidR="00A8199D" w:rsidRPr="0011571D">
                <w:instrText>2</w:instrText>
              </w:r>
              <w:r w:rsidR="004E6C80" w:rsidRPr="0011571D">
                <w:instrText xml:space="preserve">, </w:instrText>
              </w:r>
              <w:r w:rsidR="00A8199D" w:rsidRPr="0011571D">
                <w:instrText>Heading 1</w:instrText>
              </w:r>
              <w:r w:rsidR="00387BA8" w:rsidRPr="0011571D">
                <w:instrText xml:space="preserve"> - Appendix</w:instrText>
              </w:r>
              <w:r w:rsidR="009D6DA4" w:rsidRPr="0011571D">
                <w:instrText>”</w:instrText>
              </w:r>
              <w:r w:rsidRPr="0011571D">
                <w:instrText xml:space="preserve"> </w:instrText>
              </w:r>
              <w:r w:rsidRPr="0011571D">
                <w:fldChar w:fldCharType="separate"/>
              </w:r>
              <w:hyperlink w:anchor="_Toc225850089" w:history="1">
                <w:r w:rsidR="0037210A" w:rsidRPr="008F53FD">
                  <w:rPr>
                    <w:rStyle w:val="Hyperlink"/>
                    <w:noProof/>
                  </w:rPr>
                  <w:t>1 Introduction</w:t>
                </w:r>
                <w:r w:rsidR="0037210A">
                  <w:rPr>
                    <w:noProof/>
                    <w:webHidden/>
                  </w:rPr>
                  <w:tab/>
                </w:r>
                <w:r w:rsidR="0037210A">
                  <w:rPr>
                    <w:noProof/>
                    <w:webHidden/>
                  </w:rPr>
                  <w:fldChar w:fldCharType="begin"/>
                </w:r>
                <w:r w:rsidR="0037210A">
                  <w:rPr>
                    <w:noProof/>
                    <w:webHidden/>
                  </w:rPr>
                  <w:instrText xml:space="preserve"> PAGEREF _Toc225850089 \h </w:instrText>
                </w:r>
                <w:r w:rsidR="0037210A">
                  <w:rPr>
                    <w:noProof/>
                    <w:webHidden/>
                  </w:rPr>
                </w:r>
                <w:r w:rsidR="0037210A">
                  <w:rPr>
                    <w:noProof/>
                    <w:webHidden/>
                  </w:rPr>
                  <w:fldChar w:fldCharType="separate"/>
                </w:r>
                <w:r w:rsidR="0037210A">
                  <w:rPr>
                    <w:noProof/>
                    <w:webHidden/>
                  </w:rPr>
                  <w:t>2</w:t>
                </w:r>
                <w:r w:rsidR="0037210A">
                  <w:rPr>
                    <w:noProof/>
                    <w:webHidden/>
                  </w:rPr>
                  <w:fldChar w:fldCharType="end"/>
                </w:r>
              </w:hyperlink>
            </w:p>
            <w:p w14:paraId="46CCA75A" w14:textId="187AF30C" w:rsidR="0037210A" w:rsidRDefault="0037210A">
              <w:pPr>
                <w:pStyle w:val="TOC2"/>
                <w:rPr>
                  <w:rFonts w:eastAsiaTheme="minorEastAsia"/>
                  <w:kern w:val="2"/>
                  <w:sz w:val="24"/>
                  <w:szCs w:val="24"/>
                  <w:lang w:eastAsia="en-AU"/>
                  <w14:ligatures w14:val="standardContextual"/>
                </w:rPr>
              </w:pPr>
              <w:hyperlink w:anchor="_Toc225850090" w:history="1">
                <w:r w:rsidRPr="008F53FD">
                  <w:rPr>
                    <w:rStyle w:val="Hyperlink"/>
                  </w:rPr>
                  <w:t>1.1 International context</w:t>
                </w:r>
                <w:r>
                  <w:rPr>
                    <w:webHidden/>
                  </w:rPr>
                  <w:tab/>
                </w:r>
                <w:r>
                  <w:rPr>
                    <w:webHidden/>
                  </w:rPr>
                  <w:fldChar w:fldCharType="begin"/>
                </w:r>
                <w:r>
                  <w:rPr>
                    <w:webHidden/>
                  </w:rPr>
                  <w:instrText xml:space="preserve"> PAGEREF _Toc225850090 \h </w:instrText>
                </w:r>
                <w:r>
                  <w:rPr>
                    <w:webHidden/>
                  </w:rPr>
                </w:r>
                <w:r>
                  <w:rPr>
                    <w:webHidden/>
                  </w:rPr>
                  <w:fldChar w:fldCharType="separate"/>
                </w:r>
                <w:r>
                  <w:rPr>
                    <w:webHidden/>
                  </w:rPr>
                  <w:t>2</w:t>
                </w:r>
                <w:r>
                  <w:rPr>
                    <w:webHidden/>
                  </w:rPr>
                  <w:fldChar w:fldCharType="end"/>
                </w:r>
              </w:hyperlink>
            </w:p>
            <w:p w14:paraId="343D0CD9" w14:textId="607FF9D2" w:rsidR="0037210A" w:rsidRDefault="0037210A">
              <w:pPr>
                <w:pStyle w:val="TOC2"/>
                <w:rPr>
                  <w:rFonts w:eastAsiaTheme="minorEastAsia"/>
                  <w:kern w:val="2"/>
                  <w:sz w:val="24"/>
                  <w:szCs w:val="24"/>
                  <w:lang w:eastAsia="en-AU"/>
                  <w14:ligatures w14:val="standardContextual"/>
                </w:rPr>
              </w:pPr>
              <w:hyperlink w:anchor="_Toc225850091" w:history="1">
                <w:r w:rsidRPr="008F53FD">
                  <w:rPr>
                    <w:rStyle w:val="Hyperlink"/>
                  </w:rPr>
                  <w:t>1.2 Metrological control systems</w:t>
                </w:r>
                <w:r>
                  <w:rPr>
                    <w:webHidden/>
                  </w:rPr>
                  <w:tab/>
                </w:r>
                <w:r>
                  <w:rPr>
                    <w:webHidden/>
                  </w:rPr>
                  <w:fldChar w:fldCharType="begin"/>
                </w:r>
                <w:r>
                  <w:rPr>
                    <w:webHidden/>
                  </w:rPr>
                  <w:instrText xml:space="preserve"> PAGEREF _Toc225850091 \h </w:instrText>
                </w:r>
                <w:r>
                  <w:rPr>
                    <w:webHidden/>
                  </w:rPr>
                </w:r>
                <w:r>
                  <w:rPr>
                    <w:webHidden/>
                  </w:rPr>
                  <w:fldChar w:fldCharType="separate"/>
                </w:r>
                <w:r>
                  <w:rPr>
                    <w:webHidden/>
                  </w:rPr>
                  <w:t>2</w:t>
                </w:r>
                <w:r>
                  <w:rPr>
                    <w:webHidden/>
                  </w:rPr>
                  <w:fldChar w:fldCharType="end"/>
                </w:r>
              </w:hyperlink>
            </w:p>
            <w:p w14:paraId="2522C2EA" w14:textId="147BF09A" w:rsidR="0037210A" w:rsidRDefault="0037210A">
              <w:pPr>
                <w:pStyle w:val="TOC2"/>
                <w:rPr>
                  <w:rFonts w:eastAsiaTheme="minorEastAsia"/>
                  <w:kern w:val="2"/>
                  <w:sz w:val="24"/>
                  <w:szCs w:val="24"/>
                  <w:lang w:eastAsia="en-AU"/>
                  <w14:ligatures w14:val="standardContextual"/>
                </w:rPr>
              </w:pPr>
              <w:hyperlink w:anchor="_Toc225850092" w:history="1">
                <w:r w:rsidRPr="008F53FD">
                  <w:rPr>
                    <w:rStyle w:val="Hyperlink"/>
                  </w:rPr>
                  <w:t>1.3 National measurement legislation and NMI</w:t>
                </w:r>
                <w:r>
                  <w:rPr>
                    <w:webHidden/>
                  </w:rPr>
                  <w:tab/>
                </w:r>
                <w:r>
                  <w:rPr>
                    <w:webHidden/>
                  </w:rPr>
                  <w:fldChar w:fldCharType="begin"/>
                </w:r>
                <w:r>
                  <w:rPr>
                    <w:webHidden/>
                  </w:rPr>
                  <w:instrText xml:space="preserve"> PAGEREF _Toc225850092 \h </w:instrText>
                </w:r>
                <w:r>
                  <w:rPr>
                    <w:webHidden/>
                  </w:rPr>
                </w:r>
                <w:r>
                  <w:rPr>
                    <w:webHidden/>
                  </w:rPr>
                  <w:fldChar w:fldCharType="separate"/>
                </w:r>
                <w:r>
                  <w:rPr>
                    <w:webHidden/>
                  </w:rPr>
                  <w:t>2</w:t>
                </w:r>
                <w:r>
                  <w:rPr>
                    <w:webHidden/>
                  </w:rPr>
                  <w:fldChar w:fldCharType="end"/>
                </w:r>
              </w:hyperlink>
            </w:p>
            <w:p w14:paraId="419C5BEE" w14:textId="6F983433" w:rsidR="0037210A" w:rsidRDefault="0037210A">
              <w:pPr>
                <w:pStyle w:val="TOC2"/>
                <w:rPr>
                  <w:rFonts w:eastAsiaTheme="minorEastAsia"/>
                  <w:kern w:val="2"/>
                  <w:sz w:val="24"/>
                  <w:szCs w:val="24"/>
                  <w:lang w:eastAsia="en-AU"/>
                  <w14:ligatures w14:val="standardContextual"/>
                </w:rPr>
              </w:pPr>
              <w:hyperlink w:anchor="_Toc225850093" w:history="1">
                <w:r w:rsidRPr="008F53FD">
                  <w:rPr>
                    <w:rStyle w:val="Hyperlink"/>
                  </w:rPr>
                  <w:t>1.4 Pattern approval requirements for EBAs</w:t>
                </w:r>
                <w:r>
                  <w:rPr>
                    <w:webHidden/>
                  </w:rPr>
                  <w:tab/>
                </w:r>
                <w:r>
                  <w:rPr>
                    <w:webHidden/>
                  </w:rPr>
                  <w:fldChar w:fldCharType="begin"/>
                </w:r>
                <w:r>
                  <w:rPr>
                    <w:webHidden/>
                  </w:rPr>
                  <w:instrText xml:space="preserve"> PAGEREF _Toc225850093 \h </w:instrText>
                </w:r>
                <w:r>
                  <w:rPr>
                    <w:webHidden/>
                  </w:rPr>
                </w:r>
                <w:r>
                  <w:rPr>
                    <w:webHidden/>
                  </w:rPr>
                  <w:fldChar w:fldCharType="separate"/>
                </w:r>
                <w:r>
                  <w:rPr>
                    <w:webHidden/>
                  </w:rPr>
                  <w:t>3</w:t>
                </w:r>
                <w:r>
                  <w:rPr>
                    <w:webHidden/>
                  </w:rPr>
                  <w:fldChar w:fldCharType="end"/>
                </w:r>
              </w:hyperlink>
            </w:p>
            <w:p w14:paraId="267F99E5" w14:textId="4AF67EE7" w:rsidR="0037210A" w:rsidRDefault="0037210A">
              <w:pPr>
                <w:pStyle w:val="TOC1"/>
                <w:rPr>
                  <w:rFonts w:eastAsiaTheme="minorEastAsia"/>
                  <w:noProof/>
                  <w:kern w:val="2"/>
                  <w:sz w:val="24"/>
                  <w:szCs w:val="24"/>
                  <w:lang w:eastAsia="en-AU"/>
                  <w14:ligatures w14:val="standardContextual"/>
                </w:rPr>
              </w:pPr>
              <w:hyperlink w:anchor="_Toc225850094" w:history="1">
                <w:r w:rsidRPr="008F53FD">
                  <w:rPr>
                    <w:rStyle w:val="Hyperlink"/>
                    <w:noProof/>
                  </w:rPr>
                  <w:t>2 Explanation of key terms</w:t>
                </w:r>
                <w:r>
                  <w:rPr>
                    <w:noProof/>
                    <w:webHidden/>
                  </w:rPr>
                  <w:tab/>
                </w:r>
                <w:r>
                  <w:rPr>
                    <w:noProof/>
                    <w:webHidden/>
                  </w:rPr>
                  <w:fldChar w:fldCharType="begin"/>
                </w:r>
                <w:r>
                  <w:rPr>
                    <w:noProof/>
                    <w:webHidden/>
                  </w:rPr>
                  <w:instrText xml:space="preserve"> PAGEREF _Toc225850094 \h </w:instrText>
                </w:r>
                <w:r>
                  <w:rPr>
                    <w:noProof/>
                    <w:webHidden/>
                  </w:rPr>
                </w:r>
                <w:r>
                  <w:rPr>
                    <w:noProof/>
                    <w:webHidden/>
                  </w:rPr>
                  <w:fldChar w:fldCharType="separate"/>
                </w:r>
                <w:r>
                  <w:rPr>
                    <w:noProof/>
                    <w:webHidden/>
                  </w:rPr>
                  <w:t>4</w:t>
                </w:r>
                <w:r>
                  <w:rPr>
                    <w:noProof/>
                    <w:webHidden/>
                  </w:rPr>
                  <w:fldChar w:fldCharType="end"/>
                </w:r>
              </w:hyperlink>
            </w:p>
            <w:p w14:paraId="083FB744" w14:textId="62A64A5C" w:rsidR="0037210A" w:rsidRDefault="0037210A">
              <w:pPr>
                <w:pStyle w:val="TOC2"/>
                <w:rPr>
                  <w:rFonts w:eastAsiaTheme="minorEastAsia"/>
                  <w:kern w:val="2"/>
                  <w:sz w:val="24"/>
                  <w:szCs w:val="24"/>
                  <w:lang w:eastAsia="en-AU"/>
                  <w14:ligatures w14:val="standardContextual"/>
                </w:rPr>
              </w:pPr>
              <w:hyperlink w:anchor="_Toc225850095" w:history="1">
                <w:r w:rsidRPr="008F53FD">
                  <w:rPr>
                    <w:rStyle w:val="Hyperlink"/>
                  </w:rPr>
                  <w:t>2.1 Type and pattern</w:t>
                </w:r>
                <w:r>
                  <w:rPr>
                    <w:webHidden/>
                  </w:rPr>
                  <w:tab/>
                </w:r>
                <w:r>
                  <w:rPr>
                    <w:webHidden/>
                  </w:rPr>
                  <w:fldChar w:fldCharType="begin"/>
                </w:r>
                <w:r>
                  <w:rPr>
                    <w:webHidden/>
                  </w:rPr>
                  <w:instrText xml:space="preserve"> PAGEREF _Toc225850095 \h </w:instrText>
                </w:r>
                <w:r>
                  <w:rPr>
                    <w:webHidden/>
                  </w:rPr>
                </w:r>
                <w:r>
                  <w:rPr>
                    <w:webHidden/>
                  </w:rPr>
                  <w:fldChar w:fldCharType="separate"/>
                </w:r>
                <w:r>
                  <w:rPr>
                    <w:webHidden/>
                  </w:rPr>
                  <w:t>4</w:t>
                </w:r>
                <w:r>
                  <w:rPr>
                    <w:webHidden/>
                  </w:rPr>
                  <w:fldChar w:fldCharType="end"/>
                </w:r>
              </w:hyperlink>
            </w:p>
            <w:p w14:paraId="0F6673B6" w14:textId="57B226CE" w:rsidR="0037210A" w:rsidRDefault="0037210A">
              <w:pPr>
                <w:pStyle w:val="TOC2"/>
                <w:rPr>
                  <w:rFonts w:eastAsiaTheme="minorEastAsia"/>
                  <w:kern w:val="2"/>
                  <w:sz w:val="24"/>
                  <w:szCs w:val="24"/>
                  <w:lang w:eastAsia="en-AU"/>
                  <w14:ligatures w14:val="standardContextual"/>
                </w:rPr>
              </w:pPr>
              <w:hyperlink w:anchor="_Toc225850096" w:history="1">
                <w:r w:rsidRPr="008F53FD">
                  <w:rPr>
                    <w:rStyle w:val="Hyperlink"/>
                  </w:rPr>
                  <w:t>2.2 Verification and certification</w:t>
                </w:r>
                <w:r>
                  <w:rPr>
                    <w:webHidden/>
                  </w:rPr>
                  <w:tab/>
                </w:r>
                <w:r>
                  <w:rPr>
                    <w:webHidden/>
                  </w:rPr>
                  <w:fldChar w:fldCharType="begin"/>
                </w:r>
                <w:r>
                  <w:rPr>
                    <w:webHidden/>
                  </w:rPr>
                  <w:instrText xml:space="preserve"> PAGEREF _Toc225850096 \h </w:instrText>
                </w:r>
                <w:r>
                  <w:rPr>
                    <w:webHidden/>
                  </w:rPr>
                </w:r>
                <w:r>
                  <w:rPr>
                    <w:webHidden/>
                  </w:rPr>
                  <w:fldChar w:fldCharType="separate"/>
                </w:r>
                <w:r>
                  <w:rPr>
                    <w:webHidden/>
                  </w:rPr>
                  <w:t>4</w:t>
                </w:r>
                <w:r>
                  <w:rPr>
                    <w:webHidden/>
                  </w:rPr>
                  <w:fldChar w:fldCharType="end"/>
                </w:r>
              </w:hyperlink>
            </w:p>
            <w:p w14:paraId="6871D5F2" w14:textId="314F37A5" w:rsidR="0037210A" w:rsidRDefault="0037210A">
              <w:pPr>
                <w:pStyle w:val="TOC2"/>
                <w:rPr>
                  <w:rFonts w:eastAsiaTheme="minorEastAsia"/>
                  <w:kern w:val="2"/>
                  <w:sz w:val="24"/>
                  <w:szCs w:val="24"/>
                  <w:lang w:eastAsia="en-AU"/>
                  <w14:ligatures w14:val="standardContextual"/>
                </w:rPr>
              </w:pPr>
              <w:hyperlink w:anchor="_Toc225850097" w:history="1">
                <w:r w:rsidRPr="008F53FD">
                  <w:rPr>
                    <w:rStyle w:val="Hyperlink"/>
                  </w:rPr>
                  <w:t>2.3 National authorities</w:t>
                </w:r>
                <w:r>
                  <w:rPr>
                    <w:webHidden/>
                  </w:rPr>
                  <w:tab/>
                </w:r>
                <w:r>
                  <w:rPr>
                    <w:webHidden/>
                  </w:rPr>
                  <w:fldChar w:fldCharType="begin"/>
                </w:r>
                <w:r>
                  <w:rPr>
                    <w:webHidden/>
                  </w:rPr>
                  <w:instrText xml:space="preserve"> PAGEREF _Toc225850097 \h </w:instrText>
                </w:r>
                <w:r>
                  <w:rPr>
                    <w:webHidden/>
                  </w:rPr>
                </w:r>
                <w:r>
                  <w:rPr>
                    <w:webHidden/>
                  </w:rPr>
                  <w:fldChar w:fldCharType="separate"/>
                </w:r>
                <w:r>
                  <w:rPr>
                    <w:webHidden/>
                  </w:rPr>
                  <w:t>4</w:t>
                </w:r>
                <w:r>
                  <w:rPr>
                    <w:webHidden/>
                  </w:rPr>
                  <w:fldChar w:fldCharType="end"/>
                </w:r>
              </w:hyperlink>
            </w:p>
            <w:p w14:paraId="72299408" w14:textId="42FE138B" w:rsidR="0037210A" w:rsidRDefault="0037210A">
              <w:pPr>
                <w:pStyle w:val="TOC2"/>
                <w:rPr>
                  <w:rFonts w:eastAsiaTheme="minorEastAsia"/>
                  <w:kern w:val="2"/>
                  <w:sz w:val="24"/>
                  <w:szCs w:val="24"/>
                  <w:lang w:eastAsia="en-AU"/>
                  <w14:ligatures w14:val="standardContextual"/>
                </w:rPr>
              </w:pPr>
              <w:hyperlink w:anchor="_Toc225850098" w:history="1">
                <w:r w:rsidRPr="008F53FD">
                  <w:rPr>
                    <w:rStyle w:val="Hyperlink"/>
                  </w:rPr>
                  <w:t>2.4 National regulations and national legislation</w:t>
                </w:r>
                <w:r>
                  <w:rPr>
                    <w:webHidden/>
                  </w:rPr>
                  <w:tab/>
                </w:r>
                <w:r>
                  <w:rPr>
                    <w:webHidden/>
                  </w:rPr>
                  <w:fldChar w:fldCharType="begin"/>
                </w:r>
                <w:r>
                  <w:rPr>
                    <w:webHidden/>
                  </w:rPr>
                  <w:instrText xml:space="preserve"> PAGEREF _Toc225850098 \h </w:instrText>
                </w:r>
                <w:r>
                  <w:rPr>
                    <w:webHidden/>
                  </w:rPr>
                </w:r>
                <w:r>
                  <w:rPr>
                    <w:webHidden/>
                  </w:rPr>
                  <w:fldChar w:fldCharType="separate"/>
                </w:r>
                <w:r>
                  <w:rPr>
                    <w:webHidden/>
                  </w:rPr>
                  <w:t>5</w:t>
                </w:r>
                <w:r>
                  <w:rPr>
                    <w:webHidden/>
                  </w:rPr>
                  <w:fldChar w:fldCharType="end"/>
                </w:r>
              </w:hyperlink>
            </w:p>
            <w:p w14:paraId="4020DF0F" w14:textId="4DF63536" w:rsidR="0037210A" w:rsidRDefault="0037210A">
              <w:pPr>
                <w:pStyle w:val="TOC1"/>
                <w:rPr>
                  <w:rFonts w:eastAsiaTheme="minorEastAsia"/>
                  <w:noProof/>
                  <w:kern w:val="2"/>
                  <w:sz w:val="24"/>
                  <w:szCs w:val="24"/>
                  <w:lang w:eastAsia="en-AU"/>
                  <w14:ligatures w14:val="standardContextual"/>
                </w:rPr>
              </w:pPr>
              <w:hyperlink w:anchor="_Toc225850099" w:history="1">
                <w:r w:rsidRPr="008F53FD">
                  <w:rPr>
                    <w:rStyle w:val="Hyperlink"/>
                    <w:noProof/>
                  </w:rPr>
                  <w:t>3 Explanation of key differences</w:t>
                </w:r>
                <w:r>
                  <w:rPr>
                    <w:noProof/>
                    <w:webHidden/>
                  </w:rPr>
                  <w:tab/>
                </w:r>
                <w:r>
                  <w:rPr>
                    <w:noProof/>
                    <w:webHidden/>
                  </w:rPr>
                  <w:fldChar w:fldCharType="begin"/>
                </w:r>
                <w:r>
                  <w:rPr>
                    <w:noProof/>
                    <w:webHidden/>
                  </w:rPr>
                  <w:instrText xml:space="preserve"> PAGEREF _Toc225850099 \h </w:instrText>
                </w:r>
                <w:r>
                  <w:rPr>
                    <w:noProof/>
                    <w:webHidden/>
                  </w:rPr>
                </w:r>
                <w:r>
                  <w:rPr>
                    <w:noProof/>
                    <w:webHidden/>
                  </w:rPr>
                  <w:fldChar w:fldCharType="separate"/>
                </w:r>
                <w:r>
                  <w:rPr>
                    <w:noProof/>
                    <w:webHidden/>
                  </w:rPr>
                  <w:t>6</w:t>
                </w:r>
                <w:r>
                  <w:rPr>
                    <w:noProof/>
                    <w:webHidden/>
                  </w:rPr>
                  <w:fldChar w:fldCharType="end"/>
                </w:r>
              </w:hyperlink>
            </w:p>
            <w:p w14:paraId="481A0882" w14:textId="13D98537" w:rsidR="0037210A" w:rsidRDefault="0037210A">
              <w:pPr>
                <w:pStyle w:val="TOC2"/>
                <w:rPr>
                  <w:rFonts w:eastAsiaTheme="minorEastAsia"/>
                  <w:kern w:val="2"/>
                  <w:sz w:val="24"/>
                  <w:szCs w:val="24"/>
                  <w:lang w:eastAsia="en-AU"/>
                  <w14:ligatures w14:val="standardContextual"/>
                </w:rPr>
              </w:pPr>
              <w:hyperlink w:anchor="_Toc225850100" w:history="1">
                <w:r w:rsidRPr="008F53FD">
                  <w:rPr>
                    <w:rStyle w:val="Hyperlink"/>
                  </w:rPr>
                  <w:t>3.1 Previous editions</w:t>
                </w:r>
                <w:r>
                  <w:rPr>
                    <w:webHidden/>
                  </w:rPr>
                  <w:tab/>
                </w:r>
                <w:r>
                  <w:rPr>
                    <w:webHidden/>
                  </w:rPr>
                  <w:fldChar w:fldCharType="begin"/>
                </w:r>
                <w:r>
                  <w:rPr>
                    <w:webHidden/>
                  </w:rPr>
                  <w:instrText xml:space="preserve"> PAGEREF _Toc225850100 \h </w:instrText>
                </w:r>
                <w:r>
                  <w:rPr>
                    <w:webHidden/>
                  </w:rPr>
                </w:r>
                <w:r>
                  <w:rPr>
                    <w:webHidden/>
                  </w:rPr>
                  <w:fldChar w:fldCharType="separate"/>
                </w:r>
                <w:r>
                  <w:rPr>
                    <w:webHidden/>
                  </w:rPr>
                  <w:t>6</w:t>
                </w:r>
                <w:r>
                  <w:rPr>
                    <w:webHidden/>
                  </w:rPr>
                  <w:fldChar w:fldCharType="end"/>
                </w:r>
              </w:hyperlink>
            </w:p>
            <w:p w14:paraId="29C536B3" w14:textId="749FDE00" w:rsidR="0037210A" w:rsidRDefault="0037210A">
              <w:pPr>
                <w:pStyle w:val="TOC2"/>
                <w:rPr>
                  <w:rFonts w:eastAsiaTheme="minorEastAsia"/>
                  <w:kern w:val="2"/>
                  <w:sz w:val="24"/>
                  <w:szCs w:val="24"/>
                  <w:lang w:eastAsia="en-AU"/>
                  <w14:ligatures w14:val="standardContextual"/>
                </w:rPr>
              </w:pPr>
              <w:hyperlink w:anchor="_Toc225850101" w:history="1">
                <w:r w:rsidRPr="008F53FD">
                  <w:rPr>
                    <w:rStyle w:val="Hyperlink"/>
                  </w:rPr>
                  <w:t>3.2 Current editions</w:t>
                </w:r>
                <w:r>
                  <w:rPr>
                    <w:webHidden/>
                  </w:rPr>
                  <w:tab/>
                </w:r>
                <w:r>
                  <w:rPr>
                    <w:webHidden/>
                  </w:rPr>
                  <w:fldChar w:fldCharType="begin"/>
                </w:r>
                <w:r>
                  <w:rPr>
                    <w:webHidden/>
                  </w:rPr>
                  <w:instrText xml:space="preserve"> PAGEREF _Toc225850101 \h </w:instrText>
                </w:r>
                <w:r>
                  <w:rPr>
                    <w:webHidden/>
                  </w:rPr>
                </w:r>
                <w:r>
                  <w:rPr>
                    <w:webHidden/>
                  </w:rPr>
                  <w:fldChar w:fldCharType="separate"/>
                </w:r>
                <w:r>
                  <w:rPr>
                    <w:webHidden/>
                  </w:rPr>
                  <w:t>6</w:t>
                </w:r>
                <w:r>
                  <w:rPr>
                    <w:webHidden/>
                  </w:rPr>
                  <w:fldChar w:fldCharType="end"/>
                </w:r>
              </w:hyperlink>
            </w:p>
            <w:p w14:paraId="0DD031D8" w14:textId="1819208E" w:rsidR="0037210A" w:rsidRDefault="0037210A">
              <w:pPr>
                <w:pStyle w:val="TOC2"/>
                <w:rPr>
                  <w:rFonts w:eastAsiaTheme="minorEastAsia"/>
                  <w:kern w:val="2"/>
                  <w:sz w:val="24"/>
                  <w:szCs w:val="24"/>
                  <w:lang w:eastAsia="en-AU"/>
                  <w14:ligatures w14:val="standardContextual"/>
                </w:rPr>
              </w:pPr>
              <w:hyperlink w:anchor="_Toc225850102" w:history="1">
                <w:r w:rsidRPr="008F53FD">
                  <w:rPr>
                    <w:rStyle w:val="Hyperlink"/>
                  </w:rPr>
                  <w:t>3.3 Key differences between OIML R 126:2021 and NMI R 126:2025</w:t>
                </w:r>
                <w:r>
                  <w:rPr>
                    <w:webHidden/>
                  </w:rPr>
                  <w:tab/>
                </w:r>
                <w:r>
                  <w:rPr>
                    <w:webHidden/>
                  </w:rPr>
                  <w:fldChar w:fldCharType="begin"/>
                </w:r>
                <w:r>
                  <w:rPr>
                    <w:webHidden/>
                  </w:rPr>
                  <w:instrText xml:space="preserve"> PAGEREF _Toc225850102 \h </w:instrText>
                </w:r>
                <w:r>
                  <w:rPr>
                    <w:webHidden/>
                  </w:rPr>
                </w:r>
                <w:r>
                  <w:rPr>
                    <w:webHidden/>
                  </w:rPr>
                  <w:fldChar w:fldCharType="separate"/>
                </w:r>
                <w:r>
                  <w:rPr>
                    <w:webHidden/>
                  </w:rPr>
                  <w:t>6</w:t>
                </w:r>
                <w:r>
                  <w:rPr>
                    <w:webHidden/>
                  </w:rPr>
                  <w:fldChar w:fldCharType="end"/>
                </w:r>
              </w:hyperlink>
            </w:p>
            <w:p w14:paraId="0714E385" w14:textId="58CFF452" w:rsidR="0037210A" w:rsidRDefault="0037210A">
              <w:pPr>
                <w:pStyle w:val="TOC2"/>
                <w:rPr>
                  <w:rFonts w:eastAsiaTheme="minorEastAsia"/>
                  <w:kern w:val="2"/>
                  <w:sz w:val="24"/>
                  <w:szCs w:val="24"/>
                  <w:lang w:eastAsia="en-AU"/>
                  <w14:ligatures w14:val="standardContextual"/>
                </w:rPr>
              </w:pPr>
              <w:hyperlink w:anchor="_Toc225850103" w:history="1">
                <w:r w:rsidRPr="008F53FD">
                  <w:rPr>
                    <w:rStyle w:val="Hyperlink"/>
                  </w:rPr>
                  <w:t>3.4 Key differences between NMI R 126:2013 and NMI R 126:2025</w:t>
                </w:r>
                <w:r>
                  <w:rPr>
                    <w:webHidden/>
                  </w:rPr>
                  <w:tab/>
                </w:r>
                <w:r>
                  <w:rPr>
                    <w:webHidden/>
                  </w:rPr>
                  <w:fldChar w:fldCharType="begin"/>
                </w:r>
                <w:r>
                  <w:rPr>
                    <w:webHidden/>
                  </w:rPr>
                  <w:instrText xml:space="preserve"> PAGEREF _Toc225850103 \h </w:instrText>
                </w:r>
                <w:r>
                  <w:rPr>
                    <w:webHidden/>
                  </w:rPr>
                </w:r>
                <w:r>
                  <w:rPr>
                    <w:webHidden/>
                  </w:rPr>
                  <w:fldChar w:fldCharType="separate"/>
                </w:r>
                <w:r>
                  <w:rPr>
                    <w:webHidden/>
                  </w:rPr>
                  <w:t>7</w:t>
                </w:r>
                <w:r>
                  <w:rPr>
                    <w:webHidden/>
                  </w:rPr>
                  <w:fldChar w:fldCharType="end"/>
                </w:r>
              </w:hyperlink>
            </w:p>
            <w:p w14:paraId="476913B2" w14:textId="7FA93D37" w:rsidR="0037210A" w:rsidRDefault="0037210A">
              <w:pPr>
                <w:pStyle w:val="TOC2"/>
                <w:rPr>
                  <w:rFonts w:eastAsiaTheme="minorEastAsia"/>
                  <w:kern w:val="2"/>
                  <w:sz w:val="24"/>
                  <w:szCs w:val="24"/>
                  <w:lang w:eastAsia="en-AU"/>
                  <w14:ligatures w14:val="standardContextual"/>
                </w:rPr>
              </w:pPr>
              <w:hyperlink w:anchor="_Toc225850104" w:history="1">
                <w:r w:rsidRPr="008F53FD">
                  <w:rPr>
                    <w:rStyle w:val="Hyperlink"/>
                  </w:rPr>
                  <w:t>3.5 Timeline for transition from NMI R 126:2013 to NMI R 126:2025</w:t>
                </w:r>
                <w:r>
                  <w:rPr>
                    <w:webHidden/>
                  </w:rPr>
                  <w:tab/>
                </w:r>
                <w:r>
                  <w:rPr>
                    <w:webHidden/>
                  </w:rPr>
                  <w:fldChar w:fldCharType="begin"/>
                </w:r>
                <w:r>
                  <w:rPr>
                    <w:webHidden/>
                  </w:rPr>
                  <w:instrText xml:space="preserve"> PAGEREF _Toc225850104 \h </w:instrText>
                </w:r>
                <w:r>
                  <w:rPr>
                    <w:webHidden/>
                  </w:rPr>
                </w:r>
                <w:r>
                  <w:rPr>
                    <w:webHidden/>
                  </w:rPr>
                  <w:fldChar w:fldCharType="separate"/>
                </w:r>
                <w:r>
                  <w:rPr>
                    <w:webHidden/>
                  </w:rPr>
                  <w:t>8</w:t>
                </w:r>
                <w:r>
                  <w:rPr>
                    <w:webHidden/>
                  </w:rPr>
                  <w:fldChar w:fldCharType="end"/>
                </w:r>
              </w:hyperlink>
            </w:p>
            <w:p w14:paraId="25257E37" w14:textId="46C74BD4" w:rsidR="0037210A" w:rsidRDefault="0037210A">
              <w:pPr>
                <w:pStyle w:val="TOC1"/>
                <w:rPr>
                  <w:rFonts w:eastAsiaTheme="minorEastAsia"/>
                  <w:noProof/>
                  <w:kern w:val="2"/>
                  <w:sz w:val="24"/>
                  <w:szCs w:val="24"/>
                  <w:lang w:eastAsia="en-AU"/>
                  <w14:ligatures w14:val="standardContextual"/>
                </w:rPr>
              </w:pPr>
              <w:hyperlink w:anchor="_Toc225850105" w:history="1">
                <w:r w:rsidRPr="008F53FD">
                  <w:rPr>
                    <w:rStyle w:val="Hyperlink"/>
                    <w:noProof/>
                  </w:rPr>
                  <w:t>4 Pattern evaluation and pattern approval</w:t>
                </w:r>
                <w:r>
                  <w:rPr>
                    <w:noProof/>
                    <w:webHidden/>
                  </w:rPr>
                  <w:tab/>
                </w:r>
                <w:r>
                  <w:rPr>
                    <w:noProof/>
                    <w:webHidden/>
                  </w:rPr>
                  <w:fldChar w:fldCharType="begin"/>
                </w:r>
                <w:r>
                  <w:rPr>
                    <w:noProof/>
                    <w:webHidden/>
                  </w:rPr>
                  <w:instrText xml:space="preserve"> PAGEREF _Toc225850105 \h </w:instrText>
                </w:r>
                <w:r>
                  <w:rPr>
                    <w:noProof/>
                    <w:webHidden/>
                  </w:rPr>
                </w:r>
                <w:r>
                  <w:rPr>
                    <w:noProof/>
                    <w:webHidden/>
                  </w:rPr>
                  <w:fldChar w:fldCharType="separate"/>
                </w:r>
                <w:r>
                  <w:rPr>
                    <w:noProof/>
                    <w:webHidden/>
                  </w:rPr>
                  <w:t>9</w:t>
                </w:r>
                <w:r>
                  <w:rPr>
                    <w:noProof/>
                    <w:webHidden/>
                  </w:rPr>
                  <w:fldChar w:fldCharType="end"/>
                </w:r>
              </w:hyperlink>
            </w:p>
            <w:p w14:paraId="2A67C2B2" w14:textId="43738EF2" w:rsidR="0037210A" w:rsidRDefault="0037210A">
              <w:pPr>
                <w:pStyle w:val="TOC2"/>
                <w:rPr>
                  <w:rFonts w:eastAsiaTheme="minorEastAsia"/>
                  <w:kern w:val="2"/>
                  <w:sz w:val="24"/>
                  <w:szCs w:val="24"/>
                  <w:lang w:eastAsia="en-AU"/>
                  <w14:ligatures w14:val="standardContextual"/>
                </w:rPr>
              </w:pPr>
              <w:hyperlink w:anchor="_Toc225850106" w:history="1">
                <w:r w:rsidRPr="008F53FD">
                  <w:rPr>
                    <w:rStyle w:val="Hyperlink"/>
                  </w:rPr>
                  <w:t>4.1 Pattern approval process for EBAs</w:t>
                </w:r>
                <w:r>
                  <w:rPr>
                    <w:webHidden/>
                  </w:rPr>
                  <w:tab/>
                </w:r>
                <w:r>
                  <w:rPr>
                    <w:webHidden/>
                  </w:rPr>
                  <w:fldChar w:fldCharType="begin"/>
                </w:r>
                <w:r>
                  <w:rPr>
                    <w:webHidden/>
                  </w:rPr>
                  <w:instrText xml:space="preserve"> PAGEREF _Toc225850106 \h </w:instrText>
                </w:r>
                <w:r>
                  <w:rPr>
                    <w:webHidden/>
                  </w:rPr>
                </w:r>
                <w:r>
                  <w:rPr>
                    <w:webHidden/>
                  </w:rPr>
                  <w:fldChar w:fldCharType="separate"/>
                </w:r>
                <w:r>
                  <w:rPr>
                    <w:webHidden/>
                  </w:rPr>
                  <w:t>9</w:t>
                </w:r>
                <w:r>
                  <w:rPr>
                    <w:webHidden/>
                  </w:rPr>
                  <w:fldChar w:fldCharType="end"/>
                </w:r>
              </w:hyperlink>
            </w:p>
            <w:p w14:paraId="69A501C6" w14:textId="7F47149E" w:rsidR="0037210A" w:rsidRDefault="0037210A">
              <w:pPr>
                <w:pStyle w:val="TOC2"/>
                <w:rPr>
                  <w:rFonts w:eastAsiaTheme="minorEastAsia"/>
                  <w:kern w:val="2"/>
                  <w:sz w:val="24"/>
                  <w:szCs w:val="24"/>
                  <w:lang w:eastAsia="en-AU"/>
                  <w14:ligatures w14:val="standardContextual"/>
                </w:rPr>
              </w:pPr>
              <w:hyperlink w:anchor="_Toc225850107" w:history="1">
                <w:r w:rsidRPr="008F53FD">
                  <w:rPr>
                    <w:rStyle w:val="Hyperlink"/>
                  </w:rPr>
                  <w:t>4.2 Testing and test reports for EBAs</w:t>
                </w:r>
                <w:r>
                  <w:rPr>
                    <w:webHidden/>
                  </w:rPr>
                  <w:tab/>
                </w:r>
                <w:r>
                  <w:rPr>
                    <w:webHidden/>
                  </w:rPr>
                  <w:fldChar w:fldCharType="begin"/>
                </w:r>
                <w:r>
                  <w:rPr>
                    <w:webHidden/>
                  </w:rPr>
                  <w:instrText xml:space="preserve"> PAGEREF _Toc225850107 \h </w:instrText>
                </w:r>
                <w:r>
                  <w:rPr>
                    <w:webHidden/>
                  </w:rPr>
                </w:r>
                <w:r>
                  <w:rPr>
                    <w:webHidden/>
                  </w:rPr>
                  <w:fldChar w:fldCharType="separate"/>
                </w:r>
                <w:r>
                  <w:rPr>
                    <w:webHidden/>
                  </w:rPr>
                  <w:t>9</w:t>
                </w:r>
                <w:r>
                  <w:rPr>
                    <w:webHidden/>
                  </w:rPr>
                  <w:fldChar w:fldCharType="end"/>
                </w:r>
              </w:hyperlink>
            </w:p>
            <w:p w14:paraId="7A420455" w14:textId="3B30AFDE" w:rsidR="0037210A" w:rsidRDefault="0037210A">
              <w:pPr>
                <w:pStyle w:val="TOC2"/>
                <w:rPr>
                  <w:rFonts w:eastAsiaTheme="minorEastAsia"/>
                  <w:kern w:val="2"/>
                  <w:sz w:val="24"/>
                  <w:szCs w:val="24"/>
                  <w:lang w:eastAsia="en-AU"/>
                  <w14:ligatures w14:val="standardContextual"/>
                </w:rPr>
              </w:pPr>
              <w:hyperlink w:anchor="_Toc225850108" w:history="1">
                <w:r w:rsidRPr="008F53FD">
                  <w:rPr>
                    <w:rStyle w:val="Hyperlink"/>
                  </w:rPr>
                  <w:t>4.3 Variants of approved patterns</w:t>
                </w:r>
                <w:r>
                  <w:rPr>
                    <w:webHidden/>
                  </w:rPr>
                  <w:tab/>
                </w:r>
                <w:r>
                  <w:rPr>
                    <w:webHidden/>
                  </w:rPr>
                  <w:fldChar w:fldCharType="begin"/>
                </w:r>
                <w:r>
                  <w:rPr>
                    <w:webHidden/>
                  </w:rPr>
                  <w:instrText xml:space="preserve"> PAGEREF _Toc225850108 \h </w:instrText>
                </w:r>
                <w:r>
                  <w:rPr>
                    <w:webHidden/>
                  </w:rPr>
                </w:r>
                <w:r>
                  <w:rPr>
                    <w:webHidden/>
                  </w:rPr>
                  <w:fldChar w:fldCharType="separate"/>
                </w:r>
                <w:r>
                  <w:rPr>
                    <w:webHidden/>
                  </w:rPr>
                  <w:t>10</w:t>
                </w:r>
                <w:r>
                  <w:rPr>
                    <w:webHidden/>
                  </w:rPr>
                  <w:fldChar w:fldCharType="end"/>
                </w:r>
              </w:hyperlink>
            </w:p>
            <w:p w14:paraId="51AD374D" w14:textId="4C0099C4" w:rsidR="0037210A" w:rsidRDefault="0037210A">
              <w:pPr>
                <w:pStyle w:val="TOC2"/>
                <w:rPr>
                  <w:rFonts w:eastAsiaTheme="minorEastAsia"/>
                  <w:kern w:val="2"/>
                  <w:sz w:val="24"/>
                  <w:szCs w:val="24"/>
                  <w:lang w:eastAsia="en-AU"/>
                  <w14:ligatures w14:val="standardContextual"/>
                </w:rPr>
              </w:pPr>
              <w:hyperlink w:anchor="_Toc225850109" w:history="1">
                <w:r w:rsidRPr="008F53FD">
                  <w:rPr>
                    <w:rStyle w:val="Hyperlink"/>
                  </w:rPr>
                  <w:t>4.4 Approval of variants</w:t>
                </w:r>
                <w:r>
                  <w:rPr>
                    <w:webHidden/>
                  </w:rPr>
                  <w:tab/>
                </w:r>
                <w:r>
                  <w:rPr>
                    <w:webHidden/>
                  </w:rPr>
                  <w:fldChar w:fldCharType="begin"/>
                </w:r>
                <w:r>
                  <w:rPr>
                    <w:webHidden/>
                  </w:rPr>
                  <w:instrText xml:space="preserve"> PAGEREF _Toc225850109 \h </w:instrText>
                </w:r>
                <w:r>
                  <w:rPr>
                    <w:webHidden/>
                  </w:rPr>
                </w:r>
                <w:r>
                  <w:rPr>
                    <w:webHidden/>
                  </w:rPr>
                  <w:fldChar w:fldCharType="separate"/>
                </w:r>
                <w:r>
                  <w:rPr>
                    <w:webHidden/>
                  </w:rPr>
                  <w:t>10</w:t>
                </w:r>
                <w:r>
                  <w:rPr>
                    <w:webHidden/>
                  </w:rPr>
                  <w:fldChar w:fldCharType="end"/>
                </w:r>
              </w:hyperlink>
            </w:p>
            <w:p w14:paraId="7D2F59B7" w14:textId="040B995E" w:rsidR="0037210A" w:rsidRDefault="0037210A">
              <w:pPr>
                <w:pStyle w:val="TOC2"/>
                <w:rPr>
                  <w:rFonts w:eastAsiaTheme="minorEastAsia"/>
                  <w:kern w:val="2"/>
                  <w:sz w:val="24"/>
                  <w:szCs w:val="24"/>
                  <w:lang w:eastAsia="en-AU"/>
                  <w14:ligatures w14:val="standardContextual"/>
                </w:rPr>
              </w:pPr>
              <w:hyperlink w:anchor="_Toc225850110" w:history="1">
                <w:r w:rsidRPr="008F53FD">
                  <w:rPr>
                    <w:rStyle w:val="Hyperlink"/>
                  </w:rPr>
                  <w:t>4.5 Amendments to certificates of approval</w:t>
                </w:r>
                <w:r>
                  <w:rPr>
                    <w:webHidden/>
                  </w:rPr>
                  <w:tab/>
                </w:r>
                <w:r>
                  <w:rPr>
                    <w:webHidden/>
                  </w:rPr>
                  <w:fldChar w:fldCharType="begin"/>
                </w:r>
                <w:r>
                  <w:rPr>
                    <w:webHidden/>
                  </w:rPr>
                  <w:instrText xml:space="preserve"> PAGEREF _Toc225850110 \h </w:instrText>
                </w:r>
                <w:r>
                  <w:rPr>
                    <w:webHidden/>
                  </w:rPr>
                </w:r>
                <w:r>
                  <w:rPr>
                    <w:webHidden/>
                  </w:rPr>
                  <w:fldChar w:fldCharType="separate"/>
                </w:r>
                <w:r>
                  <w:rPr>
                    <w:webHidden/>
                  </w:rPr>
                  <w:t>11</w:t>
                </w:r>
                <w:r>
                  <w:rPr>
                    <w:webHidden/>
                  </w:rPr>
                  <w:fldChar w:fldCharType="end"/>
                </w:r>
              </w:hyperlink>
            </w:p>
            <w:p w14:paraId="1C91AC08" w14:textId="527B09A6" w:rsidR="0037210A" w:rsidRDefault="0037210A">
              <w:pPr>
                <w:pStyle w:val="TOC1"/>
                <w:rPr>
                  <w:rFonts w:eastAsiaTheme="minorEastAsia"/>
                  <w:noProof/>
                  <w:kern w:val="2"/>
                  <w:sz w:val="24"/>
                  <w:szCs w:val="24"/>
                  <w:lang w:eastAsia="en-AU"/>
                  <w14:ligatures w14:val="standardContextual"/>
                </w:rPr>
              </w:pPr>
              <w:hyperlink w:anchor="_Toc225850111" w:history="1">
                <w:r w:rsidRPr="008F53FD">
                  <w:rPr>
                    <w:rStyle w:val="Hyperlink"/>
                    <w:noProof/>
                  </w:rPr>
                  <w:t>5 Certification process</w:t>
                </w:r>
                <w:r>
                  <w:rPr>
                    <w:noProof/>
                    <w:webHidden/>
                  </w:rPr>
                  <w:tab/>
                </w:r>
                <w:r>
                  <w:rPr>
                    <w:noProof/>
                    <w:webHidden/>
                  </w:rPr>
                  <w:fldChar w:fldCharType="begin"/>
                </w:r>
                <w:r>
                  <w:rPr>
                    <w:noProof/>
                    <w:webHidden/>
                  </w:rPr>
                  <w:instrText xml:space="preserve"> PAGEREF _Toc225850111 \h </w:instrText>
                </w:r>
                <w:r>
                  <w:rPr>
                    <w:noProof/>
                    <w:webHidden/>
                  </w:rPr>
                </w:r>
                <w:r>
                  <w:rPr>
                    <w:noProof/>
                    <w:webHidden/>
                  </w:rPr>
                  <w:fldChar w:fldCharType="separate"/>
                </w:r>
                <w:r>
                  <w:rPr>
                    <w:noProof/>
                    <w:webHidden/>
                  </w:rPr>
                  <w:t>12</w:t>
                </w:r>
                <w:r>
                  <w:rPr>
                    <w:noProof/>
                    <w:webHidden/>
                  </w:rPr>
                  <w:fldChar w:fldCharType="end"/>
                </w:r>
              </w:hyperlink>
            </w:p>
            <w:p w14:paraId="1B816DC6" w14:textId="61E6D17F" w:rsidR="0037210A" w:rsidRDefault="0037210A">
              <w:pPr>
                <w:pStyle w:val="TOC2"/>
                <w:rPr>
                  <w:rFonts w:eastAsiaTheme="minorEastAsia"/>
                  <w:kern w:val="2"/>
                  <w:sz w:val="24"/>
                  <w:szCs w:val="24"/>
                  <w:lang w:eastAsia="en-AU"/>
                  <w14:ligatures w14:val="standardContextual"/>
                </w:rPr>
              </w:pPr>
              <w:hyperlink w:anchor="_Toc225850112" w:history="1">
                <w:r w:rsidRPr="008F53FD">
                  <w:rPr>
                    <w:rStyle w:val="Hyperlink"/>
                  </w:rPr>
                  <w:t>5.1 Initial certification</w:t>
                </w:r>
                <w:r>
                  <w:rPr>
                    <w:webHidden/>
                  </w:rPr>
                  <w:tab/>
                </w:r>
                <w:r>
                  <w:rPr>
                    <w:webHidden/>
                  </w:rPr>
                  <w:fldChar w:fldCharType="begin"/>
                </w:r>
                <w:r>
                  <w:rPr>
                    <w:webHidden/>
                  </w:rPr>
                  <w:instrText xml:space="preserve"> PAGEREF _Toc225850112 \h </w:instrText>
                </w:r>
                <w:r>
                  <w:rPr>
                    <w:webHidden/>
                  </w:rPr>
                </w:r>
                <w:r>
                  <w:rPr>
                    <w:webHidden/>
                  </w:rPr>
                  <w:fldChar w:fldCharType="separate"/>
                </w:r>
                <w:r>
                  <w:rPr>
                    <w:webHidden/>
                  </w:rPr>
                  <w:t>12</w:t>
                </w:r>
                <w:r>
                  <w:rPr>
                    <w:webHidden/>
                  </w:rPr>
                  <w:fldChar w:fldCharType="end"/>
                </w:r>
              </w:hyperlink>
            </w:p>
            <w:p w14:paraId="4F5D079E" w14:textId="6B96863C" w:rsidR="0037210A" w:rsidRDefault="0037210A">
              <w:pPr>
                <w:pStyle w:val="TOC2"/>
                <w:rPr>
                  <w:rFonts w:eastAsiaTheme="minorEastAsia"/>
                  <w:kern w:val="2"/>
                  <w:sz w:val="24"/>
                  <w:szCs w:val="24"/>
                  <w:lang w:eastAsia="en-AU"/>
                  <w14:ligatures w14:val="standardContextual"/>
                </w:rPr>
              </w:pPr>
              <w:hyperlink w:anchor="_Toc225850113" w:history="1">
                <w:r w:rsidRPr="008F53FD">
                  <w:rPr>
                    <w:rStyle w:val="Hyperlink"/>
                  </w:rPr>
                  <w:t>5.2 Periodic certification</w:t>
                </w:r>
                <w:r>
                  <w:rPr>
                    <w:webHidden/>
                  </w:rPr>
                  <w:tab/>
                </w:r>
                <w:r>
                  <w:rPr>
                    <w:webHidden/>
                  </w:rPr>
                  <w:fldChar w:fldCharType="begin"/>
                </w:r>
                <w:r>
                  <w:rPr>
                    <w:webHidden/>
                  </w:rPr>
                  <w:instrText xml:space="preserve"> PAGEREF _Toc225850113 \h </w:instrText>
                </w:r>
                <w:r>
                  <w:rPr>
                    <w:webHidden/>
                  </w:rPr>
                </w:r>
                <w:r>
                  <w:rPr>
                    <w:webHidden/>
                  </w:rPr>
                  <w:fldChar w:fldCharType="separate"/>
                </w:r>
                <w:r>
                  <w:rPr>
                    <w:webHidden/>
                  </w:rPr>
                  <w:t>12</w:t>
                </w:r>
                <w:r>
                  <w:rPr>
                    <w:webHidden/>
                  </w:rPr>
                  <w:fldChar w:fldCharType="end"/>
                </w:r>
              </w:hyperlink>
            </w:p>
            <w:p w14:paraId="3EFA0533" w14:textId="459CBEA2" w:rsidR="0037210A" w:rsidRDefault="0037210A">
              <w:pPr>
                <w:pStyle w:val="TOC2"/>
                <w:rPr>
                  <w:rFonts w:eastAsiaTheme="minorEastAsia"/>
                  <w:kern w:val="2"/>
                  <w:sz w:val="24"/>
                  <w:szCs w:val="24"/>
                  <w:lang w:eastAsia="en-AU"/>
                  <w14:ligatures w14:val="standardContextual"/>
                </w:rPr>
              </w:pPr>
              <w:hyperlink w:anchor="_Toc225850114" w:history="1">
                <w:r w:rsidRPr="008F53FD">
                  <w:rPr>
                    <w:rStyle w:val="Hyperlink"/>
                  </w:rPr>
                  <w:t>5.3 Certifying authorities</w:t>
                </w:r>
                <w:r>
                  <w:rPr>
                    <w:webHidden/>
                  </w:rPr>
                  <w:tab/>
                </w:r>
                <w:r>
                  <w:rPr>
                    <w:webHidden/>
                  </w:rPr>
                  <w:fldChar w:fldCharType="begin"/>
                </w:r>
                <w:r>
                  <w:rPr>
                    <w:webHidden/>
                  </w:rPr>
                  <w:instrText xml:space="preserve"> PAGEREF _Toc225850114 \h </w:instrText>
                </w:r>
                <w:r>
                  <w:rPr>
                    <w:webHidden/>
                  </w:rPr>
                </w:r>
                <w:r>
                  <w:rPr>
                    <w:webHidden/>
                  </w:rPr>
                  <w:fldChar w:fldCharType="separate"/>
                </w:r>
                <w:r>
                  <w:rPr>
                    <w:webHidden/>
                  </w:rPr>
                  <w:t>12</w:t>
                </w:r>
                <w:r>
                  <w:rPr>
                    <w:webHidden/>
                  </w:rPr>
                  <w:fldChar w:fldCharType="end"/>
                </w:r>
              </w:hyperlink>
            </w:p>
            <w:p w14:paraId="18A65656" w14:textId="1B7094D9" w:rsidR="0037210A" w:rsidRDefault="0037210A">
              <w:pPr>
                <w:pStyle w:val="TOC1"/>
                <w:rPr>
                  <w:rFonts w:eastAsiaTheme="minorEastAsia"/>
                  <w:noProof/>
                  <w:kern w:val="2"/>
                  <w:sz w:val="24"/>
                  <w:szCs w:val="24"/>
                  <w:lang w:eastAsia="en-AU"/>
                  <w14:ligatures w14:val="standardContextual"/>
                </w:rPr>
              </w:pPr>
              <w:hyperlink w:anchor="_Toc225850115" w:history="1">
                <w:r w:rsidRPr="008F53FD">
                  <w:rPr>
                    <w:rStyle w:val="Hyperlink"/>
                    <w:noProof/>
                  </w:rPr>
                  <w:t>6 Roles and responsibilities</w:t>
                </w:r>
                <w:r>
                  <w:rPr>
                    <w:noProof/>
                    <w:webHidden/>
                  </w:rPr>
                  <w:tab/>
                </w:r>
                <w:r>
                  <w:rPr>
                    <w:noProof/>
                    <w:webHidden/>
                  </w:rPr>
                  <w:fldChar w:fldCharType="begin"/>
                </w:r>
                <w:r>
                  <w:rPr>
                    <w:noProof/>
                    <w:webHidden/>
                  </w:rPr>
                  <w:instrText xml:space="preserve"> PAGEREF _Toc225850115 \h </w:instrText>
                </w:r>
                <w:r>
                  <w:rPr>
                    <w:noProof/>
                    <w:webHidden/>
                  </w:rPr>
                </w:r>
                <w:r>
                  <w:rPr>
                    <w:noProof/>
                    <w:webHidden/>
                  </w:rPr>
                  <w:fldChar w:fldCharType="separate"/>
                </w:r>
                <w:r>
                  <w:rPr>
                    <w:noProof/>
                    <w:webHidden/>
                  </w:rPr>
                  <w:t>13</w:t>
                </w:r>
                <w:r>
                  <w:rPr>
                    <w:noProof/>
                    <w:webHidden/>
                  </w:rPr>
                  <w:fldChar w:fldCharType="end"/>
                </w:r>
              </w:hyperlink>
            </w:p>
            <w:p w14:paraId="404AEECB" w14:textId="47753DBD" w:rsidR="0037210A" w:rsidRDefault="0037210A">
              <w:pPr>
                <w:pStyle w:val="TOC2"/>
                <w:rPr>
                  <w:rFonts w:eastAsiaTheme="minorEastAsia"/>
                  <w:kern w:val="2"/>
                  <w:sz w:val="24"/>
                  <w:szCs w:val="24"/>
                  <w:lang w:eastAsia="en-AU"/>
                  <w14:ligatures w14:val="standardContextual"/>
                </w:rPr>
              </w:pPr>
              <w:hyperlink w:anchor="_Toc225850116" w:history="1">
                <w:r w:rsidRPr="008F53FD">
                  <w:rPr>
                    <w:rStyle w:val="Hyperlink"/>
                  </w:rPr>
                  <w:t>6.1 Responsibilities for certifying authorities</w:t>
                </w:r>
                <w:r>
                  <w:rPr>
                    <w:webHidden/>
                  </w:rPr>
                  <w:tab/>
                </w:r>
                <w:r>
                  <w:rPr>
                    <w:webHidden/>
                  </w:rPr>
                  <w:fldChar w:fldCharType="begin"/>
                </w:r>
                <w:r>
                  <w:rPr>
                    <w:webHidden/>
                  </w:rPr>
                  <w:instrText xml:space="preserve"> PAGEREF _Toc225850116 \h </w:instrText>
                </w:r>
                <w:r>
                  <w:rPr>
                    <w:webHidden/>
                  </w:rPr>
                </w:r>
                <w:r>
                  <w:rPr>
                    <w:webHidden/>
                  </w:rPr>
                  <w:fldChar w:fldCharType="separate"/>
                </w:r>
                <w:r>
                  <w:rPr>
                    <w:webHidden/>
                  </w:rPr>
                  <w:t>13</w:t>
                </w:r>
                <w:r>
                  <w:rPr>
                    <w:webHidden/>
                  </w:rPr>
                  <w:fldChar w:fldCharType="end"/>
                </w:r>
              </w:hyperlink>
            </w:p>
            <w:p w14:paraId="15B7BB83" w14:textId="42C9B4A1" w:rsidR="0037210A" w:rsidRDefault="0037210A">
              <w:pPr>
                <w:pStyle w:val="TOC2"/>
                <w:rPr>
                  <w:rFonts w:eastAsiaTheme="minorEastAsia"/>
                  <w:kern w:val="2"/>
                  <w:sz w:val="24"/>
                  <w:szCs w:val="24"/>
                  <w:lang w:eastAsia="en-AU"/>
                  <w14:ligatures w14:val="standardContextual"/>
                </w:rPr>
              </w:pPr>
              <w:hyperlink w:anchor="_Toc225850117" w:history="1">
                <w:r w:rsidRPr="008F53FD">
                  <w:rPr>
                    <w:rStyle w:val="Hyperlink"/>
                  </w:rPr>
                  <w:t>6.2 Responsibilities for approval holders</w:t>
                </w:r>
                <w:r>
                  <w:rPr>
                    <w:webHidden/>
                  </w:rPr>
                  <w:tab/>
                </w:r>
                <w:r>
                  <w:rPr>
                    <w:webHidden/>
                  </w:rPr>
                  <w:fldChar w:fldCharType="begin"/>
                </w:r>
                <w:r>
                  <w:rPr>
                    <w:webHidden/>
                  </w:rPr>
                  <w:instrText xml:space="preserve"> PAGEREF _Toc225850117 \h </w:instrText>
                </w:r>
                <w:r>
                  <w:rPr>
                    <w:webHidden/>
                  </w:rPr>
                </w:r>
                <w:r>
                  <w:rPr>
                    <w:webHidden/>
                  </w:rPr>
                  <w:fldChar w:fldCharType="separate"/>
                </w:r>
                <w:r>
                  <w:rPr>
                    <w:webHidden/>
                  </w:rPr>
                  <w:t>14</w:t>
                </w:r>
                <w:r>
                  <w:rPr>
                    <w:webHidden/>
                  </w:rPr>
                  <w:fldChar w:fldCharType="end"/>
                </w:r>
              </w:hyperlink>
            </w:p>
            <w:p w14:paraId="12A025D7" w14:textId="44A15B4B" w:rsidR="00612AD0" w:rsidRPr="0011571D" w:rsidRDefault="00612AD0" w:rsidP="00BA1488">
              <w:r w:rsidRPr="0011571D">
                <w:fldChar w:fldCharType="end"/>
              </w:r>
            </w:p>
          </w:sdtContent>
        </w:sdt>
      </w:sdtContent>
    </w:sdt>
    <w:bookmarkEnd w:id="8"/>
    <w:bookmarkEnd w:id="7"/>
    <w:p w14:paraId="3A6EAB05" w14:textId="003BD330" w:rsidR="00FD79FF" w:rsidRPr="0011571D" w:rsidRDefault="00FD79FF">
      <w:pPr>
        <w:spacing w:before="0" w:after="160"/>
      </w:pPr>
      <w:r w:rsidRPr="0011571D">
        <w:br w:type="page"/>
      </w:r>
    </w:p>
    <w:p w14:paraId="24D86640" w14:textId="5EF9EE71" w:rsidR="00002639" w:rsidRPr="0011571D" w:rsidRDefault="00B756A0" w:rsidP="00BA1488">
      <w:pPr>
        <w:pStyle w:val="Heading1"/>
      </w:pPr>
      <w:bookmarkStart w:id="9" w:name="_Toc225850089"/>
      <w:r w:rsidRPr="0011571D">
        <w:lastRenderedPageBreak/>
        <w:t>Introduction</w:t>
      </w:r>
      <w:bookmarkEnd w:id="9"/>
    </w:p>
    <w:p w14:paraId="47E4BB78" w14:textId="5AB1837F" w:rsidR="00C935E1" w:rsidRPr="0011571D" w:rsidRDefault="00C935E1" w:rsidP="00C935E1">
      <w:r w:rsidRPr="0011571D">
        <w:t xml:space="preserve">This document provides information and guidance on parts of the metrological control system for evidential breath alcohol analysers, also known as evidential breath analysers (EBAs), in Australia. It provides information regarding the adoption of the OIML Recommendation, OIML R 126:2021 </w:t>
      </w:r>
      <w:r w:rsidRPr="0011571D">
        <w:rPr>
          <w:i/>
          <w:iCs/>
        </w:rPr>
        <w:t>Evidential breath analysers,</w:t>
      </w:r>
      <w:r w:rsidRPr="0011571D">
        <w:t xml:space="preserve"> its publication and implementation in Australia as NMI R 126:2025 </w:t>
      </w:r>
      <w:r w:rsidRPr="0011571D">
        <w:rPr>
          <w:i/>
          <w:iCs/>
        </w:rPr>
        <w:t>Evidential breath analysers</w:t>
      </w:r>
      <w:r w:rsidR="00AD46E9" w:rsidRPr="0011571D">
        <w:rPr>
          <w:i/>
          <w:iCs/>
        </w:rPr>
        <w:t xml:space="preserve">. </w:t>
      </w:r>
      <w:r w:rsidR="00AD46E9" w:rsidRPr="0011571D">
        <w:t>It explains</w:t>
      </w:r>
      <w:r w:rsidRPr="0011571D">
        <w:t xml:space="preserve"> the key differences between those documents. It also provides guidance on the roles and responsibilities of participants within the system.</w:t>
      </w:r>
    </w:p>
    <w:p w14:paraId="2CF8B54C" w14:textId="23F073B2" w:rsidR="00C935E1" w:rsidRPr="0011571D" w:rsidRDefault="00814CC4" w:rsidP="00B756A0">
      <w:pPr>
        <w:pStyle w:val="Heading2"/>
      </w:pPr>
      <w:bookmarkStart w:id="10" w:name="_Toc129005802"/>
      <w:bookmarkStart w:id="11" w:name="_Toc263763518"/>
      <w:bookmarkStart w:id="12" w:name="_Toc263763545"/>
      <w:bookmarkStart w:id="13" w:name="_Toc263763569"/>
      <w:bookmarkStart w:id="14" w:name="_Toc215219413"/>
      <w:bookmarkStart w:id="15" w:name="_Toc225850090"/>
      <w:bookmarkEnd w:id="10"/>
      <w:bookmarkEnd w:id="11"/>
      <w:bookmarkEnd w:id="12"/>
      <w:bookmarkEnd w:id="13"/>
      <w:r w:rsidRPr="0011571D">
        <w:t>I</w:t>
      </w:r>
      <w:r w:rsidR="00C935E1" w:rsidRPr="0011571D">
        <w:t>nternational context</w:t>
      </w:r>
      <w:bookmarkEnd w:id="14"/>
      <w:bookmarkEnd w:id="15"/>
    </w:p>
    <w:p w14:paraId="5C50021E" w14:textId="06F96FE2" w:rsidR="00C935E1" w:rsidRPr="0011571D" w:rsidRDefault="00C935E1" w:rsidP="00C935E1">
      <w:r w:rsidRPr="0011571D">
        <w:t>The International Organization of Legal Metrology (OIML) is an international treaty organisation</w:t>
      </w:r>
      <w:r w:rsidR="00704D5C" w:rsidRPr="0011571D">
        <w:t>. It is</w:t>
      </w:r>
      <w:r w:rsidRPr="0011571D">
        <w:t xml:space="preserve"> responsible for the development of harmonised requirements (published as OIML Recommendations) intended for the regulatory control of measuring instruments. As a signatory to the OIML Treaty, Australia is morally obliged to adopt and implement OIML Recommendations, such as OIML R 126, in Australia as national pattern approval requirements.</w:t>
      </w:r>
    </w:p>
    <w:p w14:paraId="046E2D1E" w14:textId="17A459C5" w:rsidR="00C935E1" w:rsidRPr="0011571D" w:rsidRDefault="00C935E1" w:rsidP="00B756A0">
      <w:pPr>
        <w:pStyle w:val="Heading2"/>
      </w:pPr>
      <w:bookmarkStart w:id="16" w:name="_Toc215219414"/>
      <w:bookmarkStart w:id="17" w:name="_Toc225850091"/>
      <w:r w:rsidRPr="0011571D">
        <w:t>Metrological control systems</w:t>
      </w:r>
      <w:bookmarkEnd w:id="16"/>
      <w:bookmarkEnd w:id="17"/>
    </w:p>
    <w:p w14:paraId="11C580D0" w14:textId="77777777" w:rsidR="00C935E1" w:rsidRPr="0011571D" w:rsidRDefault="00C935E1" w:rsidP="00C935E1">
      <w:r w:rsidRPr="0011571D">
        <w:t>A metrological control system incorporates physical infrastructure and documented requirements intended to provide confidence in the use of measuring systems for legal purposes. The metrological control system for EBAs in Australia includes, but is not limited to, the following parts:</w:t>
      </w:r>
    </w:p>
    <w:p w14:paraId="60EB65C8" w14:textId="647E9A46" w:rsidR="00C935E1" w:rsidRPr="0011571D" w:rsidRDefault="00044EE5" w:rsidP="00C935E1">
      <w:pPr>
        <w:numPr>
          <w:ilvl w:val="0"/>
          <w:numId w:val="20"/>
        </w:numPr>
      </w:pPr>
      <w:r w:rsidRPr="0011571D">
        <w:t xml:space="preserve">measurement </w:t>
      </w:r>
      <w:r w:rsidR="00C935E1" w:rsidRPr="0011571D">
        <w:t>legislation to support the approval, testing and use of EBAs</w:t>
      </w:r>
    </w:p>
    <w:p w14:paraId="41AC88AA" w14:textId="71A41879" w:rsidR="00C935E1" w:rsidRPr="0011571D" w:rsidRDefault="00044EE5" w:rsidP="00C935E1">
      <w:pPr>
        <w:numPr>
          <w:ilvl w:val="0"/>
          <w:numId w:val="20"/>
        </w:numPr>
      </w:pPr>
      <w:r w:rsidRPr="0011571D">
        <w:t xml:space="preserve">the </w:t>
      </w:r>
      <w:r w:rsidR="00C935E1" w:rsidRPr="0011571D">
        <w:t>Chief Metrologist and the National Measurement Institute (NMI)</w:t>
      </w:r>
    </w:p>
    <w:p w14:paraId="1303C7E3" w14:textId="001B333C" w:rsidR="00C935E1" w:rsidRPr="0011571D" w:rsidRDefault="009554E8" w:rsidP="00C935E1">
      <w:pPr>
        <w:numPr>
          <w:ilvl w:val="0"/>
          <w:numId w:val="20"/>
        </w:numPr>
      </w:pPr>
      <w:r w:rsidRPr="0011571D">
        <w:t xml:space="preserve">approving authorities and certifying authorities </w:t>
      </w:r>
    </w:p>
    <w:p w14:paraId="1318190C" w14:textId="736A9EF1" w:rsidR="00C935E1" w:rsidRPr="0011571D" w:rsidRDefault="00044EE5" w:rsidP="00C935E1">
      <w:pPr>
        <w:numPr>
          <w:ilvl w:val="0"/>
          <w:numId w:val="20"/>
        </w:numPr>
      </w:pPr>
      <w:r w:rsidRPr="0011571D">
        <w:t xml:space="preserve">traceable </w:t>
      </w:r>
      <w:r w:rsidR="00C935E1" w:rsidRPr="0011571D">
        <w:t xml:space="preserve">standards: reference standards of measurement, certified measuring </w:t>
      </w:r>
      <w:r w:rsidR="00582ECE" w:rsidRPr="0011571D">
        <w:t>i</w:t>
      </w:r>
      <w:r w:rsidR="00C935E1" w:rsidRPr="0011571D">
        <w:t xml:space="preserve">nstruments and Australian certified reference materials </w:t>
      </w:r>
    </w:p>
    <w:p w14:paraId="1E85A313" w14:textId="46D62D9B" w:rsidR="00C935E1" w:rsidRPr="0011571D" w:rsidRDefault="00044EE5" w:rsidP="00C935E1">
      <w:pPr>
        <w:numPr>
          <w:ilvl w:val="0"/>
          <w:numId w:val="20"/>
        </w:numPr>
      </w:pPr>
      <w:r w:rsidRPr="0011571D">
        <w:t xml:space="preserve">pattern </w:t>
      </w:r>
      <w:r w:rsidR="00C935E1" w:rsidRPr="0011571D">
        <w:t xml:space="preserve">approval requirements specified in NMI R 126 </w:t>
      </w:r>
    </w:p>
    <w:p w14:paraId="07CDCED9" w14:textId="77777777" w:rsidR="00C935E1" w:rsidRPr="0011571D" w:rsidRDefault="00C935E1" w:rsidP="00C935E1">
      <w:pPr>
        <w:numPr>
          <w:ilvl w:val="0"/>
          <w:numId w:val="20"/>
        </w:numPr>
      </w:pPr>
      <w:r w:rsidRPr="0011571D">
        <w:t>NATA accreditation and competency requirements</w:t>
      </w:r>
    </w:p>
    <w:p w14:paraId="7D84FE1F" w14:textId="421F5091" w:rsidR="00C935E1" w:rsidRPr="0011571D" w:rsidRDefault="00044EE5" w:rsidP="00C935E1">
      <w:pPr>
        <w:numPr>
          <w:ilvl w:val="0"/>
          <w:numId w:val="20"/>
        </w:numPr>
      </w:pPr>
      <w:r w:rsidRPr="0011571D">
        <w:t xml:space="preserve">laboratory </w:t>
      </w:r>
      <w:r w:rsidR="00C935E1" w:rsidRPr="0011571D">
        <w:t>and field-testing capability and supporting procedures.</w:t>
      </w:r>
    </w:p>
    <w:p w14:paraId="7215DA4D" w14:textId="757EAC49" w:rsidR="00C935E1" w:rsidRPr="0011571D" w:rsidRDefault="00C935E1" w:rsidP="00B756A0">
      <w:pPr>
        <w:pStyle w:val="Heading2"/>
      </w:pPr>
      <w:bookmarkStart w:id="18" w:name="_Toc215219415"/>
      <w:bookmarkStart w:id="19" w:name="_Toc225850092"/>
      <w:r w:rsidRPr="0011571D">
        <w:t xml:space="preserve">National </w:t>
      </w:r>
      <w:r w:rsidR="00814CC4" w:rsidRPr="0011571D">
        <w:t>measurement l</w:t>
      </w:r>
      <w:r w:rsidRPr="0011571D">
        <w:t>egislation and NMI</w:t>
      </w:r>
      <w:bookmarkEnd w:id="18"/>
      <w:bookmarkEnd w:id="19"/>
    </w:p>
    <w:p w14:paraId="4B64C3AB" w14:textId="749AAFD5" w:rsidR="00C935E1" w:rsidRPr="0011571D" w:rsidRDefault="00C935E1" w:rsidP="00C935E1">
      <w:r w:rsidRPr="0011571D">
        <w:t>NMI, a division of the Australian Government Department of Industry, Science and Resources is responsible for administering Australia’s national measurement laws and regulations</w:t>
      </w:r>
      <w:r w:rsidR="008811A4" w:rsidRPr="0011571D">
        <w:t>,</w:t>
      </w:r>
      <w:r w:rsidRPr="0011571D">
        <w:t xml:space="preserve"> which include the:</w:t>
      </w:r>
    </w:p>
    <w:p w14:paraId="73B34F29" w14:textId="77777777" w:rsidR="00C935E1" w:rsidRPr="0011571D" w:rsidRDefault="00C935E1" w:rsidP="00C935E1">
      <w:pPr>
        <w:numPr>
          <w:ilvl w:val="0"/>
          <w:numId w:val="21"/>
        </w:numPr>
      </w:pPr>
      <w:r w:rsidRPr="0011571D">
        <w:rPr>
          <w:i/>
          <w:iCs/>
        </w:rPr>
        <w:t>National Measurement Act 1960</w:t>
      </w:r>
      <w:r w:rsidRPr="0011571D">
        <w:t xml:space="preserve"> (</w:t>
      </w:r>
      <w:proofErr w:type="spellStart"/>
      <w:r w:rsidRPr="0011571D">
        <w:t>Cth</w:t>
      </w:r>
      <w:proofErr w:type="spellEnd"/>
      <w:r w:rsidRPr="0011571D">
        <w:t>)</w:t>
      </w:r>
    </w:p>
    <w:p w14:paraId="40F0C225" w14:textId="77777777" w:rsidR="00C935E1" w:rsidRPr="0011571D" w:rsidRDefault="00C935E1" w:rsidP="00C935E1">
      <w:pPr>
        <w:numPr>
          <w:ilvl w:val="0"/>
          <w:numId w:val="21"/>
        </w:numPr>
      </w:pPr>
      <w:r w:rsidRPr="0011571D">
        <w:t>National Measurement Regulations 1999 (</w:t>
      </w:r>
      <w:proofErr w:type="spellStart"/>
      <w:r w:rsidRPr="0011571D">
        <w:t>Cth</w:t>
      </w:r>
      <w:proofErr w:type="spellEnd"/>
      <w:r w:rsidRPr="0011571D">
        <w:t>)</w:t>
      </w:r>
    </w:p>
    <w:p w14:paraId="6F54CECB" w14:textId="77777777" w:rsidR="00C935E1" w:rsidRPr="0011571D" w:rsidRDefault="00C935E1" w:rsidP="00C935E1">
      <w:pPr>
        <w:numPr>
          <w:ilvl w:val="0"/>
          <w:numId w:val="21"/>
        </w:numPr>
      </w:pPr>
      <w:r w:rsidRPr="0011571D">
        <w:t>National Trade Measurement Regulations 2009 (</w:t>
      </w:r>
      <w:proofErr w:type="spellStart"/>
      <w:r w:rsidRPr="0011571D">
        <w:t>Cth</w:t>
      </w:r>
      <w:proofErr w:type="spellEnd"/>
      <w:r w:rsidRPr="0011571D">
        <w:t>)</w:t>
      </w:r>
    </w:p>
    <w:p w14:paraId="238E3B48" w14:textId="77777777" w:rsidR="00C935E1" w:rsidRPr="0011571D" w:rsidRDefault="00C935E1" w:rsidP="00C935E1">
      <w:pPr>
        <w:numPr>
          <w:ilvl w:val="0"/>
          <w:numId w:val="21"/>
        </w:numPr>
      </w:pPr>
      <w:r w:rsidRPr="0011571D">
        <w:t>National Measurement Guidelines 2016 (</w:t>
      </w:r>
      <w:proofErr w:type="spellStart"/>
      <w:r w:rsidRPr="0011571D">
        <w:t>Cth</w:t>
      </w:r>
      <w:proofErr w:type="spellEnd"/>
      <w:r w:rsidRPr="0011571D">
        <w:t>).</w:t>
      </w:r>
    </w:p>
    <w:p w14:paraId="2285049C" w14:textId="77777777" w:rsidR="00C935E1" w:rsidRPr="0011571D" w:rsidRDefault="00C935E1" w:rsidP="00C935E1">
      <w:r w:rsidRPr="0011571D">
        <w:t xml:space="preserve">The Act and Regulations establish a framework for the pattern approval and certification of measuring instruments used for legal purposes (other than trade), such as EBAs. However, the Act and Regulations do not mandate that measuring instruments used for legal purposes (other than trade) be pattern approved and certified. </w:t>
      </w:r>
    </w:p>
    <w:p w14:paraId="640EAB23" w14:textId="77777777" w:rsidR="00C935E1" w:rsidRPr="0011571D" w:rsidRDefault="00C935E1" w:rsidP="00C935E1">
      <w:r w:rsidRPr="0011571D">
        <w:t>NMI works in partnership with other agencies to provide for the pattern approval and certification of legal measuring instruments in support of state and territory regulations and requirements.</w:t>
      </w:r>
    </w:p>
    <w:p w14:paraId="21C84F15" w14:textId="77777777" w:rsidR="00C935E1" w:rsidRPr="0011571D" w:rsidRDefault="00C935E1" w:rsidP="00C935E1">
      <w:r w:rsidRPr="0011571D">
        <w:lastRenderedPageBreak/>
        <w:t xml:space="preserve">NMI is also responsible for supporting the Chief Metrologist in the performance of their functions and duties under the national measurement legislation. </w:t>
      </w:r>
    </w:p>
    <w:p w14:paraId="1C8EABA7" w14:textId="3C53A4F8" w:rsidR="00C935E1" w:rsidRPr="0011571D" w:rsidRDefault="00C935E1" w:rsidP="000743CE">
      <w:pPr>
        <w:pStyle w:val="Heading2"/>
      </w:pPr>
      <w:bookmarkStart w:id="20" w:name="_Toc215219416"/>
      <w:bookmarkStart w:id="21" w:name="_Toc225850093"/>
      <w:r w:rsidRPr="0011571D">
        <w:t>Pattern approval requirements for EBAs</w:t>
      </w:r>
      <w:bookmarkEnd w:id="20"/>
      <w:bookmarkEnd w:id="21"/>
    </w:p>
    <w:p w14:paraId="285BE309" w14:textId="491832EC" w:rsidR="00C935E1" w:rsidRPr="0011571D" w:rsidRDefault="00C935E1" w:rsidP="00C935E1">
      <w:r w:rsidRPr="0011571D">
        <w:t xml:space="preserve">Australia’s pattern approval requirements for EBAs are specified in NMI R 126:2025, which is adopted from OIML R 126 and published in </w:t>
      </w:r>
      <w:r w:rsidR="00427922" w:rsidRPr="0011571D">
        <w:t xml:space="preserve">3 </w:t>
      </w:r>
      <w:r w:rsidRPr="0011571D">
        <w:t>parts as:</w:t>
      </w:r>
    </w:p>
    <w:p w14:paraId="6821A10A" w14:textId="77777777" w:rsidR="00C935E1" w:rsidRPr="0011571D" w:rsidRDefault="00C935E1" w:rsidP="00C935E1">
      <w:pPr>
        <w:numPr>
          <w:ilvl w:val="0"/>
          <w:numId w:val="22"/>
        </w:numPr>
      </w:pPr>
      <w:r w:rsidRPr="0011571D">
        <w:t xml:space="preserve">NMI R 126-1:2025 </w:t>
      </w:r>
      <w:bookmarkStart w:id="22" w:name="_Hlk181305870"/>
      <w:r w:rsidRPr="0011571D">
        <w:rPr>
          <w:i/>
          <w:iCs/>
        </w:rPr>
        <w:t>Evidential breath analysers Part 1: Metrological and technical requirements</w:t>
      </w:r>
      <w:r w:rsidRPr="0011571D">
        <w:t xml:space="preserve"> </w:t>
      </w:r>
      <w:bookmarkEnd w:id="22"/>
    </w:p>
    <w:p w14:paraId="6D2BF57D" w14:textId="77777777" w:rsidR="00C935E1" w:rsidRPr="0011571D" w:rsidRDefault="00C935E1" w:rsidP="00C935E1">
      <w:pPr>
        <w:numPr>
          <w:ilvl w:val="0"/>
          <w:numId w:val="22"/>
        </w:numPr>
      </w:pPr>
      <w:r w:rsidRPr="0011571D">
        <w:t xml:space="preserve">NMI R 126-2:2025 </w:t>
      </w:r>
      <w:r w:rsidRPr="0011571D">
        <w:rPr>
          <w:i/>
          <w:iCs/>
        </w:rPr>
        <w:t>Evidential breath analysers Part 2: Metrological controls and performance tests</w:t>
      </w:r>
    </w:p>
    <w:p w14:paraId="4A75BC16" w14:textId="77777777" w:rsidR="00C935E1" w:rsidRPr="0011571D" w:rsidRDefault="00C935E1" w:rsidP="00C935E1">
      <w:pPr>
        <w:numPr>
          <w:ilvl w:val="0"/>
          <w:numId w:val="22"/>
        </w:numPr>
      </w:pPr>
      <w:r w:rsidRPr="0011571D">
        <w:t xml:space="preserve">NMI R 126-3:2025 </w:t>
      </w:r>
      <w:r w:rsidRPr="0011571D">
        <w:rPr>
          <w:i/>
          <w:iCs/>
        </w:rPr>
        <w:t>Evidential breath analysers Part 3: Test report format</w:t>
      </w:r>
      <w:r w:rsidRPr="0011571D">
        <w:t xml:space="preserve"> </w:t>
      </w:r>
    </w:p>
    <w:p w14:paraId="21BD859D" w14:textId="4EA67F61" w:rsidR="00C935E1" w:rsidRPr="0011571D" w:rsidRDefault="00C935E1" w:rsidP="00C935E1">
      <w:r w:rsidRPr="0011571D">
        <w:t xml:space="preserve">The above documents are available on the </w:t>
      </w:r>
      <w:hyperlink r:id="rId18" w:history="1">
        <w:r w:rsidR="00C7000A" w:rsidRPr="0011571D">
          <w:rPr>
            <w:rStyle w:val="Hyperlink"/>
          </w:rPr>
          <w:t>Pattern approval requirements page</w:t>
        </w:r>
      </w:hyperlink>
      <w:r w:rsidR="00C7000A" w:rsidRPr="0011571D">
        <w:t xml:space="preserve"> of the </w:t>
      </w:r>
      <w:r w:rsidRPr="0011571D">
        <w:t>Department of Industry website</w:t>
      </w:r>
      <w:r w:rsidR="00C7000A" w:rsidRPr="0011571D">
        <w:t>.</w:t>
      </w:r>
    </w:p>
    <w:p w14:paraId="7EBBA7E8" w14:textId="4DF8CA3E" w:rsidR="00C935E1" w:rsidRPr="0011571D" w:rsidRDefault="00C935E1" w:rsidP="00C935E1">
      <w:r w:rsidRPr="0011571D">
        <w:t xml:space="preserve">The transition timeframe for the implementation of NMI R 126:2025 to replace NMI R 126:2013 is provided below in clause </w:t>
      </w:r>
      <w:r w:rsidR="000743CE" w:rsidRPr="0011571D">
        <w:fldChar w:fldCharType="begin" w:fldLock="1"/>
      </w:r>
      <w:r w:rsidR="000743CE" w:rsidRPr="0011571D">
        <w:instrText xml:space="preserve"> REF _Ref219203382 \r \h </w:instrText>
      </w:r>
      <w:r w:rsidR="000743CE" w:rsidRPr="0011571D">
        <w:fldChar w:fldCharType="separate"/>
      </w:r>
      <w:r w:rsidR="000743CE" w:rsidRPr="0011571D">
        <w:t xml:space="preserve">3.5 </w:t>
      </w:r>
      <w:r w:rsidR="000743CE" w:rsidRPr="0011571D">
        <w:fldChar w:fldCharType="end"/>
      </w:r>
      <w:r w:rsidRPr="0011571D">
        <w:t>and specified in NMI R 126:2025.</w:t>
      </w:r>
    </w:p>
    <w:p w14:paraId="00256140" w14:textId="105F10AF" w:rsidR="00C935E1" w:rsidRPr="0011571D" w:rsidRDefault="00C935E1" w:rsidP="00814CC4">
      <w:pPr>
        <w:pStyle w:val="Heading1"/>
      </w:pPr>
      <w:bookmarkStart w:id="23" w:name="_Toc215219417"/>
      <w:bookmarkStart w:id="24" w:name="_Toc225850094"/>
      <w:r w:rsidRPr="0011571D">
        <w:lastRenderedPageBreak/>
        <w:t>Explanation of key terms</w:t>
      </w:r>
      <w:bookmarkEnd w:id="23"/>
      <w:bookmarkEnd w:id="24"/>
    </w:p>
    <w:p w14:paraId="43DE30FA" w14:textId="7A7E5302" w:rsidR="00EC4961" w:rsidRPr="0011571D" w:rsidRDefault="00C935E1" w:rsidP="00074BD3">
      <w:r w:rsidRPr="0011571D">
        <w:t>OIML</w:t>
      </w:r>
      <w:r w:rsidR="000C0EEA" w:rsidRPr="0011571D">
        <w:t>’s</w:t>
      </w:r>
      <w:r w:rsidRPr="0011571D">
        <w:t xml:space="preserve"> </w:t>
      </w:r>
      <w:r w:rsidR="00EC4961" w:rsidRPr="0011571D">
        <w:t xml:space="preserve">system of </w:t>
      </w:r>
      <w:r w:rsidRPr="0011571D">
        <w:t>documentation and Australia’s metrological control system</w:t>
      </w:r>
      <w:r w:rsidR="000C0EEA" w:rsidRPr="0011571D">
        <w:t xml:space="preserve"> </w:t>
      </w:r>
      <w:r w:rsidR="00E91C0E" w:rsidRPr="0011571D">
        <w:t>have some differences in terminology</w:t>
      </w:r>
      <w:r w:rsidRPr="0011571D">
        <w:t>. The</w:t>
      </w:r>
      <w:r w:rsidR="00797AB1" w:rsidRPr="0011571D">
        <w:t>se difference</w:t>
      </w:r>
      <w:r w:rsidR="00C9206C" w:rsidRPr="0011571D">
        <w:t>s</w:t>
      </w:r>
      <w:r w:rsidR="00797AB1" w:rsidRPr="0011571D">
        <w:t xml:space="preserve"> are a result of the different </w:t>
      </w:r>
      <w:r w:rsidRPr="0011571D">
        <w:t xml:space="preserve">historical evolution of terms and definitions </w:t>
      </w:r>
      <w:r w:rsidR="00797AB1" w:rsidRPr="0011571D">
        <w:t xml:space="preserve">in the </w:t>
      </w:r>
      <w:r w:rsidR="003A4E85" w:rsidRPr="0011571D">
        <w:t>Australian and international communities, and OIML specifically</w:t>
      </w:r>
      <w:r w:rsidRPr="0011571D">
        <w:t xml:space="preserve">. </w:t>
      </w:r>
      <w:r w:rsidR="00074BD3" w:rsidRPr="0011571D">
        <w:t xml:space="preserve">There are </w:t>
      </w:r>
      <w:r w:rsidRPr="0011571D">
        <w:t>ongoing efforts to align terminology between</w:t>
      </w:r>
      <w:r w:rsidR="00520760" w:rsidRPr="0011571D">
        <w:t xml:space="preserve"> the </w:t>
      </w:r>
      <w:r w:rsidR="00DF4882" w:rsidRPr="0011571D">
        <w:t>2</w:t>
      </w:r>
      <w:r w:rsidR="00520760" w:rsidRPr="0011571D">
        <w:t xml:space="preserve"> systems</w:t>
      </w:r>
      <w:r w:rsidRPr="0011571D">
        <w:t xml:space="preserve">, </w:t>
      </w:r>
      <w:r w:rsidR="00703A58" w:rsidRPr="0011571D">
        <w:t>but it</w:t>
      </w:r>
      <w:r w:rsidRPr="0011571D">
        <w:t xml:space="preserve"> is not always possible</w:t>
      </w:r>
      <w:r w:rsidR="00703A58" w:rsidRPr="0011571D">
        <w:t xml:space="preserve"> because the</w:t>
      </w:r>
      <w:r w:rsidR="00E265A5" w:rsidRPr="0011571D">
        <w:t xml:space="preserve"> systems</w:t>
      </w:r>
      <w:r w:rsidR="00703A58" w:rsidRPr="0011571D">
        <w:t xml:space="preserve"> are complex</w:t>
      </w:r>
      <w:r w:rsidRPr="0011571D">
        <w:t xml:space="preserve">. </w:t>
      </w:r>
    </w:p>
    <w:p w14:paraId="57CBE9E1" w14:textId="49B12A3D" w:rsidR="00C935E1" w:rsidRPr="0011571D" w:rsidRDefault="00C935E1" w:rsidP="00074BD3">
      <w:r w:rsidRPr="0011571D">
        <w:t xml:space="preserve">The explanations </w:t>
      </w:r>
      <w:r w:rsidR="00EC4961" w:rsidRPr="0011571D">
        <w:t xml:space="preserve">in this section </w:t>
      </w:r>
      <w:r w:rsidR="00D646D2" w:rsidRPr="0011571D">
        <w:t>will help you interpret and apply</w:t>
      </w:r>
      <w:r w:rsidRPr="0011571D">
        <w:t xml:space="preserve"> </w:t>
      </w:r>
      <w:r w:rsidR="00D646D2" w:rsidRPr="0011571D">
        <w:t xml:space="preserve">the Australian pattern approval requirements document NMI R 126:2025 as based on </w:t>
      </w:r>
      <w:r w:rsidRPr="0011571D">
        <w:t>OIML R 126:202</w:t>
      </w:r>
      <w:r w:rsidR="00D646D2" w:rsidRPr="0011571D">
        <w:t>1.</w:t>
      </w:r>
      <w:r w:rsidRPr="0011571D">
        <w:t xml:space="preserve"> </w:t>
      </w:r>
    </w:p>
    <w:p w14:paraId="44D83AC6" w14:textId="4BB00F9C" w:rsidR="00C935E1" w:rsidRPr="0011571D" w:rsidRDefault="00C935E1" w:rsidP="00814CC4">
      <w:pPr>
        <w:pStyle w:val="Heading2"/>
      </w:pPr>
      <w:bookmarkStart w:id="25" w:name="_Toc215219418"/>
      <w:bookmarkStart w:id="26" w:name="_Toc225850095"/>
      <w:r w:rsidRPr="0011571D">
        <w:t>Type and pattern</w:t>
      </w:r>
      <w:bookmarkEnd w:id="25"/>
      <w:bookmarkEnd w:id="26"/>
    </w:p>
    <w:p w14:paraId="36539632" w14:textId="439CA03F" w:rsidR="00C935E1" w:rsidRPr="0011571D" w:rsidRDefault="00A160AD" w:rsidP="00C935E1">
      <w:r w:rsidRPr="0011571D">
        <w:t xml:space="preserve">In </w:t>
      </w:r>
      <w:r w:rsidR="00C935E1" w:rsidRPr="0011571D">
        <w:t>OIML documentation</w:t>
      </w:r>
      <w:r w:rsidRPr="0011571D">
        <w:t>,</w:t>
      </w:r>
      <w:r w:rsidR="00C935E1" w:rsidRPr="0011571D">
        <w:t xml:space="preserve"> </w:t>
      </w:r>
      <w:r w:rsidR="00D646D2" w:rsidRPr="0011571D">
        <w:t xml:space="preserve">‘type’ is </w:t>
      </w:r>
      <w:r w:rsidR="00C935E1" w:rsidRPr="0011571D">
        <w:t>the design of a measuring instrument as it relates to its measurement operation and performance. Type evaluation concerns the conformity assessment procedure on one or more specimens of the identified type</w:t>
      </w:r>
      <w:r w:rsidR="00D646D2" w:rsidRPr="0011571D">
        <w:t>. T</w:t>
      </w:r>
      <w:r w:rsidR="00C935E1" w:rsidRPr="0011571D">
        <w:t>ype approval is the regulatory decision to approve an identified type of measuring instrument.</w:t>
      </w:r>
    </w:p>
    <w:p w14:paraId="3FB5D4F4" w14:textId="33C15756" w:rsidR="00C935E1" w:rsidRPr="0011571D" w:rsidRDefault="00C935E1" w:rsidP="00C935E1">
      <w:r w:rsidRPr="0011571D">
        <w:t xml:space="preserve">In Australia, </w:t>
      </w:r>
      <w:r w:rsidR="00D646D2" w:rsidRPr="0011571D">
        <w:t xml:space="preserve">we use </w:t>
      </w:r>
      <w:r w:rsidRPr="0011571D">
        <w:t>the term ‘pattern’</w:t>
      </w:r>
      <w:r w:rsidR="00D646D2" w:rsidRPr="0011571D">
        <w:t>. It has</w:t>
      </w:r>
      <w:r w:rsidRPr="0011571D">
        <w:t xml:space="preserve"> the same meaning as ‘type’</w:t>
      </w:r>
      <w:r w:rsidR="00A66821" w:rsidRPr="0011571D">
        <w:t xml:space="preserve">. The </w:t>
      </w:r>
      <w:r w:rsidRPr="0011571D">
        <w:t>processes of ‘pattern evaluation’ and ‘pattern approval’</w:t>
      </w:r>
      <w:r w:rsidR="00A66821" w:rsidRPr="0011571D">
        <w:t xml:space="preserve"> are </w:t>
      </w:r>
      <w:r w:rsidR="005A7116" w:rsidRPr="0011571D">
        <w:t>the same processes as ‘type evaluation’ and ‘type approval’</w:t>
      </w:r>
      <w:r w:rsidRPr="0011571D">
        <w:t xml:space="preserve">. </w:t>
      </w:r>
    </w:p>
    <w:p w14:paraId="3DB777D9" w14:textId="1B5DAFBB" w:rsidR="00C935E1" w:rsidRPr="0011571D" w:rsidRDefault="009E1262" w:rsidP="00C935E1">
      <w:r w:rsidRPr="0011571D">
        <w:t xml:space="preserve">In </w:t>
      </w:r>
      <w:r w:rsidR="00C935E1" w:rsidRPr="0011571D">
        <w:t xml:space="preserve">NMI R 126:2025 the term ‘type’ is equivalent to and taken to mean ‘pattern’ under the </w:t>
      </w:r>
      <w:r w:rsidR="00C935E1" w:rsidRPr="0011571D">
        <w:rPr>
          <w:i/>
          <w:iCs/>
        </w:rPr>
        <w:t>National Measurement Act 1960</w:t>
      </w:r>
      <w:r w:rsidR="00C935E1" w:rsidRPr="0011571D">
        <w:t xml:space="preserve"> (</w:t>
      </w:r>
      <w:proofErr w:type="spellStart"/>
      <w:r w:rsidR="00C935E1" w:rsidRPr="0011571D">
        <w:t>Cth</w:t>
      </w:r>
      <w:proofErr w:type="spellEnd"/>
      <w:r w:rsidR="00C935E1" w:rsidRPr="0011571D">
        <w:t>).</w:t>
      </w:r>
    </w:p>
    <w:p w14:paraId="427D8631" w14:textId="62F0D1DE" w:rsidR="00C935E1" w:rsidRPr="0011571D" w:rsidRDefault="00C935E1" w:rsidP="00814CC4">
      <w:pPr>
        <w:pStyle w:val="Heading2"/>
      </w:pPr>
      <w:bookmarkStart w:id="27" w:name="_Toc215219419"/>
      <w:bookmarkStart w:id="28" w:name="_Toc225850096"/>
      <w:r w:rsidRPr="0011571D">
        <w:t>Verification and certification</w:t>
      </w:r>
      <w:bookmarkEnd w:id="27"/>
      <w:bookmarkEnd w:id="28"/>
    </w:p>
    <w:p w14:paraId="3F536DA4" w14:textId="77777777" w:rsidR="00501E09" w:rsidRPr="0011571D" w:rsidRDefault="00C935E1" w:rsidP="00C935E1">
      <w:r w:rsidRPr="0011571D">
        <w:t>OIML R 126 uses the term ‘verification’ to describe a conformity assessment procedure (other than pattern evaluation)</w:t>
      </w:r>
      <w:r w:rsidR="005A7116" w:rsidRPr="0011571D">
        <w:t>,</w:t>
      </w:r>
      <w:r w:rsidRPr="0011571D">
        <w:t xml:space="preserve"> which results in the affixing of a verification mark and/or issuing of a verification certificate. This process typically involves testing and examining a measuring instrument in accordance with a defined procedure to ensure that it is</w:t>
      </w:r>
      <w:r w:rsidR="00501E09" w:rsidRPr="0011571D">
        <w:t>:</w:t>
      </w:r>
    </w:p>
    <w:p w14:paraId="1639BCD0" w14:textId="7053B57B" w:rsidR="00501E09" w:rsidRPr="0011571D" w:rsidRDefault="00C935E1" w:rsidP="00501E09">
      <w:pPr>
        <w:pStyle w:val="ListParagraph"/>
        <w:numPr>
          <w:ilvl w:val="0"/>
          <w:numId w:val="35"/>
        </w:numPr>
      </w:pPr>
      <w:r w:rsidRPr="0011571D">
        <w:t>operating within maximum permissible errors</w:t>
      </w:r>
    </w:p>
    <w:p w14:paraId="6491CEC7" w14:textId="680801CB" w:rsidR="00C935E1" w:rsidRPr="0011571D" w:rsidRDefault="00C935E1" w:rsidP="00501E09">
      <w:pPr>
        <w:pStyle w:val="ListParagraph"/>
        <w:numPr>
          <w:ilvl w:val="0"/>
          <w:numId w:val="35"/>
        </w:numPr>
      </w:pPr>
      <w:r w:rsidRPr="0011571D">
        <w:t>of an approved pattern.</w:t>
      </w:r>
    </w:p>
    <w:p w14:paraId="48B6A559" w14:textId="4085AA76" w:rsidR="00C935E1" w:rsidRPr="0011571D" w:rsidRDefault="00C935E1" w:rsidP="00C935E1">
      <w:r w:rsidRPr="0011571D">
        <w:t>In Australia, measuring instruments used for trade may be verified</w:t>
      </w:r>
      <w:r w:rsidR="005A7116" w:rsidRPr="0011571D">
        <w:t>;</w:t>
      </w:r>
      <w:r w:rsidRPr="0011571D">
        <w:t xml:space="preserve"> measuring instruments used for other legal purposes may be certified. As such, EBAs may be certified as certified measuring instruments in accordance with regulation 37 of the National Measurement Regulations 1999 (</w:t>
      </w:r>
      <w:proofErr w:type="spellStart"/>
      <w:r w:rsidRPr="0011571D">
        <w:t>Cth</w:t>
      </w:r>
      <w:proofErr w:type="spellEnd"/>
      <w:r w:rsidRPr="0011571D">
        <w:t xml:space="preserve">). </w:t>
      </w:r>
    </w:p>
    <w:p w14:paraId="21F2273E" w14:textId="1E199EFF" w:rsidR="00C935E1" w:rsidRPr="0011571D" w:rsidRDefault="005A7116" w:rsidP="00C935E1">
      <w:r w:rsidRPr="0011571D">
        <w:t xml:space="preserve">In </w:t>
      </w:r>
      <w:r w:rsidR="00C935E1" w:rsidRPr="0011571D">
        <w:t>NMI R 126</w:t>
      </w:r>
      <w:r w:rsidR="00ED0A29" w:rsidRPr="0011571D">
        <w:t>,</w:t>
      </w:r>
      <w:r w:rsidR="00C935E1" w:rsidRPr="0011571D">
        <w:t xml:space="preserve"> the term ‘verification’ is equivalent to and taken to mean ‘certification’ under the National Measurement Regulations 1999 (</w:t>
      </w:r>
      <w:proofErr w:type="spellStart"/>
      <w:r w:rsidR="00C935E1" w:rsidRPr="0011571D">
        <w:t>Cth</w:t>
      </w:r>
      <w:proofErr w:type="spellEnd"/>
      <w:r w:rsidR="00C935E1" w:rsidRPr="0011571D">
        <w:t>).</w:t>
      </w:r>
    </w:p>
    <w:p w14:paraId="61D83C2E" w14:textId="5A7E181F" w:rsidR="00C935E1" w:rsidRPr="0011571D" w:rsidRDefault="00C935E1" w:rsidP="00814CC4">
      <w:pPr>
        <w:pStyle w:val="Heading2"/>
      </w:pPr>
      <w:bookmarkStart w:id="29" w:name="_Toc215219420"/>
      <w:bookmarkStart w:id="30" w:name="_Toc225850097"/>
      <w:r w:rsidRPr="0011571D">
        <w:t>National authorities</w:t>
      </w:r>
      <w:bookmarkEnd w:id="29"/>
      <w:bookmarkEnd w:id="30"/>
    </w:p>
    <w:p w14:paraId="3F899591" w14:textId="49A23638" w:rsidR="00C935E1" w:rsidRPr="0011571D" w:rsidRDefault="00C935E1" w:rsidP="00C935E1">
      <w:r w:rsidRPr="0011571D">
        <w:t>OIML R 126 uses the term ‘national authorities’ to describe persons and organisation</w:t>
      </w:r>
      <w:r w:rsidR="006A068A" w:rsidRPr="0011571D">
        <w:t>s</w:t>
      </w:r>
      <w:r w:rsidRPr="0011571D">
        <w:t xml:space="preserve"> responsible for the control of measuring instruments in a jurisdiction. </w:t>
      </w:r>
    </w:p>
    <w:p w14:paraId="1C3BA1E3" w14:textId="7978DD7F" w:rsidR="00C935E1" w:rsidRPr="0011571D" w:rsidRDefault="00EE1F57" w:rsidP="00C935E1">
      <w:r w:rsidRPr="0011571D">
        <w:t>Australia’s</w:t>
      </w:r>
      <w:r w:rsidR="00C935E1" w:rsidRPr="0011571D">
        <w:t xml:space="preserve"> national authorities are listed below</w:t>
      </w:r>
      <w:r w:rsidRPr="0011571D">
        <w:t>. They</w:t>
      </w:r>
      <w:r w:rsidR="00C935E1" w:rsidRPr="0011571D">
        <w:t xml:space="preserve"> are empowered to perform the functions described in relation to the testing, pattern evaluation, pattern approval and certification of EBAs.</w:t>
      </w:r>
    </w:p>
    <w:p w14:paraId="36BE3C82" w14:textId="3270444A" w:rsidR="00C935E1" w:rsidRPr="0011571D" w:rsidRDefault="00C935E1" w:rsidP="00814CC4">
      <w:pPr>
        <w:pStyle w:val="Heading3"/>
      </w:pPr>
      <w:r w:rsidRPr="0011571D">
        <w:t>The Chief Metrologist</w:t>
      </w:r>
    </w:p>
    <w:p w14:paraId="3B242629" w14:textId="64790018" w:rsidR="00C935E1" w:rsidRPr="0011571D" w:rsidRDefault="00C935E1" w:rsidP="00C935E1">
      <w:r w:rsidRPr="0011571D">
        <w:t>The Chief Metrologist is responsible for testing, pattern evaluation, pattern approval and certification of EBAs</w:t>
      </w:r>
      <w:r w:rsidR="00EE1F57" w:rsidRPr="0011571D">
        <w:t>. The Chief Metrologist also appoints</w:t>
      </w:r>
      <w:r w:rsidR="00D043E9" w:rsidRPr="0011571D">
        <w:t xml:space="preserve"> approving authorities and certifying authorities</w:t>
      </w:r>
      <w:r w:rsidRPr="0011571D">
        <w:t>.</w:t>
      </w:r>
    </w:p>
    <w:p w14:paraId="74D8D20D" w14:textId="34588578" w:rsidR="00C935E1" w:rsidRPr="0011571D" w:rsidRDefault="00C935E1" w:rsidP="00814CC4">
      <w:pPr>
        <w:pStyle w:val="Heading3"/>
      </w:pPr>
      <w:r w:rsidRPr="0011571D">
        <w:lastRenderedPageBreak/>
        <w:t xml:space="preserve">Approving </w:t>
      </w:r>
      <w:r w:rsidR="00D043E9" w:rsidRPr="0011571D">
        <w:t xml:space="preserve">authorities </w:t>
      </w:r>
    </w:p>
    <w:p w14:paraId="3CFF30C9" w14:textId="29F55F33" w:rsidR="00C935E1" w:rsidRPr="0011571D" w:rsidRDefault="00C935E1" w:rsidP="00C935E1">
      <w:r w:rsidRPr="0011571D">
        <w:t xml:space="preserve">Approving </w:t>
      </w:r>
      <w:r w:rsidR="00D043E9" w:rsidRPr="0011571D">
        <w:t xml:space="preserve">authorities </w:t>
      </w:r>
      <w:r w:rsidRPr="0011571D">
        <w:t xml:space="preserve">are appointed by the Chief Metrologist to perform testing and pattern evaluation for EBAs. The testing and evaluation performed by an </w:t>
      </w:r>
      <w:r w:rsidR="002C1E0A" w:rsidRPr="0011571D">
        <w:t xml:space="preserve">approving authority </w:t>
      </w:r>
      <w:r w:rsidRPr="0011571D">
        <w:t xml:space="preserve">may be submitted to the Chief Metrologist to inform their decision </w:t>
      </w:r>
      <w:r w:rsidR="002C1E0A" w:rsidRPr="0011571D">
        <w:t xml:space="preserve">about </w:t>
      </w:r>
      <w:r w:rsidRPr="0011571D">
        <w:t>the approval of a pattern of EBA.</w:t>
      </w:r>
    </w:p>
    <w:p w14:paraId="24FF76CC" w14:textId="5AC09B6C" w:rsidR="00C935E1" w:rsidRPr="0011571D" w:rsidRDefault="00C935E1" w:rsidP="00814CC4">
      <w:pPr>
        <w:pStyle w:val="Heading3"/>
      </w:pPr>
      <w:r w:rsidRPr="0011571D">
        <w:t xml:space="preserve">Certifying </w:t>
      </w:r>
      <w:r w:rsidR="00D043E9" w:rsidRPr="0011571D">
        <w:t xml:space="preserve">authorities </w:t>
      </w:r>
    </w:p>
    <w:p w14:paraId="777D3989" w14:textId="73F5C55E" w:rsidR="00C935E1" w:rsidRPr="0011571D" w:rsidRDefault="00C935E1" w:rsidP="00C935E1">
      <w:r w:rsidRPr="0011571D">
        <w:t xml:space="preserve">Certifying </w:t>
      </w:r>
      <w:r w:rsidR="00D043E9" w:rsidRPr="0011571D">
        <w:t xml:space="preserve">authorities </w:t>
      </w:r>
      <w:r w:rsidRPr="0011571D">
        <w:t xml:space="preserve">are appointed by the Chief Metrologist to perform testing and certification for EBAs. Certifying </w:t>
      </w:r>
      <w:r w:rsidR="00D043E9" w:rsidRPr="0011571D">
        <w:t xml:space="preserve">authorities </w:t>
      </w:r>
      <w:r w:rsidRPr="0011571D">
        <w:t>may certify EBAs as certified measuring instruments under Regulation 37 of the National Measurement Regulations 1999 (</w:t>
      </w:r>
      <w:proofErr w:type="spellStart"/>
      <w:r w:rsidRPr="0011571D">
        <w:t>Cth</w:t>
      </w:r>
      <w:proofErr w:type="spellEnd"/>
      <w:r w:rsidRPr="0011571D">
        <w:t>).</w:t>
      </w:r>
    </w:p>
    <w:p w14:paraId="1A153D46" w14:textId="644FC2CB" w:rsidR="00C935E1" w:rsidRPr="0011571D" w:rsidRDefault="00C935E1" w:rsidP="00814CC4">
      <w:pPr>
        <w:pStyle w:val="Heading3"/>
      </w:pPr>
      <w:r w:rsidRPr="0011571D">
        <w:t>The National Evidential Breath Analysis Laboratory (NEBAL)</w:t>
      </w:r>
    </w:p>
    <w:p w14:paraId="3BDC6DB0" w14:textId="6E711EF5" w:rsidR="00C935E1" w:rsidRPr="0011571D" w:rsidRDefault="00C935E1" w:rsidP="00C935E1">
      <w:r w:rsidRPr="0011571D">
        <w:t>The NEBAL is part of the Victoria Police EBA laboratory</w:t>
      </w:r>
      <w:r w:rsidR="002C1E0A" w:rsidRPr="0011571D">
        <w:t>. NEBAL is</w:t>
      </w:r>
      <w:r w:rsidRPr="0011571D">
        <w:t xml:space="preserve"> appointed as both an </w:t>
      </w:r>
      <w:r w:rsidR="00D043E9" w:rsidRPr="0011571D">
        <w:t>approving authority and certifying authority</w:t>
      </w:r>
      <w:r w:rsidRPr="0011571D">
        <w:t xml:space="preserve"> for EBAs.</w:t>
      </w:r>
    </w:p>
    <w:p w14:paraId="1268C8D0" w14:textId="351DFCF5" w:rsidR="00C935E1" w:rsidRPr="0011571D" w:rsidRDefault="00C935E1" w:rsidP="00814CC4">
      <w:pPr>
        <w:pStyle w:val="Heading2"/>
      </w:pPr>
      <w:bookmarkStart w:id="31" w:name="_Toc215219421"/>
      <w:bookmarkStart w:id="32" w:name="_Toc225850098"/>
      <w:r w:rsidRPr="0011571D">
        <w:t>National regulations and national legislation</w:t>
      </w:r>
      <w:bookmarkEnd w:id="31"/>
      <w:bookmarkEnd w:id="32"/>
    </w:p>
    <w:p w14:paraId="58EC9F2A" w14:textId="6F06DA62" w:rsidR="00C935E1" w:rsidRPr="0011571D" w:rsidRDefault="00C935E1" w:rsidP="00C935E1">
      <w:r w:rsidRPr="0011571D">
        <w:t>OIML R 126 uses the terms ‘national regulations’ and ‘national legislation’ to describe relevant regulations and legislation in force in a jurisdiction.</w:t>
      </w:r>
    </w:p>
    <w:p w14:paraId="08A2F2AA" w14:textId="1D8B0DF3" w:rsidR="00C935E1" w:rsidRPr="0011571D" w:rsidRDefault="00C935E1" w:rsidP="00C935E1">
      <w:r w:rsidRPr="0011571D">
        <w:t>In Australia, these terms refer to all relevant legislative instruments and subordinate requirements concerning the control of EBAs</w:t>
      </w:r>
      <w:r w:rsidR="002C1E0A" w:rsidRPr="0011571D">
        <w:t>. They include</w:t>
      </w:r>
      <w:r w:rsidRPr="0011571D">
        <w:t xml:space="preserve"> the </w:t>
      </w:r>
      <w:r w:rsidRPr="0011571D">
        <w:rPr>
          <w:i/>
          <w:iCs/>
        </w:rPr>
        <w:t>National Measurement Act 1960</w:t>
      </w:r>
      <w:r w:rsidRPr="0011571D">
        <w:t xml:space="preserve"> (</w:t>
      </w:r>
      <w:proofErr w:type="spellStart"/>
      <w:r w:rsidRPr="0011571D">
        <w:t>Cth</w:t>
      </w:r>
      <w:proofErr w:type="spellEnd"/>
      <w:r w:rsidRPr="0011571D">
        <w:t xml:space="preserve">) and NMI R 126. </w:t>
      </w:r>
    </w:p>
    <w:p w14:paraId="6E442684" w14:textId="2575FEC1" w:rsidR="00C935E1" w:rsidRPr="0011571D" w:rsidRDefault="00C935E1" w:rsidP="00814CC4">
      <w:pPr>
        <w:pStyle w:val="Heading1"/>
      </w:pPr>
      <w:bookmarkStart w:id="33" w:name="_Toc215219422"/>
      <w:bookmarkStart w:id="34" w:name="_Toc225850099"/>
      <w:r w:rsidRPr="0011571D">
        <w:lastRenderedPageBreak/>
        <w:t>Explanation of key differences</w:t>
      </w:r>
      <w:bookmarkEnd w:id="33"/>
      <w:bookmarkEnd w:id="34"/>
      <w:r w:rsidRPr="0011571D">
        <w:t xml:space="preserve"> </w:t>
      </w:r>
    </w:p>
    <w:p w14:paraId="47869016" w14:textId="269ECCA7" w:rsidR="00C935E1" w:rsidRPr="0011571D" w:rsidRDefault="00C935E1" w:rsidP="00814CC4">
      <w:pPr>
        <w:pStyle w:val="Heading2"/>
      </w:pPr>
      <w:bookmarkStart w:id="35" w:name="_Toc215219423"/>
      <w:bookmarkStart w:id="36" w:name="_Toc225850100"/>
      <w:r w:rsidRPr="0011571D">
        <w:t>Previous editions</w:t>
      </w:r>
      <w:bookmarkEnd w:id="35"/>
      <w:bookmarkEnd w:id="36"/>
    </w:p>
    <w:p w14:paraId="105278D5" w14:textId="5DFB8BEF" w:rsidR="00C935E1" w:rsidRPr="0011571D" w:rsidRDefault="00C935E1" w:rsidP="00C935E1">
      <w:r w:rsidRPr="0011571D">
        <w:t>In December 2000</w:t>
      </w:r>
      <w:r w:rsidR="00D213FF" w:rsidRPr="0011571D">
        <w:t>,</w:t>
      </w:r>
      <w:r w:rsidRPr="0011571D">
        <w:t xml:space="preserve"> the then National Standards Commission published NSC R 126:2000</w:t>
      </w:r>
      <w:r w:rsidR="00D213FF" w:rsidRPr="0011571D">
        <w:t>. This was</w:t>
      </w:r>
      <w:r w:rsidRPr="0011571D">
        <w:t xml:space="preserve"> a modified adoption of the international standard OIML R 126:1998.  There were some minor editorial changes through to the updated version of the document, NMI R 126:2013. </w:t>
      </w:r>
    </w:p>
    <w:p w14:paraId="72B46DD8" w14:textId="0650D83B" w:rsidR="00F6160C" w:rsidRPr="0011571D" w:rsidRDefault="00F6160C" w:rsidP="00C935E1">
      <w:r w:rsidRPr="0011571D">
        <w:t xml:space="preserve">The NMI R 126:2013 </w:t>
      </w:r>
      <w:r w:rsidR="00C417F3" w:rsidRPr="0011571D">
        <w:t xml:space="preserve">(and NSC R 126:2000) </w:t>
      </w:r>
      <w:r w:rsidRPr="0011571D">
        <w:t>requirements that differ from those of OIML R 126:1998 are as follows:</w:t>
      </w:r>
      <w:r w:rsidRPr="0011571D">
        <w:tab/>
      </w:r>
    </w:p>
    <w:p w14:paraId="557CDDBD" w14:textId="00551A31" w:rsidR="00C935E1" w:rsidRPr="0011571D" w:rsidRDefault="00C935E1" w:rsidP="00C935E1">
      <w:pPr>
        <w:numPr>
          <w:ilvl w:val="0"/>
          <w:numId w:val="23"/>
        </w:numPr>
      </w:pPr>
      <w:r w:rsidRPr="0011571D">
        <w:t xml:space="preserve">NMI R 126:2013 had a different definition for what was a </w:t>
      </w:r>
      <w:r w:rsidR="00D213FF" w:rsidRPr="0011571D">
        <w:t>‘</w:t>
      </w:r>
      <w:r w:rsidRPr="0011571D">
        <w:t>measuring cycle</w:t>
      </w:r>
      <w:r w:rsidR="00D213FF" w:rsidRPr="0011571D">
        <w:t xml:space="preserve">’. </w:t>
      </w:r>
      <w:r w:rsidRPr="0011571D">
        <w:t xml:space="preserve">It did not contain Annex I </w:t>
      </w:r>
      <w:r w:rsidR="00D213FF" w:rsidRPr="0011571D">
        <w:t>‘</w:t>
      </w:r>
      <w:r w:rsidRPr="0011571D">
        <w:t>Advisable provisions for the measuring cycle (informative</w:t>
      </w:r>
      <w:r w:rsidR="00D213FF" w:rsidRPr="0011571D">
        <w:t xml:space="preserve">)’.  </w:t>
      </w:r>
      <w:r w:rsidRPr="0011571D">
        <w:t>This eliminated the option to use multiple samples to detect the possibility of alcohol in the upper respiratory tracts (mouth alcohol)</w:t>
      </w:r>
    </w:p>
    <w:p w14:paraId="325378DF" w14:textId="11CAC8D4" w:rsidR="00C935E1" w:rsidRPr="0011571D" w:rsidRDefault="00AF110B" w:rsidP="00C935E1">
      <w:pPr>
        <w:numPr>
          <w:ilvl w:val="0"/>
          <w:numId w:val="23"/>
        </w:numPr>
      </w:pPr>
      <w:r w:rsidRPr="0011571D">
        <w:t xml:space="preserve">different </w:t>
      </w:r>
      <w:r w:rsidR="00C935E1" w:rsidRPr="0011571D">
        <w:t>measurement units</w:t>
      </w:r>
    </w:p>
    <w:p w14:paraId="4750DB5A" w14:textId="0C281A28" w:rsidR="00C935E1" w:rsidRPr="0011571D" w:rsidRDefault="00AF110B" w:rsidP="00C935E1">
      <w:pPr>
        <w:numPr>
          <w:ilvl w:val="0"/>
          <w:numId w:val="23"/>
        </w:numPr>
      </w:pPr>
      <w:r w:rsidRPr="0011571D">
        <w:t xml:space="preserve">that </w:t>
      </w:r>
      <w:r w:rsidR="00C935E1" w:rsidRPr="0011571D">
        <w:t>the instrument shall detect and not provide a result where mouth alcohol is present, where OIML R126:1998 had this as an option</w:t>
      </w:r>
    </w:p>
    <w:p w14:paraId="03FBEB75" w14:textId="6B3124E9" w:rsidR="00C935E1" w:rsidRPr="0011571D" w:rsidRDefault="00AF110B" w:rsidP="00C935E1">
      <w:pPr>
        <w:numPr>
          <w:ilvl w:val="0"/>
          <w:numId w:val="23"/>
        </w:numPr>
      </w:pPr>
      <w:r w:rsidRPr="0011571D">
        <w:t xml:space="preserve">measurement </w:t>
      </w:r>
      <w:r w:rsidR="00C935E1" w:rsidRPr="0011571D">
        <w:t>range set to at least 0.500 g/210 L</w:t>
      </w:r>
    </w:p>
    <w:p w14:paraId="7284A039" w14:textId="202D5EBA" w:rsidR="00C935E1" w:rsidRPr="0011571D" w:rsidRDefault="00AF110B" w:rsidP="00C935E1">
      <w:pPr>
        <w:numPr>
          <w:ilvl w:val="0"/>
          <w:numId w:val="23"/>
        </w:numPr>
      </w:pPr>
      <w:r w:rsidRPr="0011571D">
        <w:t xml:space="preserve">printing </w:t>
      </w:r>
      <w:r w:rsidR="00C935E1" w:rsidRPr="0011571D">
        <w:t>device made mandatory</w:t>
      </w:r>
    </w:p>
    <w:p w14:paraId="650397CD" w14:textId="06AB7C0F" w:rsidR="00C935E1" w:rsidRPr="0011571D" w:rsidRDefault="00AF110B" w:rsidP="00C935E1">
      <w:pPr>
        <w:numPr>
          <w:ilvl w:val="0"/>
          <w:numId w:val="23"/>
        </w:numPr>
      </w:pPr>
      <w:r w:rsidRPr="0011571D">
        <w:t xml:space="preserve">minimum </w:t>
      </w:r>
      <w:r w:rsidR="00C935E1" w:rsidRPr="0011571D">
        <w:t xml:space="preserve">volume of 1 </w:t>
      </w:r>
      <w:r w:rsidR="00F6160C" w:rsidRPr="0011571D">
        <w:t>l</w:t>
      </w:r>
      <w:r w:rsidR="00C935E1" w:rsidRPr="0011571D">
        <w:t>itre</w:t>
      </w:r>
      <w:r w:rsidRPr="0011571D">
        <w:t xml:space="preserve"> </w:t>
      </w:r>
      <w:r w:rsidR="00E63473" w:rsidRPr="0011571D">
        <w:t>(rather than</w:t>
      </w:r>
      <w:r w:rsidR="00C935E1" w:rsidRPr="0011571D">
        <w:t xml:space="preserve"> 1.5 </w:t>
      </w:r>
      <w:r w:rsidR="00F6160C" w:rsidRPr="0011571D">
        <w:t>l</w:t>
      </w:r>
      <w:r w:rsidR="00C935E1" w:rsidRPr="0011571D">
        <w:t>itres</w:t>
      </w:r>
      <w:r w:rsidR="00E63473" w:rsidRPr="0011571D">
        <w:t>)</w:t>
      </w:r>
    </w:p>
    <w:p w14:paraId="55E37F4B" w14:textId="56046003" w:rsidR="00C935E1" w:rsidRPr="0011571D" w:rsidRDefault="00AF110B" w:rsidP="00C935E1">
      <w:pPr>
        <w:numPr>
          <w:ilvl w:val="0"/>
          <w:numId w:val="23"/>
        </w:numPr>
      </w:pPr>
      <w:r w:rsidRPr="0011571D">
        <w:t xml:space="preserve">the </w:t>
      </w:r>
      <w:r w:rsidR="00C935E1" w:rsidRPr="0011571D">
        <w:t xml:space="preserve">period of validity of </w:t>
      </w:r>
      <w:r w:rsidR="00F6160C" w:rsidRPr="0011571D">
        <w:t xml:space="preserve">certification </w:t>
      </w:r>
      <w:r w:rsidR="00C935E1" w:rsidRPr="0011571D">
        <w:t>set at 12 months</w:t>
      </w:r>
      <w:r w:rsidR="00F6160C" w:rsidRPr="0011571D">
        <w:t>.</w:t>
      </w:r>
    </w:p>
    <w:p w14:paraId="139748B3" w14:textId="06EE7DB2" w:rsidR="00C935E1" w:rsidRPr="0011571D" w:rsidRDefault="00136F69" w:rsidP="00C935E1">
      <w:r w:rsidRPr="0011571D">
        <w:t>In 2012, OIML published a</w:t>
      </w:r>
      <w:r w:rsidR="00C935E1" w:rsidRPr="0011571D">
        <w:t xml:space="preserve"> revised edition of the OIML R 126 document. However, </w:t>
      </w:r>
      <w:r w:rsidR="003E659F" w:rsidRPr="0011571D">
        <w:t>the NMI</w:t>
      </w:r>
      <w:r w:rsidR="00580299" w:rsidRPr="0011571D">
        <w:t xml:space="preserve"> did not consider </w:t>
      </w:r>
      <w:r w:rsidR="00C935E1" w:rsidRPr="0011571D">
        <w:t>the 2012 edition to be suitable for use in Australia</w:t>
      </w:r>
      <w:r w:rsidR="00E63473" w:rsidRPr="0011571D">
        <w:t>. As a result, the</w:t>
      </w:r>
      <w:r w:rsidR="00C935E1" w:rsidRPr="0011571D">
        <w:t xml:space="preserve"> NMI </w:t>
      </w:r>
      <w:r w:rsidR="00E63473" w:rsidRPr="0011571D">
        <w:t xml:space="preserve">did not adopt it </w:t>
      </w:r>
      <w:r w:rsidR="00C935E1" w:rsidRPr="0011571D">
        <w:t>as the pattern approval requirements for EBAs.</w:t>
      </w:r>
    </w:p>
    <w:p w14:paraId="2DCCB672" w14:textId="35F22C6B" w:rsidR="00C935E1" w:rsidRPr="0011571D" w:rsidRDefault="00C935E1" w:rsidP="00814CC4">
      <w:pPr>
        <w:pStyle w:val="Heading2"/>
      </w:pPr>
      <w:bookmarkStart w:id="37" w:name="_Toc215219424"/>
      <w:bookmarkStart w:id="38" w:name="_Toc225850101"/>
      <w:r w:rsidRPr="0011571D">
        <w:t>Current editions</w:t>
      </w:r>
      <w:bookmarkEnd w:id="37"/>
      <w:bookmarkEnd w:id="38"/>
    </w:p>
    <w:p w14:paraId="21800ED4" w14:textId="24C3435C" w:rsidR="00C935E1" w:rsidRPr="0011571D" w:rsidRDefault="00C935E1" w:rsidP="00C935E1">
      <w:r w:rsidRPr="0011571D">
        <w:t>In 2021</w:t>
      </w:r>
      <w:r w:rsidR="00136F69" w:rsidRPr="0011571D">
        <w:t>,</w:t>
      </w:r>
      <w:r w:rsidRPr="0011571D">
        <w:t xml:space="preserve"> OIML published a new edition of OIML R</w:t>
      </w:r>
      <w:r w:rsidR="00F6160C" w:rsidRPr="0011571D">
        <w:t xml:space="preserve"> </w:t>
      </w:r>
      <w:r w:rsidRPr="0011571D">
        <w:t>126</w:t>
      </w:r>
      <w:r w:rsidR="00136F69" w:rsidRPr="0011571D">
        <w:t>,</w:t>
      </w:r>
      <w:r w:rsidRPr="0011571D">
        <w:t xml:space="preserve"> which was more robust than the 2012 </w:t>
      </w:r>
      <w:r w:rsidR="003E659F" w:rsidRPr="0011571D">
        <w:t>edition</w:t>
      </w:r>
      <w:r w:rsidRPr="0011571D">
        <w:t xml:space="preserve">. It built </w:t>
      </w:r>
      <w:r w:rsidR="006B7D8F" w:rsidRPr="0011571D">
        <w:t>on</w:t>
      </w:r>
      <w:r w:rsidRPr="0011571D">
        <w:t xml:space="preserve"> the earlier 1998 edition and drew more upon other international standards for the performance and disturbances testing</w:t>
      </w:r>
      <w:r w:rsidR="00421B84" w:rsidRPr="0011571D">
        <w:t>. It also</w:t>
      </w:r>
      <w:r w:rsidRPr="0011571D">
        <w:t xml:space="preserve"> provided an increased focus for software evaluation and integrity.</w:t>
      </w:r>
    </w:p>
    <w:p w14:paraId="48C5A592" w14:textId="73BB21D0" w:rsidR="00C935E1" w:rsidRPr="0011571D" w:rsidRDefault="00C935E1" w:rsidP="00C935E1">
      <w:r w:rsidRPr="0011571D">
        <w:t xml:space="preserve">Australia </w:t>
      </w:r>
      <w:r w:rsidR="00243EC1" w:rsidRPr="0011571D">
        <w:t>has</w:t>
      </w:r>
      <w:r w:rsidRPr="0011571D">
        <w:t xml:space="preserve"> a very robust system for the use of evidential breath analysers, </w:t>
      </w:r>
      <w:r w:rsidR="00243EC1" w:rsidRPr="0011571D">
        <w:t xml:space="preserve">which </w:t>
      </w:r>
      <w:r w:rsidR="006909C8" w:rsidRPr="0011571D">
        <w:t xml:space="preserve">is </w:t>
      </w:r>
      <w:r w:rsidRPr="0011571D">
        <w:t>supported by the introduction of instruments complying with NMI R 126:2013.</w:t>
      </w:r>
      <w:r w:rsidR="00243EC1" w:rsidRPr="0011571D">
        <w:t xml:space="preserve"> </w:t>
      </w:r>
      <w:r w:rsidR="006909C8" w:rsidRPr="0011571D">
        <w:t>A</w:t>
      </w:r>
      <w:r w:rsidR="00243EC1" w:rsidRPr="0011571D">
        <w:t xml:space="preserve">dopting the latest (2021) international standard will </w:t>
      </w:r>
      <w:r w:rsidR="006909C8" w:rsidRPr="0011571D">
        <w:t xml:space="preserve">better </w:t>
      </w:r>
      <w:r w:rsidR="00084370" w:rsidRPr="0011571D">
        <w:t>support the introduction of</w:t>
      </w:r>
      <w:r w:rsidR="00243EC1" w:rsidRPr="0011571D">
        <w:t xml:space="preserve"> new instruments to the Australian market. </w:t>
      </w:r>
    </w:p>
    <w:p w14:paraId="616DA19C" w14:textId="39FBF27C" w:rsidR="00C935E1" w:rsidRPr="0011571D" w:rsidRDefault="00C935E1" w:rsidP="00814CC4">
      <w:pPr>
        <w:pStyle w:val="Heading2"/>
      </w:pPr>
      <w:bookmarkStart w:id="39" w:name="_Toc215219425"/>
      <w:bookmarkStart w:id="40" w:name="_Toc225850102"/>
      <w:bookmarkStart w:id="41" w:name="_Hlk181305088"/>
      <w:r w:rsidRPr="0011571D">
        <w:t>Key differences between O</w:t>
      </w:r>
      <w:r w:rsidR="007C5F1E" w:rsidRPr="0011571D">
        <w:t>IML</w:t>
      </w:r>
      <w:r w:rsidRPr="0011571D">
        <w:t xml:space="preserve"> R 126:2021 and NMI R 126:2025</w:t>
      </w:r>
      <w:bookmarkEnd w:id="39"/>
      <w:bookmarkEnd w:id="40"/>
      <w:r w:rsidRPr="0011571D">
        <w:t xml:space="preserve"> </w:t>
      </w:r>
    </w:p>
    <w:p w14:paraId="45DDDA21" w14:textId="4751BB3D" w:rsidR="00C935E1" w:rsidRPr="0011571D" w:rsidRDefault="00185E51" w:rsidP="00C935E1">
      <w:r w:rsidRPr="0011571D">
        <w:t>T</w:t>
      </w:r>
      <w:r w:rsidR="00C935E1" w:rsidRPr="0011571D">
        <w:t xml:space="preserve">he </w:t>
      </w:r>
      <w:bookmarkStart w:id="42" w:name="_Hlk181305576"/>
      <w:r w:rsidR="00C935E1" w:rsidRPr="0011571D">
        <w:t>NMI R 126:2025</w:t>
      </w:r>
      <w:bookmarkEnd w:id="42"/>
      <w:r w:rsidRPr="0011571D">
        <w:t xml:space="preserve"> </w:t>
      </w:r>
      <w:r w:rsidR="009E5342" w:rsidRPr="0011571D">
        <w:t xml:space="preserve">requirements </w:t>
      </w:r>
      <w:r w:rsidR="00A406ED" w:rsidRPr="0011571D">
        <w:t xml:space="preserve">that differ from those of OIML R 126:2021 </w:t>
      </w:r>
      <w:r w:rsidR="009E5342" w:rsidRPr="0011571D">
        <w:t xml:space="preserve">are </w:t>
      </w:r>
      <w:r w:rsidRPr="0011571D">
        <w:t>as follows</w:t>
      </w:r>
      <w:r w:rsidR="00C935E1" w:rsidRPr="0011571D">
        <w:t>:</w:t>
      </w:r>
      <w:r w:rsidR="00C935E1" w:rsidRPr="0011571D">
        <w:tab/>
      </w:r>
    </w:p>
    <w:bookmarkEnd w:id="41"/>
    <w:p w14:paraId="3AC49251" w14:textId="77777777" w:rsidR="004530F9" w:rsidRPr="0011571D" w:rsidRDefault="00C935E1" w:rsidP="00C935E1">
      <w:pPr>
        <w:numPr>
          <w:ilvl w:val="0"/>
          <w:numId w:val="24"/>
        </w:numPr>
      </w:pPr>
      <w:r w:rsidRPr="0011571D">
        <w:t>NMI R 126:2025 places requirements on EBAs with respect to</w:t>
      </w:r>
      <w:r w:rsidR="004530F9" w:rsidRPr="0011571D">
        <w:t>:</w:t>
      </w:r>
    </w:p>
    <w:p w14:paraId="3C095790" w14:textId="10BFD11C" w:rsidR="000C47DC" w:rsidRPr="0011571D" w:rsidRDefault="00C935E1" w:rsidP="00315092">
      <w:pPr>
        <w:pStyle w:val="ListBullet2"/>
      </w:pPr>
      <w:r w:rsidRPr="0011571D">
        <w:t>alcohol in the upper respiratory tract (residual mouth alcohol) or regurgitation</w:t>
      </w:r>
    </w:p>
    <w:p w14:paraId="48CEE755" w14:textId="1684A1EB" w:rsidR="000C47DC" w:rsidRPr="0011571D" w:rsidRDefault="00C935E1" w:rsidP="00315092">
      <w:pPr>
        <w:pStyle w:val="ListBullet2"/>
      </w:pPr>
      <w:r w:rsidRPr="0011571D">
        <w:t>measurement of end expiratory breath (deep lung air)</w:t>
      </w:r>
      <w:r w:rsidR="000C47DC" w:rsidRPr="0011571D">
        <w:t>,</w:t>
      </w:r>
      <w:r w:rsidRPr="0011571D">
        <w:t xml:space="preserve"> and </w:t>
      </w:r>
    </w:p>
    <w:p w14:paraId="6B05F283" w14:textId="55EB8EB7" w:rsidR="00C935E1" w:rsidRPr="0011571D" w:rsidRDefault="00C935E1" w:rsidP="00315092">
      <w:pPr>
        <w:pStyle w:val="ListBullet2"/>
      </w:pPr>
      <w:r w:rsidRPr="0011571D">
        <w:t xml:space="preserve">drift or shift in accuracy. </w:t>
      </w:r>
    </w:p>
    <w:p w14:paraId="5E357337" w14:textId="77777777" w:rsidR="00C935E1" w:rsidRPr="0011571D" w:rsidRDefault="00C935E1" w:rsidP="00C935E1">
      <w:pPr>
        <w:numPr>
          <w:ilvl w:val="0"/>
          <w:numId w:val="24"/>
        </w:numPr>
      </w:pPr>
      <w:r w:rsidRPr="0011571D">
        <w:t>The presence of alcohol in the upper respiratory tract (also called residual mouth alcohol) and end expiratory breath shall be established during the continuous monitoring of each single breath sample.</w:t>
      </w:r>
    </w:p>
    <w:p w14:paraId="4391E6E9" w14:textId="7941C196" w:rsidR="00C935E1" w:rsidRPr="0011571D" w:rsidRDefault="00C935E1" w:rsidP="00C935E1">
      <w:pPr>
        <w:numPr>
          <w:ilvl w:val="0"/>
          <w:numId w:val="24"/>
        </w:numPr>
      </w:pPr>
      <w:r w:rsidRPr="0011571D">
        <w:lastRenderedPageBreak/>
        <w:t xml:space="preserve">The EBA shall be equipped with a function </w:t>
      </w:r>
      <w:r w:rsidR="00F104A2" w:rsidRPr="0011571D">
        <w:t xml:space="preserve">that </w:t>
      </w:r>
      <w:r w:rsidRPr="0011571D">
        <w:t>automatically detects whether the measurement result is affected by the presence of alcohol in the upper respiratory tract (also called residual mouth alcohol).</w:t>
      </w:r>
    </w:p>
    <w:p w14:paraId="4F5461FE" w14:textId="51D9FFB4" w:rsidR="00C935E1" w:rsidRPr="0011571D" w:rsidRDefault="00C935E1" w:rsidP="00C935E1">
      <w:pPr>
        <w:numPr>
          <w:ilvl w:val="0"/>
          <w:numId w:val="24"/>
        </w:numPr>
      </w:pPr>
      <w:r w:rsidRPr="0011571D">
        <w:t>The measurement cycle of an EBA shall include the confirmation of zero measurement condition prior to and after the provision of the breath sample. In support of the measurement cycle</w:t>
      </w:r>
      <w:r w:rsidR="000B7390" w:rsidRPr="0011571D">
        <w:t>,</w:t>
      </w:r>
      <w:r w:rsidRPr="0011571D">
        <w:t xml:space="preserve"> the EBA shall automatically perform a </w:t>
      </w:r>
      <w:r w:rsidR="000B7390" w:rsidRPr="0011571D">
        <w:t>zero-value</w:t>
      </w:r>
      <w:r w:rsidRPr="0011571D">
        <w:t xml:space="preserve"> test or check the zero value before and after each measurement.</w:t>
      </w:r>
    </w:p>
    <w:p w14:paraId="734035F2" w14:textId="4E9856A7" w:rsidR="00C935E1" w:rsidRPr="0011571D" w:rsidRDefault="00C935E1" w:rsidP="00C935E1">
      <w:pPr>
        <w:numPr>
          <w:ilvl w:val="0"/>
          <w:numId w:val="24"/>
        </w:numPr>
      </w:pPr>
      <w:r w:rsidRPr="0011571D">
        <w:t>In Australia</w:t>
      </w:r>
      <w:r w:rsidR="000B7390" w:rsidRPr="0011571D">
        <w:t>,</w:t>
      </w:r>
      <w:r w:rsidRPr="0011571D">
        <w:t xml:space="preserve"> data storage is made mandatory</w:t>
      </w:r>
      <w:r w:rsidR="000B7390" w:rsidRPr="0011571D">
        <w:t>,</w:t>
      </w:r>
      <w:r w:rsidRPr="0011571D">
        <w:t xml:space="preserve"> and the presence of a printing device is made optional.</w:t>
      </w:r>
    </w:p>
    <w:p w14:paraId="01627B9B" w14:textId="14753E63" w:rsidR="00C935E1" w:rsidRPr="0011571D" w:rsidRDefault="00C935E1" w:rsidP="00C935E1">
      <w:pPr>
        <w:numPr>
          <w:ilvl w:val="0"/>
          <w:numId w:val="24"/>
        </w:numPr>
      </w:pPr>
      <w:r w:rsidRPr="0011571D">
        <w:t xml:space="preserve">The Australian legal units of measurement of grams per 210 litres of exhaled breath (g/210 L) </w:t>
      </w:r>
      <w:r w:rsidR="00A406ED" w:rsidRPr="0011571D">
        <w:t>are</w:t>
      </w:r>
      <w:r w:rsidR="002A7B4E" w:rsidRPr="0011571D">
        <w:t xml:space="preserve"> used rather than </w:t>
      </w:r>
      <w:r w:rsidRPr="0011571D">
        <w:t>milligram per litre of exhaled breath (mg/L).</w:t>
      </w:r>
    </w:p>
    <w:p w14:paraId="3A2C91FF" w14:textId="7536C521" w:rsidR="00C935E1" w:rsidRPr="0011571D" w:rsidRDefault="00C935E1" w:rsidP="00C935E1">
      <w:pPr>
        <w:numPr>
          <w:ilvl w:val="0"/>
          <w:numId w:val="24"/>
        </w:numPr>
      </w:pPr>
      <w:r w:rsidRPr="0011571D">
        <w:t xml:space="preserve">The values of requirements such as measurement ranges, scale intervals and MPEs have been converted to units of g/210 L. </w:t>
      </w:r>
    </w:p>
    <w:p w14:paraId="5AE9AF50" w14:textId="21804F34" w:rsidR="00C935E1" w:rsidRPr="0011571D" w:rsidRDefault="00C935E1" w:rsidP="00C935E1">
      <w:pPr>
        <w:numPr>
          <w:ilvl w:val="0"/>
          <w:numId w:val="24"/>
        </w:numPr>
      </w:pPr>
      <w:r w:rsidRPr="0011571D">
        <w:t xml:space="preserve">The minimum value of the volume of exhaled breath shall be 1.0 L, </w:t>
      </w:r>
      <w:r w:rsidR="002A7B4E" w:rsidRPr="0011571D">
        <w:t xml:space="preserve">rather than </w:t>
      </w:r>
      <w:r w:rsidRPr="0011571D">
        <w:t>1.2 L.</w:t>
      </w:r>
    </w:p>
    <w:p w14:paraId="51F786E6" w14:textId="672F51F0" w:rsidR="00C935E1" w:rsidRPr="0011571D" w:rsidRDefault="00C935E1" w:rsidP="00C935E1">
      <w:pPr>
        <w:numPr>
          <w:ilvl w:val="0"/>
          <w:numId w:val="24"/>
        </w:numPr>
      </w:pPr>
      <w:r w:rsidRPr="0011571D">
        <w:t xml:space="preserve">EBAs shall be tested with the following additional physiological influence substances: </w:t>
      </w:r>
      <w:r w:rsidR="00614487" w:rsidRPr="0011571D">
        <w:t>acetaldehyde, toluene, ethyl acetate, methane, and diethyl ether.</w:t>
      </w:r>
    </w:p>
    <w:p w14:paraId="1FFF028B" w14:textId="77777777" w:rsidR="00C935E1" w:rsidRPr="0011571D" w:rsidRDefault="00C935E1" w:rsidP="00C935E1">
      <w:pPr>
        <w:numPr>
          <w:ilvl w:val="0"/>
          <w:numId w:val="24"/>
        </w:numPr>
      </w:pPr>
      <w:r w:rsidRPr="0011571D">
        <w:t>The supply of an instruction manual for each individual instrument is optional.</w:t>
      </w:r>
    </w:p>
    <w:p w14:paraId="151151EF" w14:textId="52335616" w:rsidR="00C935E1" w:rsidRPr="0011571D" w:rsidRDefault="00226C0E" w:rsidP="00C935E1">
      <w:pPr>
        <w:numPr>
          <w:ilvl w:val="0"/>
          <w:numId w:val="24"/>
        </w:numPr>
      </w:pPr>
      <w:r w:rsidRPr="0011571D">
        <w:t xml:space="preserve">The recalibration period is specified </w:t>
      </w:r>
      <w:r w:rsidR="00C935E1" w:rsidRPr="0011571D">
        <w:t xml:space="preserve">in the NMI </w:t>
      </w:r>
      <w:r w:rsidR="00614487" w:rsidRPr="0011571D">
        <w:t>certificate of approval</w:t>
      </w:r>
      <w:r w:rsidR="00C935E1" w:rsidRPr="0011571D">
        <w:t>.</w:t>
      </w:r>
    </w:p>
    <w:p w14:paraId="54810395" w14:textId="7A4EF7AC" w:rsidR="00C935E1" w:rsidRPr="0011571D" w:rsidRDefault="00C935E1" w:rsidP="00814CC4">
      <w:pPr>
        <w:pStyle w:val="Heading2"/>
      </w:pPr>
      <w:bookmarkStart w:id="43" w:name="_Toc215219426"/>
      <w:bookmarkStart w:id="44" w:name="_Toc225850103"/>
      <w:r w:rsidRPr="0011571D">
        <w:t xml:space="preserve">Key differences between NMI R 126:2013 </w:t>
      </w:r>
      <w:r w:rsidR="00F6160C" w:rsidRPr="0011571D">
        <w:t>and</w:t>
      </w:r>
      <w:r w:rsidRPr="0011571D">
        <w:t xml:space="preserve"> NMI R 126:2025</w:t>
      </w:r>
      <w:bookmarkEnd w:id="43"/>
      <w:bookmarkEnd w:id="44"/>
    </w:p>
    <w:p w14:paraId="74734916" w14:textId="2AE4E010" w:rsidR="00C935E1" w:rsidRPr="0011571D" w:rsidRDefault="00632AF1" w:rsidP="00C935E1">
      <w:r w:rsidRPr="0011571D">
        <w:t xml:space="preserve">Changes from </w:t>
      </w:r>
      <w:r w:rsidR="00C935E1" w:rsidRPr="0011571D">
        <w:t xml:space="preserve">NMI R 126:2013 </w:t>
      </w:r>
      <w:r w:rsidRPr="0011571D">
        <w:t xml:space="preserve">to </w:t>
      </w:r>
      <w:r w:rsidR="00C935E1" w:rsidRPr="0011571D">
        <w:t>NMI R 126:2025</w:t>
      </w:r>
      <w:r w:rsidRPr="0011571D">
        <w:t xml:space="preserve"> are as follows</w:t>
      </w:r>
      <w:r w:rsidR="00C935E1" w:rsidRPr="0011571D">
        <w:t>:</w:t>
      </w:r>
      <w:r w:rsidR="00C935E1" w:rsidRPr="0011571D">
        <w:tab/>
      </w:r>
    </w:p>
    <w:p w14:paraId="05C7C8A8" w14:textId="77777777" w:rsidR="00C935E1" w:rsidRPr="0011571D" w:rsidRDefault="00C935E1" w:rsidP="00C935E1">
      <w:pPr>
        <w:numPr>
          <w:ilvl w:val="0"/>
          <w:numId w:val="25"/>
        </w:numPr>
      </w:pPr>
      <w:r w:rsidRPr="0011571D">
        <w:t>Software requirements and evaluations methods are now specified in greater detail.</w:t>
      </w:r>
    </w:p>
    <w:p w14:paraId="5C698BA7" w14:textId="77777777" w:rsidR="00C935E1" w:rsidRPr="0011571D" w:rsidRDefault="00C935E1" w:rsidP="00C935E1">
      <w:pPr>
        <w:numPr>
          <w:ilvl w:val="0"/>
          <w:numId w:val="25"/>
        </w:numPr>
      </w:pPr>
      <w:r w:rsidRPr="0011571D">
        <w:t xml:space="preserve">The masking range is not limited to 0.010 g/210 L or less. </w:t>
      </w:r>
    </w:p>
    <w:p w14:paraId="581F6F77" w14:textId="77777777" w:rsidR="00C935E1" w:rsidRPr="0011571D" w:rsidRDefault="00C935E1" w:rsidP="00C935E1">
      <w:pPr>
        <w:numPr>
          <w:ilvl w:val="0"/>
          <w:numId w:val="25"/>
        </w:numPr>
      </w:pPr>
      <w:r w:rsidRPr="0011571D">
        <w:t>A new test is introduced to check for any effect of repeated wet samples at low temperature conditions.</w:t>
      </w:r>
    </w:p>
    <w:p w14:paraId="4904145A" w14:textId="77777777" w:rsidR="00C935E1" w:rsidRPr="0011571D" w:rsidRDefault="00C935E1" w:rsidP="00C935E1">
      <w:pPr>
        <w:numPr>
          <w:ilvl w:val="0"/>
          <w:numId w:val="25"/>
        </w:numPr>
      </w:pPr>
      <w:r w:rsidRPr="0011571D">
        <w:t xml:space="preserve">Changes have been made to the classification, description, and conditions of influence factors. </w:t>
      </w:r>
    </w:p>
    <w:p w14:paraId="3C8D9EA8" w14:textId="77777777" w:rsidR="00C935E1" w:rsidRPr="0011571D" w:rsidRDefault="00C935E1" w:rsidP="00C935E1">
      <w:pPr>
        <w:numPr>
          <w:ilvl w:val="0"/>
          <w:numId w:val="25"/>
        </w:numPr>
      </w:pPr>
      <w:r w:rsidRPr="0011571D">
        <w:t xml:space="preserve">Changes are made to the classification, description, and conditions of disturbances. </w:t>
      </w:r>
    </w:p>
    <w:p w14:paraId="200C6455" w14:textId="77777777" w:rsidR="00C935E1" w:rsidRPr="0011571D" w:rsidRDefault="00C935E1" w:rsidP="00C935E1">
      <w:pPr>
        <w:numPr>
          <w:ilvl w:val="0"/>
          <w:numId w:val="25"/>
        </w:numPr>
      </w:pPr>
      <w:r w:rsidRPr="0011571D">
        <w:t xml:space="preserve">Optional tests for specific environmental conditions are introduced.  </w:t>
      </w:r>
    </w:p>
    <w:p w14:paraId="1671C76E" w14:textId="77777777" w:rsidR="00C935E1" w:rsidRPr="0011571D" w:rsidRDefault="00C935E1" w:rsidP="00C935E1">
      <w:pPr>
        <w:numPr>
          <w:ilvl w:val="0"/>
          <w:numId w:val="25"/>
        </w:numPr>
      </w:pPr>
      <w:r w:rsidRPr="0011571D">
        <w:t>Specific requirements have been introduced for EBAs powered by internal batteries.</w:t>
      </w:r>
    </w:p>
    <w:p w14:paraId="25FC836E" w14:textId="77777777" w:rsidR="00C935E1" w:rsidRPr="0011571D" w:rsidRDefault="00C935E1" w:rsidP="00C935E1">
      <w:pPr>
        <w:numPr>
          <w:ilvl w:val="0"/>
          <w:numId w:val="25"/>
        </w:numPr>
      </w:pPr>
      <w:r w:rsidRPr="0011571D">
        <w:t xml:space="preserve">Data storage is a mandatory requirement. </w:t>
      </w:r>
    </w:p>
    <w:p w14:paraId="634ADCD7" w14:textId="77777777" w:rsidR="00C935E1" w:rsidRPr="0011571D" w:rsidRDefault="00C935E1" w:rsidP="00C935E1">
      <w:pPr>
        <w:numPr>
          <w:ilvl w:val="0"/>
          <w:numId w:val="25"/>
        </w:numPr>
      </w:pPr>
      <w:r w:rsidRPr="0011571D">
        <w:t>The use or presence of a printing device is optional.</w:t>
      </w:r>
    </w:p>
    <w:p w14:paraId="4A0701B1" w14:textId="27D90C7E" w:rsidR="00C935E1" w:rsidRPr="0011571D" w:rsidRDefault="00C935E1" w:rsidP="00AF55DD">
      <w:pPr>
        <w:pStyle w:val="Heading2"/>
      </w:pPr>
      <w:bookmarkStart w:id="45" w:name="_Toc215219427"/>
      <w:bookmarkStart w:id="46" w:name="_Ref219203382"/>
      <w:bookmarkStart w:id="47" w:name="_Toc225850104"/>
      <w:r w:rsidRPr="0011571D">
        <w:lastRenderedPageBreak/>
        <w:t xml:space="preserve">Timeline for transition from </w:t>
      </w:r>
      <w:bookmarkStart w:id="48" w:name="_Hlk181305558"/>
      <w:r w:rsidRPr="0011571D">
        <w:t>NMI R 126:2013 to NMI R 126:2025</w:t>
      </w:r>
      <w:bookmarkEnd w:id="45"/>
      <w:bookmarkEnd w:id="46"/>
      <w:bookmarkEnd w:id="48"/>
      <w:bookmarkEnd w:id="47"/>
    </w:p>
    <w:p w14:paraId="09D8B820" w14:textId="77777777" w:rsidR="00C935E1" w:rsidRPr="0011571D" w:rsidRDefault="00C935E1" w:rsidP="00315092">
      <w:pPr>
        <w:keepNext/>
        <w:keepLines/>
      </w:pPr>
      <w:r w:rsidRPr="0011571D">
        <w:t>The following timeline is provided to inform the implementation of NMI R 126:2025 as Australia’s pattern approval requirements document and the transition process to replace NMI R 126:2013.</w:t>
      </w:r>
    </w:p>
    <w:p w14:paraId="5A1C486A" w14:textId="77777777" w:rsidR="00C935E1" w:rsidRPr="0011571D" w:rsidRDefault="00C935E1" w:rsidP="00315092">
      <w:pPr>
        <w:keepNext/>
        <w:keepLines/>
      </w:pPr>
      <w:bookmarkStart w:id="49" w:name="_Hlk179307589"/>
      <w:r w:rsidRPr="0011571D">
        <w:rPr>
          <w:b/>
          <w:bCs/>
        </w:rPr>
        <w:t xml:space="preserve">1 July 2025: </w:t>
      </w:r>
      <w:r w:rsidRPr="0011571D">
        <w:t>Adoption and publication of NMI R 126:2025.</w:t>
      </w:r>
    </w:p>
    <w:p w14:paraId="0A12EB78" w14:textId="77777777" w:rsidR="00C935E1" w:rsidRPr="0011571D" w:rsidRDefault="00C935E1" w:rsidP="00315092">
      <w:pPr>
        <w:keepNext/>
        <w:keepLines/>
        <w:numPr>
          <w:ilvl w:val="0"/>
          <w:numId w:val="26"/>
        </w:numPr>
      </w:pPr>
      <w:r w:rsidRPr="0011571D">
        <w:t>The date NMI R 126:2025 is published on the NMI website.</w:t>
      </w:r>
    </w:p>
    <w:p w14:paraId="12E00FB9" w14:textId="77777777" w:rsidR="00C935E1" w:rsidRPr="0011571D" w:rsidRDefault="00C935E1" w:rsidP="00315092">
      <w:pPr>
        <w:keepNext/>
        <w:keepLines/>
      </w:pPr>
      <w:r w:rsidRPr="0011571D">
        <w:rPr>
          <w:b/>
          <w:bCs/>
        </w:rPr>
        <w:t xml:space="preserve">1 July 2025: </w:t>
      </w:r>
      <w:r w:rsidRPr="0011571D">
        <w:t xml:space="preserve">Applications for approval of </w:t>
      </w:r>
      <w:r w:rsidRPr="0011571D">
        <w:rPr>
          <w:b/>
          <w:bCs/>
        </w:rPr>
        <w:t>patterns</w:t>
      </w:r>
      <w:r w:rsidRPr="0011571D">
        <w:t xml:space="preserve"> and </w:t>
      </w:r>
      <w:r w:rsidRPr="0011571D">
        <w:rPr>
          <w:b/>
          <w:bCs/>
        </w:rPr>
        <w:t>variants</w:t>
      </w:r>
      <w:r w:rsidRPr="0011571D">
        <w:t xml:space="preserve"> to NMI R 126:2025 accepted.</w:t>
      </w:r>
    </w:p>
    <w:p w14:paraId="38C7D75E" w14:textId="77777777" w:rsidR="00C935E1" w:rsidRPr="0011571D" w:rsidRDefault="00C935E1" w:rsidP="00C935E1">
      <w:pPr>
        <w:numPr>
          <w:ilvl w:val="0"/>
          <w:numId w:val="26"/>
        </w:numPr>
      </w:pPr>
      <w:bookmarkStart w:id="50" w:name="_Hlk138421717"/>
      <w:r w:rsidRPr="0011571D">
        <w:t>The effective implementation date for the new NMI R 126:2025 to be used to approve EBAs.</w:t>
      </w:r>
    </w:p>
    <w:bookmarkEnd w:id="50"/>
    <w:p w14:paraId="659DFC99" w14:textId="77777777" w:rsidR="00C935E1" w:rsidRPr="0011571D" w:rsidRDefault="00C935E1" w:rsidP="00C935E1">
      <w:r w:rsidRPr="0011571D">
        <w:rPr>
          <w:b/>
          <w:bCs/>
        </w:rPr>
        <w:t xml:space="preserve">1 July 2027: </w:t>
      </w:r>
      <w:r w:rsidRPr="0011571D">
        <w:t xml:space="preserve">Applications for approval of </w:t>
      </w:r>
      <w:r w:rsidRPr="0011571D">
        <w:rPr>
          <w:b/>
          <w:bCs/>
        </w:rPr>
        <w:t>patterns</w:t>
      </w:r>
      <w:r w:rsidRPr="0011571D">
        <w:t xml:space="preserve"> to NMI R 126:2013 no longer accepted.  </w:t>
      </w:r>
    </w:p>
    <w:p w14:paraId="78F07669" w14:textId="77777777" w:rsidR="00C935E1" w:rsidRPr="0011571D" w:rsidRDefault="00C935E1" w:rsidP="00C935E1">
      <w:pPr>
        <w:numPr>
          <w:ilvl w:val="0"/>
          <w:numId w:val="26"/>
        </w:numPr>
      </w:pPr>
      <w:r w:rsidRPr="0011571D">
        <w:t xml:space="preserve">New </w:t>
      </w:r>
      <w:r w:rsidRPr="0011571D">
        <w:rPr>
          <w:b/>
          <w:bCs/>
        </w:rPr>
        <w:t>patterns</w:t>
      </w:r>
      <w:r w:rsidRPr="0011571D">
        <w:t xml:space="preserve"> of EBAs will </w:t>
      </w:r>
      <w:r w:rsidRPr="0011571D">
        <w:rPr>
          <w:u w:val="single"/>
        </w:rPr>
        <w:t>not</w:t>
      </w:r>
      <w:r w:rsidRPr="0011571D">
        <w:t xml:space="preserve"> be approved in accordance with NMI R 126:2013 based on applications received on or after this date.</w:t>
      </w:r>
    </w:p>
    <w:p w14:paraId="3BFB8B83" w14:textId="77777777" w:rsidR="00C935E1" w:rsidRPr="0011571D" w:rsidRDefault="00C935E1" w:rsidP="00C935E1">
      <w:pPr>
        <w:numPr>
          <w:ilvl w:val="0"/>
          <w:numId w:val="26"/>
        </w:numPr>
      </w:pPr>
      <w:r w:rsidRPr="0011571D">
        <w:t>This means that applicants will only be able to apply for approval of new patterns in accordance with NMI R 126:2025 on or after this date.</w:t>
      </w:r>
    </w:p>
    <w:p w14:paraId="3C23F3B0" w14:textId="77777777" w:rsidR="00C935E1" w:rsidRPr="0011571D" w:rsidRDefault="00C935E1" w:rsidP="00C935E1">
      <w:r w:rsidRPr="0011571D">
        <w:rPr>
          <w:b/>
          <w:bCs/>
        </w:rPr>
        <w:t xml:space="preserve">1 July 2035: </w:t>
      </w:r>
      <w:r w:rsidRPr="0011571D">
        <w:t xml:space="preserve">Applications for approval of </w:t>
      </w:r>
      <w:r w:rsidRPr="0011571D">
        <w:rPr>
          <w:b/>
          <w:bCs/>
        </w:rPr>
        <w:t>variants</w:t>
      </w:r>
      <w:r w:rsidRPr="0011571D">
        <w:t xml:space="preserve"> to NMI R 126:2013 no longer accepted.</w:t>
      </w:r>
    </w:p>
    <w:p w14:paraId="4A486B46" w14:textId="77777777" w:rsidR="00C935E1" w:rsidRPr="0011571D" w:rsidRDefault="00C935E1" w:rsidP="00C935E1">
      <w:pPr>
        <w:numPr>
          <w:ilvl w:val="0"/>
          <w:numId w:val="26"/>
        </w:numPr>
      </w:pPr>
      <w:r w:rsidRPr="0011571D">
        <w:t xml:space="preserve">New </w:t>
      </w:r>
      <w:r w:rsidRPr="0011571D">
        <w:rPr>
          <w:b/>
          <w:bCs/>
        </w:rPr>
        <w:t>variants</w:t>
      </w:r>
      <w:r w:rsidRPr="0011571D">
        <w:t xml:space="preserve"> will </w:t>
      </w:r>
      <w:r w:rsidRPr="0011571D">
        <w:rPr>
          <w:u w:val="single"/>
        </w:rPr>
        <w:t>not</w:t>
      </w:r>
      <w:r w:rsidRPr="0011571D">
        <w:t xml:space="preserve"> be approved in accordance with NMI R 126:2013 based on applications received on or after this date.</w:t>
      </w:r>
    </w:p>
    <w:p w14:paraId="57482915" w14:textId="77777777" w:rsidR="00C935E1" w:rsidRPr="0011571D" w:rsidRDefault="00C935E1" w:rsidP="00C935E1">
      <w:pPr>
        <w:numPr>
          <w:ilvl w:val="0"/>
          <w:numId w:val="26"/>
        </w:numPr>
      </w:pPr>
      <w:r w:rsidRPr="0011571D">
        <w:t>This means that approval holders will only be able to apply for approval of variants in accordance with NMI R 126:2025 on or after this date.</w:t>
      </w:r>
    </w:p>
    <w:p w14:paraId="065CDD81" w14:textId="77777777" w:rsidR="00C935E1" w:rsidRPr="0011571D" w:rsidRDefault="00C935E1" w:rsidP="00C935E1">
      <w:pPr>
        <w:numPr>
          <w:ilvl w:val="0"/>
          <w:numId w:val="26"/>
        </w:numPr>
      </w:pPr>
      <w:r w:rsidRPr="0011571D">
        <w:t>This is the effective end date of NMI R 126:2013 as a pattern approval requirements document.</w:t>
      </w:r>
      <w:bookmarkEnd w:id="49"/>
    </w:p>
    <w:p w14:paraId="33AA4D4B" w14:textId="2B6A4B57" w:rsidR="00C935E1" w:rsidRPr="0011571D" w:rsidRDefault="00C935E1" w:rsidP="00AF55DD">
      <w:pPr>
        <w:pStyle w:val="Heading1"/>
      </w:pPr>
      <w:bookmarkStart w:id="51" w:name="_Toc215219428"/>
      <w:bookmarkStart w:id="52" w:name="_Toc225850105"/>
      <w:r w:rsidRPr="0011571D">
        <w:lastRenderedPageBreak/>
        <w:t>Pattern evaluation and pattern approval</w:t>
      </w:r>
      <w:bookmarkEnd w:id="51"/>
      <w:bookmarkEnd w:id="52"/>
    </w:p>
    <w:p w14:paraId="58C01086" w14:textId="77777777" w:rsidR="00577E6F" w:rsidRPr="0011571D" w:rsidRDefault="00C935E1" w:rsidP="00C935E1">
      <w:r w:rsidRPr="0011571D">
        <w:t xml:space="preserve">Pattern evaluation is the process where an impartial body examines the design of a measuring instrument against national or international standards and/or requirements. In Australia, these standards are generally adopted from OIML Recommendations (e.g. OIML R 126) and published as national pattern approval requirements documents (e.g. NMI R 126). This evaluation then informs a decision to approve the pattern, or not. </w:t>
      </w:r>
    </w:p>
    <w:p w14:paraId="27640F43" w14:textId="71F82C15" w:rsidR="00C935E1" w:rsidRPr="0011571D" w:rsidRDefault="00C935E1" w:rsidP="00C935E1">
      <w:r w:rsidRPr="0011571D">
        <w:t>The key requirements that are examined as part of pattern evaluation are that:</w:t>
      </w:r>
    </w:p>
    <w:p w14:paraId="44AA4F16" w14:textId="591EA56B" w:rsidR="00C935E1" w:rsidRPr="0011571D" w:rsidRDefault="00C935E1" w:rsidP="00C935E1">
      <w:pPr>
        <w:numPr>
          <w:ilvl w:val="0"/>
          <w:numId w:val="27"/>
        </w:numPr>
      </w:pPr>
      <w:r w:rsidRPr="0011571D">
        <w:t>the pattern complies with the relevant pattern approval requirements document</w:t>
      </w:r>
      <w:r w:rsidR="003E31D1" w:rsidRPr="0011571D">
        <w:t>,</w:t>
      </w:r>
      <w:r w:rsidRPr="0011571D">
        <w:t xml:space="preserve"> and </w:t>
      </w:r>
    </w:p>
    <w:p w14:paraId="54A8DF59" w14:textId="77777777" w:rsidR="00C935E1" w:rsidRPr="0011571D" w:rsidRDefault="00C935E1" w:rsidP="00C935E1">
      <w:pPr>
        <w:numPr>
          <w:ilvl w:val="0"/>
          <w:numId w:val="27"/>
        </w:numPr>
      </w:pPr>
      <w:r w:rsidRPr="0011571D">
        <w:t>the pattern is suitable for its intended use.</w:t>
      </w:r>
    </w:p>
    <w:p w14:paraId="6D8D49CC" w14:textId="5341BDF4" w:rsidR="00C935E1" w:rsidRPr="0011571D" w:rsidRDefault="00CD0245" w:rsidP="00C935E1">
      <w:r w:rsidRPr="0011571D">
        <w:t>C</w:t>
      </w:r>
      <w:r w:rsidR="00C935E1" w:rsidRPr="0011571D">
        <w:t xml:space="preserve">ompliance with the relevant pattern approval requirements document helps inform a decision </w:t>
      </w:r>
      <w:r w:rsidR="00577E6F" w:rsidRPr="0011571D">
        <w:t>about</w:t>
      </w:r>
      <w:r w:rsidR="00C935E1" w:rsidRPr="0011571D">
        <w:t xml:space="preserve"> its suitability</w:t>
      </w:r>
      <w:r w:rsidRPr="0011571D">
        <w:t>. T</w:t>
      </w:r>
      <w:r w:rsidR="00C935E1" w:rsidRPr="0011571D">
        <w:t xml:space="preserve">here are other considerations concerning the pattern, its design, operation and intended use that must be </w:t>
      </w:r>
      <w:proofErr w:type="gramStart"/>
      <w:r w:rsidR="00C935E1" w:rsidRPr="0011571D">
        <w:t>taken into account</w:t>
      </w:r>
      <w:proofErr w:type="gramEnd"/>
      <w:r w:rsidR="00C935E1" w:rsidRPr="0011571D">
        <w:t xml:space="preserve"> as part of the pattern evaluation process.</w:t>
      </w:r>
    </w:p>
    <w:p w14:paraId="395E2167" w14:textId="6626BC96" w:rsidR="00C935E1" w:rsidRPr="0011571D" w:rsidRDefault="00C935E1" w:rsidP="00C935E1">
      <w:r w:rsidRPr="0011571D">
        <w:t xml:space="preserve">Where a pattern is found to satisfy the above requirements, it may be approved for legal use in Australia. This pattern approval is evidenced by the publication of a </w:t>
      </w:r>
      <w:hyperlink r:id="rId19" w:history="1">
        <w:r w:rsidR="008572AF" w:rsidRPr="0011571D">
          <w:rPr>
            <w:rStyle w:val="Hyperlink"/>
          </w:rPr>
          <w:t>certificate of approval</w:t>
        </w:r>
      </w:hyperlink>
      <w:r w:rsidR="008572AF" w:rsidRPr="0011571D">
        <w:t xml:space="preserve"> on the Department of Industry website</w:t>
      </w:r>
      <w:r w:rsidR="00546D64" w:rsidRPr="0011571D">
        <w:t>.</w:t>
      </w:r>
      <w:r w:rsidRPr="0011571D">
        <w:t xml:space="preserve"> </w:t>
      </w:r>
    </w:p>
    <w:p w14:paraId="6B3438B1" w14:textId="4FC3F3BC" w:rsidR="00C935E1" w:rsidRPr="0011571D" w:rsidRDefault="00C935E1" w:rsidP="00814CC4">
      <w:pPr>
        <w:pStyle w:val="Heading2"/>
      </w:pPr>
      <w:bookmarkStart w:id="53" w:name="_Toc215219429"/>
      <w:bookmarkStart w:id="54" w:name="_Toc225850106"/>
      <w:r w:rsidRPr="0011571D">
        <w:t>Pattern approval process for EBAs</w:t>
      </w:r>
      <w:bookmarkEnd w:id="53"/>
      <w:bookmarkEnd w:id="54"/>
    </w:p>
    <w:p w14:paraId="2893DB0F" w14:textId="2FE67C6F" w:rsidR="008572AF" w:rsidRPr="0011571D" w:rsidRDefault="008572AF" w:rsidP="008572AF">
      <w:r w:rsidRPr="0011571D">
        <w:t xml:space="preserve">The following guidance should be read in conjunction with NMI P 106 and NMI R 126. </w:t>
      </w:r>
    </w:p>
    <w:p w14:paraId="4D6FDB0E" w14:textId="2FAC8A40" w:rsidR="00C935E1" w:rsidRPr="0011571D" w:rsidRDefault="00C935E1" w:rsidP="00315092">
      <w:pPr>
        <w:pStyle w:val="ListParagraph"/>
        <w:numPr>
          <w:ilvl w:val="0"/>
          <w:numId w:val="38"/>
        </w:numPr>
      </w:pPr>
      <w:r w:rsidRPr="0011571D">
        <w:t xml:space="preserve">NMI P 106 </w:t>
      </w:r>
      <w:r w:rsidRPr="0011571D">
        <w:rPr>
          <w:i/>
          <w:iCs/>
        </w:rPr>
        <w:t xml:space="preserve">Procedures for the Approval and Certification of Patterns of Measuring Instruments </w:t>
      </w:r>
      <w:proofErr w:type="gramStart"/>
      <w:r w:rsidR="00B85DC4" w:rsidRPr="0011571D">
        <w:t>describes</w:t>
      </w:r>
      <w:proofErr w:type="gramEnd"/>
      <w:r w:rsidR="00B85DC4" w:rsidRPr="0011571D">
        <w:t xml:space="preserve"> the pattern approval process. </w:t>
      </w:r>
      <w:r w:rsidR="008470BD" w:rsidRPr="0011571D">
        <w:t xml:space="preserve">It is available on the </w:t>
      </w:r>
      <w:hyperlink r:id="rId20" w:history="1">
        <w:r w:rsidR="008470BD" w:rsidRPr="0011571D">
          <w:rPr>
            <w:rStyle w:val="Hyperlink"/>
          </w:rPr>
          <w:t>Pattern approval page</w:t>
        </w:r>
      </w:hyperlink>
      <w:r w:rsidR="008470BD" w:rsidRPr="0011571D">
        <w:t xml:space="preserve"> on the Department</w:t>
      </w:r>
      <w:r w:rsidR="00392068" w:rsidRPr="0011571D">
        <w:t xml:space="preserve"> of Industry</w:t>
      </w:r>
      <w:r w:rsidR="008470BD" w:rsidRPr="0011571D">
        <w:t xml:space="preserve"> website.</w:t>
      </w:r>
    </w:p>
    <w:p w14:paraId="66556EDC" w14:textId="11615D3D" w:rsidR="00B85DC4" w:rsidRPr="0011571D" w:rsidRDefault="00B85DC4" w:rsidP="00315092">
      <w:pPr>
        <w:pStyle w:val="ListParagraph"/>
        <w:numPr>
          <w:ilvl w:val="0"/>
          <w:numId w:val="38"/>
        </w:numPr>
      </w:pPr>
      <w:r w:rsidRPr="0011571D">
        <w:t>NMI R 126 contains specific requirements for the pattern approval of EBAs.</w:t>
      </w:r>
    </w:p>
    <w:p w14:paraId="06145CB0" w14:textId="53DAB633" w:rsidR="00C935E1" w:rsidRPr="0011571D" w:rsidRDefault="00C935E1" w:rsidP="00C935E1">
      <w:r w:rsidRPr="0011571D">
        <w:t xml:space="preserve">A person may apply to NMI for the approval of a pattern of an EBA. The application </w:t>
      </w:r>
      <w:r w:rsidR="00F6160C" w:rsidRPr="0011571D">
        <w:t>process</w:t>
      </w:r>
      <w:r w:rsidRPr="0011571D">
        <w:t xml:space="preserve"> is </w:t>
      </w:r>
      <w:r w:rsidR="00392068" w:rsidRPr="0011571D">
        <w:t xml:space="preserve">on the </w:t>
      </w:r>
      <w:hyperlink r:id="rId21" w:history="1">
        <w:r w:rsidR="00392068" w:rsidRPr="0011571D">
          <w:rPr>
            <w:rStyle w:val="Hyperlink"/>
          </w:rPr>
          <w:t>Pattern approval page</w:t>
        </w:r>
      </w:hyperlink>
      <w:r w:rsidR="00392068" w:rsidRPr="0011571D">
        <w:t xml:space="preserve"> on the Department of Industry website</w:t>
      </w:r>
      <w:r w:rsidRPr="0011571D">
        <w:t xml:space="preserve">. </w:t>
      </w:r>
    </w:p>
    <w:p w14:paraId="1F138699" w14:textId="30F1C198" w:rsidR="00014E8A" w:rsidRPr="0011571D" w:rsidRDefault="00C935E1" w:rsidP="00C935E1">
      <w:r w:rsidRPr="0011571D">
        <w:t>To support the pattern evaluation</w:t>
      </w:r>
      <w:r w:rsidR="00392068" w:rsidRPr="0011571D">
        <w:t>,</w:t>
      </w:r>
      <w:r w:rsidRPr="0011571D">
        <w:t xml:space="preserve"> NMI requires information about the pattern as well as a physical sample of the pattern. </w:t>
      </w:r>
    </w:p>
    <w:p w14:paraId="56347A51" w14:textId="4C7BA7D4" w:rsidR="00C935E1" w:rsidRPr="0011571D" w:rsidRDefault="00C935E1" w:rsidP="00C935E1">
      <w:r w:rsidRPr="0011571D">
        <w:t>For example, the following may be required as part of a pattern approval application:</w:t>
      </w:r>
    </w:p>
    <w:p w14:paraId="36455FFA" w14:textId="77BD6D79" w:rsidR="00C935E1" w:rsidRPr="0011571D" w:rsidRDefault="00611895" w:rsidP="00C935E1">
      <w:pPr>
        <w:numPr>
          <w:ilvl w:val="0"/>
          <w:numId w:val="28"/>
        </w:numPr>
      </w:pPr>
      <w:r w:rsidRPr="0011571D">
        <w:t xml:space="preserve">technical </w:t>
      </w:r>
      <w:r w:rsidR="00C935E1" w:rsidRPr="0011571D">
        <w:t>specifications of the EBA, including rated operation conditions, indications, etc</w:t>
      </w:r>
    </w:p>
    <w:p w14:paraId="1E7FB88A" w14:textId="608654B9" w:rsidR="00C935E1" w:rsidRPr="0011571D" w:rsidRDefault="00611895" w:rsidP="00C935E1">
      <w:pPr>
        <w:numPr>
          <w:ilvl w:val="0"/>
          <w:numId w:val="28"/>
        </w:numPr>
      </w:pPr>
      <w:r w:rsidRPr="0011571D">
        <w:t xml:space="preserve">relevant </w:t>
      </w:r>
      <w:r w:rsidR="00C935E1" w:rsidRPr="0011571D">
        <w:t>manuals and operating instructions</w:t>
      </w:r>
    </w:p>
    <w:p w14:paraId="24D73AE2" w14:textId="36AEC16B" w:rsidR="00C935E1" w:rsidRPr="0011571D" w:rsidRDefault="00611895" w:rsidP="00C935E1">
      <w:pPr>
        <w:numPr>
          <w:ilvl w:val="0"/>
          <w:numId w:val="28"/>
        </w:numPr>
      </w:pPr>
      <w:r w:rsidRPr="0011571D">
        <w:t xml:space="preserve">images </w:t>
      </w:r>
      <w:r w:rsidR="00C935E1" w:rsidRPr="0011571D">
        <w:t>(for inclusion on the final certificate) showing the EBA, indicating device, any other relevant components, and required markings</w:t>
      </w:r>
    </w:p>
    <w:p w14:paraId="6FFAC524" w14:textId="70BB045E" w:rsidR="00C935E1" w:rsidRPr="0011571D" w:rsidRDefault="00611895" w:rsidP="00C935E1">
      <w:pPr>
        <w:numPr>
          <w:ilvl w:val="0"/>
          <w:numId w:val="28"/>
        </w:numPr>
      </w:pPr>
      <w:r w:rsidRPr="0011571D">
        <w:t xml:space="preserve">details </w:t>
      </w:r>
      <w:r w:rsidR="00C935E1" w:rsidRPr="0011571D">
        <w:t>and images of sealing provisions</w:t>
      </w:r>
    </w:p>
    <w:p w14:paraId="0269FC81" w14:textId="346F8072" w:rsidR="00C935E1" w:rsidRPr="0011571D" w:rsidRDefault="00611895" w:rsidP="00C935E1">
      <w:pPr>
        <w:numPr>
          <w:ilvl w:val="0"/>
          <w:numId w:val="28"/>
        </w:numPr>
      </w:pPr>
      <w:r w:rsidRPr="0011571D">
        <w:t xml:space="preserve">software and </w:t>
      </w:r>
      <w:r w:rsidR="00C935E1" w:rsidRPr="0011571D">
        <w:t>firmware information</w:t>
      </w:r>
    </w:p>
    <w:p w14:paraId="37088F3F" w14:textId="0919FFC2" w:rsidR="00C935E1" w:rsidRPr="0011571D" w:rsidRDefault="00611895" w:rsidP="00C935E1">
      <w:pPr>
        <w:numPr>
          <w:ilvl w:val="0"/>
          <w:numId w:val="28"/>
        </w:numPr>
      </w:pPr>
      <w:r w:rsidRPr="0011571D">
        <w:t xml:space="preserve">technical </w:t>
      </w:r>
      <w:r w:rsidR="00C935E1" w:rsidRPr="0011571D">
        <w:t>drawings, diagrams and component lists</w:t>
      </w:r>
    </w:p>
    <w:p w14:paraId="5E6C2813" w14:textId="3F29A6D3" w:rsidR="00C935E1" w:rsidRPr="0011571D" w:rsidRDefault="00611895" w:rsidP="00C935E1">
      <w:pPr>
        <w:numPr>
          <w:ilvl w:val="0"/>
          <w:numId w:val="28"/>
        </w:numPr>
      </w:pPr>
      <w:r w:rsidRPr="0011571D">
        <w:t xml:space="preserve">at </w:t>
      </w:r>
      <w:r w:rsidR="00C935E1" w:rsidRPr="0011571D">
        <w:t xml:space="preserve">least one (1) physical sample for evaluation and/or testing purposes. </w:t>
      </w:r>
    </w:p>
    <w:p w14:paraId="764A369E" w14:textId="32C87882" w:rsidR="00C935E1" w:rsidRPr="0011571D" w:rsidRDefault="00C935E1" w:rsidP="00814CC4">
      <w:pPr>
        <w:pStyle w:val="Heading2"/>
      </w:pPr>
      <w:bookmarkStart w:id="55" w:name="_Toc215219430"/>
      <w:bookmarkStart w:id="56" w:name="_Toc225850107"/>
      <w:r w:rsidRPr="0011571D">
        <w:t>Testing and test reports for EBAs</w:t>
      </w:r>
      <w:bookmarkEnd w:id="55"/>
      <w:bookmarkEnd w:id="56"/>
    </w:p>
    <w:p w14:paraId="181E43D0" w14:textId="54A15AF4" w:rsidR="00C935E1" w:rsidRPr="0011571D" w:rsidRDefault="00C935E1" w:rsidP="00C935E1">
      <w:r w:rsidRPr="0011571D">
        <w:t>As part of the pattern approval process, a physical sample of the pattern of an EBA must be tested in accordance with NMI R 126-2</w:t>
      </w:r>
      <w:r w:rsidR="004E1A37" w:rsidRPr="0011571D">
        <w:t>. The testing must d</w:t>
      </w:r>
      <w:r w:rsidRPr="0011571D">
        <w:t>emonstrate compliance with the metrological and technical requirements of NMI R 126-1. The laboratory that performed the testing must issue a test report in accordance with NMI R 126-3.</w:t>
      </w:r>
    </w:p>
    <w:p w14:paraId="5C1C3224" w14:textId="053439A1" w:rsidR="00C935E1" w:rsidRPr="0011571D" w:rsidRDefault="00C935E1" w:rsidP="00C935E1">
      <w:r w:rsidRPr="0011571D">
        <w:lastRenderedPageBreak/>
        <w:t>Appendix 1 of NMI P 106</w:t>
      </w:r>
      <w:r w:rsidR="00A20E0F" w:rsidRPr="0011571D">
        <w:t xml:space="preserve"> sets out the requirements for</w:t>
      </w:r>
      <w:r w:rsidRPr="0011571D">
        <w:t xml:space="preserve"> applications for </w:t>
      </w:r>
      <w:r w:rsidR="00A20E0F" w:rsidRPr="0011571D">
        <w:t>pattern approval.</w:t>
      </w:r>
      <w:r w:rsidR="002C7B9D" w:rsidRPr="0011571D">
        <w:t xml:space="preserve"> For EBAs,</w:t>
      </w:r>
      <w:r w:rsidRPr="0011571D">
        <w:t xml:space="preserve"> NMI may accept test results and test reports from Tier 1 testing facilities only. NMI will not accept test results or test reports from Tier 2, 3 or 4 testing facilities. </w:t>
      </w:r>
    </w:p>
    <w:p w14:paraId="40BC7608" w14:textId="27FC453C" w:rsidR="00C935E1" w:rsidRPr="0011571D" w:rsidRDefault="00C935E1" w:rsidP="00C935E1">
      <w:r w:rsidRPr="0011571D">
        <w:t>In summary, this means that NMI may accept test reports from the following laboratories</w:t>
      </w:r>
      <w:r w:rsidR="008905E7" w:rsidRPr="0011571D">
        <w:t xml:space="preserve"> only</w:t>
      </w:r>
      <w:r w:rsidRPr="0011571D">
        <w:t>:</w:t>
      </w:r>
    </w:p>
    <w:p w14:paraId="1908DA6A" w14:textId="7572677B" w:rsidR="00C935E1" w:rsidRPr="0011571D" w:rsidRDefault="00766622" w:rsidP="00C935E1">
      <w:pPr>
        <w:numPr>
          <w:ilvl w:val="0"/>
          <w:numId w:val="29"/>
        </w:numPr>
      </w:pPr>
      <w:r w:rsidRPr="0011571D">
        <w:t xml:space="preserve">the </w:t>
      </w:r>
      <w:r w:rsidR="00C935E1" w:rsidRPr="0011571D">
        <w:t xml:space="preserve">NMI Australia Pattern Approval Laboratory </w:t>
      </w:r>
    </w:p>
    <w:p w14:paraId="03AFCF41" w14:textId="45EAD558" w:rsidR="00C935E1" w:rsidRPr="0011571D" w:rsidRDefault="00C935E1" w:rsidP="00C935E1">
      <w:pPr>
        <w:numPr>
          <w:ilvl w:val="0"/>
          <w:numId w:val="29"/>
        </w:numPr>
      </w:pPr>
      <w:r w:rsidRPr="0011571D">
        <w:t xml:space="preserve">NMI appointed </w:t>
      </w:r>
      <w:r w:rsidR="004E1A37" w:rsidRPr="0011571D">
        <w:t xml:space="preserve">approving authorities </w:t>
      </w:r>
    </w:p>
    <w:p w14:paraId="0AAEB3AD" w14:textId="325247AA" w:rsidR="00C935E1" w:rsidRPr="0011571D" w:rsidRDefault="00C935E1" w:rsidP="00C935E1">
      <w:pPr>
        <w:numPr>
          <w:ilvl w:val="0"/>
          <w:numId w:val="29"/>
        </w:numPr>
      </w:pPr>
      <w:bookmarkStart w:id="57" w:name="_Hlk151725815"/>
      <w:r w:rsidRPr="0011571D">
        <w:t>OIML</w:t>
      </w:r>
      <w:r w:rsidR="00554C98" w:rsidRPr="0011571D">
        <w:t xml:space="preserve"> </w:t>
      </w:r>
      <w:r w:rsidRPr="0011571D">
        <w:t>C</w:t>
      </w:r>
      <w:r w:rsidR="00554C98" w:rsidRPr="0011571D">
        <w:t>ertification System</w:t>
      </w:r>
      <w:r w:rsidRPr="0011571D">
        <w:t xml:space="preserve"> </w:t>
      </w:r>
      <w:r w:rsidR="004E1A37" w:rsidRPr="0011571D">
        <w:t xml:space="preserve">test laboratories </w:t>
      </w:r>
      <w:bookmarkEnd w:id="57"/>
      <w:r w:rsidRPr="0011571D">
        <w:t xml:space="preserve">that are approved under Scheme A for OIML R 126:2021 </w:t>
      </w:r>
      <w:proofErr w:type="gramStart"/>
      <w:r w:rsidRPr="0011571D">
        <w:t>with the exception of</w:t>
      </w:r>
      <w:proofErr w:type="gramEnd"/>
      <w:r w:rsidRPr="0011571D">
        <w:t xml:space="preserve"> manufacturer test laboratories.</w:t>
      </w:r>
    </w:p>
    <w:p w14:paraId="6B2FBD20" w14:textId="4643D17D" w:rsidR="00C935E1" w:rsidRPr="0011571D" w:rsidRDefault="00C935E1" w:rsidP="00814CC4">
      <w:pPr>
        <w:pStyle w:val="Heading2"/>
      </w:pPr>
      <w:bookmarkStart w:id="58" w:name="_Toc215219431"/>
      <w:bookmarkStart w:id="59" w:name="_Toc225850108"/>
      <w:r w:rsidRPr="0011571D">
        <w:t>Variants of approved patterns</w:t>
      </w:r>
      <w:bookmarkEnd w:id="58"/>
      <w:bookmarkEnd w:id="59"/>
    </w:p>
    <w:p w14:paraId="21776731" w14:textId="77777777" w:rsidR="00C935E1" w:rsidRPr="0011571D" w:rsidRDefault="00C935E1" w:rsidP="00C935E1">
      <w:r w:rsidRPr="0011571D">
        <w:t xml:space="preserve">A variant is an addition, removal and/or modification to a component of an existing approved pattern of an instrument. Examples of possible variants include: </w:t>
      </w:r>
    </w:p>
    <w:p w14:paraId="7CBE924C" w14:textId="6270D7B6" w:rsidR="00C935E1" w:rsidRPr="0011571D" w:rsidRDefault="00766622" w:rsidP="00C935E1">
      <w:pPr>
        <w:numPr>
          <w:ilvl w:val="0"/>
          <w:numId w:val="30"/>
        </w:numPr>
      </w:pPr>
      <w:r w:rsidRPr="0011571D">
        <w:t xml:space="preserve">changes </w:t>
      </w:r>
      <w:r w:rsidR="00C935E1" w:rsidRPr="0011571D">
        <w:t>to hardware such as indicating devices, instrument housings, measurement transducers</w:t>
      </w:r>
    </w:p>
    <w:p w14:paraId="35FF6319" w14:textId="153A4431" w:rsidR="00C935E1" w:rsidRPr="0011571D" w:rsidRDefault="00766622" w:rsidP="00C935E1">
      <w:pPr>
        <w:numPr>
          <w:ilvl w:val="0"/>
          <w:numId w:val="30"/>
        </w:numPr>
      </w:pPr>
      <w:r w:rsidRPr="0011571D">
        <w:t xml:space="preserve">changes </w:t>
      </w:r>
      <w:r w:rsidR="00C935E1" w:rsidRPr="0011571D">
        <w:t>to software versions that impact the metrological performance or metrological operations of the instrument (including indication of the measurement result)</w:t>
      </w:r>
    </w:p>
    <w:p w14:paraId="218988BB" w14:textId="44229438" w:rsidR="00C935E1" w:rsidRPr="0011571D" w:rsidRDefault="00766622" w:rsidP="00C935E1">
      <w:pPr>
        <w:numPr>
          <w:ilvl w:val="0"/>
          <w:numId w:val="30"/>
        </w:numPr>
      </w:pPr>
      <w:r w:rsidRPr="0011571D">
        <w:t xml:space="preserve">changes </w:t>
      </w:r>
      <w:r w:rsidR="00C935E1" w:rsidRPr="0011571D">
        <w:t xml:space="preserve">to ancillary devices such as printers and other legally relevant indications </w:t>
      </w:r>
      <w:r w:rsidRPr="0011571D">
        <w:t xml:space="preserve">that </w:t>
      </w:r>
      <w:r w:rsidR="00C935E1" w:rsidRPr="0011571D">
        <w:t xml:space="preserve">are specified on the </w:t>
      </w:r>
      <w:r w:rsidRPr="0011571D">
        <w:t>certificate of approval</w:t>
      </w:r>
      <w:r w:rsidR="00F6160C" w:rsidRPr="0011571D">
        <w:t>.</w:t>
      </w:r>
    </w:p>
    <w:p w14:paraId="344F2ED3" w14:textId="67DA8C43" w:rsidR="00C935E1" w:rsidRPr="0011571D" w:rsidRDefault="00C935E1" w:rsidP="00814CC4">
      <w:pPr>
        <w:pStyle w:val="Heading2"/>
      </w:pPr>
      <w:bookmarkStart w:id="60" w:name="_Toc215219432"/>
      <w:bookmarkStart w:id="61" w:name="_Toc225850109"/>
      <w:r w:rsidRPr="0011571D">
        <w:t>Approval of variants</w:t>
      </w:r>
      <w:bookmarkEnd w:id="60"/>
      <w:bookmarkEnd w:id="61"/>
    </w:p>
    <w:p w14:paraId="5CC413AA" w14:textId="006B8C97" w:rsidR="00C935E1" w:rsidRPr="0011571D" w:rsidRDefault="00C935E1" w:rsidP="00C935E1">
      <w:r w:rsidRPr="0011571D">
        <w:t xml:space="preserve">The approval holder (the person or company named on the </w:t>
      </w:r>
      <w:r w:rsidR="00766622" w:rsidRPr="0011571D">
        <w:t>certificate of approval</w:t>
      </w:r>
      <w:r w:rsidRPr="0011571D">
        <w:t xml:space="preserve">) may apply to NMI for the approval of a variant to the existing approval. Only the approval holder (or their authorised representative) can </w:t>
      </w:r>
      <w:proofErr w:type="gramStart"/>
      <w:r w:rsidRPr="0011571D">
        <w:t>submit an application</w:t>
      </w:r>
      <w:proofErr w:type="gramEnd"/>
      <w:r w:rsidRPr="0011571D">
        <w:t xml:space="preserve"> for a variant to an approval that they hold. The approval holder may authorise a third-party representative to </w:t>
      </w:r>
      <w:r w:rsidR="00766622" w:rsidRPr="0011571D">
        <w:t xml:space="preserve">submit </w:t>
      </w:r>
      <w:r w:rsidRPr="0011571D">
        <w:t>and progress an application on their behalf, including the payment of fees. This authorisation needs to be submitted to NMI in writing.</w:t>
      </w:r>
    </w:p>
    <w:p w14:paraId="76A099A3" w14:textId="77777777" w:rsidR="00EE7C0F" w:rsidRPr="0011571D" w:rsidRDefault="00C935E1" w:rsidP="00C935E1">
      <w:r w:rsidRPr="0011571D">
        <w:t>An application for the approval of a variant is handled in a similar manner as an application for the approval of a pattern. However, the pattern evaluation and any required testing will be subject to</w:t>
      </w:r>
      <w:r w:rsidR="00EE7C0F" w:rsidRPr="0011571D">
        <w:t>:</w:t>
      </w:r>
    </w:p>
    <w:p w14:paraId="42D2E519" w14:textId="5226B2F7" w:rsidR="00EE7C0F" w:rsidRPr="0011571D" w:rsidRDefault="00C935E1" w:rsidP="00EE7C0F">
      <w:pPr>
        <w:pStyle w:val="ListParagraph"/>
        <w:numPr>
          <w:ilvl w:val="0"/>
          <w:numId w:val="37"/>
        </w:numPr>
      </w:pPr>
      <w:r w:rsidRPr="0011571D">
        <w:t>the design of the variant</w:t>
      </w:r>
      <w:r w:rsidR="00EE7C0F" w:rsidRPr="0011571D">
        <w:t>, and</w:t>
      </w:r>
      <w:r w:rsidRPr="0011571D">
        <w:t xml:space="preserve"> </w:t>
      </w:r>
    </w:p>
    <w:p w14:paraId="693357BE" w14:textId="422F0186" w:rsidR="00C935E1" w:rsidRPr="0011571D" w:rsidRDefault="00C935E1" w:rsidP="00315092">
      <w:pPr>
        <w:pStyle w:val="ListParagraph"/>
        <w:numPr>
          <w:ilvl w:val="0"/>
          <w:numId w:val="37"/>
        </w:numPr>
      </w:pPr>
      <w:r w:rsidRPr="0011571D">
        <w:t>how it may change the measurement design and performance of the existing approved pattern (and approved variants).</w:t>
      </w:r>
    </w:p>
    <w:p w14:paraId="71B9FEF2" w14:textId="1F804C6A" w:rsidR="00C935E1" w:rsidRPr="0011571D" w:rsidRDefault="00C935E1" w:rsidP="00C935E1">
      <w:r w:rsidRPr="0011571D">
        <w:t xml:space="preserve">An approved variant is documented in a </w:t>
      </w:r>
      <w:r w:rsidR="0035288F" w:rsidRPr="0011571D">
        <w:t>certificate of approval. The certificate describes</w:t>
      </w:r>
      <w:r w:rsidRPr="0011571D">
        <w:t xml:space="preserve"> the design change or modification to an approved pattern. </w:t>
      </w:r>
      <w:r w:rsidR="00AD3CC4" w:rsidRPr="0011571D">
        <w:t>E</w:t>
      </w:r>
      <w:r w:rsidRPr="0011571D">
        <w:t>xample</w:t>
      </w:r>
      <w:r w:rsidR="00AD3CC4" w:rsidRPr="0011571D">
        <w:t>s include</w:t>
      </w:r>
      <w:r w:rsidRPr="0011571D">
        <w:t xml:space="preserve"> a different indicating device or different software version. Variants are approved for legal</w:t>
      </w:r>
      <w:r w:rsidR="00AD3CC4" w:rsidRPr="0011571D">
        <w:t xml:space="preserve"> or </w:t>
      </w:r>
      <w:r w:rsidRPr="0011571D">
        <w:t>trade use just like the original pattern</w:t>
      </w:r>
      <w:r w:rsidR="00D965EB" w:rsidRPr="0011571D">
        <w:t>. T</w:t>
      </w:r>
      <w:r w:rsidRPr="0011571D">
        <w:t xml:space="preserve">hey simply provide for a convenient way of documenting design changes </w:t>
      </w:r>
      <w:r w:rsidR="00AD3CC4" w:rsidRPr="0011571D">
        <w:t>within certificates of approval</w:t>
      </w:r>
      <w:r w:rsidR="00BE744E" w:rsidRPr="0011571D">
        <w:t xml:space="preserve">, </w:t>
      </w:r>
      <w:r w:rsidRPr="0011571D">
        <w:t xml:space="preserve">rather than issuing a </w:t>
      </w:r>
      <w:r w:rsidR="00AD3CC4" w:rsidRPr="0011571D">
        <w:t>new c</w:t>
      </w:r>
      <w:r w:rsidRPr="0011571D">
        <w:t>ertificate every time a design is updated.</w:t>
      </w:r>
    </w:p>
    <w:p w14:paraId="55122198" w14:textId="5372070A" w:rsidR="00AE0147" w:rsidRPr="0011571D" w:rsidRDefault="00C935E1" w:rsidP="00C935E1">
      <w:r w:rsidRPr="0011571D">
        <w:t xml:space="preserve">Approval holders should contact NMI whenever there are design changes to approved patterns of measuring instruments that they hold. </w:t>
      </w:r>
      <w:r w:rsidR="00A67F9A" w:rsidRPr="0011571D">
        <w:t>They c</w:t>
      </w:r>
      <w:r w:rsidR="00876B8D" w:rsidRPr="0011571D">
        <w:t xml:space="preserve">an </w:t>
      </w:r>
      <w:r w:rsidR="005F4756" w:rsidRPr="0011571D">
        <w:t xml:space="preserve">contact </w:t>
      </w:r>
      <w:r w:rsidR="00AE0147" w:rsidRPr="0011571D">
        <w:t>NMI for advice about:</w:t>
      </w:r>
    </w:p>
    <w:p w14:paraId="3E71165B" w14:textId="44D01B1E" w:rsidR="00AE0147" w:rsidRPr="0011571D" w:rsidRDefault="00827A77" w:rsidP="00315092">
      <w:pPr>
        <w:pStyle w:val="ListParagraph"/>
        <w:numPr>
          <w:ilvl w:val="0"/>
          <w:numId w:val="36"/>
        </w:numPr>
      </w:pPr>
      <w:r w:rsidRPr="0011571D">
        <w:t>w</w:t>
      </w:r>
      <w:r w:rsidR="005F4756" w:rsidRPr="0011571D">
        <w:t xml:space="preserve">hether </w:t>
      </w:r>
      <w:r w:rsidR="00C935E1" w:rsidRPr="0011571D">
        <w:t xml:space="preserve">a design change to a pattern should be documented as a variant in a </w:t>
      </w:r>
      <w:r w:rsidR="00701FF7" w:rsidRPr="0011571D">
        <w:t>certificate of approval</w:t>
      </w:r>
    </w:p>
    <w:p w14:paraId="3395B218" w14:textId="7F37BD65" w:rsidR="00AE0147" w:rsidRPr="0011571D" w:rsidRDefault="00827A77" w:rsidP="00315092">
      <w:pPr>
        <w:pStyle w:val="ListParagraph"/>
        <w:numPr>
          <w:ilvl w:val="0"/>
          <w:numId w:val="36"/>
        </w:numPr>
      </w:pPr>
      <w:r w:rsidRPr="0011571D">
        <w:t xml:space="preserve">if </w:t>
      </w:r>
      <w:r w:rsidR="00C935E1" w:rsidRPr="0011571D">
        <w:t xml:space="preserve">the change requires a new </w:t>
      </w:r>
      <w:r w:rsidR="00701FF7" w:rsidRPr="0011571D">
        <w:t xml:space="preserve">certificate of approval </w:t>
      </w:r>
      <w:r w:rsidR="00C935E1" w:rsidRPr="0011571D">
        <w:t xml:space="preserve">to be issued. </w:t>
      </w:r>
    </w:p>
    <w:p w14:paraId="07766B79" w14:textId="77388073" w:rsidR="00C935E1" w:rsidRPr="0011571D" w:rsidRDefault="00C935E1" w:rsidP="00C935E1">
      <w:r w:rsidRPr="0011571D">
        <w:t xml:space="preserve">Alternatively, an approval holder can </w:t>
      </w:r>
      <w:proofErr w:type="gramStart"/>
      <w:r w:rsidRPr="0011571D">
        <w:t>submit an application</w:t>
      </w:r>
      <w:proofErr w:type="gramEnd"/>
      <w:r w:rsidRPr="0011571D">
        <w:t xml:space="preserve"> for </w:t>
      </w:r>
      <w:r w:rsidR="00827A77" w:rsidRPr="0011571D">
        <w:t xml:space="preserve">a </w:t>
      </w:r>
      <w:r w:rsidRPr="0011571D">
        <w:t xml:space="preserve">variant (or </w:t>
      </w:r>
      <w:r w:rsidR="00827A77" w:rsidRPr="0011571D">
        <w:t xml:space="preserve">a </w:t>
      </w:r>
      <w:r w:rsidRPr="0011571D">
        <w:t xml:space="preserve">new </w:t>
      </w:r>
      <w:r w:rsidR="00827A77" w:rsidRPr="0011571D">
        <w:t>certificate</w:t>
      </w:r>
      <w:r w:rsidRPr="0011571D">
        <w:t>) without prior advice from NMI.</w:t>
      </w:r>
    </w:p>
    <w:p w14:paraId="6505C79D" w14:textId="1C82FAC1" w:rsidR="00C935E1" w:rsidRPr="0011571D" w:rsidRDefault="00C935E1" w:rsidP="00814CC4">
      <w:pPr>
        <w:pStyle w:val="Heading2"/>
      </w:pPr>
      <w:bookmarkStart w:id="62" w:name="_Toc215219433"/>
      <w:bookmarkStart w:id="63" w:name="_Toc225850110"/>
      <w:r w:rsidRPr="0011571D">
        <w:lastRenderedPageBreak/>
        <w:t>Amendments to certificates of approval</w:t>
      </w:r>
      <w:bookmarkEnd w:id="62"/>
      <w:bookmarkEnd w:id="63"/>
    </w:p>
    <w:p w14:paraId="29C7B6E4" w14:textId="451C8EE6" w:rsidR="00C935E1" w:rsidRPr="0011571D" w:rsidRDefault="00C935E1" w:rsidP="00C935E1">
      <w:r w:rsidRPr="0011571D">
        <w:t xml:space="preserve">An amendment is generally considered a minor change to a </w:t>
      </w:r>
      <w:r w:rsidR="00701FF7" w:rsidRPr="0011571D">
        <w:t>certificate of approval</w:t>
      </w:r>
      <w:r w:rsidRPr="0011571D">
        <w:t>. This may include minor corrections or updates to the pattern or variants, contact details of the approval holder, or other clarifying information.</w:t>
      </w:r>
    </w:p>
    <w:p w14:paraId="6DC00F09" w14:textId="7D3B6437" w:rsidR="00C935E1" w:rsidRPr="0011571D" w:rsidRDefault="00C935E1" w:rsidP="00C935E1">
      <w:r w:rsidRPr="0011571D">
        <w:t xml:space="preserve">The approval holder may apply to NMI for amendments to their </w:t>
      </w:r>
      <w:r w:rsidR="00701FF7" w:rsidRPr="0011571D">
        <w:t>certificate of approval</w:t>
      </w:r>
      <w:r w:rsidRPr="0011571D">
        <w:t>.</w:t>
      </w:r>
    </w:p>
    <w:p w14:paraId="7C0DADAC" w14:textId="66180CC7" w:rsidR="00C935E1" w:rsidRPr="0011571D" w:rsidRDefault="00C935E1" w:rsidP="00A23C3A">
      <w:pPr>
        <w:pStyle w:val="Heading1"/>
      </w:pPr>
      <w:bookmarkStart w:id="64" w:name="_Toc215219434"/>
      <w:bookmarkStart w:id="65" w:name="_Toc225850111"/>
      <w:r w:rsidRPr="0011571D">
        <w:lastRenderedPageBreak/>
        <w:t>Certification process</w:t>
      </w:r>
      <w:bookmarkEnd w:id="64"/>
      <w:bookmarkEnd w:id="65"/>
      <w:r w:rsidRPr="0011571D">
        <w:t xml:space="preserve"> </w:t>
      </w:r>
    </w:p>
    <w:p w14:paraId="33CCA4C8" w14:textId="6FBAA34F" w:rsidR="00C935E1" w:rsidRPr="0011571D" w:rsidRDefault="00C935E1" w:rsidP="00814CC4">
      <w:pPr>
        <w:pStyle w:val="Heading2"/>
      </w:pPr>
      <w:bookmarkStart w:id="66" w:name="_Toc215219435"/>
      <w:bookmarkStart w:id="67" w:name="_Toc225850112"/>
      <w:r w:rsidRPr="0011571D">
        <w:t>Initial certification</w:t>
      </w:r>
      <w:bookmarkEnd w:id="66"/>
      <w:bookmarkEnd w:id="67"/>
    </w:p>
    <w:p w14:paraId="4CDA6BE4" w14:textId="639E0AE5" w:rsidR="00C935E1" w:rsidRPr="0011571D" w:rsidRDefault="009F114C" w:rsidP="00C935E1">
      <w:r w:rsidRPr="0011571D">
        <w:t>This is d</w:t>
      </w:r>
      <w:r w:rsidR="00C935E1" w:rsidRPr="0011571D">
        <w:t xml:space="preserve">efined as </w:t>
      </w:r>
      <w:r w:rsidRPr="0011571D">
        <w:t>‘</w:t>
      </w:r>
      <w:r w:rsidR="00C935E1" w:rsidRPr="0011571D">
        <w:t>Initial Verification</w:t>
      </w:r>
      <w:r w:rsidRPr="0011571D">
        <w:t xml:space="preserve">’ </w:t>
      </w:r>
      <w:r w:rsidR="00C935E1" w:rsidRPr="0011571D">
        <w:t>in NMI R 126-2, section 3.1.1.</w:t>
      </w:r>
    </w:p>
    <w:p w14:paraId="7269DE7F" w14:textId="76DA0ED2" w:rsidR="00C935E1" w:rsidRPr="0011571D" w:rsidRDefault="00C935E1" w:rsidP="00C935E1">
      <w:r w:rsidRPr="0011571D">
        <w:t xml:space="preserve">Every new instrument sold in Australia that is to comply with NMI R 126 shall be subjected to </w:t>
      </w:r>
      <w:r w:rsidR="009F114C" w:rsidRPr="0011571D">
        <w:t>initial certification</w:t>
      </w:r>
      <w:r w:rsidRPr="0011571D">
        <w:t xml:space="preserve"> testing. The testing is a sub-section of the NMI R 126 tests</w:t>
      </w:r>
      <w:r w:rsidR="009F114C" w:rsidRPr="0011571D">
        <w:t>. It is c</w:t>
      </w:r>
      <w:r w:rsidRPr="0011571D">
        <w:t xml:space="preserve">arried out to ensure compliance to NMI R 126 and monitor for any potential faults </w:t>
      </w:r>
      <w:r w:rsidR="007C5F1E" w:rsidRPr="0011571D">
        <w:t>in</w:t>
      </w:r>
      <w:r w:rsidRPr="0011571D">
        <w:t xml:space="preserve"> each instrument.</w:t>
      </w:r>
    </w:p>
    <w:p w14:paraId="35539434" w14:textId="459F2C34" w:rsidR="00237F50" w:rsidRPr="0011571D" w:rsidRDefault="00C935E1" w:rsidP="00C935E1">
      <w:r w:rsidRPr="0011571D">
        <w:t xml:space="preserve">The testing is conducted by the </w:t>
      </w:r>
      <w:r w:rsidR="00F6160C" w:rsidRPr="0011571D">
        <w:t>National Evidential Breath Analysis Laboratory (NEBAL)</w:t>
      </w:r>
      <w:r w:rsidRPr="0011571D">
        <w:t xml:space="preserve">.  The cost of testing for Australian state and territory police services is covered by their annual contribution to the running of </w:t>
      </w:r>
      <w:r w:rsidR="00F6160C" w:rsidRPr="0011571D">
        <w:t>NEBAL</w:t>
      </w:r>
      <w:r w:rsidRPr="0011571D">
        <w:t xml:space="preserve">. </w:t>
      </w:r>
    </w:p>
    <w:p w14:paraId="628991B7" w14:textId="61B38948" w:rsidR="00C935E1" w:rsidRPr="0011571D" w:rsidRDefault="00C935E1" w:rsidP="00C935E1">
      <w:r w:rsidRPr="0011571D">
        <w:t>External customers will be charged a fee</w:t>
      </w:r>
      <w:r w:rsidR="00237F50" w:rsidRPr="0011571D">
        <w:t xml:space="preserve">, usually through the </w:t>
      </w:r>
      <w:r w:rsidRPr="0011571D">
        <w:t>manufacturer</w:t>
      </w:r>
      <w:r w:rsidR="00237F50" w:rsidRPr="0011571D">
        <w:t xml:space="preserve"> or </w:t>
      </w:r>
      <w:r w:rsidRPr="0011571D">
        <w:t>supplier at the time of instrument purchase.</w:t>
      </w:r>
    </w:p>
    <w:p w14:paraId="52A802C1" w14:textId="48FEBD8D" w:rsidR="00C935E1" w:rsidRPr="0011571D" w:rsidRDefault="00C935E1" w:rsidP="00814CC4">
      <w:pPr>
        <w:pStyle w:val="Heading2"/>
      </w:pPr>
      <w:bookmarkStart w:id="68" w:name="_Toc215219436"/>
      <w:bookmarkStart w:id="69" w:name="_Toc225850113"/>
      <w:r w:rsidRPr="0011571D">
        <w:t>Periodic certification</w:t>
      </w:r>
      <w:bookmarkEnd w:id="68"/>
      <w:bookmarkEnd w:id="69"/>
    </w:p>
    <w:p w14:paraId="127E87D3" w14:textId="4D8ACB44" w:rsidR="00C935E1" w:rsidRPr="0011571D" w:rsidRDefault="00237F50" w:rsidP="00C935E1">
      <w:r w:rsidRPr="0011571D">
        <w:t>This is d</w:t>
      </w:r>
      <w:r w:rsidR="00C935E1" w:rsidRPr="0011571D">
        <w:t xml:space="preserve">efined as </w:t>
      </w:r>
      <w:r w:rsidRPr="0011571D">
        <w:t>‘</w:t>
      </w:r>
      <w:r w:rsidR="00C935E1" w:rsidRPr="0011571D">
        <w:t>Subsequent Verification</w:t>
      </w:r>
      <w:r w:rsidRPr="0011571D">
        <w:t xml:space="preserve">’ </w:t>
      </w:r>
      <w:r w:rsidR="00C935E1" w:rsidRPr="0011571D">
        <w:t>in NMI R 126-2, section 3.1.2.</w:t>
      </w:r>
    </w:p>
    <w:p w14:paraId="1B2D57BC" w14:textId="74D5D12A" w:rsidR="00C935E1" w:rsidRPr="0011571D" w:rsidRDefault="00C935E1" w:rsidP="00C935E1">
      <w:r w:rsidRPr="0011571D">
        <w:t xml:space="preserve">Periodic </w:t>
      </w:r>
      <w:r w:rsidR="00487D18" w:rsidRPr="0011571D">
        <w:t xml:space="preserve">certification is </w:t>
      </w:r>
      <w:r w:rsidRPr="0011571D">
        <w:t>the ongoing calibration of EBA instruments. The certifications are valid for intervals as defined in the NMI certificate of approval (generally 12 months).</w:t>
      </w:r>
    </w:p>
    <w:p w14:paraId="358B95F9" w14:textId="10054B6D" w:rsidR="00C935E1" w:rsidRPr="0011571D" w:rsidRDefault="00C935E1" w:rsidP="00C935E1">
      <w:r w:rsidRPr="0011571D">
        <w:t xml:space="preserve">The calibrations are carried out by appointed </w:t>
      </w:r>
      <w:r w:rsidR="00487D18" w:rsidRPr="0011571D">
        <w:t xml:space="preserve">certifying authorities. </w:t>
      </w:r>
      <w:r w:rsidR="00BE4E68" w:rsidRPr="0011571D">
        <w:t>The manufacturer and the laboratories define t</w:t>
      </w:r>
      <w:r w:rsidRPr="0011571D">
        <w:t>he calibration and service methods to ensure the ongoing compliance with the requirements of the standard</w:t>
      </w:r>
      <w:r w:rsidR="00D436B2" w:rsidRPr="0011571D">
        <w:t>. A particular focus is</w:t>
      </w:r>
      <w:r w:rsidR="00D965EB" w:rsidRPr="0011571D">
        <w:t xml:space="preserve"> to</w:t>
      </w:r>
      <w:r w:rsidRPr="0011571D">
        <w:t xml:space="preserve"> ensur</w:t>
      </w:r>
      <w:r w:rsidR="00D965EB" w:rsidRPr="0011571D">
        <w:t>e the</w:t>
      </w:r>
      <w:r w:rsidRPr="0011571D">
        <w:t xml:space="preserve"> ongoing accuracy of the results produced.  The laboratories should be NATA accredited for the calibration of EBA instruments and appointed by NMI (under the authority of the Chief Metrologist) as </w:t>
      </w:r>
      <w:r w:rsidR="00B15E36" w:rsidRPr="0011571D">
        <w:t>c</w:t>
      </w:r>
      <w:r w:rsidRPr="0011571D">
        <w:t xml:space="preserve">ertifying </w:t>
      </w:r>
      <w:r w:rsidR="00B15E36" w:rsidRPr="0011571D">
        <w:t>a</w:t>
      </w:r>
      <w:r w:rsidRPr="0011571D">
        <w:t>uthorities.</w:t>
      </w:r>
    </w:p>
    <w:p w14:paraId="470540A8" w14:textId="4F232733" w:rsidR="00C935E1" w:rsidRPr="0011571D" w:rsidRDefault="00C935E1" w:rsidP="00814CC4">
      <w:pPr>
        <w:pStyle w:val="Heading2"/>
      </w:pPr>
      <w:bookmarkStart w:id="70" w:name="_Toc215219437"/>
      <w:bookmarkStart w:id="71" w:name="_Toc225850114"/>
      <w:r w:rsidRPr="0011571D">
        <w:t xml:space="preserve">Certifying </w:t>
      </w:r>
      <w:r w:rsidR="002D4125" w:rsidRPr="0011571D">
        <w:t>a</w:t>
      </w:r>
      <w:r w:rsidRPr="0011571D">
        <w:t>uthorities</w:t>
      </w:r>
      <w:bookmarkEnd w:id="70"/>
      <w:bookmarkEnd w:id="71"/>
      <w:r w:rsidRPr="0011571D">
        <w:t xml:space="preserve"> </w:t>
      </w:r>
    </w:p>
    <w:p w14:paraId="2F8E46A6" w14:textId="2D8B7E79" w:rsidR="00C935E1" w:rsidRPr="0011571D" w:rsidRDefault="00C935E1" w:rsidP="00C935E1">
      <w:r w:rsidRPr="0011571D">
        <w:t xml:space="preserve">Certifying </w:t>
      </w:r>
      <w:r w:rsidR="00487D18" w:rsidRPr="0011571D">
        <w:t xml:space="preserve">authorities </w:t>
      </w:r>
      <w:r w:rsidRPr="0011571D">
        <w:t>are appointed by the Chief Metrologist under the National Measurement Regulations 1999 (</w:t>
      </w:r>
      <w:proofErr w:type="spellStart"/>
      <w:r w:rsidRPr="0011571D">
        <w:t>Cth</w:t>
      </w:r>
      <w:proofErr w:type="spellEnd"/>
      <w:r w:rsidRPr="0011571D">
        <w:t xml:space="preserve">). A key requirement for the appointment of a </w:t>
      </w:r>
      <w:r w:rsidR="00487D18" w:rsidRPr="0011571D">
        <w:t xml:space="preserve">certifying authority </w:t>
      </w:r>
      <w:r w:rsidRPr="0011571D">
        <w:t xml:space="preserve">is the demonstration and maintenance of their competency. Under Regulation 73, the Chief Metrologist may appoint an applicant as </w:t>
      </w:r>
      <w:r w:rsidR="00F03231" w:rsidRPr="0011571D">
        <w:t xml:space="preserve">a certifying authority </w:t>
      </w:r>
      <w:r w:rsidR="00C645E7" w:rsidRPr="0011571D">
        <w:t>that</w:t>
      </w:r>
      <w:r w:rsidRPr="0011571D">
        <w:t>:</w:t>
      </w:r>
    </w:p>
    <w:p w14:paraId="00390B13" w14:textId="33A13421" w:rsidR="00C935E1" w:rsidRPr="0011571D" w:rsidRDefault="00C935E1" w:rsidP="00C935E1">
      <w:pPr>
        <w:numPr>
          <w:ilvl w:val="0"/>
          <w:numId w:val="31"/>
        </w:numPr>
      </w:pPr>
      <w:r w:rsidRPr="0011571D">
        <w:t>in the opinion of the Chief Metrologist</w:t>
      </w:r>
      <w:r w:rsidR="00F03231" w:rsidRPr="0011571D">
        <w:t>,</w:t>
      </w:r>
      <w:r w:rsidRPr="0011571D">
        <w:t xml:space="preserve"> is capable of, or has direct control of staff who are capable of, certifying measuring instruments and/or certifying reference materials</w:t>
      </w:r>
      <w:r w:rsidR="00F03231" w:rsidRPr="0011571D">
        <w:t xml:space="preserve">, </w:t>
      </w:r>
      <w:r w:rsidRPr="0011571D">
        <w:t>or</w:t>
      </w:r>
    </w:p>
    <w:p w14:paraId="276A974B" w14:textId="77777777" w:rsidR="00C935E1" w:rsidRPr="0011571D" w:rsidRDefault="00C935E1" w:rsidP="00C935E1">
      <w:pPr>
        <w:numPr>
          <w:ilvl w:val="0"/>
          <w:numId w:val="31"/>
        </w:numPr>
      </w:pPr>
      <w:r w:rsidRPr="0011571D">
        <w:t>holds NATA accreditation that the Chief Metrologist considers appropriate to the functions mentioned in paragraph (a).</w:t>
      </w:r>
    </w:p>
    <w:p w14:paraId="3F3AE559" w14:textId="40D1DE59" w:rsidR="00C935E1" w:rsidRPr="0011571D" w:rsidRDefault="00C935E1" w:rsidP="00C935E1">
      <w:r w:rsidRPr="0011571D">
        <w:t xml:space="preserve">NATA accreditation is the recommended and standard means to demonstrate competency and capability in supporting an application to become appointed as a </w:t>
      </w:r>
      <w:r w:rsidR="00F03231" w:rsidRPr="0011571D">
        <w:t>certifying authority</w:t>
      </w:r>
      <w:r w:rsidRPr="0011571D">
        <w:t xml:space="preserve">. </w:t>
      </w:r>
    </w:p>
    <w:p w14:paraId="34552FB2" w14:textId="77777777" w:rsidR="009E49EA" w:rsidRPr="0011571D" w:rsidRDefault="00C935E1" w:rsidP="00C935E1">
      <w:r w:rsidRPr="0011571D">
        <w:t>More generally, NATA is</w:t>
      </w:r>
      <w:r w:rsidR="009E49EA" w:rsidRPr="0011571D">
        <w:t>:</w:t>
      </w:r>
    </w:p>
    <w:p w14:paraId="00E4A946" w14:textId="15D20173" w:rsidR="009E49EA" w:rsidRPr="0011571D" w:rsidRDefault="00C935E1" w:rsidP="009E49EA">
      <w:pPr>
        <w:pStyle w:val="ListParagraph"/>
        <w:numPr>
          <w:ilvl w:val="0"/>
          <w:numId w:val="39"/>
        </w:numPr>
      </w:pPr>
      <w:r w:rsidRPr="0011571D">
        <w:t>Australia’s leading national accreditation body</w:t>
      </w:r>
    </w:p>
    <w:p w14:paraId="5BD7073A" w14:textId="4F109217" w:rsidR="009E49EA" w:rsidRPr="0011571D" w:rsidRDefault="00C935E1" w:rsidP="009E49EA">
      <w:pPr>
        <w:pStyle w:val="ListParagraph"/>
        <w:numPr>
          <w:ilvl w:val="0"/>
          <w:numId w:val="39"/>
        </w:numPr>
      </w:pPr>
      <w:r w:rsidRPr="0011571D">
        <w:t>recognised by government as a national authority</w:t>
      </w:r>
    </w:p>
    <w:p w14:paraId="7ADA8731" w14:textId="62CC8A00" w:rsidR="00DD5E06" w:rsidRPr="0011571D" w:rsidRDefault="00C935E1" w:rsidP="00315092">
      <w:pPr>
        <w:pStyle w:val="ListParagraph"/>
        <w:numPr>
          <w:ilvl w:val="0"/>
          <w:numId w:val="39"/>
        </w:numPr>
      </w:pPr>
      <w:r w:rsidRPr="0011571D">
        <w:t>Australia’s sole signatory to the International Laboratory Accreditation Cooperation (ILAC) Mutual Recognition Agreement (MRA)</w:t>
      </w:r>
      <w:r w:rsidR="00C645E7" w:rsidRPr="0011571D">
        <w:t xml:space="preserve">. </w:t>
      </w:r>
    </w:p>
    <w:p w14:paraId="517D6C09" w14:textId="389C020E" w:rsidR="00C935E1" w:rsidRPr="0011571D" w:rsidRDefault="00C645E7" w:rsidP="00C935E1">
      <w:r w:rsidRPr="0011571D">
        <w:t>NATA</w:t>
      </w:r>
      <w:r w:rsidR="007134E7" w:rsidRPr="0011571D">
        <w:t xml:space="preserve"> is</w:t>
      </w:r>
      <w:r w:rsidR="00C935E1" w:rsidRPr="0011571D">
        <w:t xml:space="preserve"> the recommended accreditation service provider for this purpose.</w:t>
      </w:r>
    </w:p>
    <w:p w14:paraId="53A673E7" w14:textId="10C59DBE" w:rsidR="00C935E1" w:rsidRPr="0011571D" w:rsidRDefault="00C935E1" w:rsidP="00814CC4">
      <w:pPr>
        <w:pStyle w:val="Heading1"/>
      </w:pPr>
      <w:bookmarkStart w:id="72" w:name="_Toc215219438"/>
      <w:bookmarkStart w:id="73" w:name="_Toc225850115"/>
      <w:r w:rsidRPr="0011571D">
        <w:lastRenderedPageBreak/>
        <w:t>Roles and responsibilities</w:t>
      </w:r>
      <w:bookmarkEnd w:id="72"/>
      <w:bookmarkEnd w:id="73"/>
    </w:p>
    <w:p w14:paraId="33B94E91" w14:textId="0C074680" w:rsidR="00C935E1" w:rsidRPr="0011571D" w:rsidRDefault="00C935E1" w:rsidP="00814CC4">
      <w:pPr>
        <w:pStyle w:val="Heading2"/>
      </w:pPr>
      <w:bookmarkStart w:id="74" w:name="_Toc215219439"/>
      <w:bookmarkStart w:id="75" w:name="_Toc225850116"/>
      <w:r w:rsidRPr="0011571D">
        <w:t xml:space="preserve">Responsibilities for </w:t>
      </w:r>
      <w:r w:rsidR="00EB30D2" w:rsidRPr="0011571D">
        <w:t>certifying auth</w:t>
      </w:r>
      <w:r w:rsidRPr="0011571D">
        <w:t>orities</w:t>
      </w:r>
      <w:bookmarkEnd w:id="74"/>
      <w:bookmarkEnd w:id="75"/>
    </w:p>
    <w:p w14:paraId="6707EEDC" w14:textId="5751B90D" w:rsidR="00C935E1" w:rsidRPr="0011571D" w:rsidRDefault="00C935E1" w:rsidP="00814CC4">
      <w:pPr>
        <w:pStyle w:val="Heading3"/>
        <w:rPr>
          <w:bCs/>
        </w:rPr>
      </w:pPr>
      <w:r w:rsidRPr="0011571D">
        <w:t>Certification</w:t>
      </w:r>
    </w:p>
    <w:p w14:paraId="36635420" w14:textId="12B28DE1" w:rsidR="00C935E1" w:rsidRPr="0011571D" w:rsidRDefault="00C935E1" w:rsidP="00C935E1">
      <w:r w:rsidRPr="0011571D">
        <w:t xml:space="preserve">Certifying </w:t>
      </w:r>
      <w:r w:rsidR="00EB30D2" w:rsidRPr="0011571D">
        <w:t xml:space="preserve">authorities </w:t>
      </w:r>
      <w:r w:rsidRPr="0011571D">
        <w:t>have an obligation to ensure that the instruments that they certify under Regulation</w:t>
      </w:r>
      <w:r w:rsidR="00D20A07" w:rsidRPr="0011571D">
        <w:t> </w:t>
      </w:r>
      <w:r w:rsidRPr="0011571D">
        <w:t>37 of the National Measurement Regulations 1999 (</w:t>
      </w:r>
      <w:proofErr w:type="spellStart"/>
      <w:r w:rsidRPr="0011571D">
        <w:t>Cth</w:t>
      </w:r>
      <w:proofErr w:type="spellEnd"/>
      <w:r w:rsidRPr="0011571D">
        <w:t xml:space="preserve">) are of an approved pattern. </w:t>
      </w:r>
    </w:p>
    <w:p w14:paraId="1B9F202D" w14:textId="28DA7CA1" w:rsidR="00C935E1" w:rsidRPr="0011571D" w:rsidRDefault="00C935E1" w:rsidP="00C935E1">
      <w:r w:rsidRPr="0011571D">
        <w:t xml:space="preserve">At a minimum, </w:t>
      </w:r>
      <w:r w:rsidR="00EB30D2" w:rsidRPr="0011571D">
        <w:t xml:space="preserve">certifying authorities </w:t>
      </w:r>
      <w:r w:rsidRPr="0011571D">
        <w:t xml:space="preserve">should ensure that the instrument to be certified is marked with a pattern approval number corresponding to a </w:t>
      </w:r>
      <w:r w:rsidR="00EB30D2" w:rsidRPr="0011571D">
        <w:t xml:space="preserve">certificate of approval </w:t>
      </w:r>
      <w:r w:rsidRPr="0011571D">
        <w:t xml:space="preserve">issued by NMI. Certifying </w:t>
      </w:r>
      <w:r w:rsidR="00EB30D2" w:rsidRPr="0011571D">
        <w:t xml:space="preserve">authorities </w:t>
      </w:r>
      <w:r w:rsidRPr="0011571D">
        <w:t xml:space="preserve">should also perform a visual inspection of the instrument to check if it is consistent with the pattern described in the </w:t>
      </w:r>
      <w:r w:rsidR="00EB30D2" w:rsidRPr="0011571D">
        <w:t>certificate of approval</w:t>
      </w:r>
      <w:r w:rsidRPr="0011571D">
        <w:t xml:space="preserve">. Additional checks of instrument documentation and functions can serve to improve confidence that the instrument is of an approved pattern. </w:t>
      </w:r>
    </w:p>
    <w:p w14:paraId="4E343B58" w14:textId="77777777" w:rsidR="00CB3EB9" w:rsidRPr="0011571D" w:rsidRDefault="00C935E1" w:rsidP="00C935E1">
      <w:r w:rsidRPr="0011571D">
        <w:t xml:space="preserve">An instrument </w:t>
      </w:r>
      <w:proofErr w:type="gramStart"/>
      <w:r w:rsidR="00EB30D2" w:rsidRPr="0011571D">
        <w:t xml:space="preserve">is </w:t>
      </w:r>
      <w:r w:rsidR="00CB3EB9" w:rsidRPr="0011571D">
        <w:t>considered to be</w:t>
      </w:r>
      <w:proofErr w:type="gramEnd"/>
      <w:r w:rsidR="00CB3EB9" w:rsidRPr="0011571D">
        <w:t xml:space="preserve"> of an approved pattern if it is:</w:t>
      </w:r>
    </w:p>
    <w:p w14:paraId="1498FB08" w14:textId="0DC882CF" w:rsidR="00CB3EB9" w:rsidRPr="0011571D" w:rsidRDefault="00C935E1" w:rsidP="00CB3EB9">
      <w:pPr>
        <w:pStyle w:val="ListParagraph"/>
        <w:numPr>
          <w:ilvl w:val="0"/>
          <w:numId w:val="40"/>
        </w:numPr>
      </w:pPr>
      <w:r w:rsidRPr="0011571D">
        <w:t>marked with a pattern approval number</w:t>
      </w:r>
      <w:r w:rsidR="00CB3EB9" w:rsidRPr="0011571D">
        <w:t>,</w:t>
      </w:r>
      <w:r w:rsidRPr="0011571D">
        <w:t xml:space="preserve"> and </w:t>
      </w:r>
    </w:p>
    <w:p w14:paraId="7291B26C" w14:textId="09D66FE6" w:rsidR="00CB3EB9" w:rsidRPr="0011571D" w:rsidRDefault="00C935E1" w:rsidP="00CB3EB9">
      <w:pPr>
        <w:pStyle w:val="ListParagraph"/>
        <w:numPr>
          <w:ilvl w:val="0"/>
          <w:numId w:val="40"/>
        </w:numPr>
      </w:pPr>
      <w:r w:rsidRPr="0011571D">
        <w:t xml:space="preserve">conforms with that approved pattern. </w:t>
      </w:r>
    </w:p>
    <w:p w14:paraId="42A21BF0" w14:textId="52FEE5C8" w:rsidR="00C935E1" w:rsidRPr="0011571D" w:rsidRDefault="00CB3EB9" w:rsidP="00CB3EB9">
      <w:r w:rsidRPr="0011571D">
        <w:t>An</w:t>
      </w:r>
      <w:r w:rsidR="00C935E1" w:rsidRPr="0011571D">
        <w:t xml:space="preserve"> instrument </w:t>
      </w:r>
      <w:r w:rsidRPr="0011571D">
        <w:t xml:space="preserve">that </w:t>
      </w:r>
      <w:r w:rsidR="00C935E1" w:rsidRPr="0011571D">
        <w:t>is not of an approved pattern</w:t>
      </w:r>
      <w:r w:rsidRPr="0011571D">
        <w:t xml:space="preserve"> </w:t>
      </w:r>
      <w:r w:rsidR="00C935E1" w:rsidRPr="0011571D">
        <w:t xml:space="preserve">must not be certified by a </w:t>
      </w:r>
      <w:r w:rsidRPr="0011571D">
        <w:t>certifying authority</w:t>
      </w:r>
      <w:r w:rsidR="00C935E1" w:rsidRPr="0011571D">
        <w:t xml:space="preserve">. </w:t>
      </w:r>
    </w:p>
    <w:p w14:paraId="35DAC2BE" w14:textId="40ACCC3A" w:rsidR="00B571B8" w:rsidRPr="0011571D" w:rsidRDefault="00C935E1" w:rsidP="00C935E1">
      <w:r w:rsidRPr="0011571D">
        <w:t xml:space="preserve">A </w:t>
      </w:r>
      <w:r w:rsidR="007134E7" w:rsidRPr="0011571D">
        <w:t xml:space="preserve">certifying authority </w:t>
      </w:r>
      <w:r w:rsidRPr="0011571D">
        <w:t xml:space="preserve">may contact NMI to enquire about the apparent conformity or approval status of an instrument or pattern. NMI </w:t>
      </w:r>
      <w:r w:rsidR="00B571B8" w:rsidRPr="0011571D">
        <w:t xml:space="preserve">can confirm </w:t>
      </w:r>
      <w:r w:rsidR="00A84784" w:rsidRPr="0011571D">
        <w:t>that an</w:t>
      </w:r>
      <w:r w:rsidR="00EB6884" w:rsidRPr="0011571D">
        <w:t xml:space="preserve"> instrument appears to conform to an approved pattern, and the</w:t>
      </w:r>
      <w:r w:rsidR="00A84784" w:rsidRPr="0011571D">
        <w:t xml:space="preserve"> status of the pattern</w:t>
      </w:r>
      <w:r w:rsidR="002F6B2F" w:rsidRPr="0011571D">
        <w:t xml:space="preserve"> approval</w:t>
      </w:r>
      <w:r w:rsidR="00AB2386" w:rsidRPr="0011571D">
        <w:t>. NMI may</w:t>
      </w:r>
      <w:r w:rsidR="007C13B3" w:rsidRPr="0011571D">
        <w:t xml:space="preserve"> not be able to provide a more detailed response because pattern approval applications are confidential</w:t>
      </w:r>
      <w:r w:rsidR="00082926" w:rsidRPr="0011571D">
        <w:t>.</w:t>
      </w:r>
    </w:p>
    <w:p w14:paraId="60CC29C8" w14:textId="38F1A940" w:rsidR="00C935E1" w:rsidRPr="0011571D" w:rsidRDefault="00C935E1" w:rsidP="00C935E1">
      <w:r w:rsidRPr="0011571D">
        <w:t xml:space="preserve">If a </w:t>
      </w:r>
      <w:r w:rsidR="00C35CA4" w:rsidRPr="0011571D">
        <w:t xml:space="preserve">certifying authority </w:t>
      </w:r>
      <w:r w:rsidRPr="0011571D">
        <w:t xml:space="preserve">observes that an instrument submitted for certification under Regulation 37 does not appear to conform to a pattern specified in a </w:t>
      </w:r>
      <w:r w:rsidR="00C35CA4" w:rsidRPr="0011571D">
        <w:t>certificate of approval</w:t>
      </w:r>
      <w:r w:rsidRPr="0011571D">
        <w:t xml:space="preserve">, </w:t>
      </w:r>
      <w:r w:rsidR="000B333E" w:rsidRPr="0011571D">
        <w:t>they</w:t>
      </w:r>
      <w:r w:rsidRPr="0011571D">
        <w:t xml:space="preserve"> </w:t>
      </w:r>
      <w:r w:rsidR="00C35CA4" w:rsidRPr="0011571D">
        <w:t>must</w:t>
      </w:r>
      <w:r w:rsidRPr="0011571D">
        <w:t>:</w:t>
      </w:r>
    </w:p>
    <w:p w14:paraId="136BB819" w14:textId="2D9BD0AD" w:rsidR="00C935E1" w:rsidRPr="0011571D" w:rsidRDefault="00C935E1" w:rsidP="00C935E1">
      <w:pPr>
        <w:numPr>
          <w:ilvl w:val="0"/>
          <w:numId w:val="32"/>
        </w:numPr>
      </w:pPr>
      <w:r w:rsidRPr="0011571D">
        <w:t>not certify the instrument (Regulation 37)</w:t>
      </w:r>
      <w:r w:rsidR="00C35CA4" w:rsidRPr="0011571D">
        <w:t>,</w:t>
      </w:r>
      <w:r w:rsidRPr="0011571D">
        <w:t xml:space="preserve"> and</w:t>
      </w:r>
    </w:p>
    <w:p w14:paraId="268253C7" w14:textId="77777777" w:rsidR="00C935E1" w:rsidRPr="0011571D" w:rsidRDefault="00C935E1" w:rsidP="00C935E1">
      <w:pPr>
        <w:numPr>
          <w:ilvl w:val="0"/>
          <w:numId w:val="32"/>
        </w:numPr>
      </w:pPr>
      <w:r w:rsidRPr="0011571D">
        <w:t>notify the supplier in writing of the decision to not certify the instrument and the reason for that decision (Regulation 38).</w:t>
      </w:r>
    </w:p>
    <w:p w14:paraId="70D4B1B6" w14:textId="5B1BDF48" w:rsidR="00C935E1" w:rsidRPr="0011571D" w:rsidRDefault="00C935E1" w:rsidP="00814CC4">
      <w:pPr>
        <w:pStyle w:val="Heading3"/>
      </w:pPr>
      <w:r w:rsidRPr="0011571D">
        <w:t>Reporting</w:t>
      </w:r>
    </w:p>
    <w:p w14:paraId="2AB28AB4" w14:textId="01C8AF05" w:rsidR="00C935E1" w:rsidRPr="0011571D" w:rsidRDefault="00C935E1" w:rsidP="00C935E1">
      <w:r w:rsidRPr="0011571D">
        <w:t xml:space="preserve">Separately, the Chief Metrologist (or their delegate) may request information from </w:t>
      </w:r>
      <w:r w:rsidR="00BC715F" w:rsidRPr="0011571D">
        <w:t xml:space="preserve">certifying authorities </w:t>
      </w:r>
      <w:r w:rsidRPr="0011571D">
        <w:t>be reported regarding certification activities (Regulation 77). These requests will be made in writing at the time. This may include information regarding instruments that were submitted for but did not meet the requirements of certification under the National Measurement Regulations 1999 (</w:t>
      </w:r>
      <w:proofErr w:type="spellStart"/>
      <w:r w:rsidRPr="0011571D">
        <w:t>Cth</w:t>
      </w:r>
      <w:proofErr w:type="spellEnd"/>
      <w:r w:rsidRPr="0011571D">
        <w:t xml:space="preserve">). Beyond this, </w:t>
      </w:r>
      <w:r w:rsidR="002D4125" w:rsidRPr="0011571D">
        <w:t xml:space="preserve">certifying authorities </w:t>
      </w:r>
      <w:r w:rsidRPr="0011571D">
        <w:t xml:space="preserve">may advise the supplier that they should contact NMI to clarify whether the </w:t>
      </w:r>
      <w:r w:rsidR="00696988" w:rsidRPr="0011571D">
        <w:t xml:space="preserve">certificate of approval </w:t>
      </w:r>
      <w:r w:rsidRPr="0011571D">
        <w:t>is up-to-date and reflects any recent design changes</w:t>
      </w:r>
      <w:r w:rsidR="001B046B" w:rsidRPr="0011571D">
        <w:t>. Relevant changes include</w:t>
      </w:r>
      <w:r w:rsidR="004B52A3" w:rsidRPr="0011571D">
        <w:t xml:space="preserve"> changes to ha</w:t>
      </w:r>
      <w:r w:rsidRPr="0011571D">
        <w:t xml:space="preserve">rdware, software or firmware. </w:t>
      </w:r>
    </w:p>
    <w:p w14:paraId="1E7FF156" w14:textId="07219F6B" w:rsidR="00C935E1" w:rsidRPr="0011571D" w:rsidRDefault="00C935E1" w:rsidP="00A65805">
      <w:pPr>
        <w:pStyle w:val="Heading3"/>
      </w:pPr>
      <w:r w:rsidRPr="0011571D">
        <w:t>Responsibilities and services provided by the National Evidential Breath Analysis Laboratory (NEBAL)</w:t>
      </w:r>
    </w:p>
    <w:p w14:paraId="2D5A30D5" w14:textId="3C110F0A" w:rsidR="00C935E1" w:rsidRPr="0011571D" w:rsidRDefault="00C935E1" w:rsidP="00C935E1">
      <w:r w:rsidRPr="0011571D">
        <w:t xml:space="preserve">The </w:t>
      </w:r>
      <w:r w:rsidR="00B15E36" w:rsidRPr="0011571D">
        <w:t>NEBAL</w:t>
      </w:r>
      <w:r w:rsidRPr="0011571D">
        <w:t xml:space="preserve"> </w:t>
      </w:r>
      <w:r w:rsidR="007905F0" w:rsidRPr="0011571D">
        <w:t>is also known as the</w:t>
      </w:r>
      <w:r w:rsidRPr="0011571D">
        <w:t xml:space="preserve"> National Laboratory</w:t>
      </w:r>
      <w:r w:rsidR="007905F0" w:rsidRPr="0011571D">
        <w:t>. It is</w:t>
      </w:r>
      <w:r w:rsidRPr="0011571D">
        <w:t xml:space="preserve"> part of the Victoria Police EBA laboratory</w:t>
      </w:r>
      <w:r w:rsidR="002C21C8" w:rsidRPr="0011571D">
        <w:t>. It</w:t>
      </w:r>
      <w:r w:rsidRPr="0011571D">
        <w:t xml:space="preserve"> was established on agreement of all the Australian state and territory police services in 2002 after the introduction of NSC R 126:2000. </w:t>
      </w:r>
      <w:r w:rsidR="007905F0" w:rsidRPr="0011571D">
        <w:t>Its purpose is</w:t>
      </w:r>
      <w:r w:rsidRPr="0011571D">
        <w:t xml:space="preserve"> to assist type approval testing and conduct initial certification of all Australian EBA instruments.  The laboratory also provides proficiency testing to all EBA </w:t>
      </w:r>
      <w:r w:rsidR="007905F0" w:rsidRPr="0011571D">
        <w:t xml:space="preserve">certifying authorities and </w:t>
      </w:r>
      <w:r w:rsidRPr="0011571D">
        <w:t>liaises with manufacturers, suppliers, NATA and NMI.</w:t>
      </w:r>
    </w:p>
    <w:p w14:paraId="781024E1" w14:textId="5F477BEB" w:rsidR="00C935E1" w:rsidRPr="0011571D" w:rsidRDefault="00C935E1" w:rsidP="00C935E1">
      <w:r w:rsidRPr="0011571D">
        <w:lastRenderedPageBreak/>
        <w:t xml:space="preserve">As a </w:t>
      </w:r>
      <w:r w:rsidR="007905F0" w:rsidRPr="0011571D">
        <w:t xml:space="preserve">certifying authority and approving authority, the laboratory </w:t>
      </w:r>
      <w:r w:rsidRPr="0011571D">
        <w:t xml:space="preserve">is subject to the obligations and reporting requirements outlined </w:t>
      </w:r>
      <w:r w:rsidR="007905F0" w:rsidRPr="0011571D">
        <w:t>in this document</w:t>
      </w:r>
      <w:r w:rsidRPr="0011571D">
        <w:t xml:space="preserve">. They will also be subject to the specific conditions of their appointments. </w:t>
      </w:r>
    </w:p>
    <w:p w14:paraId="1E63D336" w14:textId="44BB28DF" w:rsidR="00C935E1" w:rsidRPr="0011571D" w:rsidRDefault="00C935E1" w:rsidP="00814CC4">
      <w:pPr>
        <w:pStyle w:val="Heading2"/>
      </w:pPr>
      <w:bookmarkStart w:id="76" w:name="_Toc215219440"/>
      <w:bookmarkStart w:id="77" w:name="_Toc225850117"/>
      <w:r w:rsidRPr="0011571D">
        <w:t>Responsibilities for approval holders</w:t>
      </w:r>
      <w:bookmarkEnd w:id="76"/>
      <w:bookmarkEnd w:id="77"/>
    </w:p>
    <w:p w14:paraId="76AA81AD" w14:textId="2F3CA60E" w:rsidR="00C935E1" w:rsidRPr="0011571D" w:rsidRDefault="00C935E1" w:rsidP="00814CC4">
      <w:pPr>
        <w:pStyle w:val="Heading3"/>
      </w:pPr>
      <w:r w:rsidRPr="0011571D">
        <w:t>Approved patterns</w:t>
      </w:r>
    </w:p>
    <w:p w14:paraId="55B12FC1" w14:textId="33B0F577" w:rsidR="005F5A1E" w:rsidRPr="0011571D" w:rsidRDefault="00C935E1" w:rsidP="00C935E1">
      <w:r w:rsidRPr="0011571D">
        <w:t xml:space="preserve">Approval holders are responsible for ensuring that all instruments </w:t>
      </w:r>
      <w:r w:rsidR="00F6160C" w:rsidRPr="0011571D">
        <w:t xml:space="preserve">are </w:t>
      </w:r>
      <w:r w:rsidRPr="0011571D">
        <w:t>manufactured to an approved pattern</w:t>
      </w:r>
      <w:r w:rsidR="00522E4C" w:rsidRPr="0011571D">
        <w:t xml:space="preserve"> and </w:t>
      </w:r>
      <w:r w:rsidRPr="0011571D">
        <w:t xml:space="preserve">comply with the </w:t>
      </w:r>
      <w:r w:rsidR="00522E4C" w:rsidRPr="0011571D">
        <w:t>certificate of approval</w:t>
      </w:r>
      <w:r w:rsidRPr="0011571D">
        <w:t xml:space="preserve">. Approval holders are also responsible for marking </w:t>
      </w:r>
      <w:r w:rsidR="00522E4C" w:rsidRPr="0011571D">
        <w:t xml:space="preserve">only </w:t>
      </w:r>
      <w:r w:rsidRPr="0011571D">
        <w:t>instruments that comply with an approved pattern with the corresponding pattern approval mark</w:t>
      </w:r>
      <w:r w:rsidR="000E2358" w:rsidRPr="0011571D">
        <w:t xml:space="preserve">. It is </w:t>
      </w:r>
      <w:r w:rsidRPr="0011571D">
        <w:t xml:space="preserve">essentially a statement of conformity to the approved pattern. </w:t>
      </w:r>
    </w:p>
    <w:p w14:paraId="063DB97F" w14:textId="2B15EF54" w:rsidR="00C935E1" w:rsidRPr="0011571D" w:rsidRDefault="00C935E1" w:rsidP="00C935E1">
      <w:r w:rsidRPr="0011571D">
        <w:t xml:space="preserve">The approval holder should contact NMI whenever there are design changes to approved patterns of measuring instruments that they hold. NMI will advise the approval holder whether the changes require evaluation under an application for variant or a new </w:t>
      </w:r>
      <w:r w:rsidR="0079791B" w:rsidRPr="0011571D">
        <w:t>certificate. A new certificate will</w:t>
      </w:r>
      <w:r w:rsidRPr="0011571D">
        <w:t xml:space="preserve"> </w:t>
      </w:r>
      <w:r w:rsidR="0079791B" w:rsidRPr="0011571D">
        <w:t xml:space="preserve">require a </w:t>
      </w:r>
      <w:r w:rsidRPr="0011571D">
        <w:t xml:space="preserve">submission of an application form. </w:t>
      </w:r>
      <w:r w:rsidR="0079791B" w:rsidRPr="0011571D">
        <w:t xml:space="preserve">If </w:t>
      </w:r>
      <w:r w:rsidRPr="0011571D">
        <w:t xml:space="preserve">the design change does not require a variant or a new a </w:t>
      </w:r>
      <w:r w:rsidR="004B1984" w:rsidRPr="0011571D">
        <w:t>certificate</w:t>
      </w:r>
      <w:r w:rsidRPr="0011571D">
        <w:t>, NMI will retain the information</w:t>
      </w:r>
      <w:r w:rsidR="000373AA" w:rsidRPr="0011571D">
        <w:t xml:space="preserve"> and </w:t>
      </w:r>
      <w:r w:rsidR="00685BD6" w:rsidRPr="0011571D">
        <w:t>its</w:t>
      </w:r>
      <w:r w:rsidR="000373AA" w:rsidRPr="0011571D">
        <w:t xml:space="preserve"> </w:t>
      </w:r>
      <w:r w:rsidR="00685BD6" w:rsidRPr="0011571D">
        <w:t>evaluation</w:t>
      </w:r>
      <w:r w:rsidRPr="0011571D">
        <w:t xml:space="preserve"> on file</w:t>
      </w:r>
      <w:r w:rsidR="002C21C8" w:rsidRPr="0011571D">
        <w:t>. T</w:t>
      </w:r>
      <w:r w:rsidRPr="0011571D">
        <w:t xml:space="preserve">his allows NMI to provide future advice </w:t>
      </w:r>
      <w:r w:rsidR="00685BD6" w:rsidRPr="0011571D">
        <w:t xml:space="preserve">about </w:t>
      </w:r>
      <w:r w:rsidRPr="0011571D">
        <w:t>the status of a measuring instrument or pattern.</w:t>
      </w:r>
    </w:p>
    <w:p w14:paraId="0901E321" w14:textId="47A565BC" w:rsidR="00C935E1" w:rsidRPr="0011571D" w:rsidRDefault="00C935E1" w:rsidP="00814CC4">
      <w:pPr>
        <w:pStyle w:val="Heading3"/>
      </w:pPr>
      <w:r w:rsidRPr="0011571D">
        <w:t>Notifications to customers</w:t>
      </w:r>
    </w:p>
    <w:p w14:paraId="28731FFD" w14:textId="7EE77516" w:rsidR="00C935E1" w:rsidRPr="0011571D" w:rsidRDefault="00C935E1" w:rsidP="00C935E1">
      <w:r w:rsidRPr="0011571D">
        <w:t xml:space="preserve">In general, NMI does </w:t>
      </w:r>
      <w:r w:rsidR="00685BD6" w:rsidRPr="0011571D">
        <w:t>oblige</w:t>
      </w:r>
      <w:r w:rsidRPr="0011571D">
        <w:t xml:space="preserve"> approval holders </w:t>
      </w:r>
      <w:r w:rsidR="00685BD6" w:rsidRPr="0011571D">
        <w:t>to notify</w:t>
      </w:r>
      <w:r w:rsidRPr="0011571D">
        <w:t xml:space="preserve"> their customers</w:t>
      </w:r>
      <w:r w:rsidR="00685BD6" w:rsidRPr="0011571D">
        <w:t xml:space="preserve"> of changes</w:t>
      </w:r>
      <w:r w:rsidRPr="0011571D">
        <w:t xml:space="preserve">. </w:t>
      </w:r>
      <w:r w:rsidR="000F0607" w:rsidRPr="0011571D">
        <w:t>I</w:t>
      </w:r>
      <w:r w:rsidRPr="0011571D">
        <w:t xml:space="preserve">t is generally good practice to </w:t>
      </w:r>
      <w:r w:rsidR="000F0607" w:rsidRPr="0011571D">
        <w:t>inform</w:t>
      </w:r>
      <w:r w:rsidRPr="0011571D">
        <w:t xml:space="preserve"> customers of design changes and updates to </w:t>
      </w:r>
      <w:r w:rsidR="00DF4C49" w:rsidRPr="0011571D">
        <w:t xml:space="preserve">certificates of approval </w:t>
      </w:r>
      <w:r w:rsidRPr="0011571D">
        <w:t xml:space="preserve">that correspond and support those design changes. Approved variants are published in </w:t>
      </w:r>
      <w:r w:rsidR="00685BD6" w:rsidRPr="0011571D">
        <w:t xml:space="preserve">certificates of approval </w:t>
      </w:r>
      <w:r w:rsidRPr="0011571D">
        <w:t xml:space="preserve">and are available on the (NMI) Department of Industry website. NMI encourages suppliers and customers to consult the </w:t>
      </w:r>
      <w:r w:rsidR="00685BD6" w:rsidRPr="0011571D">
        <w:t xml:space="preserve">certificates of approval </w:t>
      </w:r>
      <w:r w:rsidRPr="0011571D">
        <w:t xml:space="preserve">for information </w:t>
      </w:r>
      <w:r w:rsidR="00232069" w:rsidRPr="0011571D">
        <w:t xml:space="preserve">about </w:t>
      </w:r>
      <w:r w:rsidRPr="0011571D">
        <w:t>the approved patterns of measuring instruments. </w:t>
      </w:r>
    </w:p>
    <w:p w14:paraId="639EECD2" w14:textId="39889413" w:rsidR="00C935E1" w:rsidRPr="0011571D" w:rsidRDefault="00C935E1" w:rsidP="00814CC4">
      <w:pPr>
        <w:pStyle w:val="Heading3"/>
      </w:pPr>
      <w:r w:rsidRPr="0011571D">
        <w:t>Penalties associated with pattern approval</w:t>
      </w:r>
    </w:p>
    <w:p w14:paraId="4CBF0EA6" w14:textId="12395CC6" w:rsidR="00D405EB" w:rsidRPr="0011571D" w:rsidRDefault="00C935E1" w:rsidP="00C935E1">
      <w:r w:rsidRPr="0011571D">
        <w:t xml:space="preserve">Section 19B of the </w:t>
      </w:r>
      <w:r w:rsidRPr="0011571D">
        <w:rPr>
          <w:i/>
          <w:iCs/>
        </w:rPr>
        <w:t>National Measurement Act 1960</w:t>
      </w:r>
      <w:r w:rsidRPr="0011571D">
        <w:t xml:space="preserve"> (</w:t>
      </w:r>
      <w:proofErr w:type="spellStart"/>
      <w:r w:rsidRPr="0011571D">
        <w:t>Cth</w:t>
      </w:r>
      <w:proofErr w:type="spellEnd"/>
      <w:r w:rsidRPr="0011571D">
        <w:t>) specifies penalties in relation to false representations of patterns of measuring instruments</w:t>
      </w:r>
      <w:r w:rsidR="00232069" w:rsidRPr="0011571D">
        <w:t>, specifically</w:t>
      </w:r>
      <w:r w:rsidR="00D405EB" w:rsidRPr="0011571D">
        <w:t>:</w:t>
      </w:r>
    </w:p>
    <w:p w14:paraId="56742366" w14:textId="1F04627E" w:rsidR="00D405EB" w:rsidRPr="0011571D" w:rsidRDefault="00C935E1" w:rsidP="00F811FE">
      <w:pPr>
        <w:pStyle w:val="ListParagraph"/>
        <w:numPr>
          <w:ilvl w:val="0"/>
          <w:numId w:val="34"/>
        </w:numPr>
        <w:ind w:right="-330"/>
      </w:pPr>
      <w:r w:rsidRPr="0011571D">
        <w:t>marking an instrument with an approval number that does not comply with the approved pattern,</w:t>
      </w:r>
      <w:r w:rsidR="00D405EB" w:rsidRPr="0011571D">
        <w:t xml:space="preserve"> or</w:t>
      </w:r>
    </w:p>
    <w:p w14:paraId="62F0322B" w14:textId="47080468" w:rsidR="00C935E1" w:rsidRPr="0011571D" w:rsidRDefault="00C935E1" w:rsidP="00315092">
      <w:pPr>
        <w:pStyle w:val="ListParagraph"/>
        <w:numPr>
          <w:ilvl w:val="0"/>
          <w:numId w:val="34"/>
        </w:numPr>
      </w:pPr>
      <w:r w:rsidRPr="0011571D">
        <w:t>marking an instrument with an approval number when not authorised to do so.</w:t>
      </w:r>
    </w:p>
    <w:p w14:paraId="67545F79" w14:textId="7F686E62" w:rsidR="00AC1D59" w:rsidRPr="004124D2" w:rsidRDefault="00C935E1" w:rsidP="00C935E1">
      <w:r w:rsidRPr="0011571D">
        <w:t>In addition, the National Measurement Regulations 1999 (</w:t>
      </w:r>
      <w:proofErr w:type="spellStart"/>
      <w:r w:rsidRPr="0011571D">
        <w:t>Cth</w:t>
      </w:r>
      <w:proofErr w:type="spellEnd"/>
      <w:r w:rsidRPr="0011571D">
        <w:t xml:space="preserve">) allows the Chief Metrologist to cancel or withdraw approvals of patterns of measuring instruments </w:t>
      </w:r>
      <w:r w:rsidR="00FA30E5" w:rsidRPr="0011571D">
        <w:t xml:space="preserve">that </w:t>
      </w:r>
      <w:r w:rsidRPr="0011571D">
        <w:t>are found to be not suitable for their intended use.</w:t>
      </w:r>
    </w:p>
    <w:sectPr w:rsidR="00AC1D59" w:rsidRPr="004124D2" w:rsidSect="008927E7">
      <w:headerReference w:type="even" r:id="rId22"/>
      <w:headerReference w:type="default" r:id="rId23"/>
      <w:footerReference w:type="even" r:id="rId24"/>
      <w:headerReference w:type="first" r:id="rId25"/>
      <w:footerReference w:type="first" r:id="rId26"/>
      <w:pgSz w:w="11906" w:h="16838"/>
      <w:pgMar w:top="1276" w:right="1440" w:bottom="1440" w:left="1440" w:header="851" w:footer="505"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005CC" w14:textId="77777777" w:rsidR="0020294D" w:rsidRPr="0011571D" w:rsidRDefault="0020294D" w:rsidP="00BA1488">
      <w:r w:rsidRPr="0011571D">
        <w:separator/>
      </w:r>
    </w:p>
  </w:endnote>
  <w:endnote w:type="continuationSeparator" w:id="0">
    <w:p w14:paraId="2298FED4" w14:textId="77777777" w:rsidR="0020294D" w:rsidRPr="0011571D" w:rsidRDefault="0020294D" w:rsidP="00BA1488">
      <w:r w:rsidRPr="0011571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Aptos">
    <w:panose1 w:val="020B0004020202020204"/>
    <w:charset w:val="00"/>
    <w:family w:val="swiss"/>
    <w:pitch w:val="variable"/>
    <w:sig w:usb0="20000287" w:usb1="00000003" w:usb2="00000000" w:usb3="00000000" w:csb0="0000019F" w:csb1="00000000"/>
  </w:font>
  <w:font w:name="Aptos SemiBold">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17F95" w14:textId="65E00EBC" w:rsidR="00FB77CE" w:rsidRPr="0011571D" w:rsidRDefault="00382A88" w:rsidP="00BA1488">
    <w:pPr>
      <w:pStyle w:val="Footer"/>
    </w:pPr>
    <w:r w:rsidRPr="0011571D">
      <w:rPr>
        <w:noProof/>
      </w:rPr>
      <mc:AlternateContent>
        <mc:Choice Requires="wps">
          <w:drawing>
            <wp:anchor distT="0" distB="0" distL="0" distR="0" simplePos="0" relativeHeight="251661312" behindDoc="0" locked="0" layoutInCell="1" allowOverlap="1" wp14:anchorId="5FA2323D" wp14:editId="1E9278F4">
              <wp:simplePos x="635" y="635"/>
              <wp:positionH relativeFrom="page">
                <wp:align>center</wp:align>
              </wp:positionH>
              <wp:positionV relativeFrom="page">
                <wp:align>bottom</wp:align>
              </wp:positionV>
              <wp:extent cx="551815" cy="467360"/>
              <wp:effectExtent l="0" t="0" r="635" b="0"/>
              <wp:wrapNone/>
              <wp:docPr id="1285779362"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67360"/>
                      </a:xfrm>
                      <a:prstGeom prst="rect">
                        <a:avLst/>
                      </a:prstGeom>
                      <a:noFill/>
                      <a:ln>
                        <a:noFill/>
                      </a:ln>
                    </wps:spPr>
                    <wps:txbx>
                      <w:txbxContent>
                        <w:p w14:paraId="5B238119" w14:textId="7C1C8C19" w:rsidR="00382A88" w:rsidRPr="0011571D" w:rsidRDefault="00382A88" w:rsidP="00382A88">
                          <w:pPr>
                            <w:spacing w:after="0"/>
                            <w:rPr>
                              <w:rFonts w:ascii="Calibri" w:eastAsia="Calibri" w:hAnsi="Calibri" w:cs="Calibri"/>
                              <w:color w:val="C00000"/>
                              <w:sz w:val="24"/>
                              <w:szCs w:val="24"/>
                            </w:rPr>
                          </w:pPr>
                          <w:r w:rsidRPr="0011571D">
                            <w:rPr>
                              <w:rFonts w:ascii="Calibri" w:eastAsia="Calibri" w:hAnsi="Calibri" w:cs="Calibri"/>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FA2323D" id="_x0000_t202" coordsize="21600,21600" o:spt="202" path="m,l,21600r21600,l21600,xe">
              <v:stroke joinstyle="miter"/>
              <v:path gradientshapeok="t" o:connecttype="rect"/>
            </v:shapetype>
            <v:shape id="Text Box 8" o:spid="_x0000_s1027" type="#_x0000_t202" alt="OFFICIAL" style="position:absolute;margin-left:0;margin-top:0;width:43.45pt;height:36.8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" filled="f" stroked="f">
              <v:textbox style="mso-fit-shape-to-text:t" inset="0,0,0,15pt">
                <w:txbxContent>
                  <w:p w14:paraId="5B238119" w14:textId="7C1C8C19" w:rsidR="00382A88" w:rsidRPr="0011571D" w:rsidRDefault="00382A88" w:rsidP="00382A88">
                    <w:pPr>
                      <w:spacing w:after="0"/>
                      <w:rPr>
                        <w:rFonts w:ascii="Calibri" w:eastAsia="Calibri" w:hAnsi="Calibri" w:cs="Calibri"/>
                        <w:color w:val="C00000"/>
                        <w:sz w:val="24"/>
                        <w:szCs w:val="24"/>
                      </w:rPr>
                    </w:pPr>
                    <w:r w:rsidRPr="0011571D">
                      <w:rPr>
                        <w:rFonts w:ascii="Calibri" w:eastAsia="Calibri" w:hAnsi="Calibri" w:cs="Calibri"/>
                        <w:color w:val="C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C8F71" w14:textId="09EB1EE2" w:rsidR="00D27B99" w:rsidRPr="0011571D" w:rsidRDefault="00920BBA" w:rsidP="00BA1488">
    <w:pPr>
      <w:pStyle w:val="Footer"/>
    </w:pPr>
    <w:r>
      <w:t>NMI R 126:2025 - Guide to pattern approval and certification</w:t>
    </w:r>
    <w:r w:rsidR="006D5151" w:rsidRPr="0011571D">
      <w:t xml:space="preserve"> – Guide to pattern approval and certification</w:t>
    </w:r>
    <w:r w:rsidR="00D469A2" w:rsidRPr="0011571D">
      <w:tab/>
    </w:r>
    <w:sdt>
      <w:sdtPr>
        <w:id w:val="-1044901746"/>
        <w:docPartObj>
          <w:docPartGallery w:val="Page Numbers (Bottom of Page)"/>
          <w:docPartUnique/>
        </w:docPartObj>
      </w:sdtPr>
      <w:sdtEndPr/>
      <w:sdtContent>
        <w:r w:rsidR="00BD0F8A" w:rsidRPr="0011571D">
          <w:fldChar w:fldCharType="begin"/>
        </w:r>
        <w:r w:rsidR="00BD0F8A" w:rsidRPr="0011571D">
          <w:instrText xml:space="preserve"> PAGE   \* MERGEFORMAT </w:instrText>
        </w:r>
        <w:r w:rsidR="00BD0F8A" w:rsidRPr="0011571D">
          <w:fldChar w:fldCharType="separate"/>
        </w:r>
        <w:r w:rsidR="004E5181" w:rsidRPr="0011571D">
          <w:t>7</w:t>
        </w:r>
        <w:r w:rsidR="00BD0F8A" w:rsidRPr="0011571D">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0471B" w14:textId="0B1A1E7F" w:rsidR="00B2747F" w:rsidRPr="0011571D" w:rsidRDefault="00E97218" w:rsidP="00BA1488">
    <w:pPr>
      <w:pStyle w:val="Footer"/>
    </w:pPr>
    <w:r w:rsidRPr="0011571D">
      <w:rPr>
        <w:noProof/>
      </w:rPr>
      <w:drawing>
        <wp:anchor distT="0" distB="0" distL="114300" distR="114300" simplePos="0" relativeHeight="251657216" behindDoc="1" locked="0" layoutInCell="1" allowOverlap="1" wp14:anchorId="4D0880D9" wp14:editId="0410AFEE">
          <wp:simplePos x="0" y="0"/>
          <wp:positionH relativeFrom="page">
            <wp:posOffset>323</wp:posOffset>
          </wp:positionH>
          <wp:positionV relativeFrom="paragraph">
            <wp:posOffset>-3731894</wp:posOffset>
          </wp:positionV>
          <wp:extent cx="7561775" cy="4504690"/>
          <wp:effectExtent l="0" t="0" r="1270" b="0"/>
          <wp:wrapNone/>
          <wp:docPr id="1034450375"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6796795" name="Picture 2">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t="57551" r="-80" b="171"/>
                  <a:stretch/>
                </pic:blipFill>
                <pic:spPr bwMode="auto">
                  <a:xfrm>
                    <a:off x="0" y="0"/>
                    <a:ext cx="7568636" cy="450877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3D9F4" w14:textId="4109FC67" w:rsidR="00FB77CE" w:rsidRPr="0011571D" w:rsidRDefault="00382A88" w:rsidP="00BA1488">
    <w:pPr>
      <w:pStyle w:val="Footer"/>
    </w:pPr>
    <w:r w:rsidRPr="0011571D">
      <w:rPr>
        <w:noProof/>
      </w:rPr>
      <mc:AlternateContent>
        <mc:Choice Requires="wps">
          <w:drawing>
            <wp:anchor distT="0" distB="0" distL="0" distR="0" simplePos="0" relativeHeight="251686912" behindDoc="0" locked="0" layoutInCell="1" allowOverlap="1" wp14:anchorId="3724C406" wp14:editId="0F95F090">
              <wp:simplePos x="635" y="635"/>
              <wp:positionH relativeFrom="page">
                <wp:align>center</wp:align>
              </wp:positionH>
              <wp:positionV relativeFrom="page">
                <wp:align>bottom</wp:align>
              </wp:positionV>
              <wp:extent cx="551815" cy="467360"/>
              <wp:effectExtent l="0" t="0" r="635" b="0"/>
              <wp:wrapNone/>
              <wp:docPr id="3549696"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67360"/>
                      </a:xfrm>
                      <a:prstGeom prst="rect">
                        <a:avLst/>
                      </a:prstGeom>
                      <a:noFill/>
                      <a:ln>
                        <a:noFill/>
                      </a:ln>
                    </wps:spPr>
                    <wps:txbx>
                      <w:txbxContent>
                        <w:p w14:paraId="262C94D8" w14:textId="1756E741" w:rsidR="00382A88" w:rsidRPr="0011571D" w:rsidRDefault="00382A88" w:rsidP="00382A88">
                          <w:pPr>
                            <w:spacing w:after="0"/>
                            <w:rPr>
                              <w:rFonts w:ascii="Calibri" w:eastAsia="Calibri" w:hAnsi="Calibri" w:cs="Calibri"/>
                              <w:color w:val="C00000"/>
                              <w:sz w:val="24"/>
                              <w:szCs w:val="24"/>
                            </w:rPr>
                          </w:pPr>
                          <w:r w:rsidRPr="0011571D">
                            <w:rPr>
                              <w:rFonts w:ascii="Calibri" w:eastAsia="Calibri" w:hAnsi="Calibri" w:cs="Calibri"/>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724C406" id="_x0000_t202" coordsize="21600,21600" o:spt="202" path="m,l,21600r21600,l21600,xe">
              <v:stroke joinstyle="miter"/>
              <v:path gradientshapeok="t" o:connecttype="rect"/>
            </v:shapetype>
            <v:shape id="Text Box 11" o:spid="_x0000_s1029" type="#_x0000_t202" alt="OFFICIAL" style="position:absolute;margin-left:0;margin-top:0;width:43.45pt;height:36.8pt;z-index:2516869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" filled="f" stroked="f">
              <v:textbox style="mso-fit-shape-to-text:t" inset="0,0,0,15pt">
                <w:txbxContent>
                  <w:p w14:paraId="262C94D8" w14:textId="1756E741" w:rsidR="00382A88" w:rsidRPr="0011571D" w:rsidRDefault="00382A88" w:rsidP="00382A88">
                    <w:pPr>
                      <w:spacing w:after="0"/>
                      <w:rPr>
                        <w:rFonts w:ascii="Calibri" w:eastAsia="Calibri" w:hAnsi="Calibri" w:cs="Calibri"/>
                        <w:color w:val="C00000"/>
                        <w:sz w:val="24"/>
                        <w:szCs w:val="24"/>
                      </w:rPr>
                    </w:pPr>
                    <w:r w:rsidRPr="0011571D">
                      <w:rPr>
                        <w:rFonts w:ascii="Calibri" w:eastAsia="Calibri" w:hAnsi="Calibri" w:cs="Calibri"/>
                        <w:color w:val="C00000"/>
                        <w:sz w:val="24"/>
                        <w:szCs w:val="24"/>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F6753" w14:textId="296B45E4" w:rsidR="00FB77CE" w:rsidRPr="0011571D" w:rsidRDefault="00382A88" w:rsidP="00BA1488">
    <w:pPr>
      <w:pStyle w:val="Footer"/>
    </w:pPr>
    <w:r w:rsidRPr="0011571D">
      <w:rPr>
        <w:noProof/>
      </w:rPr>
      <mc:AlternateContent>
        <mc:Choice Requires="wps">
          <w:drawing>
            <wp:anchor distT="0" distB="0" distL="0" distR="0" simplePos="0" relativeHeight="251685888" behindDoc="0" locked="0" layoutInCell="1" allowOverlap="1" wp14:anchorId="1365166B" wp14:editId="0E9DB92C">
              <wp:simplePos x="635" y="635"/>
              <wp:positionH relativeFrom="page">
                <wp:align>center</wp:align>
              </wp:positionH>
              <wp:positionV relativeFrom="page">
                <wp:align>bottom</wp:align>
              </wp:positionV>
              <wp:extent cx="551815" cy="467360"/>
              <wp:effectExtent l="0" t="0" r="635" b="0"/>
              <wp:wrapNone/>
              <wp:docPr id="570379538"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67360"/>
                      </a:xfrm>
                      <a:prstGeom prst="rect">
                        <a:avLst/>
                      </a:prstGeom>
                      <a:noFill/>
                      <a:ln>
                        <a:noFill/>
                      </a:ln>
                    </wps:spPr>
                    <wps:txbx>
                      <w:txbxContent>
                        <w:p w14:paraId="0186F20C" w14:textId="310061F8" w:rsidR="00382A88" w:rsidRPr="0011571D" w:rsidRDefault="00382A88" w:rsidP="00382A88">
                          <w:pPr>
                            <w:spacing w:after="0"/>
                            <w:rPr>
                              <w:rFonts w:ascii="Calibri" w:eastAsia="Calibri" w:hAnsi="Calibri" w:cs="Calibri"/>
                              <w:color w:val="C00000"/>
                              <w:sz w:val="24"/>
                              <w:szCs w:val="24"/>
                            </w:rPr>
                          </w:pPr>
                          <w:r w:rsidRPr="0011571D">
                            <w:rPr>
                              <w:rFonts w:ascii="Calibri" w:eastAsia="Calibri" w:hAnsi="Calibri" w:cs="Calibri"/>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365166B" id="_x0000_t202" coordsize="21600,21600" o:spt="202" path="m,l,21600r21600,l21600,xe">
              <v:stroke joinstyle="miter"/>
              <v:path gradientshapeok="t" o:connecttype="rect"/>
            </v:shapetype>
            <v:shape id="Text Box 10" o:spid="_x0000_s1031" type="#_x0000_t202" alt="OFFICIAL" style="position:absolute;margin-left:0;margin-top:0;width:43.45pt;height:36.8pt;z-index:2516858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" filled="f" stroked="f">
              <v:textbox style="mso-fit-shape-to-text:t" inset="0,0,0,15pt">
                <w:txbxContent>
                  <w:p w14:paraId="0186F20C" w14:textId="310061F8" w:rsidR="00382A88" w:rsidRPr="0011571D" w:rsidRDefault="00382A88" w:rsidP="00382A88">
                    <w:pPr>
                      <w:spacing w:after="0"/>
                      <w:rPr>
                        <w:rFonts w:ascii="Calibri" w:eastAsia="Calibri" w:hAnsi="Calibri" w:cs="Calibri"/>
                        <w:color w:val="C00000"/>
                        <w:sz w:val="24"/>
                        <w:szCs w:val="24"/>
                      </w:rPr>
                    </w:pPr>
                    <w:r w:rsidRPr="0011571D">
                      <w:rPr>
                        <w:rFonts w:ascii="Calibri" w:eastAsia="Calibri" w:hAnsi="Calibri" w:cs="Calibri"/>
                        <w:color w:val="C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C3D0B8" w14:textId="77777777" w:rsidR="0020294D" w:rsidRPr="0011571D" w:rsidRDefault="0020294D" w:rsidP="00BA1488">
      <w:r w:rsidRPr="0011571D">
        <w:separator/>
      </w:r>
    </w:p>
  </w:footnote>
  <w:footnote w:type="continuationSeparator" w:id="0">
    <w:p w14:paraId="48AB9416" w14:textId="77777777" w:rsidR="0020294D" w:rsidRPr="0011571D" w:rsidRDefault="0020294D" w:rsidP="00BA1488">
      <w:r w:rsidRPr="0011571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057AF" w14:textId="56DDF8B0" w:rsidR="00FB77CE" w:rsidRPr="0011571D" w:rsidRDefault="00382A88" w:rsidP="00BA1488">
    <w:pPr>
      <w:pStyle w:val="Header"/>
    </w:pPr>
    <w:r w:rsidRPr="0011571D">
      <w:rPr>
        <w:noProof/>
      </w:rPr>
      <mc:AlternateContent>
        <mc:Choice Requires="wps">
          <w:drawing>
            <wp:anchor distT="0" distB="0" distL="0" distR="0" simplePos="0" relativeHeight="251659264" behindDoc="0" locked="0" layoutInCell="1" allowOverlap="1" wp14:anchorId="1C9A4F4E" wp14:editId="4010C940">
              <wp:simplePos x="635" y="635"/>
              <wp:positionH relativeFrom="page">
                <wp:align>center</wp:align>
              </wp:positionH>
              <wp:positionV relativeFrom="page">
                <wp:align>top</wp:align>
              </wp:positionV>
              <wp:extent cx="551815" cy="467360"/>
              <wp:effectExtent l="0" t="0" r="635" b="8890"/>
              <wp:wrapNone/>
              <wp:docPr id="23895330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67360"/>
                      </a:xfrm>
                      <a:prstGeom prst="rect">
                        <a:avLst/>
                      </a:prstGeom>
                      <a:noFill/>
                      <a:ln>
                        <a:noFill/>
                      </a:ln>
                    </wps:spPr>
                    <wps:txbx>
                      <w:txbxContent>
                        <w:p w14:paraId="68C406BA" w14:textId="4342F5CC" w:rsidR="00382A88" w:rsidRPr="0011571D" w:rsidRDefault="00382A88" w:rsidP="00382A88">
                          <w:pPr>
                            <w:spacing w:after="0"/>
                            <w:rPr>
                              <w:rFonts w:ascii="Calibri" w:eastAsia="Calibri" w:hAnsi="Calibri" w:cs="Calibri"/>
                              <w:color w:val="C00000"/>
                              <w:sz w:val="24"/>
                              <w:szCs w:val="24"/>
                            </w:rPr>
                          </w:pPr>
                          <w:r w:rsidRPr="0011571D">
                            <w:rPr>
                              <w:rFonts w:ascii="Calibri" w:eastAsia="Calibri" w:hAnsi="Calibri" w:cs="Calibri"/>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C9A4F4E" id="_x0000_t202" coordsize="21600,21600" o:spt="202" path="m,l,21600r21600,l21600,xe">
              <v:stroke joinstyle="miter"/>
              <v:path gradientshapeok="t" o:connecttype="rect"/>
            </v:shapetype>
            <v:shape id="Text Box 2" o:spid="_x0000_s1026" type="#_x0000_t202" alt="OFFICIAL" style="position:absolute;margin-left:0;margin-top:0;width:43.45pt;height:36.8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" filled="f" stroked="f">
              <v:textbox style="mso-fit-shape-to-text:t" inset="0,15pt,0,0">
                <w:txbxContent>
                  <w:p w14:paraId="68C406BA" w14:textId="4342F5CC" w:rsidR="00382A88" w:rsidRPr="0011571D" w:rsidRDefault="00382A88" w:rsidP="00382A88">
                    <w:pPr>
                      <w:spacing w:after="0"/>
                      <w:rPr>
                        <w:rFonts w:ascii="Calibri" w:eastAsia="Calibri" w:hAnsi="Calibri" w:cs="Calibri"/>
                        <w:color w:val="C00000"/>
                        <w:sz w:val="24"/>
                        <w:szCs w:val="24"/>
                      </w:rPr>
                    </w:pPr>
                    <w:r w:rsidRPr="0011571D">
                      <w:rPr>
                        <w:rFonts w:ascii="Calibri" w:eastAsia="Calibri" w:hAnsi="Calibri" w:cs="Calibri"/>
                        <w:color w:val="C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92CD9" w14:textId="7BD47DD1" w:rsidR="009830D1" w:rsidRPr="0011571D" w:rsidRDefault="00EB2522" w:rsidP="00BA1488">
    <w:pPr>
      <w:pStyle w:val="Header"/>
    </w:pPr>
    <w:r w:rsidRPr="0011571D">
      <w:rPr>
        <w:noProof/>
      </w:rPr>
      <mc:AlternateContent>
        <mc:Choice Requires="wps">
          <w:drawing>
            <wp:anchor distT="0" distB="0" distL="114300" distR="114300" simplePos="0" relativeHeight="251655168" behindDoc="0" locked="0" layoutInCell="1" allowOverlap="1" wp14:anchorId="77D00388" wp14:editId="21EBBA62">
              <wp:simplePos x="0" y="0"/>
              <wp:positionH relativeFrom="page">
                <wp:posOffset>0</wp:posOffset>
              </wp:positionH>
              <wp:positionV relativeFrom="page">
                <wp:posOffset>0</wp:posOffset>
              </wp:positionV>
              <wp:extent cx="1962000" cy="284400"/>
              <wp:effectExtent l="0" t="0" r="635" b="1905"/>
              <wp:wrapNone/>
              <wp:docPr id="7" name="Rectangle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962000" cy="284400"/>
                      </a:xfrm>
                      <a:custGeom>
                        <a:avLst/>
                        <a:gdLst>
                          <a:gd name="connsiteX0" fmla="*/ 0 w 2332168"/>
                          <a:gd name="connsiteY0" fmla="*/ 0 h 336570"/>
                          <a:gd name="connsiteX1" fmla="*/ 2332168 w 2332168"/>
                          <a:gd name="connsiteY1" fmla="*/ 0 h 336570"/>
                          <a:gd name="connsiteX2" fmla="*/ 2332168 w 2332168"/>
                          <a:gd name="connsiteY2" fmla="*/ 336570 h 336570"/>
                          <a:gd name="connsiteX3" fmla="*/ 0 w 2332168"/>
                          <a:gd name="connsiteY3" fmla="*/ 336570 h 336570"/>
                          <a:gd name="connsiteX4" fmla="*/ 0 w 2332168"/>
                          <a:gd name="connsiteY4" fmla="*/ 0 h 336570"/>
                          <a:gd name="connsiteX0" fmla="*/ 0 w 2332168"/>
                          <a:gd name="connsiteY0" fmla="*/ 0 h 336570"/>
                          <a:gd name="connsiteX1" fmla="*/ 2332168 w 2332168"/>
                          <a:gd name="connsiteY1" fmla="*/ 0 h 336570"/>
                          <a:gd name="connsiteX2" fmla="*/ 2266641 w 2332168"/>
                          <a:gd name="connsiteY2" fmla="*/ 196581 h 336570"/>
                          <a:gd name="connsiteX3" fmla="*/ 0 w 2332168"/>
                          <a:gd name="connsiteY3" fmla="*/ 336570 h 336570"/>
                          <a:gd name="connsiteX4" fmla="*/ 0 w 2332168"/>
                          <a:gd name="connsiteY4" fmla="*/ 0 h 33657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332168" h="336570">
                            <a:moveTo>
                              <a:pt x="0" y="0"/>
                            </a:moveTo>
                            <a:lnTo>
                              <a:pt x="2332168" y="0"/>
                            </a:lnTo>
                            <a:lnTo>
                              <a:pt x="2266641" y="196581"/>
                            </a:lnTo>
                            <a:lnTo>
                              <a:pt x="0" y="336570"/>
                            </a:lnTo>
                            <a:lnTo>
                              <a:pt x="0" y="0"/>
                            </a:lnTo>
                            <a:close/>
                          </a:path>
                        </a:pathLst>
                      </a:cu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5A14B328" id="Rectangle 12" o:spid="_x0000_s1026" alt="&quot;&quot;" style="position:absolute;margin-left:0;margin-top:0;width:154.5pt;height:22.4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coordsize="2332168,336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" path="m,l2332168,r-65527,196581l,336570,,xe" fillcolor="#b7b09c [3207]" stroked="f" strokeweight="1pt">
              <v:stroke joinstyle="miter"/>
              <v:path arrowok="t" o:connecttype="custom" o:connectlocs="0,0;1962000,0;1906874,166110;0,284400;0,0" o:connectangles="0,0,0,0,0"/>
              <w10:wrap anchorx="page" anchory="page"/>
            </v:shape>
          </w:pict>
        </mc:Fallback>
      </mc:AlternateContent>
    </w:r>
    <w:r w:rsidR="00993C24" w:rsidRPr="0011571D">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727DC" w14:textId="19658AF1" w:rsidR="00FB77CE" w:rsidRPr="0011571D" w:rsidRDefault="00382A88" w:rsidP="00BA1488">
    <w:pPr>
      <w:pStyle w:val="Header"/>
    </w:pPr>
    <w:r w:rsidRPr="0011571D">
      <w:rPr>
        <w:noProof/>
      </w:rPr>
      <mc:AlternateContent>
        <mc:Choice Requires="wps">
          <w:drawing>
            <wp:anchor distT="0" distB="0" distL="0" distR="0" simplePos="0" relativeHeight="251680768" behindDoc="0" locked="0" layoutInCell="1" allowOverlap="1" wp14:anchorId="678FFC77" wp14:editId="236FCAFF">
              <wp:simplePos x="635" y="635"/>
              <wp:positionH relativeFrom="page">
                <wp:align>center</wp:align>
              </wp:positionH>
              <wp:positionV relativeFrom="page">
                <wp:align>top</wp:align>
              </wp:positionV>
              <wp:extent cx="551815" cy="467360"/>
              <wp:effectExtent l="0" t="0" r="635" b="8890"/>
              <wp:wrapNone/>
              <wp:docPr id="879224387"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67360"/>
                      </a:xfrm>
                      <a:prstGeom prst="rect">
                        <a:avLst/>
                      </a:prstGeom>
                      <a:noFill/>
                      <a:ln>
                        <a:noFill/>
                      </a:ln>
                    </wps:spPr>
                    <wps:txbx>
                      <w:txbxContent>
                        <w:p w14:paraId="2827A698" w14:textId="142EEC4A" w:rsidR="00382A88" w:rsidRPr="0011571D" w:rsidRDefault="00382A88" w:rsidP="00382A88">
                          <w:pPr>
                            <w:spacing w:after="0"/>
                            <w:rPr>
                              <w:rFonts w:ascii="Calibri" w:eastAsia="Calibri" w:hAnsi="Calibri" w:cs="Calibri"/>
                              <w:color w:val="C00000"/>
                              <w:sz w:val="24"/>
                              <w:szCs w:val="24"/>
                            </w:rPr>
                          </w:pPr>
                          <w:r w:rsidRPr="0011571D">
                            <w:rPr>
                              <w:rFonts w:ascii="Calibri" w:eastAsia="Calibri" w:hAnsi="Calibri" w:cs="Calibri"/>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78FFC77" id="_x0000_t202" coordsize="21600,21600" o:spt="202" path="m,l,21600r21600,l21600,xe">
              <v:stroke joinstyle="miter"/>
              <v:path gradientshapeok="t" o:connecttype="rect"/>
            </v:shapetype>
            <v:shape id="Text Box 5" o:spid="_x0000_s1028" type="#_x0000_t202" alt="OFFICIAL" style="position:absolute;margin-left:0;margin-top:0;width:43.45pt;height:36.8pt;z-index:25168076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" filled="f" stroked="f">
              <v:textbox style="mso-fit-shape-to-text:t" inset="0,15pt,0,0">
                <w:txbxContent>
                  <w:p w14:paraId="2827A698" w14:textId="142EEC4A" w:rsidR="00382A88" w:rsidRPr="0011571D" w:rsidRDefault="00382A88" w:rsidP="00382A88">
                    <w:pPr>
                      <w:spacing w:after="0"/>
                      <w:rPr>
                        <w:rFonts w:ascii="Calibri" w:eastAsia="Calibri" w:hAnsi="Calibri" w:cs="Calibri"/>
                        <w:color w:val="C00000"/>
                        <w:sz w:val="24"/>
                        <w:szCs w:val="24"/>
                      </w:rPr>
                    </w:pPr>
                    <w:r w:rsidRPr="0011571D">
                      <w:rPr>
                        <w:rFonts w:ascii="Calibri" w:eastAsia="Calibri" w:hAnsi="Calibri" w:cs="Calibri"/>
                        <w:color w:val="C00000"/>
                        <w:sz w:val="24"/>
                        <w:szCs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3C3FA" w14:textId="6EDF8716" w:rsidR="00FB77CE" w:rsidRPr="0011571D" w:rsidRDefault="00FB77CE" w:rsidP="00BA148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A5956" w14:textId="17F285BE" w:rsidR="00FB77CE" w:rsidRPr="0011571D" w:rsidRDefault="00382A88" w:rsidP="00BA1488">
    <w:pPr>
      <w:pStyle w:val="Header"/>
    </w:pPr>
    <w:r w:rsidRPr="0011571D">
      <w:rPr>
        <w:noProof/>
      </w:rPr>
      <mc:AlternateContent>
        <mc:Choice Requires="wps">
          <w:drawing>
            <wp:anchor distT="0" distB="0" distL="0" distR="0" simplePos="0" relativeHeight="251679744" behindDoc="0" locked="0" layoutInCell="1" allowOverlap="1" wp14:anchorId="4E017B2D" wp14:editId="1CA51C59">
              <wp:simplePos x="635" y="635"/>
              <wp:positionH relativeFrom="page">
                <wp:align>center</wp:align>
              </wp:positionH>
              <wp:positionV relativeFrom="page">
                <wp:align>top</wp:align>
              </wp:positionV>
              <wp:extent cx="551815" cy="467360"/>
              <wp:effectExtent l="0" t="0" r="635" b="8890"/>
              <wp:wrapNone/>
              <wp:docPr id="1289904269"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67360"/>
                      </a:xfrm>
                      <a:prstGeom prst="rect">
                        <a:avLst/>
                      </a:prstGeom>
                      <a:noFill/>
                      <a:ln>
                        <a:noFill/>
                      </a:ln>
                    </wps:spPr>
                    <wps:txbx>
                      <w:txbxContent>
                        <w:p w14:paraId="76A0C3C3" w14:textId="1082F8D1" w:rsidR="00382A88" w:rsidRPr="0011571D" w:rsidRDefault="00382A88" w:rsidP="00382A88">
                          <w:pPr>
                            <w:spacing w:after="0"/>
                            <w:rPr>
                              <w:rFonts w:ascii="Calibri" w:eastAsia="Calibri" w:hAnsi="Calibri" w:cs="Calibri"/>
                              <w:color w:val="C00000"/>
                              <w:sz w:val="24"/>
                              <w:szCs w:val="24"/>
                            </w:rPr>
                          </w:pPr>
                          <w:r w:rsidRPr="0011571D">
                            <w:rPr>
                              <w:rFonts w:ascii="Calibri" w:eastAsia="Calibri" w:hAnsi="Calibri" w:cs="Calibri"/>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E017B2D" id="_x0000_t202" coordsize="21600,21600" o:spt="202" path="m,l,21600r21600,l21600,xe">
              <v:stroke joinstyle="miter"/>
              <v:path gradientshapeok="t" o:connecttype="rect"/>
            </v:shapetype>
            <v:shape id="Text Box 4" o:spid="_x0000_s1030" type="#_x0000_t202" alt="OFFICIAL" style="position:absolute;margin-left:0;margin-top:0;width:43.45pt;height:36.8pt;z-index:2516797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" filled="f" stroked="f">
              <v:textbox style="mso-fit-shape-to-text:t" inset="0,15pt,0,0">
                <w:txbxContent>
                  <w:p w14:paraId="76A0C3C3" w14:textId="1082F8D1" w:rsidR="00382A88" w:rsidRPr="0011571D" w:rsidRDefault="00382A88" w:rsidP="00382A88">
                    <w:pPr>
                      <w:spacing w:after="0"/>
                      <w:rPr>
                        <w:rFonts w:ascii="Calibri" w:eastAsia="Calibri" w:hAnsi="Calibri" w:cs="Calibri"/>
                        <w:color w:val="C00000"/>
                        <w:sz w:val="24"/>
                        <w:szCs w:val="24"/>
                      </w:rPr>
                    </w:pPr>
                    <w:r w:rsidRPr="0011571D">
                      <w:rPr>
                        <w:rFonts w:ascii="Calibri" w:eastAsia="Calibri" w:hAnsi="Calibri" w:cs="Calibri"/>
                        <w:color w:val="C0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EC8E8FC6"/>
    <w:lvl w:ilvl="0">
      <w:start w:val="1"/>
      <w:numFmt w:val="decimal"/>
      <w:pStyle w:val="ListNumber2"/>
      <w:lvlText w:val="%1."/>
      <w:lvlJc w:val="left"/>
      <w:pPr>
        <w:tabs>
          <w:tab w:val="num" w:pos="643"/>
        </w:tabs>
        <w:ind w:left="643" w:hanging="360"/>
      </w:pPr>
    </w:lvl>
  </w:abstractNum>
  <w:abstractNum w:abstractNumId="1" w15:restartNumberingAfterBreak="0">
    <w:nsid w:val="FFFFFF88"/>
    <w:multiLevelType w:val="singleLevel"/>
    <w:tmpl w:val="4BA20130"/>
    <w:lvl w:ilvl="0">
      <w:start w:val="1"/>
      <w:numFmt w:val="decimal"/>
      <w:pStyle w:val="ListNumber"/>
      <w:lvlText w:val="%1."/>
      <w:lvlJc w:val="left"/>
      <w:pPr>
        <w:tabs>
          <w:tab w:val="num" w:pos="360"/>
        </w:tabs>
        <w:ind w:left="360" w:hanging="360"/>
      </w:pPr>
    </w:lvl>
  </w:abstractNum>
  <w:abstractNum w:abstractNumId="2" w15:restartNumberingAfterBreak="0">
    <w:nsid w:val="00601169"/>
    <w:multiLevelType w:val="multilevel"/>
    <w:tmpl w:val="7BCA8290"/>
    <w:lvl w:ilvl="0">
      <w:start w:val="1"/>
      <w:numFmt w:val="bullet"/>
      <w:pStyle w:val="ListParagraph"/>
      <w:lvlText w:val=""/>
      <w:lvlJc w:val="left"/>
      <w:pPr>
        <w:ind w:left="0" w:firstLine="0"/>
      </w:pPr>
      <w:rPr>
        <w:rFonts w:ascii="Symbol" w:hAnsi="Symbol" w:hint="default"/>
      </w:rPr>
    </w:lvl>
    <w:lvl w:ilvl="1">
      <w:start w:val="1"/>
      <w:numFmt w:val="decimal"/>
      <w:lvlText w:val="%1.%2 "/>
      <w:lvlJc w:val="left"/>
      <w:pPr>
        <w:ind w:left="0" w:firstLine="0"/>
      </w:pPr>
      <w:rPr>
        <w:rFonts w:hint="default"/>
      </w:rPr>
    </w:lvl>
    <w:lvl w:ilvl="2">
      <w:start w:val="1"/>
      <w:numFmt w:val="decimal"/>
      <w:lvlText w:val="%1.%2.%3 "/>
      <w:lvlJc w:val="left"/>
      <w:pPr>
        <w:ind w:left="0" w:firstLine="0"/>
      </w:pPr>
      <w:rPr>
        <w:rFonts w:hint="default"/>
      </w:rPr>
    </w:lvl>
    <w:lvl w:ilvl="3">
      <w:start w:val="1"/>
      <w:numFmt w:val="decimal"/>
      <w:lvlText w:val="%1.%2.%3.%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 w15:restartNumberingAfterBreak="0">
    <w:nsid w:val="016959C8"/>
    <w:multiLevelType w:val="hybridMultilevel"/>
    <w:tmpl w:val="2A86A632"/>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4" w15:restartNumberingAfterBreak="0">
    <w:nsid w:val="03614EC1"/>
    <w:multiLevelType w:val="hybridMultilevel"/>
    <w:tmpl w:val="CF8CAF02"/>
    <w:lvl w:ilvl="0" w:tplc="0C090017">
      <w:start w:val="1"/>
      <w:numFmt w:val="lowerLetter"/>
      <w:lvlText w:val="%1)"/>
      <w:lvlJc w:val="left"/>
      <w:pPr>
        <w:ind w:left="720" w:hanging="360"/>
      </w:pPr>
    </w:lvl>
    <w:lvl w:ilvl="1" w:tplc="5A32B5F4">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5" w15:restartNumberingAfterBreak="0">
    <w:nsid w:val="089868C9"/>
    <w:multiLevelType w:val="hybridMultilevel"/>
    <w:tmpl w:val="E6C21DE4"/>
    <w:lvl w:ilvl="0" w:tplc="0C090017">
      <w:start w:val="1"/>
      <w:numFmt w:val="lowerLetter"/>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0D634C97"/>
    <w:multiLevelType w:val="hybridMultilevel"/>
    <w:tmpl w:val="2652A390"/>
    <w:lvl w:ilvl="0" w:tplc="0C090017">
      <w:start w:val="1"/>
      <w:numFmt w:val="lowerLetter"/>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7" w15:restartNumberingAfterBreak="0">
    <w:nsid w:val="11063A6B"/>
    <w:multiLevelType w:val="hybridMultilevel"/>
    <w:tmpl w:val="07080262"/>
    <w:lvl w:ilvl="0" w:tplc="0C090017">
      <w:start w:val="1"/>
      <w:numFmt w:val="lowerLetter"/>
      <w:lvlText w:val="%1)"/>
      <w:lvlJc w:val="left"/>
      <w:pPr>
        <w:ind w:left="720" w:hanging="360"/>
      </w:pPr>
    </w:lvl>
    <w:lvl w:ilvl="1" w:tplc="0C090001">
      <w:start w:val="1"/>
      <w:numFmt w:val="bullet"/>
      <w:lvlText w:val=""/>
      <w:lvlJc w:val="left"/>
      <w:pPr>
        <w:ind w:left="720" w:hanging="360"/>
      </w:pPr>
      <w:rPr>
        <w:rFonts w:ascii="Symbol" w:hAnsi="Symbol" w:hint="default"/>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8" w15:restartNumberingAfterBreak="0">
    <w:nsid w:val="111C1DC9"/>
    <w:multiLevelType w:val="multilevel"/>
    <w:tmpl w:val="2978312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180166A"/>
    <w:multiLevelType w:val="hybridMultilevel"/>
    <w:tmpl w:val="267CED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1CE378E"/>
    <w:multiLevelType w:val="hybridMultilevel"/>
    <w:tmpl w:val="0A96830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15F62F1A"/>
    <w:multiLevelType w:val="hybridMultilevel"/>
    <w:tmpl w:val="55064FEE"/>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2" w15:restartNumberingAfterBreak="0">
    <w:nsid w:val="16417451"/>
    <w:multiLevelType w:val="hybridMultilevel"/>
    <w:tmpl w:val="119AB8E0"/>
    <w:lvl w:ilvl="0" w:tplc="0C090001">
      <w:start w:val="1"/>
      <w:numFmt w:val="bullet"/>
      <w:lvlText w:val=""/>
      <w:lvlJc w:val="left"/>
      <w:pPr>
        <w:ind w:left="766" w:hanging="360"/>
      </w:pPr>
      <w:rPr>
        <w:rFonts w:ascii="Symbol" w:hAnsi="Symbol" w:hint="default"/>
      </w:rPr>
    </w:lvl>
    <w:lvl w:ilvl="1" w:tplc="0C090003" w:tentative="1">
      <w:start w:val="1"/>
      <w:numFmt w:val="bullet"/>
      <w:lvlText w:val="o"/>
      <w:lvlJc w:val="left"/>
      <w:pPr>
        <w:ind w:left="1486" w:hanging="360"/>
      </w:pPr>
      <w:rPr>
        <w:rFonts w:ascii="Courier New" w:hAnsi="Courier New" w:cs="Courier New" w:hint="default"/>
      </w:rPr>
    </w:lvl>
    <w:lvl w:ilvl="2" w:tplc="0C090005" w:tentative="1">
      <w:start w:val="1"/>
      <w:numFmt w:val="bullet"/>
      <w:lvlText w:val=""/>
      <w:lvlJc w:val="left"/>
      <w:pPr>
        <w:ind w:left="2206" w:hanging="360"/>
      </w:pPr>
      <w:rPr>
        <w:rFonts w:ascii="Wingdings" w:hAnsi="Wingdings" w:hint="default"/>
      </w:rPr>
    </w:lvl>
    <w:lvl w:ilvl="3" w:tplc="0C090001" w:tentative="1">
      <w:start w:val="1"/>
      <w:numFmt w:val="bullet"/>
      <w:lvlText w:val=""/>
      <w:lvlJc w:val="left"/>
      <w:pPr>
        <w:ind w:left="2926" w:hanging="360"/>
      </w:pPr>
      <w:rPr>
        <w:rFonts w:ascii="Symbol" w:hAnsi="Symbol" w:hint="default"/>
      </w:rPr>
    </w:lvl>
    <w:lvl w:ilvl="4" w:tplc="0C090003" w:tentative="1">
      <w:start w:val="1"/>
      <w:numFmt w:val="bullet"/>
      <w:lvlText w:val="o"/>
      <w:lvlJc w:val="left"/>
      <w:pPr>
        <w:ind w:left="3646" w:hanging="360"/>
      </w:pPr>
      <w:rPr>
        <w:rFonts w:ascii="Courier New" w:hAnsi="Courier New" w:cs="Courier New" w:hint="default"/>
      </w:rPr>
    </w:lvl>
    <w:lvl w:ilvl="5" w:tplc="0C090005" w:tentative="1">
      <w:start w:val="1"/>
      <w:numFmt w:val="bullet"/>
      <w:lvlText w:val=""/>
      <w:lvlJc w:val="left"/>
      <w:pPr>
        <w:ind w:left="4366" w:hanging="360"/>
      </w:pPr>
      <w:rPr>
        <w:rFonts w:ascii="Wingdings" w:hAnsi="Wingdings" w:hint="default"/>
      </w:rPr>
    </w:lvl>
    <w:lvl w:ilvl="6" w:tplc="0C090001" w:tentative="1">
      <w:start w:val="1"/>
      <w:numFmt w:val="bullet"/>
      <w:lvlText w:val=""/>
      <w:lvlJc w:val="left"/>
      <w:pPr>
        <w:ind w:left="5086" w:hanging="360"/>
      </w:pPr>
      <w:rPr>
        <w:rFonts w:ascii="Symbol" w:hAnsi="Symbol" w:hint="default"/>
      </w:rPr>
    </w:lvl>
    <w:lvl w:ilvl="7" w:tplc="0C090003" w:tentative="1">
      <w:start w:val="1"/>
      <w:numFmt w:val="bullet"/>
      <w:lvlText w:val="o"/>
      <w:lvlJc w:val="left"/>
      <w:pPr>
        <w:ind w:left="5806" w:hanging="360"/>
      </w:pPr>
      <w:rPr>
        <w:rFonts w:ascii="Courier New" w:hAnsi="Courier New" w:cs="Courier New" w:hint="default"/>
      </w:rPr>
    </w:lvl>
    <w:lvl w:ilvl="8" w:tplc="0C090005" w:tentative="1">
      <w:start w:val="1"/>
      <w:numFmt w:val="bullet"/>
      <w:lvlText w:val=""/>
      <w:lvlJc w:val="left"/>
      <w:pPr>
        <w:ind w:left="6526" w:hanging="360"/>
      </w:pPr>
      <w:rPr>
        <w:rFonts w:ascii="Wingdings" w:hAnsi="Wingdings" w:hint="default"/>
      </w:rPr>
    </w:lvl>
  </w:abstractNum>
  <w:abstractNum w:abstractNumId="13" w15:restartNumberingAfterBreak="0">
    <w:nsid w:val="18873B52"/>
    <w:multiLevelType w:val="multilevel"/>
    <w:tmpl w:val="548014C2"/>
    <w:styleLink w:val="Style2"/>
    <w:lvl w:ilvl="0">
      <w:start w:val="1"/>
      <w:numFmt w:val="upperLetter"/>
      <w:lvlText w:val="APPENDIX %1."/>
      <w:lvlJc w:val="left"/>
      <w:pPr>
        <w:ind w:left="567" w:hanging="567"/>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1A3F0B33"/>
    <w:multiLevelType w:val="hybridMultilevel"/>
    <w:tmpl w:val="89DEA538"/>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5" w15:restartNumberingAfterBreak="0">
    <w:nsid w:val="1CB9246A"/>
    <w:multiLevelType w:val="hybridMultilevel"/>
    <w:tmpl w:val="5DB8DD44"/>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6" w15:restartNumberingAfterBreak="0">
    <w:nsid w:val="22B651FD"/>
    <w:multiLevelType w:val="hybridMultilevel"/>
    <w:tmpl w:val="1EF27E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6D85BD8"/>
    <w:multiLevelType w:val="hybridMultilevel"/>
    <w:tmpl w:val="5148BEE2"/>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8" w15:restartNumberingAfterBreak="0">
    <w:nsid w:val="30143B1F"/>
    <w:multiLevelType w:val="multilevel"/>
    <w:tmpl w:val="2978312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0B010AF"/>
    <w:multiLevelType w:val="hybridMultilevel"/>
    <w:tmpl w:val="6158005C"/>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0" w15:restartNumberingAfterBreak="0">
    <w:nsid w:val="31B11B17"/>
    <w:multiLevelType w:val="hybridMultilevel"/>
    <w:tmpl w:val="D8143A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4D91801"/>
    <w:multiLevelType w:val="hybridMultilevel"/>
    <w:tmpl w:val="2C3074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24924A4"/>
    <w:multiLevelType w:val="multilevel"/>
    <w:tmpl w:val="BEAC6FE2"/>
    <w:styleLink w:val="StyleBulletedSymbolsymbolLeft0cmHanging063cm"/>
    <w:lvl w:ilvl="0">
      <w:start w:val="1"/>
      <w:numFmt w:val="bullet"/>
      <w:lvlText w:val=""/>
      <w:lvlJc w:val="left"/>
      <w:pPr>
        <w:ind w:left="425" w:hanging="425"/>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85B7D39"/>
    <w:multiLevelType w:val="multilevel"/>
    <w:tmpl w:val="94F04348"/>
    <w:lvl w:ilvl="0">
      <w:start w:val="1"/>
      <w:numFmt w:val="bullet"/>
      <w:pStyle w:val="ListBullet"/>
      <w:lvlText w:val=""/>
      <w:lvlJc w:val="left"/>
      <w:pPr>
        <w:ind w:left="2520" w:firstLine="0"/>
      </w:pPr>
      <w:rPr>
        <w:rFonts w:ascii="Symbol" w:hAnsi="Symbol" w:hint="default"/>
      </w:rPr>
    </w:lvl>
    <w:lvl w:ilvl="1">
      <w:start w:val="1"/>
      <w:numFmt w:val="bullet"/>
      <w:lvlText w:val=""/>
      <w:lvlJc w:val="left"/>
      <w:pPr>
        <w:ind w:left="2880" w:hanging="360"/>
      </w:pPr>
      <w:rPr>
        <w:rFonts w:ascii="Symbol" w:hAnsi="Symbol" w:hint="default"/>
      </w:rPr>
    </w:lvl>
    <w:lvl w:ilvl="2">
      <w:start w:val="1"/>
      <w:numFmt w:val="decimal"/>
      <w:lvlText w:val="%1.%2.%3 "/>
      <w:lvlJc w:val="left"/>
      <w:pPr>
        <w:ind w:left="2520" w:firstLine="0"/>
      </w:pPr>
      <w:rPr>
        <w:rFonts w:hint="default"/>
      </w:rPr>
    </w:lvl>
    <w:lvl w:ilvl="3">
      <w:start w:val="1"/>
      <w:numFmt w:val="decimal"/>
      <w:lvlText w:val="%1.%2.%3.%4"/>
      <w:lvlJc w:val="left"/>
      <w:pPr>
        <w:ind w:left="2520" w:firstLine="0"/>
      </w:pPr>
      <w:rPr>
        <w:rFonts w:hint="default"/>
      </w:rPr>
    </w:lvl>
    <w:lvl w:ilvl="4">
      <w:start w:val="1"/>
      <w:numFmt w:val="lowerLetter"/>
      <w:lvlText w:val="(%5)"/>
      <w:lvlJc w:val="left"/>
      <w:pPr>
        <w:ind w:left="2520" w:firstLine="0"/>
      </w:pPr>
      <w:rPr>
        <w:rFonts w:hint="default"/>
      </w:rPr>
    </w:lvl>
    <w:lvl w:ilvl="5">
      <w:start w:val="1"/>
      <w:numFmt w:val="lowerRoman"/>
      <w:lvlText w:val="(%6)"/>
      <w:lvlJc w:val="left"/>
      <w:pPr>
        <w:ind w:left="2520" w:firstLine="0"/>
      </w:pPr>
      <w:rPr>
        <w:rFonts w:hint="default"/>
      </w:rPr>
    </w:lvl>
    <w:lvl w:ilvl="6">
      <w:start w:val="1"/>
      <w:numFmt w:val="decimal"/>
      <w:lvlText w:val="%7."/>
      <w:lvlJc w:val="left"/>
      <w:pPr>
        <w:ind w:left="2520" w:firstLine="0"/>
      </w:pPr>
      <w:rPr>
        <w:rFonts w:hint="default"/>
      </w:rPr>
    </w:lvl>
    <w:lvl w:ilvl="7">
      <w:start w:val="1"/>
      <w:numFmt w:val="lowerLetter"/>
      <w:lvlText w:val="%8."/>
      <w:lvlJc w:val="left"/>
      <w:pPr>
        <w:ind w:left="2520" w:firstLine="0"/>
      </w:pPr>
      <w:rPr>
        <w:rFonts w:hint="default"/>
      </w:rPr>
    </w:lvl>
    <w:lvl w:ilvl="8">
      <w:start w:val="1"/>
      <w:numFmt w:val="lowerRoman"/>
      <w:lvlText w:val="%9."/>
      <w:lvlJc w:val="left"/>
      <w:pPr>
        <w:ind w:left="2520" w:firstLine="0"/>
      </w:pPr>
      <w:rPr>
        <w:rFonts w:hint="default"/>
      </w:rPr>
    </w:lvl>
  </w:abstractNum>
  <w:abstractNum w:abstractNumId="24" w15:restartNumberingAfterBreak="0">
    <w:nsid w:val="4BB82431"/>
    <w:multiLevelType w:val="multilevel"/>
    <w:tmpl w:val="B43E57B4"/>
    <w:lvl w:ilvl="0">
      <w:start w:val="1"/>
      <w:numFmt w:val="upperLetter"/>
      <w:pStyle w:val="Heading1-Appendix"/>
      <w:suff w:val="space"/>
      <w:lvlText w:val="Appendix %1."/>
      <w:lvlJc w:val="left"/>
      <w:pPr>
        <w:ind w:left="0" w:firstLine="0"/>
      </w:pPr>
      <w:rPr>
        <w:rFonts w:hint="default"/>
      </w:rPr>
    </w:lvl>
    <w:lvl w:ilvl="1">
      <w:start w:val="1"/>
      <w:numFmt w:val="decimal"/>
      <w:pStyle w:val="Heading2-Appendix"/>
      <w:suff w:val="space"/>
      <w:lvlText w:val="%1.%2"/>
      <w:lvlJc w:val="left"/>
      <w:pPr>
        <w:ind w:left="0" w:firstLine="0"/>
      </w:pPr>
      <w:rPr>
        <w:rFonts w:hint="default"/>
      </w:rPr>
    </w:lvl>
    <w:lvl w:ilvl="2">
      <w:start w:val="1"/>
      <w:numFmt w:val="decimal"/>
      <w:pStyle w:val="Heading3-Appendix"/>
      <w:suff w:val="space"/>
      <w:lvlText w:val="%1.%2.%3"/>
      <w:lvlJc w:val="left"/>
      <w:pPr>
        <w:ind w:left="0" w:firstLine="0"/>
      </w:pPr>
      <w:rPr>
        <w:rFonts w:hint="default"/>
      </w:rPr>
    </w:lvl>
    <w:lvl w:ilvl="3">
      <w:start w:val="1"/>
      <w:numFmt w:val="decimal"/>
      <w:pStyle w:val="Heading4-Appendix"/>
      <w:suff w:val="space"/>
      <w:lvlText w:val="%1.%2.%3.%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25" w15:restartNumberingAfterBreak="0">
    <w:nsid w:val="4EA73207"/>
    <w:multiLevelType w:val="hybridMultilevel"/>
    <w:tmpl w:val="CF8CAF0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6" w15:restartNumberingAfterBreak="0">
    <w:nsid w:val="58921CFF"/>
    <w:multiLevelType w:val="multilevel"/>
    <w:tmpl w:val="74B22B9E"/>
    <w:lvl w:ilvl="0">
      <w:start w:val="1"/>
      <w:numFmt w:val="decimal"/>
      <w:lvlText w:val="%1."/>
      <w:lvlJc w:val="left"/>
      <w:pPr>
        <w:ind w:left="425" w:hanging="425"/>
      </w:pPr>
      <w:rPr>
        <w:rFonts w:ascii="Arial" w:hAnsi="Arial" w:cs="Arial" w:hint="default"/>
        <w:b w:val="0"/>
        <w:i w:val="0"/>
        <w:sz w:val="20"/>
        <w:szCs w:val="20"/>
      </w:rPr>
    </w:lvl>
    <w:lvl w:ilvl="1">
      <w:start w:val="1"/>
      <w:numFmt w:val="lowerLetter"/>
      <w:lvlText w:val="(%2)"/>
      <w:lvlJc w:val="left"/>
      <w:pPr>
        <w:ind w:left="851" w:hanging="426"/>
      </w:pPr>
      <w:rPr>
        <w:rFonts w:hint="default"/>
      </w:rPr>
    </w:lvl>
    <w:lvl w:ilvl="2">
      <w:start w:val="1"/>
      <w:numFmt w:val="lowerRoman"/>
      <w:pStyle w:val="List3"/>
      <w:lvlText w:val="(%3)"/>
      <w:lvlJc w:val="left"/>
      <w:pPr>
        <w:ind w:left="1276" w:hanging="425"/>
      </w:pPr>
      <w:rPr>
        <w:rFonts w:hint="default"/>
      </w:rPr>
    </w:lvl>
    <w:lvl w:ilvl="3">
      <w:numFmt w:val="upperRoman"/>
      <w:pStyle w:val="List4"/>
      <w:lvlText w:val="%4."/>
      <w:lvlJc w:val="left"/>
      <w:pPr>
        <w:ind w:left="1701" w:hanging="425"/>
      </w:pPr>
      <w:rPr>
        <w:rFonts w:hint="default"/>
      </w:rPr>
    </w:lvl>
    <w:lvl w:ilvl="4">
      <w:numFmt w:val="bullet"/>
      <w:lvlText w:val=""/>
      <w:lvlJc w:val="left"/>
      <w:pPr>
        <w:tabs>
          <w:tab w:val="num" w:pos="1800"/>
        </w:tabs>
        <w:ind w:left="1800" w:hanging="360"/>
      </w:pPr>
      <w:rPr>
        <w:rFonts w:ascii="Symbol" w:hAnsi="Symbol" w:hint="default"/>
      </w:rPr>
    </w:lvl>
    <w:lvl w:ilvl="5">
      <w:numFmt w:val="bullet"/>
      <w:lvlText w:val=""/>
      <w:lvlJc w:val="left"/>
      <w:pPr>
        <w:tabs>
          <w:tab w:val="num" w:pos="2160"/>
        </w:tabs>
        <w:ind w:left="2160" w:hanging="360"/>
      </w:pPr>
      <w:rPr>
        <w:rFonts w:ascii="Wingdings" w:hAnsi="Wingdings" w:hint="default"/>
      </w:rPr>
    </w:lvl>
    <w:lvl w:ilvl="6">
      <w:numFmt w:val="bullet"/>
      <w:lvlText w:val=""/>
      <w:lvlJc w:val="left"/>
      <w:pPr>
        <w:tabs>
          <w:tab w:val="num" w:pos="2520"/>
        </w:tabs>
        <w:ind w:left="2520" w:hanging="360"/>
      </w:pPr>
      <w:rPr>
        <w:rFonts w:ascii="Wingdings" w:hAnsi="Wingdings" w:hint="default"/>
      </w:rPr>
    </w:lvl>
    <w:lvl w:ilvl="7">
      <w:numFmt w:val="bullet"/>
      <w:lvlText w:val=""/>
      <w:lvlJc w:val="left"/>
      <w:pPr>
        <w:tabs>
          <w:tab w:val="num" w:pos="2880"/>
        </w:tabs>
        <w:ind w:left="2880" w:hanging="360"/>
      </w:pPr>
      <w:rPr>
        <w:rFonts w:ascii="Symbol" w:hAnsi="Symbol" w:hint="default"/>
      </w:rPr>
    </w:lvl>
    <w:lvl w:ilvl="8">
      <w:numFmt w:val="bullet"/>
      <w:lvlText w:val=""/>
      <w:lvlJc w:val="left"/>
      <w:pPr>
        <w:tabs>
          <w:tab w:val="num" w:pos="3240"/>
        </w:tabs>
        <w:ind w:left="3240" w:hanging="360"/>
      </w:pPr>
      <w:rPr>
        <w:rFonts w:ascii="Symbol" w:hAnsi="Symbol" w:hint="default"/>
      </w:rPr>
    </w:lvl>
  </w:abstractNum>
  <w:abstractNum w:abstractNumId="27" w15:restartNumberingAfterBreak="0">
    <w:nsid w:val="591666AB"/>
    <w:multiLevelType w:val="hybridMultilevel"/>
    <w:tmpl w:val="0FFA6130"/>
    <w:lvl w:ilvl="0" w:tplc="0C090001">
      <w:start w:val="1"/>
      <w:numFmt w:val="bullet"/>
      <w:lvlText w:val=""/>
      <w:lvlJc w:val="left"/>
      <w:pPr>
        <w:ind w:left="760" w:hanging="360"/>
      </w:pPr>
      <w:rPr>
        <w:rFonts w:ascii="Symbol" w:hAnsi="Symbol" w:hint="default"/>
      </w:rPr>
    </w:lvl>
    <w:lvl w:ilvl="1" w:tplc="0C090003" w:tentative="1">
      <w:start w:val="1"/>
      <w:numFmt w:val="bullet"/>
      <w:lvlText w:val="o"/>
      <w:lvlJc w:val="left"/>
      <w:pPr>
        <w:ind w:left="1480" w:hanging="360"/>
      </w:pPr>
      <w:rPr>
        <w:rFonts w:ascii="Courier New" w:hAnsi="Courier New" w:cs="Courier New" w:hint="default"/>
      </w:rPr>
    </w:lvl>
    <w:lvl w:ilvl="2" w:tplc="0C090005" w:tentative="1">
      <w:start w:val="1"/>
      <w:numFmt w:val="bullet"/>
      <w:lvlText w:val=""/>
      <w:lvlJc w:val="left"/>
      <w:pPr>
        <w:ind w:left="2200" w:hanging="360"/>
      </w:pPr>
      <w:rPr>
        <w:rFonts w:ascii="Wingdings" w:hAnsi="Wingdings" w:hint="default"/>
      </w:rPr>
    </w:lvl>
    <w:lvl w:ilvl="3" w:tplc="0C090001" w:tentative="1">
      <w:start w:val="1"/>
      <w:numFmt w:val="bullet"/>
      <w:lvlText w:val=""/>
      <w:lvlJc w:val="left"/>
      <w:pPr>
        <w:ind w:left="2920" w:hanging="360"/>
      </w:pPr>
      <w:rPr>
        <w:rFonts w:ascii="Symbol" w:hAnsi="Symbol" w:hint="default"/>
      </w:rPr>
    </w:lvl>
    <w:lvl w:ilvl="4" w:tplc="0C090003" w:tentative="1">
      <w:start w:val="1"/>
      <w:numFmt w:val="bullet"/>
      <w:lvlText w:val="o"/>
      <w:lvlJc w:val="left"/>
      <w:pPr>
        <w:ind w:left="3640" w:hanging="360"/>
      </w:pPr>
      <w:rPr>
        <w:rFonts w:ascii="Courier New" w:hAnsi="Courier New" w:cs="Courier New" w:hint="default"/>
      </w:rPr>
    </w:lvl>
    <w:lvl w:ilvl="5" w:tplc="0C090005" w:tentative="1">
      <w:start w:val="1"/>
      <w:numFmt w:val="bullet"/>
      <w:lvlText w:val=""/>
      <w:lvlJc w:val="left"/>
      <w:pPr>
        <w:ind w:left="4360" w:hanging="360"/>
      </w:pPr>
      <w:rPr>
        <w:rFonts w:ascii="Wingdings" w:hAnsi="Wingdings" w:hint="default"/>
      </w:rPr>
    </w:lvl>
    <w:lvl w:ilvl="6" w:tplc="0C090001" w:tentative="1">
      <w:start w:val="1"/>
      <w:numFmt w:val="bullet"/>
      <w:lvlText w:val=""/>
      <w:lvlJc w:val="left"/>
      <w:pPr>
        <w:ind w:left="5080" w:hanging="360"/>
      </w:pPr>
      <w:rPr>
        <w:rFonts w:ascii="Symbol" w:hAnsi="Symbol" w:hint="default"/>
      </w:rPr>
    </w:lvl>
    <w:lvl w:ilvl="7" w:tplc="0C090003" w:tentative="1">
      <w:start w:val="1"/>
      <w:numFmt w:val="bullet"/>
      <w:lvlText w:val="o"/>
      <w:lvlJc w:val="left"/>
      <w:pPr>
        <w:ind w:left="5800" w:hanging="360"/>
      </w:pPr>
      <w:rPr>
        <w:rFonts w:ascii="Courier New" w:hAnsi="Courier New" w:cs="Courier New" w:hint="default"/>
      </w:rPr>
    </w:lvl>
    <w:lvl w:ilvl="8" w:tplc="0C090005" w:tentative="1">
      <w:start w:val="1"/>
      <w:numFmt w:val="bullet"/>
      <w:lvlText w:val=""/>
      <w:lvlJc w:val="left"/>
      <w:pPr>
        <w:ind w:left="6520" w:hanging="360"/>
      </w:pPr>
      <w:rPr>
        <w:rFonts w:ascii="Wingdings" w:hAnsi="Wingdings" w:hint="default"/>
      </w:rPr>
    </w:lvl>
  </w:abstractNum>
  <w:abstractNum w:abstractNumId="28" w15:restartNumberingAfterBreak="0">
    <w:nsid w:val="598052ED"/>
    <w:multiLevelType w:val="multilevel"/>
    <w:tmpl w:val="322044E8"/>
    <w:styleLink w:val="Style3"/>
    <w:lvl w:ilvl="0">
      <w:start w:val="1"/>
      <w:numFmt w:val="upperLetter"/>
      <w:lvlText w:val="%1"/>
      <w:lvlJc w:val="left"/>
      <w:pPr>
        <w:ind w:left="432" w:hanging="432"/>
      </w:pPr>
    </w:lvl>
    <w:lvl w:ilvl="1">
      <w:start w:val="1"/>
      <w:numFmt w:val="decimal"/>
      <w:lvlText w:val="%1.%2"/>
      <w:lvlJc w:val="left"/>
      <w:pPr>
        <w:ind w:left="567" w:hanging="567"/>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9" w15:restartNumberingAfterBreak="0">
    <w:nsid w:val="5CD651B4"/>
    <w:multiLevelType w:val="hybridMultilevel"/>
    <w:tmpl w:val="7C7C2210"/>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30" w15:restartNumberingAfterBreak="0">
    <w:nsid w:val="64D21E27"/>
    <w:multiLevelType w:val="hybridMultilevel"/>
    <w:tmpl w:val="F740E07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31" w15:restartNumberingAfterBreak="0">
    <w:nsid w:val="65A77441"/>
    <w:multiLevelType w:val="hybridMultilevel"/>
    <w:tmpl w:val="5B9601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77C45D7"/>
    <w:multiLevelType w:val="multilevel"/>
    <w:tmpl w:val="1B1EC692"/>
    <w:styleLink w:val="Style1"/>
    <w:lvl w:ilvl="0">
      <w:start w:val="1"/>
      <w:numFmt w:val="upperLetter"/>
      <w:lvlText w:val="APPENDIX %1."/>
      <w:lvlJc w:val="left"/>
      <w:pPr>
        <w:ind w:left="567" w:hanging="567"/>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567"/>
        </w:tabs>
        <w:ind w:left="0" w:firstLine="0"/>
      </w:pPr>
      <w:rPr>
        <w:rFonts w:ascii="Arial Bold" w:hAnsi="Arial Bold" w:hint="default"/>
        <w:b/>
        <w:i w:val="0"/>
        <w:sz w:val="24"/>
        <w:szCs w:val="24"/>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3" w15:restartNumberingAfterBreak="0">
    <w:nsid w:val="6E0F1090"/>
    <w:multiLevelType w:val="hybridMultilevel"/>
    <w:tmpl w:val="24005AC4"/>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4" w15:restartNumberingAfterBreak="0">
    <w:nsid w:val="7330575D"/>
    <w:multiLevelType w:val="multilevel"/>
    <w:tmpl w:val="3D6A88F4"/>
    <w:lvl w:ilvl="0">
      <w:start w:val="1"/>
      <w:numFmt w:val="upperLetter"/>
      <w:suff w:val="space"/>
      <w:lvlText w:val="Appendix %1."/>
      <w:lvlJc w:val="left"/>
      <w:pPr>
        <w:ind w:left="0" w:firstLine="0"/>
      </w:pPr>
      <w:rPr>
        <w:rFonts w:hint="default"/>
      </w:rPr>
    </w:lvl>
    <w:lvl w:ilvl="1">
      <w:start w:val="1"/>
      <w:numFmt w:val="decimal"/>
      <w:lvlText w:val="%1.%2"/>
      <w:lvlJc w:val="left"/>
      <w:pPr>
        <w:ind w:left="5217" w:hanging="680"/>
      </w:pPr>
      <w:rPr>
        <w:rFonts w:hint="default"/>
      </w:rPr>
    </w:lvl>
    <w:lvl w:ilvl="2">
      <w:start w:val="1"/>
      <w:numFmt w:val="decimal"/>
      <w:lvlText w:val="%1.%2.%3"/>
      <w:lvlJc w:val="left"/>
      <w:pPr>
        <w:ind w:left="680" w:hanging="680"/>
      </w:pPr>
      <w:rPr>
        <w:rFonts w:hint="default"/>
      </w:rPr>
    </w:lvl>
    <w:lvl w:ilvl="3">
      <w:start w:val="1"/>
      <w:numFmt w:val="decimal"/>
      <w:lvlText w:val="%1.%2.%3.%4"/>
      <w:lvlJc w:val="left"/>
      <w:pPr>
        <w:ind w:left="680" w:hanging="680"/>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5" w15:restartNumberingAfterBreak="0">
    <w:nsid w:val="75911741"/>
    <w:multiLevelType w:val="multilevel"/>
    <w:tmpl w:val="B8924410"/>
    <w:lvl w:ilvl="0">
      <w:start w:val="1"/>
      <w:numFmt w:val="decimal"/>
      <w:pStyle w:val="Heading1"/>
      <w:suff w:val="space"/>
      <w:lvlText w:val="%1 "/>
      <w:lvlJc w:val="left"/>
      <w:pPr>
        <w:ind w:left="0" w:firstLine="0"/>
      </w:pPr>
      <w:rPr>
        <w:rFonts w:hint="default"/>
      </w:rPr>
    </w:lvl>
    <w:lvl w:ilvl="1">
      <w:start w:val="1"/>
      <w:numFmt w:val="decimal"/>
      <w:pStyle w:val="Heading2"/>
      <w:suff w:val="space"/>
      <w:lvlText w:val="%1.%2 "/>
      <w:lvlJc w:val="left"/>
      <w:pPr>
        <w:ind w:left="426" w:firstLine="0"/>
      </w:pPr>
      <w:rPr>
        <w:rFonts w:hint="default"/>
      </w:rPr>
    </w:lvl>
    <w:lvl w:ilvl="2">
      <w:start w:val="1"/>
      <w:numFmt w:val="decimal"/>
      <w:pStyle w:val="Heading3"/>
      <w:suff w:val="space"/>
      <w:lvlText w:val="%1.%2.%3 "/>
      <w:lvlJc w:val="left"/>
      <w:pPr>
        <w:ind w:left="0" w:firstLine="0"/>
      </w:pPr>
      <w:rPr>
        <w:rFonts w:hint="default"/>
      </w:rPr>
    </w:lvl>
    <w:lvl w:ilvl="3">
      <w:start w:val="1"/>
      <w:numFmt w:val="decimal"/>
      <w:pStyle w:val="Heading4"/>
      <w:suff w:val="space"/>
      <w:lvlText w:val="%1.%2.%3.%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A752D1A"/>
    <w:multiLevelType w:val="hybridMultilevel"/>
    <w:tmpl w:val="DEB8C97C"/>
    <w:lvl w:ilvl="0" w:tplc="0C090017">
      <w:start w:val="1"/>
      <w:numFmt w:val="lowerLetter"/>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1825659775">
    <w:abstractNumId w:val="26"/>
  </w:num>
  <w:num w:numId="2" w16cid:durableId="752049528">
    <w:abstractNumId w:val="2"/>
  </w:num>
  <w:num w:numId="3" w16cid:durableId="8065403">
    <w:abstractNumId w:val="35"/>
  </w:num>
  <w:num w:numId="4" w16cid:durableId="1651054787">
    <w:abstractNumId w:val="1"/>
  </w:num>
  <w:num w:numId="5" w16cid:durableId="1265267742">
    <w:abstractNumId w:val="0"/>
  </w:num>
  <w:num w:numId="6" w16cid:durableId="548302602">
    <w:abstractNumId w:val="1"/>
    <w:lvlOverride w:ilvl="0">
      <w:startOverride w:val="1"/>
    </w:lvlOverride>
  </w:num>
  <w:num w:numId="7" w16cid:durableId="631251453">
    <w:abstractNumId w:val="34"/>
  </w:num>
  <w:num w:numId="8" w16cid:durableId="3932681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653763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21854799">
    <w:abstractNumId w:val="13"/>
  </w:num>
  <w:num w:numId="11" w16cid:durableId="294066829">
    <w:abstractNumId w:val="22"/>
  </w:num>
  <w:num w:numId="12" w16cid:durableId="145362417">
    <w:abstractNumId w:val="28"/>
  </w:num>
  <w:num w:numId="13" w16cid:durableId="714963484">
    <w:abstractNumId w:val="32"/>
  </w:num>
  <w:num w:numId="14" w16cid:durableId="641812083">
    <w:abstractNumId w:val="29"/>
  </w:num>
  <w:num w:numId="15" w16cid:durableId="612513758">
    <w:abstractNumId w:val="8"/>
  </w:num>
  <w:num w:numId="16" w16cid:durableId="279267337">
    <w:abstractNumId w:val="23"/>
  </w:num>
  <w:num w:numId="17" w16cid:durableId="1459033616">
    <w:abstractNumId w:val="18"/>
  </w:num>
  <w:num w:numId="18" w16cid:durableId="906190982">
    <w:abstractNumId w:val="24"/>
  </w:num>
  <w:num w:numId="19" w16cid:durableId="1698307728">
    <w:abstractNumId w:val="3"/>
  </w:num>
  <w:num w:numId="20" w16cid:durableId="123555420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3813785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4187595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10392792">
    <w:abstractNumId w:val="36"/>
    <w:lvlOverride w:ilvl="0">
      <w:startOverride w:val="1"/>
    </w:lvlOverride>
    <w:lvlOverride w:ilvl="1"/>
    <w:lvlOverride w:ilvl="2"/>
    <w:lvlOverride w:ilvl="3"/>
    <w:lvlOverride w:ilvl="4"/>
    <w:lvlOverride w:ilvl="5"/>
    <w:lvlOverride w:ilvl="6"/>
    <w:lvlOverride w:ilvl="7"/>
    <w:lvlOverride w:ilvl="8"/>
  </w:num>
  <w:num w:numId="24" w16cid:durableId="28530356">
    <w:abstractNumId w:val="7"/>
  </w:num>
  <w:num w:numId="25" w16cid:durableId="17977906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48893688">
    <w:abstractNumId w:val="10"/>
  </w:num>
  <w:num w:numId="27" w16cid:durableId="18213816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9230700">
    <w:abstractNumId w:val="6"/>
    <w:lvlOverride w:ilvl="0">
      <w:startOverride w:val="1"/>
    </w:lvlOverride>
    <w:lvlOverride w:ilvl="1"/>
    <w:lvlOverride w:ilvl="2"/>
    <w:lvlOverride w:ilvl="3"/>
    <w:lvlOverride w:ilvl="4"/>
    <w:lvlOverride w:ilvl="5"/>
    <w:lvlOverride w:ilvl="6"/>
    <w:lvlOverride w:ilvl="7"/>
    <w:lvlOverride w:ilvl="8"/>
  </w:num>
  <w:num w:numId="29" w16cid:durableId="120725208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3074634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8674069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56116256">
    <w:abstractNumId w:val="5"/>
    <w:lvlOverride w:ilvl="0">
      <w:startOverride w:val="1"/>
    </w:lvlOverride>
    <w:lvlOverride w:ilvl="1"/>
    <w:lvlOverride w:ilvl="2"/>
    <w:lvlOverride w:ilvl="3"/>
    <w:lvlOverride w:ilvl="4"/>
    <w:lvlOverride w:ilvl="5"/>
    <w:lvlOverride w:ilvl="6"/>
    <w:lvlOverride w:ilvl="7"/>
    <w:lvlOverride w:ilvl="8"/>
  </w:num>
  <w:num w:numId="33" w16cid:durableId="687025930">
    <w:abstractNumId w:val="4"/>
  </w:num>
  <w:num w:numId="34" w16cid:durableId="948582447">
    <w:abstractNumId w:val="9"/>
  </w:num>
  <w:num w:numId="35" w16cid:durableId="1870296306">
    <w:abstractNumId w:val="21"/>
  </w:num>
  <w:num w:numId="36" w16cid:durableId="792094817">
    <w:abstractNumId w:val="16"/>
  </w:num>
  <w:num w:numId="37" w16cid:durableId="404882794">
    <w:abstractNumId w:val="27"/>
  </w:num>
  <w:num w:numId="38" w16cid:durableId="213398118">
    <w:abstractNumId w:val="20"/>
  </w:num>
  <w:num w:numId="39" w16cid:durableId="897859761">
    <w:abstractNumId w:val="12"/>
  </w:num>
  <w:num w:numId="40" w16cid:durableId="1997145597">
    <w:abstractNumId w:val="3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A88"/>
    <w:rsid w:val="00002639"/>
    <w:rsid w:val="00003766"/>
    <w:rsid w:val="00014E8A"/>
    <w:rsid w:val="00017287"/>
    <w:rsid w:val="000310CF"/>
    <w:rsid w:val="00032995"/>
    <w:rsid w:val="000334FC"/>
    <w:rsid w:val="00033E63"/>
    <w:rsid w:val="00034867"/>
    <w:rsid w:val="000373AA"/>
    <w:rsid w:val="00042FF1"/>
    <w:rsid w:val="00044EE5"/>
    <w:rsid w:val="00045A97"/>
    <w:rsid w:val="0005386C"/>
    <w:rsid w:val="000552B3"/>
    <w:rsid w:val="00067C87"/>
    <w:rsid w:val="0007067B"/>
    <w:rsid w:val="00070E23"/>
    <w:rsid w:val="000743CE"/>
    <w:rsid w:val="00074BD3"/>
    <w:rsid w:val="0007786B"/>
    <w:rsid w:val="0008167B"/>
    <w:rsid w:val="00081D07"/>
    <w:rsid w:val="00082926"/>
    <w:rsid w:val="00084370"/>
    <w:rsid w:val="00090DDB"/>
    <w:rsid w:val="000A045D"/>
    <w:rsid w:val="000A75CB"/>
    <w:rsid w:val="000A7F99"/>
    <w:rsid w:val="000B230D"/>
    <w:rsid w:val="000B24FC"/>
    <w:rsid w:val="000B333E"/>
    <w:rsid w:val="000B6C60"/>
    <w:rsid w:val="000B7390"/>
    <w:rsid w:val="000C0EEA"/>
    <w:rsid w:val="000C1609"/>
    <w:rsid w:val="000C204F"/>
    <w:rsid w:val="000C3494"/>
    <w:rsid w:val="000C47DC"/>
    <w:rsid w:val="000C4FA3"/>
    <w:rsid w:val="000C7FCC"/>
    <w:rsid w:val="000D6A0E"/>
    <w:rsid w:val="000E0F53"/>
    <w:rsid w:val="000E2358"/>
    <w:rsid w:val="000E599A"/>
    <w:rsid w:val="000E5C60"/>
    <w:rsid w:val="000F0607"/>
    <w:rsid w:val="000F2564"/>
    <w:rsid w:val="000F50CE"/>
    <w:rsid w:val="000F5DB8"/>
    <w:rsid w:val="000F647F"/>
    <w:rsid w:val="0011571D"/>
    <w:rsid w:val="00116C46"/>
    <w:rsid w:val="00127F7F"/>
    <w:rsid w:val="00136F69"/>
    <w:rsid w:val="0014088A"/>
    <w:rsid w:val="0014513D"/>
    <w:rsid w:val="00145399"/>
    <w:rsid w:val="00153C15"/>
    <w:rsid w:val="001549C0"/>
    <w:rsid w:val="0016222D"/>
    <w:rsid w:val="001630DC"/>
    <w:rsid w:val="00171757"/>
    <w:rsid w:val="001729ED"/>
    <w:rsid w:val="0017310E"/>
    <w:rsid w:val="00174108"/>
    <w:rsid w:val="001751B0"/>
    <w:rsid w:val="00183A41"/>
    <w:rsid w:val="00185E51"/>
    <w:rsid w:val="001860B8"/>
    <w:rsid w:val="0018753C"/>
    <w:rsid w:val="001920E0"/>
    <w:rsid w:val="001A38CC"/>
    <w:rsid w:val="001B046B"/>
    <w:rsid w:val="001B190E"/>
    <w:rsid w:val="001B314C"/>
    <w:rsid w:val="001D216A"/>
    <w:rsid w:val="001D2E82"/>
    <w:rsid w:val="001D4521"/>
    <w:rsid w:val="001D51DA"/>
    <w:rsid w:val="001D53C9"/>
    <w:rsid w:val="001E0C9F"/>
    <w:rsid w:val="001E3EA0"/>
    <w:rsid w:val="001F5AB1"/>
    <w:rsid w:val="001F75A8"/>
    <w:rsid w:val="001F7C05"/>
    <w:rsid w:val="002003FA"/>
    <w:rsid w:val="0020294D"/>
    <w:rsid w:val="00205DF3"/>
    <w:rsid w:val="002128AF"/>
    <w:rsid w:val="00214AEE"/>
    <w:rsid w:val="0022083E"/>
    <w:rsid w:val="00220CA8"/>
    <w:rsid w:val="00222D0B"/>
    <w:rsid w:val="00226C0E"/>
    <w:rsid w:val="00232069"/>
    <w:rsid w:val="00237F50"/>
    <w:rsid w:val="0024072E"/>
    <w:rsid w:val="00241D3D"/>
    <w:rsid w:val="0024321E"/>
    <w:rsid w:val="00243EC1"/>
    <w:rsid w:val="002449CB"/>
    <w:rsid w:val="002459B6"/>
    <w:rsid w:val="00246116"/>
    <w:rsid w:val="00246D6C"/>
    <w:rsid w:val="002515EA"/>
    <w:rsid w:val="0025372C"/>
    <w:rsid w:val="00254DA8"/>
    <w:rsid w:val="002601F3"/>
    <w:rsid w:val="00263BA7"/>
    <w:rsid w:val="00266F7C"/>
    <w:rsid w:val="00272A9E"/>
    <w:rsid w:val="00272B04"/>
    <w:rsid w:val="00274C94"/>
    <w:rsid w:val="00282ED3"/>
    <w:rsid w:val="002A101F"/>
    <w:rsid w:val="002A18FF"/>
    <w:rsid w:val="002A1A24"/>
    <w:rsid w:val="002A7B4E"/>
    <w:rsid w:val="002B3A3A"/>
    <w:rsid w:val="002B5C69"/>
    <w:rsid w:val="002C1E0A"/>
    <w:rsid w:val="002C21C8"/>
    <w:rsid w:val="002C5268"/>
    <w:rsid w:val="002C7B9D"/>
    <w:rsid w:val="002D230B"/>
    <w:rsid w:val="002D4125"/>
    <w:rsid w:val="002D6EF2"/>
    <w:rsid w:val="002F3DA0"/>
    <w:rsid w:val="002F4BD0"/>
    <w:rsid w:val="002F60C0"/>
    <w:rsid w:val="002F6B2F"/>
    <w:rsid w:val="003024F6"/>
    <w:rsid w:val="0031048E"/>
    <w:rsid w:val="00314284"/>
    <w:rsid w:val="00315092"/>
    <w:rsid w:val="00315846"/>
    <w:rsid w:val="00315C63"/>
    <w:rsid w:val="0031654A"/>
    <w:rsid w:val="00320A6A"/>
    <w:rsid w:val="00330C0B"/>
    <w:rsid w:val="00331185"/>
    <w:rsid w:val="00332041"/>
    <w:rsid w:val="00337BBB"/>
    <w:rsid w:val="00340B51"/>
    <w:rsid w:val="00341591"/>
    <w:rsid w:val="00342B84"/>
    <w:rsid w:val="00346FCF"/>
    <w:rsid w:val="0035140F"/>
    <w:rsid w:val="0035288F"/>
    <w:rsid w:val="0036057F"/>
    <w:rsid w:val="003606DC"/>
    <w:rsid w:val="0037210A"/>
    <w:rsid w:val="00372E70"/>
    <w:rsid w:val="003768AA"/>
    <w:rsid w:val="00382A88"/>
    <w:rsid w:val="00387BA8"/>
    <w:rsid w:val="00392068"/>
    <w:rsid w:val="003920D1"/>
    <w:rsid w:val="00393784"/>
    <w:rsid w:val="00397F55"/>
    <w:rsid w:val="003A0E7F"/>
    <w:rsid w:val="003A4E85"/>
    <w:rsid w:val="003B795F"/>
    <w:rsid w:val="003B7A1C"/>
    <w:rsid w:val="003C09E0"/>
    <w:rsid w:val="003C5FAA"/>
    <w:rsid w:val="003D38ED"/>
    <w:rsid w:val="003D6B28"/>
    <w:rsid w:val="003D747D"/>
    <w:rsid w:val="003E1B2E"/>
    <w:rsid w:val="003E31D1"/>
    <w:rsid w:val="003E659F"/>
    <w:rsid w:val="003F2012"/>
    <w:rsid w:val="003F28E3"/>
    <w:rsid w:val="003F30F4"/>
    <w:rsid w:val="003F4FD2"/>
    <w:rsid w:val="00406032"/>
    <w:rsid w:val="00414166"/>
    <w:rsid w:val="00420C08"/>
    <w:rsid w:val="00421B84"/>
    <w:rsid w:val="00423B2E"/>
    <w:rsid w:val="00423D13"/>
    <w:rsid w:val="004251D3"/>
    <w:rsid w:val="00425340"/>
    <w:rsid w:val="00427922"/>
    <w:rsid w:val="0043215B"/>
    <w:rsid w:val="0043720A"/>
    <w:rsid w:val="00443163"/>
    <w:rsid w:val="00445666"/>
    <w:rsid w:val="004530F9"/>
    <w:rsid w:val="004632E9"/>
    <w:rsid w:val="0046481E"/>
    <w:rsid w:val="0046678C"/>
    <w:rsid w:val="004710B9"/>
    <w:rsid w:val="004862C3"/>
    <w:rsid w:val="00487D18"/>
    <w:rsid w:val="0049432E"/>
    <w:rsid w:val="00494384"/>
    <w:rsid w:val="004969A9"/>
    <w:rsid w:val="004A6C4F"/>
    <w:rsid w:val="004A7856"/>
    <w:rsid w:val="004B1984"/>
    <w:rsid w:val="004B4254"/>
    <w:rsid w:val="004B4A8B"/>
    <w:rsid w:val="004B52A3"/>
    <w:rsid w:val="004B6396"/>
    <w:rsid w:val="004C2E6B"/>
    <w:rsid w:val="004C7406"/>
    <w:rsid w:val="004D2D32"/>
    <w:rsid w:val="004D3B0F"/>
    <w:rsid w:val="004E0295"/>
    <w:rsid w:val="004E1A37"/>
    <w:rsid w:val="004E23A9"/>
    <w:rsid w:val="004E5181"/>
    <w:rsid w:val="004E6A61"/>
    <w:rsid w:val="004E6C80"/>
    <w:rsid w:val="004E75D2"/>
    <w:rsid w:val="004F6147"/>
    <w:rsid w:val="00501E09"/>
    <w:rsid w:val="00512647"/>
    <w:rsid w:val="00516B0E"/>
    <w:rsid w:val="00520760"/>
    <w:rsid w:val="00522E4C"/>
    <w:rsid w:val="00527381"/>
    <w:rsid w:val="005278ED"/>
    <w:rsid w:val="005419C2"/>
    <w:rsid w:val="005423A2"/>
    <w:rsid w:val="00546D64"/>
    <w:rsid w:val="00554C98"/>
    <w:rsid w:val="00561D2E"/>
    <w:rsid w:val="00566647"/>
    <w:rsid w:val="00566B35"/>
    <w:rsid w:val="005706FD"/>
    <w:rsid w:val="00572521"/>
    <w:rsid w:val="00572E9F"/>
    <w:rsid w:val="0057584F"/>
    <w:rsid w:val="00576463"/>
    <w:rsid w:val="005777BC"/>
    <w:rsid w:val="00577E6F"/>
    <w:rsid w:val="00580299"/>
    <w:rsid w:val="00580D49"/>
    <w:rsid w:val="00582ECE"/>
    <w:rsid w:val="00584B74"/>
    <w:rsid w:val="00587CBE"/>
    <w:rsid w:val="0059096C"/>
    <w:rsid w:val="00592B7E"/>
    <w:rsid w:val="00594F5D"/>
    <w:rsid w:val="005A1B5C"/>
    <w:rsid w:val="005A7116"/>
    <w:rsid w:val="005A724E"/>
    <w:rsid w:val="005B2D34"/>
    <w:rsid w:val="005C111D"/>
    <w:rsid w:val="005C735B"/>
    <w:rsid w:val="005D0358"/>
    <w:rsid w:val="005D19B8"/>
    <w:rsid w:val="005D27F7"/>
    <w:rsid w:val="005D3B5C"/>
    <w:rsid w:val="005D4CDC"/>
    <w:rsid w:val="005E5F5F"/>
    <w:rsid w:val="005F4756"/>
    <w:rsid w:val="005F5A1E"/>
    <w:rsid w:val="006020EC"/>
    <w:rsid w:val="00603DDF"/>
    <w:rsid w:val="00607188"/>
    <w:rsid w:val="00611895"/>
    <w:rsid w:val="00612AD0"/>
    <w:rsid w:val="00614487"/>
    <w:rsid w:val="00617B9D"/>
    <w:rsid w:val="00623171"/>
    <w:rsid w:val="00625656"/>
    <w:rsid w:val="00626B15"/>
    <w:rsid w:val="00632AF1"/>
    <w:rsid w:val="006337C7"/>
    <w:rsid w:val="006421B4"/>
    <w:rsid w:val="00655781"/>
    <w:rsid w:val="0066416C"/>
    <w:rsid w:val="00671D1D"/>
    <w:rsid w:val="00671FC8"/>
    <w:rsid w:val="0067784C"/>
    <w:rsid w:val="00680F26"/>
    <w:rsid w:val="0068286F"/>
    <w:rsid w:val="00685BD6"/>
    <w:rsid w:val="006909C8"/>
    <w:rsid w:val="006940D4"/>
    <w:rsid w:val="00694344"/>
    <w:rsid w:val="00695B12"/>
    <w:rsid w:val="00696988"/>
    <w:rsid w:val="00697567"/>
    <w:rsid w:val="006A068A"/>
    <w:rsid w:val="006A6FF5"/>
    <w:rsid w:val="006B0AB6"/>
    <w:rsid w:val="006B2737"/>
    <w:rsid w:val="006B48D8"/>
    <w:rsid w:val="006B655C"/>
    <w:rsid w:val="006B7D8F"/>
    <w:rsid w:val="006C46AE"/>
    <w:rsid w:val="006C4C9C"/>
    <w:rsid w:val="006C7D25"/>
    <w:rsid w:val="006D2221"/>
    <w:rsid w:val="006D27C5"/>
    <w:rsid w:val="006D5151"/>
    <w:rsid w:val="006D53C4"/>
    <w:rsid w:val="006E1636"/>
    <w:rsid w:val="006E1E6A"/>
    <w:rsid w:val="006E4001"/>
    <w:rsid w:val="006E4746"/>
    <w:rsid w:val="006E5A23"/>
    <w:rsid w:val="006F1C88"/>
    <w:rsid w:val="006F256A"/>
    <w:rsid w:val="006F58A5"/>
    <w:rsid w:val="00701FF7"/>
    <w:rsid w:val="00703734"/>
    <w:rsid w:val="00703A58"/>
    <w:rsid w:val="00704D5C"/>
    <w:rsid w:val="00706FC5"/>
    <w:rsid w:val="00711349"/>
    <w:rsid w:val="007134E7"/>
    <w:rsid w:val="00715EF8"/>
    <w:rsid w:val="00723C5D"/>
    <w:rsid w:val="00724E08"/>
    <w:rsid w:val="00726156"/>
    <w:rsid w:val="007274F1"/>
    <w:rsid w:val="0073362E"/>
    <w:rsid w:val="007346D3"/>
    <w:rsid w:val="007354B7"/>
    <w:rsid w:val="0074637D"/>
    <w:rsid w:val="00750A62"/>
    <w:rsid w:val="00766622"/>
    <w:rsid w:val="00775EC3"/>
    <w:rsid w:val="00781C9A"/>
    <w:rsid w:val="007833EE"/>
    <w:rsid w:val="007905F0"/>
    <w:rsid w:val="0079791B"/>
    <w:rsid w:val="00797AB1"/>
    <w:rsid w:val="007A74CC"/>
    <w:rsid w:val="007B553F"/>
    <w:rsid w:val="007C13B3"/>
    <w:rsid w:val="007C13DA"/>
    <w:rsid w:val="007C5F1E"/>
    <w:rsid w:val="007D010C"/>
    <w:rsid w:val="007E46A7"/>
    <w:rsid w:val="007F5B8F"/>
    <w:rsid w:val="007F5BE9"/>
    <w:rsid w:val="00800F42"/>
    <w:rsid w:val="0080201C"/>
    <w:rsid w:val="00806473"/>
    <w:rsid w:val="00814CC4"/>
    <w:rsid w:val="008174D1"/>
    <w:rsid w:val="00823721"/>
    <w:rsid w:val="00826293"/>
    <w:rsid w:val="00827A77"/>
    <w:rsid w:val="00831CB3"/>
    <w:rsid w:val="0084085C"/>
    <w:rsid w:val="00842265"/>
    <w:rsid w:val="00842694"/>
    <w:rsid w:val="008470BD"/>
    <w:rsid w:val="008527AF"/>
    <w:rsid w:val="00853A7A"/>
    <w:rsid w:val="008572AF"/>
    <w:rsid w:val="00857AED"/>
    <w:rsid w:val="0086117F"/>
    <w:rsid w:val="00861791"/>
    <w:rsid w:val="008634C0"/>
    <w:rsid w:val="00864A08"/>
    <w:rsid w:val="008653E9"/>
    <w:rsid w:val="008707C6"/>
    <w:rsid w:val="00871E10"/>
    <w:rsid w:val="00872B78"/>
    <w:rsid w:val="00872DFF"/>
    <w:rsid w:val="00876B8D"/>
    <w:rsid w:val="008811A4"/>
    <w:rsid w:val="00885851"/>
    <w:rsid w:val="0088632B"/>
    <w:rsid w:val="0088718E"/>
    <w:rsid w:val="008905E7"/>
    <w:rsid w:val="008927E7"/>
    <w:rsid w:val="00892B6E"/>
    <w:rsid w:val="00895479"/>
    <w:rsid w:val="008A5808"/>
    <w:rsid w:val="008A7E06"/>
    <w:rsid w:val="008B0FB1"/>
    <w:rsid w:val="008B2A7A"/>
    <w:rsid w:val="008B7B1E"/>
    <w:rsid w:val="008C3B21"/>
    <w:rsid w:val="008D43AE"/>
    <w:rsid w:val="008D6203"/>
    <w:rsid w:val="008E3C31"/>
    <w:rsid w:val="008E5E4B"/>
    <w:rsid w:val="008F5994"/>
    <w:rsid w:val="009014E4"/>
    <w:rsid w:val="009059E9"/>
    <w:rsid w:val="0091556D"/>
    <w:rsid w:val="00917329"/>
    <w:rsid w:val="00920BBA"/>
    <w:rsid w:val="0092180C"/>
    <w:rsid w:val="009239EA"/>
    <w:rsid w:val="009327DE"/>
    <w:rsid w:val="00951226"/>
    <w:rsid w:val="009554E8"/>
    <w:rsid w:val="00960D98"/>
    <w:rsid w:val="00962F4F"/>
    <w:rsid w:val="00967F7C"/>
    <w:rsid w:val="009753BC"/>
    <w:rsid w:val="00977F9A"/>
    <w:rsid w:val="0098132B"/>
    <w:rsid w:val="009830D1"/>
    <w:rsid w:val="00984E9F"/>
    <w:rsid w:val="009852BC"/>
    <w:rsid w:val="0098695D"/>
    <w:rsid w:val="00993C24"/>
    <w:rsid w:val="009954E8"/>
    <w:rsid w:val="009A08DF"/>
    <w:rsid w:val="009A1EAE"/>
    <w:rsid w:val="009A549D"/>
    <w:rsid w:val="009A64AF"/>
    <w:rsid w:val="009A6EB6"/>
    <w:rsid w:val="009B4687"/>
    <w:rsid w:val="009C0C2E"/>
    <w:rsid w:val="009C749F"/>
    <w:rsid w:val="009D6DA4"/>
    <w:rsid w:val="009E1262"/>
    <w:rsid w:val="009E129C"/>
    <w:rsid w:val="009E36EE"/>
    <w:rsid w:val="009E49EA"/>
    <w:rsid w:val="009E5342"/>
    <w:rsid w:val="009F114C"/>
    <w:rsid w:val="00A10652"/>
    <w:rsid w:val="00A160AD"/>
    <w:rsid w:val="00A20094"/>
    <w:rsid w:val="00A20E0F"/>
    <w:rsid w:val="00A23C3A"/>
    <w:rsid w:val="00A30DB4"/>
    <w:rsid w:val="00A32151"/>
    <w:rsid w:val="00A406ED"/>
    <w:rsid w:val="00A41491"/>
    <w:rsid w:val="00A465E4"/>
    <w:rsid w:val="00A52F3D"/>
    <w:rsid w:val="00A6365B"/>
    <w:rsid w:val="00A65805"/>
    <w:rsid w:val="00A66821"/>
    <w:rsid w:val="00A67F9A"/>
    <w:rsid w:val="00A731BB"/>
    <w:rsid w:val="00A80CB3"/>
    <w:rsid w:val="00A8199D"/>
    <w:rsid w:val="00A82CC7"/>
    <w:rsid w:val="00A84784"/>
    <w:rsid w:val="00A916C5"/>
    <w:rsid w:val="00A9183A"/>
    <w:rsid w:val="00AA2C58"/>
    <w:rsid w:val="00AA473B"/>
    <w:rsid w:val="00AA5432"/>
    <w:rsid w:val="00AA740C"/>
    <w:rsid w:val="00AB2386"/>
    <w:rsid w:val="00AB254D"/>
    <w:rsid w:val="00AB4701"/>
    <w:rsid w:val="00AB5694"/>
    <w:rsid w:val="00AC1D59"/>
    <w:rsid w:val="00AC31DC"/>
    <w:rsid w:val="00AC5C14"/>
    <w:rsid w:val="00AD22BA"/>
    <w:rsid w:val="00AD3CC4"/>
    <w:rsid w:val="00AD46E9"/>
    <w:rsid w:val="00AD473E"/>
    <w:rsid w:val="00AD6F89"/>
    <w:rsid w:val="00AE0147"/>
    <w:rsid w:val="00AE3430"/>
    <w:rsid w:val="00AF0894"/>
    <w:rsid w:val="00AF110B"/>
    <w:rsid w:val="00AF55DD"/>
    <w:rsid w:val="00B15C01"/>
    <w:rsid w:val="00B15E36"/>
    <w:rsid w:val="00B164E0"/>
    <w:rsid w:val="00B21681"/>
    <w:rsid w:val="00B251DB"/>
    <w:rsid w:val="00B26C25"/>
    <w:rsid w:val="00B26D06"/>
    <w:rsid w:val="00B2747F"/>
    <w:rsid w:val="00B3400E"/>
    <w:rsid w:val="00B35C0C"/>
    <w:rsid w:val="00B361E9"/>
    <w:rsid w:val="00B45940"/>
    <w:rsid w:val="00B571B8"/>
    <w:rsid w:val="00B7219E"/>
    <w:rsid w:val="00B756A0"/>
    <w:rsid w:val="00B81C11"/>
    <w:rsid w:val="00B85DC4"/>
    <w:rsid w:val="00BA0B22"/>
    <w:rsid w:val="00BA1488"/>
    <w:rsid w:val="00BA3819"/>
    <w:rsid w:val="00BB350F"/>
    <w:rsid w:val="00BB7405"/>
    <w:rsid w:val="00BB76F1"/>
    <w:rsid w:val="00BC038C"/>
    <w:rsid w:val="00BC4492"/>
    <w:rsid w:val="00BC715F"/>
    <w:rsid w:val="00BD05A3"/>
    <w:rsid w:val="00BD0F8A"/>
    <w:rsid w:val="00BD2C20"/>
    <w:rsid w:val="00BD43D1"/>
    <w:rsid w:val="00BE1CB4"/>
    <w:rsid w:val="00BE2824"/>
    <w:rsid w:val="00BE348C"/>
    <w:rsid w:val="00BE4E68"/>
    <w:rsid w:val="00BE53C7"/>
    <w:rsid w:val="00BE5FC4"/>
    <w:rsid w:val="00BE6EEA"/>
    <w:rsid w:val="00BE744E"/>
    <w:rsid w:val="00C057DE"/>
    <w:rsid w:val="00C07B95"/>
    <w:rsid w:val="00C157DC"/>
    <w:rsid w:val="00C2589F"/>
    <w:rsid w:val="00C27F92"/>
    <w:rsid w:val="00C348C7"/>
    <w:rsid w:val="00C35CA4"/>
    <w:rsid w:val="00C415B9"/>
    <w:rsid w:val="00C41765"/>
    <w:rsid w:val="00C417F3"/>
    <w:rsid w:val="00C43D48"/>
    <w:rsid w:val="00C44B04"/>
    <w:rsid w:val="00C47D90"/>
    <w:rsid w:val="00C50A9A"/>
    <w:rsid w:val="00C54C32"/>
    <w:rsid w:val="00C615E8"/>
    <w:rsid w:val="00C63751"/>
    <w:rsid w:val="00C645E7"/>
    <w:rsid w:val="00C65E4E"/>
    <w:rsid w:val="00C66984"/>
    <w:rsid w:val="00C7000A"/>
    <w:rsid w:val="00C80812"/>
    <w:rsid w:val="00C830FE"/>
    <w:rsid w:val="00C9206C"/>
    <w:rsid w:val="00C935E1"/>
    <w:rsid w:val="00C977AD"/>
    <w:rsid w:val="00CA0C68"/>
    <w:rsid w:val="00CA251B"/>
    <w:rsid w:val="00CB2DE1"/>
    <w:rsid w:val="00CB3EB9"/>
    <w:rsid w:val="00CB7499"/>
    <w:rsid w:val="00CC5E0C"/>
    <w:rsid w:val="00CD0245"/>
    <w:rsid w:val="00CD23FC"/>
    <w:rsid w:val="00CD7A8A"/>
    <w:rsid w:val="00CE0C0A"/>
    <w:rsid w:val="00CE43E3"/>
    <w:rsid w:val="00CE4789"/>
    <w:rsid w:val="00CE6BBD"/>
    <w:rsid w:val="00CE7F17"/>
    <w:rsid w:val="00CF1C6B"/>
    <w:rsid w:val="00D043E9"/>
    <w:rsid w:val="00D06F9C"/>
    <w:rsid w:val="00D10678"/>
    <w:rsid w:val="00D20A07"/>
    <w:rsid w:val="00D213FF"/>
    <w:rsid w:val="00D220CF"/>
    <w:rsid w:val="00D25A55"/>
    <w:rsid w:val="00D26AF3"/>
    <w:rsid w:val="00D27B99"/>
    <w:rsid w:val="00D405EB"/>
    <w:rsid w:val="00D4061B"/>
    <w:rsid w:val="00D436B2"/>
    <w:rsid w:val="00D469A2"/>
    <w:rsid w:val="00D646D2"/>
    <w:rsid w:val="00D64BFA"/>
    <w:rsid w:val="00D84017"/>
    <w:rsid w:val="00D84196"/>
    <w:rsid w:val="00D841E9"/>
    <w:rsid w:val="00D905FC"/>
    <w:rsid w:val="00D9122B"/>
    <w:rsid w:val="00D9211D"/>
    <w:rsid w:val="00D965EB"/>
    <w:rsid w:val="00DA29E9"/>
    <w:rsid w:val="00DB1F98"/>
    <w:rsid w:val="00DC6437"/>
    <w:rsid w:val="00DD2F6C"/>
    <w:rsid w:val="00DD41C7"/>
    <w:rsid w:val="00DD5E06"/>
    <w:rsid w:val="00DD6C11"/>
    <w:rsid w:val="00DE04A8"/>
    <w:rsid w:val="00DE1060"/>
    <w:rsid w:val="00DE26E3"/>
    <w:rsid w:val="00DE319B"/>
    <w:rsid w:val="00DE3A24"/>
    <w:rsid w:val="00DE504A"/>
    <w:rsid w:val="00DE7B23"/>
    <w:rsid w:val="00DF3CF0"/>
    <w:rsid w:val="00DF4882"/>
    <w:rsid w:val="00DF4C49"/>
    <w:rsid w:val="00E006CF"/>
    <w:rsid w:val="00E01BCD"/>
    <w:rsid w:val="00E01D7D"/>
    <w:rsid w:val="00E0372B"/>
    <w:rsid w:val="00E04DA0"/>
    <w:rsid w:val="00E05F77"/>
    <w:rsid w:val="00E11B00"/>
    <w:rsid w:val="00E14F58"/>
    <w:rsid w:val="00E15FCA"/>
    <w:rsid w:val="00E253CA"/>
    <w:rsid w:val="00E265A5"/>
    <w:rsid w:val="00E26E31"/>
    <w:rsid w:val="00E2735D"/>
    <w:rsid w:val="00E3027E"/>
    <w:rsid w:val="00E36FF9"/>
    <w:rsid w:val="00E37443"/>
    <w:rsid w:val="00E43809"/>
    <w:rsid w:val="00E51EC5"/>
    <w:rsid w:val="00E572D7"/>
    <w:rsid w:val="00E63473"/>
    <w:rsid w:val="00E65A94"/>
    <w:rsid w:val="00E74718"/>
    <w:rsid w:val="00E76C04"/>
    <w:rsid w:val="00E83B53"/>
    <w:rsid w:val="00E91C0E"/>
    <w:rsid w:val="00E91CC3"/>
    <w:rsid w:val="00E95372"/>
    <w:rsid w:val="00E97218"/>
    <w:rsid w:val="00E972EE"/>
    <w:rsid w:val="00EA0739"/>
    <w:rsid w:val="00EB24D6"/>
    <w:rsid w:val="00EB2522"/>
    <w:rsid w:val="00EB2A69"/>
    <w:rsid w:val="00EB30D2"/>
    <w:rsid w:val="00EB5526"/>
    <w:rsid w:val="00EB6884"/>
    <w:rsid w:val="00EB6C41"/>
    <w:rsid w:val="00EC07AC"/>
    <w:rsid w:val="00EC0894"/>
    <w:rsid w:val="00EC4961"/>
    <w:rsid w:val="00EC7735"/>
    <w:rsid w:val="00ED0A29"/>
    <w:rsid w:val="00ED4AEA"/>
    <w:rsid w:val="00ED5747"/>
    <w:rsid w:val="00EE0EC7"/>
    <w:rsid w:val="00EE1F4B"/>
    <w:rsid w:val="00EE1F57"/>
    <w:rsid w:val="00EE7BB2"/>
    <w:rsid w:val="00EE7C0F"/>
    <w:rsid w:val="00F03231"/>
    <w:rsid w:val="00F06FC2"/>
    <w:rsid w:val="00F104A2"/>
    <w:rsid w:val="00F12030"/>
    <w:rsid w:val="00F16206"/>
    <w:rsid w:val="00F16FE0"/>
    <w:rsid w:val="00F22BB9"/>
    <w:rsid w:val="00F3233D"/>
    <w:rsid w:val="00F32757"/>
    <w:rsid w:val="00F3547D"/>
    <w:rsid w:val="00F47125"/>
    <w:rsid w:val="00F50FA6"/>
    <w:rsid w:val="00F5117A"/>
    <w:rsid w:val="00F6160C"/>
    <w:rsid w:val="00F62B4E"/>
    <w:rsid w:val="00F6330D"/>
    <w:rsid w:val="00F66A4B"/>
    <w:rsid w:val="00F733A7"/>
    <w:rsid w:val="00F80D79"/>
    <w:rsid w:val="00F811FE"/>
    <w:rsid w:val="00F82BAC"/>
    <w:rsid w:val="00F86ADC"/>
    <w:rsid w:val="00F90552"/>
    <w:rsid w:val="00F90A89"/>
    <w:rsid w:val="00FA30E5"/>
    <w:rsid w:val="00FA4E30"/>
    <w:rsid w:val="00FB2B60"/>
    <w:rsid w:val="00FB6C18"/>
    <w:rsid w:val="00FB77CE"/>
    <w:rsid w:val="00FC045D"/>
    <w:rsid w:val="00FD79FF"/>
    <w:rsid w:val="00FE4569"/>
    <w:rsid w:val="00FE7DB2"/>
    <w:rsid w:val="00FF0252"/>
    <w:rsid w:val="00FF472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0ED55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7BA8"/>
    <w:pPr>
      <w:spacing w:before="120" w:after="120"/>
    </w:pPr>
    <w:rPr>
      <w:sz w:val="20"/>
    </w:rPr>
  </w:style>
  <w:style w:type="paragraph" w:styleId="Heading1">
    <w:name w:val="heading 1"/>
    <w:basedOn w:val="Heading2"/>
    <w:next w:val="Normal"/>
    <w:link w:val="Heading1Char"/>
    <w:qFormat/>
    <w:rsid w:val="006E5A23"/>
    <w:pPr>
      <w:pageBreakBefore/>
      <w:numPr>
        <w:ilvl w:val="0"/>
      </w:numPr>
      <w:spacing w:line="240" w:lineRule="auto"/>
      <w:ind w:left="567" w:hanging="567"/>
      <w:outlineLvl w:val="0"/>
    </w:pPr>
    <w:rPr>
      <w:sz w:val="48"/>
      <w:szCs w:val="48"/>
    </w:rPr>
  </w:style>
  <w:style w:type="paragraph" w:styleId="Heading2">
    <w:name w:val="heading 2"/>
    <w:basedOn w:val="Heading3"/>
    <w:next w:val="Normal"/>
    <w:link w:val="Heading2Char"/>
    <w:unhideWhenUsed/>
    <w:qFormat/>
    <w:rsid w:val="00E97218"/>
    <w:pPr>
      <w:numPr>
        <w:ilvl w:val="1"/>
      </w:numPr>
      <w:ind w:left="0"/>
      <w:outlineLvl w:val="1"/>
    </w:pPr>
    <w:rPr>
      <w:sz w:val="40"/>
      <w:szCs w:val="40"/>
    </w:rPr>
  </w:style>
  <w:style w:type="paragraph" w:styleId="Heading3">
    <w:name w:val="heading 3"/>
    <w:basedOn w:val="Heading4"/>
    <w:next w:val="Normal"/>
    <w:link w:val="Heading3Char"/>
    <w:unhideWhenUsed/>
    <w:qFormat/>
    <w:rsid w:val="008B2A7A"/>
    <w:pPr>
      <w:numPr>
        <w:ilvl w:val="2"/>
      </w:numPr>
      <w:tabs>
        <w:tab w:val="clear" w:pos="1134"/>
      </w:tabs>
      <w:outlineLvl w:val="2"/>
    </w:pPr>
    <w:rPr>
      <w:sz w:val="32"/>
      <w:szCs w:val="32"/>
    </w:rPr>
  </w:style>
  <w:style w:type="paragraph" w:styleId="Heading4">
    <w:name w:val="heading 4"/>
    <w:basedOn w:val="Heading5"/>
    <w:next w:val="Normal"/>
    <w:link w:val="Heading4Char"/>
    <w:unhideWhenUsed/>
    <w:qFormat/>
    <w:rsid w:val="008B2A7A"/>
    <w:pPr>
      <w:numPr>
        <w:ilvl w:val="3"/>
        <w:numId w:val="3"/>
      </w:numPr>
      <w:outlineLvl w:val="3"/>
    </w:pPr>
  </w:style>
  <w:style w:type="paragraph" w:styleId="Heading5">
    <w:name w:val="heading 5"/>
    <w:basedOn w:val="Normal"/>
    <w:next w:val="Normal"/>
    <w:link w:val="Heading5Char"/>
    <w:unhideWhenUsed/>
    <w:qFormat/>
    <w:rsid w:val="004710B9"/>
    <w:pPr>
      <w:keepNext/>
      <w:keepLines/>
      <w:tabs>
        <w:tab w:val="left" w:pos="1134"/>
      </w:tabs>
      <w:spacing w:before="240"/>
      <w:outlineLvl w:val="4"/>
    </w:pPr>
    <w:rPr>
      <w:rFonts w:asciiTheme="majorHAnsi" w:eastAsiaTheme="majorEastAsia" w:hAnsiTheme="majorHAnsi" w:cstheme="majorBidi"/>
      <w:color w:val="993533" w:themeColor="accent2"/>
      <w:sz w:val="26"/>
      <w:szCs w:val="26"/>
    </w:rPr>
  </w:style>
  <w:style w:type="paragraph" w:styleId="Heading6">
    <w:name w:val="heading 6"/>
    <w:basedOn w:val="Normal"/>
    <w:next w:val="Normal"/>
    <w:link w:val="Heading6Char"/>
    <w:unhideWhenUsed/>
    <w:qFormat/>
    <w:rsid w:val="00DE7B23"/>
    <w:pPr>
      <w:keepNext/>
      <w:keepLines/>
      <w:spacing w:before="240"/>
      <w:outlineLvl w:val="5"/>
    </w:pPr>
    <w:rPr>
      <w:rFonts w:asciiTheme="majorHAnsi" w:eastAsiaTheme="majorEastAsia" w:hAnsiTheme="majorHAnsi" w:cstheme="majorBidi"/>
      <w:color w:val="4F0810" w:themeColor="accent1"/>
      <w:sz w:val="24"/>
    </w:rPr>
  </w:style>
  <w:style w:type="paragraph" w:styleId="Heading7">
    <w:name w:val="heading 7"/>
    <w:basedOn w:val="Normal"/>
    <w:next w:val="Normal"/>
    <w:link w:val="Heading7Char"/>
    <w:uiPriority w:val="99"/>
    <w:unhideWhenUsed/>
    <w:qFormat/>
    <w:rsid w:val="00DE7B23"/>
    <w:pPr>
      <w:keepNext/>
      <w:keepLines/>
      <w:spacing w:before="240"/>
      <w:outlineLvl w:val="6"/>
    </w:pPr>
    <w:rPr>
      <w:rFonts w:asciiTheme="majorHAnsi" w:eastAsiaTheme="majorEastAsia" w:hAnsiTheme="majorHAnsi" w:cstheme="majorBidi"/>
      <w:iCs/>
      <w:color w:val="4F0810" w:themeColor="accent1"/>
      <w:sz w:val="22"/>
    </w:rPr>
  </w:style>
  <w:style w:type="paragraph" w:styleId="Heading8">
    <w:name w:val="heading 8"/>
    <w:basedOn w:val="Normal"/>
    <w:next w:val="Normal"/>
    <w:link w:val="Heading8Char"/>
    <w:uiPriority w:val="99"/>
    <w:unhideWhenUsed/>
    <w:qFormat/>
    <w:rsid w:val="00C50A9A"/>
    <w:pPr>
      <w:keepNext/>
      <w:keepLines/>
      <w:spacing w:before="2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9"/>
    <w:semiHidden/>
    <w:unhideWhenUsed/>
    <w:qFormat/>
    <w:rsid w:val="00AC1D59"/>
    <w:pPr>
      <w:spacing w:before="240" w:after="60" w:line="264" w:lineRule="auto"/>
      <w:ind w:left="1584" w:hanging="1584"/>
      <w:outlineLvl w:val="8"/>
    </w:pPr>
    <w:rPr>
      <w:rFonts w:ascii="Arial" w:hAnsi="Arial" w:cs="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1DB"/>
    <w:pPr>
      <w:tabs>
        <w:tab w:val="center" w:pos="4513"/>
        <w:tab w:val="right" w:pos="9026"/>
      </w:tabs>
      <w:spacing w:after="0"/>
    </w:pPr>
  </w:style>
  <w:style w:type="character" w:customStyle="1" w:styleId="HeaderChar">
    <w:name w:val="Header Char"/>
    <w:basedOn w:val="DefaultParagraphFont"/>
    <w:link w:val="Header"/>
    <w:uiPriority w:val="99"/>
    <w:rsid w:val="00B251DB"/>
  </w:style>
  <w:style w:type="paragraph" w:styleId="Footer">
    <w:name w:val="footer"/>
    <w:basedOn w:val="Normal"/>
    <w:link w:val="FooterChar"/>
    <w:uiPriority w:val="99"/>
    <w:unhideWhenUsed/>
    <w:rsid w:val="008927E7"/>
    <w:pPr>
      <w:tabs>
        <w:tab w:val="center" w:pos="4513"/>
        <w:tab w:val="right" w:pos="9026"/>
      </w:tabs>
      <w:spacing w:before="240" w:after="0"/>
      <w:contextualSpacing/>
    </w:pPr>
    <w:rPr>
      <w:color w:val="4F0810" w:themeColor="accent1"/>
    </w:rPr>
  </w:style>
  <w:style w:type="character" w:customStyle="1" w:styleId="FooterChar">
    <w:name w:val="Footer Char"/>
    <w:basedOn w:val="DefaultParagraphFont"/>
    <w:link w:val="Footer"/>
    <w:uiPriority w:val="99"/>
    <w:rsid w:val="008927E7"/>
    <w:rPr>
      <w:color w:val="4F0810" w:themeColor="accent1"/>
      <w:sz w:val="20"/>
    </w:rPr>
  </w:style>
  <w:style w:type="character" w:customStyle="1" w:styleId="Heading1Char">
    <w:name w:val="Heading 1 Char"/>
    <w:basedOn w:val="DefaultParagraphFont"/>
    <w:link w:val="Heading1"/>
    <w:rsid w:val="006E5A23"/>
    <w:rPr>
      <w:rFonts w:asciiTheme="majorHAnsi" w:eastAsiaTheme="majorEastAsia" w:hAnsiTheme="majorHAnsi" w:cstheme="majorBidi"/>
      <w:color w:val="993533" w:themeColor="accent2"/>
      <w:sz w:val="48"/>
      <w:szCs w:val="48"/>
      <w:lang w:val="en-US"/>
    </w:rPr>
  </w:style>
  <w:style w:type="table" w:customStyle="1" w:styleId="Verticaltable">
    <w:name w:val="Vertical table"/>
    <w:basedOn w:val="TableNormal"/>
    <w:uiPriority w:val="99"/>
    <w:rsid w:val="00D469A2"/>
    <w:pPr>
      <w:spacing w:after="0" w:line="240" w:lineRule="auto"/>
    </w:pPr>
    <w:tblPr>
      <w:tblBorders>
        <w:top w:val="single" w:sz="4" w:space="0" w:color="4F0810" w:themeColor="accent1"/>
        <w:left w:val="single" w:sz="4" w:space="0" w:color="4F0810" w:themeColor="accent1"/>
        <w:bottom w:val="single" w:sz="4" w:space="0" w:color="4F0810" w:themeColor="accent1"/>
        <w:right w:val="single" w:sz="4" w:space="0" w:color="4F0810" w:themeColor="accent1"/>
        <w:insideH w:val="single" w:sz="4" w:space="0" w:color="4F0810" w:themeColor="accent1"/>
        <w:insideV w:val="single" w:sz="4" w:space="0" w:color="4F0810" w:themeColor="accent1"/>
      </w:tblBorders>
    </w:tblPr>
    <w:tblStylePr w:type="lastRow">
      <w:rPr>
        <w:b w:val="0"/>
      </w:rPr>
    </w:tblStylePr>
    <w:tblStylePr w:type="firstCol">
      <w:rPr>
        <w:b/>
        <w:color w:val="FFFFFF" w:themeColor="background1"/>
      </w:rPr>
      <w:tblPr/>
      <w:tcPr>
        <w:shd w:val="clear" w:color="auto" w:fill="4F0810" w:themeFill="accent1"/>
      </w:tcPr>
    </w:tblStylePr>
  </w:style>
  <w:style w:type="character" w:styleId="FollowedHyperlink">
    <w:name w:val="FollowedHyperlink"/>
    <w:basedOn w:val="DefaultParagraphFont"/>
    <w:uiPriority w:val="99"/>
    <w:semiHidden/>
    <w:unhideWhenUsed/>
    <w:rsid w:val="00872DFF"/>
    <w:rPr>
      <w:color w:val="954F72" w:themeColor="followedHyperlink"/>
      <w:u w:val="single"/>
    </w:rPr>
  </w:style>
  <w:style w:type="paragraph" w:styleId="Subtitle">
    <w:name w:val="Subtitle"/>
    <w:basedOn w:val="Normal"/>
    <w:next w:val="Normal"/>
    <w:link w:val="SubtitleChar"/>
    <w:uiPriority w:val="99"/>
    <w:qFormat/>
    <w:rsid w:val="002449CB"/>
    <w:pPr>
      <w:numPr>
        <w:ilvl w:val="1"/>
      </w:numPr>
      <w:spacing w:line="240" w:lineRule="auto"/>
    </w:pPr>
    <w:rPr>
      <w:rFonts w:eastAsiaTheme="minorEastAsia"/>
      <w:color w:val="993533" w:themeColor="accent2"/>
      <w:sz w:val="40"/>
    </w:rPr>
  </w:style>
  <w:style w:type="character" w:customStyle="1" w:styleId="SubtitleChar">
    <w:name w:val="Subtitle Char"/>
    <w:basedOn w:val="DefaultParagraphFont"/>
    <w:link w:val="Subtitle"/>
    <w:uiPriority w:val="99"/>
    <w:rsid w:val="002449CB"/>
    <w:rPr>
      <w:rFonts w:eastAsiaTheme="minorEastAsia"/>
      <w:color w:val="993533" w:themeColor="accent2"/>
      <w:sz w:val="40"/>
    </w:rPr>
  </w:style>
  <w:style w:type="character" w:customStyle="1" w:styleId="Heading2Char">
    <w:name w:val="Heading 2 Char"/>
    <w:basedOn w:val="DefaultParagraphFont"/>
    <w:link w:val="Heading2"/>
    <w:rsid w:val="00E97218"/>
    <w:rPr>
      <w:rFonts w:asciiTheme="majorHAnsi" w:eastAsiaTheme="majorEastAsia" w:hAnsiTheme="majorHAnsi" w:cstheme="majorBidi"/>
      <w:color w:val="993533" w:themeColor="accent2"/>
      <w:sz w:val="40"/>
      <w:szCs w:val="40"/>
      <w:lang w:val="en-US"/>
    </w:rPr>
  </w:style>
  <w:style w:type="character" w:customStyle="1" w:styleId="Heading3Char">
    <w:name w:val="Heading 3 Char"/>
    <w:basedOn w:val="DefaultParagraphFont"/>
    <w:link w:val="Heading3"/>
    <w:rsid w:val="008B2A7A"/>
    <w:rPr>
      <w:rFonts w:asciiTheme="majorHAnsi" w:eastAsiaTheme="majorEastAsia" w:hAnsiTheme="majorHAnsi" w:cstheme="majorBidi"/>
      <w:color w:val="993533" w:themeColor="accent2"/>
      <w:sz w:val="32"/>
      <w:szCs w:val="32"/>
      <w:lang w:val="en-US"/>
    </w:rPr>
  </w:style>
  <w:style w:type="character" w:customStyle="1" w:styleId="Heading4Char">
    <w:name w:val="Heading 4 Char"/>
    <w:basedOn w:val="DefaultParagraphFont"/>
    <w:link w:val="Heading4"/>
    <w:rsid w:val="008B2A7A"/>
    <w:rPr>
      <w:rFonts w:asciiTheme="majorHAnsi" w:eastAsiaTheme="majorEastAsia" w:hAnsiTheme="majorHAnsi" w:cstheme="majorBidi"/>
      <w:color w:val="993533" w:themeColor="accent2"/>
      <w:sz w:val="26"/>
      <w:szCs w:val="26"/>
      <w:lang w:val="en-US"/>
    </w:rPr>
  </w:style>
  <w:style w:type="character" w:customStyle="1" w:styleId="Heading5Char">
    <w:name w:val="Heading 5 Char"/>
    <w:basedOn w:val="DefaultParagraphFont"/>
    <w:link w:val="Heading5"/>
    <w:rsid w:val="004710B9"/>
    <w:rPr>
      <w:rFonts w:asciiTheme="majorHAnsi" w:eastAsiaTheme="majorEastAsia" w:hAnsiTheme="majorHAnsi" w:cstheme="majorBidi"/>
      <w:color w:val="993533" w:themeColor="accent2"/>
      <w:sz w:val="26"/>
      <w:szCs w:val="26"/>
    </w:rPr>
  </w:style>
  <w:style w:type="paragraph" w:styleId="Quote">
    <w:name w:val="Quote"/>
    <w:basedOn w:val="Normal"/>
    <w:next w:val="Normal"/>
    <w:link w:val="QuoteChar"/>
    <w:uiPriority w:val="29"/>
    <w:qFormat/>
    <w:rsid w:val="00EB2522"/>
    <w:pPr>
      <w:pBdr>
        <w:top w:val="single" w:sz="4" w:space="6" w:color="4F0810" w:themeColor="accent1"/>
        <w:bottom w:val="single" w:sz="4" w:space="6" w:color="4F0810" w:themeColor="accent1"/>
      </w:pBdr>
      <w:spacing w:before="240" w:after="240"/>
      <w:ind w:right="2835"/>
    </w:pPr>
    <w:rPr>
      <w:iCs/>
      <w:color w:val="000000" w:themeColor="text1"/>
      <w:sz w:val="22"/>
      <w:szCs w:val="24"/>
    </w:rPr>
  </w:style>
  <w:style w:type="character" w:customStyle="1" w:styleId="QuoteChar">
    <w:name w:val="Quote Char"/>
    <w:basedOn w:val="DefaultParagraphFont"/>
    <w:link w:val="Quote"/>
    <w:uiPriority w:val="29"/>
    <w:rsid w:val="00EB2522"/>
    <w:rPr>
      <w:iCs/>
      <w:color w:val="000000" w:themeColor="text1"/>
      <w:szCs w:val="24"/>
    </w:rPr>
  </w:style>
  <w:style w:type="character" w:styleId="Strong">
    <w:name w:val="Strong"/>
    <w:basedOn w:val="DefaultParagraphFont"/>
    <w:uiPriority w:val="22"/>
    <w:qFormat/>
    <w:rsid w:val="00B251DB"/>
    <w:rPr>
      <w:b/>
      <w:bCs/>
    </w:rPr>
  </w:style>
  <w:style w:type="character" w:styleId="Emphasis">
    <w:name w:val="Emphasis"/>
    <w:basedOn w:val="DefaultParagraphFont"/>
    <w:uiPriority w:val="20"/>
    <w:qFormat/>
    <w:rsid w:val="00B251DB"/>
    <w:rPr>
      <w:i/>
      <w:iCs/>
    </w:rPr>
  </w:style>
  <w:style w:type="paragraph" w:styleId="ListParagraph">
    <w:name w:val="List Paragraph"/>
    <w:basedOn w:val="Normal"/>
    <w:uiPriority w:val="34"/>
    <w:qFormat/>
    <w:rsid w:val="009D6DA4"/>
    <w:pPr>
      <w:numPr>
        <w:numId w:val="2"/>
      </w:numPr>
      <w:spacing w:before="0"/>
      <w:ind w:left="426" w:hanging="426"/>
    </w:pPr>
  </w:style>
  <w:style w:type="character" w:styleId="Hyperlink">
    <w:name w:val="Hyperlink"/>
    <w:basedOn w:val="DefaultParagraphFont"/>
    <w:uiPriority w:val="99"/>
    <w:unhideWhenUsed/>
    <w:rsid w:val="0080201C"/>
    <w:rPr>
      <w:color w:val="4F0810" w:themeColor="accent1"/>
      <w:u w:val="single"/>
    </w:rPr>
  </w:style>
  <w:style w:type="table" w:styleId="TableGrid">
    <w:name w:val="Table Grid"/>
    <w:aliases w:val="DISR plain Table 1"/>
    <w:basedOn w:val="TableNormal"/>
    <w:rsid w:val="005777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StylePr>
  </w:style>
  <w:style w:type="table" w:styleId="PlainTable2">
    <w:name w:val="Plain Table 2"/>
    <w:basedOn w:val="TableNormal"/>
    <w:uiPriority w:val="42"/>
    <w:rsid w:val="0071134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
    <w:name w:val="Grid Table 1 Light"/>
    <w:basedOn w:val="TableNormal"/>
    <w:uiPriority w:val="46"/>
    <w:rsid w:val="0071134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Caption">
    <w:name w:val="caption"/>
    <w:basedOn w:val="Normal"/>
    <w:next w:val="Normal"/>
    <w:uiPriority w:val="35"/>
    <w:unhideWhenUsed/>
    <w:qFormat/>
    <w:rsid w:val="005777BC"/>
    <w:rPr>
      <w:b/>
      <w:iCs/>
      <w:szCs w:val="18"/>
    </w:rPr>
  </w:style>
  <w:style w:type="character" w:styleId="PlaceholderText">
    <w:name w:val="Placeholder Text"/>
    <w:basedOn w:val="DefaultParagraphFont"/>
    <w:uiPriority w:val="99"/>
    <w:semiHidden/>
    <w:rsid w:val="00BD0F8A"/>
    <w:rPr>
      <w:color w:val="808080"/>
    </w:rPr>
  </w:style>
  <w:style w:type="paragraph" w:styleId="NoSpacing">
    <w:name w:val="No Spacing"/>
    <w:link w:val="NoSpacingChar"/>
    <w:uiPriority w:val="1"/>
    <w:qFormat/>
    <w:rsid w:val="00671D1D"/>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671D1D"/>
    <w:rPr>
      <w:rFonts w:eastAsiaTheme="minorEastAsia"/>
      <w:lang w:val="en-US"/>
    </w:rPr>
  </w:style>
  <w:style w:type="paragraph" w:styleId="TOCHeading">
    <w:name w:val="TOC Heading"/>
    <w:basedOn w:val="Heading2"/>
    <w:next w:val="Normal"/>
    <w:uiPriority w:val="39"/>
    <w:unhideWhenUsed/>
    <w:qFormat/>
    <w:rsid w:val="008F5994"/>
    <w:pPr>
      <w:numPr>
        <w:ilvl w:val="0"/>
        <w:numId w:val="0"/>
      </w:numPr>
      <w:spacing w:after="240"/>
      <w:outlineLvl w:val="0"/>
    </w:pPr>
    <w:rPr>
      <w:sz w:val="48"/>
      <w:szCs w:val="48"/>
    </w:rPr>
  </w:style>
  <w:style w:type="paragraph" w:styleId="TOC1">
    <w:name w:val="toc 1"/>
    <w:basedOn w:val="Normal"/>
    <w:next w:val="Normal"/>
    <w:uiPriority w:val="39"/>
    <w:unhideWhenUsed/>
    <w:rsid w:val="00C47D90"/>
    <w:pPr>
      <w:tabs>
        <w:tab w:val="right" w:leader="dot" w:pos="9016"/>
      </w:tabs>
      <w:spacing w:after="100"/>
    </w:pPr>
  </w:style>
  <w:style w:type="paragraph" w:styleId="TOC2">
    <w:name w:val="toc 2"/>
    <w:basedOn w:val="TOC1"/>
    <w:next w:val="Normal"/>
    <w:uiPriority w:val="39"/>
    <w:unhideWhenUsed/>
    <w:rsid w:val="00A8199D"/>
    <w:pPr>
      <w:ind w:left="567" w:hanging="141"/>
    </w:pPr>
    <w:rPr>
      <w:noProof/>
    </w:rPr>
  </w:style>
  <w:style w:type="paragraph" w:styleId="TOC3">
    <w:name w:val="toc 3"/>
    <w:basedOn w:val="Normal"/>
    <w:next w:val="Normal"/>
    <w:autoRedefine/>
    <w:uiPriority w:val="39"/>
    <w:unhideWhenUsed/>
    <w:rsid w:val="0043720A"/>
    <w:pPr>
      <w:spacing w:after="100"/>
      <w:ind w:left="221"/>
    </w:pPr>
  </w:style>
  <w:style w:type="paragraph" w:customStyle="1" w:styleId="Address">
    <w:name w:val="Address"/>
    <w:basedOn w:val="Subtitle"/>
    <w:qFormat/>
    <w:rsid w:val="009A549D"/>
    <w:pPr>
      <w:spacing w:after="0"/>
    </w:pPr>
    <w:rPr>
      <w:sz w:val="24"/>
    </w:rPr>
  </w:style>
  <w:style w:type="paragraph" w:styleId="BalloonText">
    <w:name w:val="Balloon Text"/>
    <w:basedOn w:val="Normal"/>
    <w:link w:val="BalloonTextChar"/>
    <w:uiPriority w:val="99"/>
    <w:semiHidden/>
    <w:unhideWhenUsed/>
    <w:rsid w:val="00E3027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027E"/>
    <w:rPr>
      <w:rFonts w:ascii="Segoe UI" w:hAnsi="Segoe UI" w:cs="Segoe UI"/>
      <w:sz w:val="18"/>
      <w:szCs w:val="18"/>
    </w:rPr>
  </w:style>
  <w:style w:type="table" w:styleId="ListTable3-Accent2">
    <w:name w:val="List Table 3 Accent 2"/>
    <w:basedOn w:val="TableNormal"/>
    <w:uiPriority w:val="48"/>
    <w:rsid w:val="00153C15"/>
    <w:pPr>
      <w:spacing w:after="0" w:line="240" w:lineRule="auto"/>
    </w:pPr>
    <w:tblPr>
      <w:tblStyleRowBandSize w:val="1"/>
      <w:tblStyleColBandSize w:val="1"/>
      <w:tblBorders>
        <w:top w:val="single" w:sz="4" w:space="0" w:color="993533" w:themeColor="accent2"/>
        <w:left w:val="single" w:sz="4" w:space="0" w:color="993533" w:themeColor="accent2"/>
        <w:bottom w:val="single" w:sz="4" w:space="0" w:color="993533" w:themeColor="accent2"/>
        <w:right w:val="single" w:sz="4" w:space="0" w:color="993533" w:themeColor="accent2"/>
      </w:tblBorders>
    </w:tblPr>
    <w:tblStylePr w:type="firstRow">
      <w:rPr>
        <w:b/>
        <w:bCs/>
        <w:color w:val="FFFFFF" w:themeColor="background1"/>
      </w:rPr>
      <w:tblPr/>
      <w:tcPr>
        <w:shd w:val="clear" w:color="auto" w:fill="993533" w:themeFill="accent2"/>
      </w:tcPr>
    </w:tblStylePr>
    <w:tblStylePr w:type="lastRow">
      <w:rPr>
        <w:b/>
        <w:bCs/>
      </w:rPr>
      <w:tblPr/>
      <w:tcPr>
        <w:tcBorders>
          <w:top w:val="double" w:sz="4" w:space="0" w:color="993533"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93533" w:themeColor="accent2"/>
          <w:right w:val="single" w:sz="4" w:space="0" w:color="993533" w:themeColor="accent2"/>
        </w:tcBorders>
      </w:tcPr>
    </w:tblStylePr>
    <w:tblStylePr w:type="band1Horz">
      <w:tblPr/>
      <w:tcPr>
        <w:tcBorders>
          <w:top w:val="single" w:sz="4" w:space="0" w:color="993533" w:themeColor="accent2"/>
          <w:bottom w:val="single" w:sz="4" w:space="0" w:color="993533"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93533" w:themeColor="accent2"/>
          <w:left w:val="nil"/>
        </w:tcBorders>
      </w:tcPr>
    </w:tblStylePr>
    <w:tblStylePr w:type="swCell">
      <w:tblPr/>
      <w:tcPr>
        <w:tcBorders>
          <w:top w:val="double" w:sz="4" w:space="0" w:color="993533" w:themeColor="accent2"/>
          <w:right w:val="nil"/>
        </w:tcBorders>
      </w:tcPr>
    </w:tblStylePr>
  </w:style>
  <w:style w:type="table" w:styleId="ListTable3-Accent3">
    <w:name w:val="List Table 3 Accent 3"/>
    <w:basedOn w:val="TableNormal"/>
    <w:uiPriority w:val="48"/>
    <w:rsid w:val="00153C15"/>
    <w:pPr>
      <w:spacing w:after="0" w:line="240" w:lineRule="auto"/>
    </w:pPr>
    <w:tblPr>
      <w:tblStyleRowBandSize w:val="1"/>
      <w:tblStyleColBandSize w:val="1"/>
      <w:tblBorders>
        <w:top w:val="single" w:sz="4" w:space="0" w:color="3D0417" w:themeColor="accent3"/>
        <w:left w:val="single" w:sz="4" w:space="0" w:color="3D0417" w:themeColor="accent3"/>
        <w:bottom w:val="single" w:sz="4" w:space="0" w:color="3D0417" w:themeColor="accent3"/>
        <w:right w:val="single" w:sz="4" w:space="0" w:color="3D0417" w:themeColor="accent3"/>
      </w:tblBorders>
    </w:tblPr>
    <w:tblStylePr w:type="firstRow">
      <w:rPr>
        <w:b/>
        <w:bCs/>
        <w:color w:val="FFFFFF" w:themeColor="background1"/>
      </w:rPr>
      <w:tblPr/>
      <w:tcPr>
        <w:shd w:val="clear" w:color="auto" w:fill="3D0417" w:themeFill="accent3"/>
      </w:tcPr>
    </w:tblStylePr>
    <w:tblStylePr w:type="lastRow">
      <w:rPr>
        <w:b/>
        <w:bCs/>
      </w:rPr>
      <w:tblPr/>
      <w:tcPr>
        <w:tcBorders>
          <w:top w:val="double" w:sz="4" w:space="0" w:color="3D0417"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D0417" w:themeColor="accent3"/>
          <w:right w:val="single" w:sz="4" w:space="0" w:color="3D0417" w:themeColor="accent3"/>
        </w:tcBorders>
      </w:tcPr>
    </w:tblStylePr>
    <w:tblStylePr w:type="band1Horz">
      <w:tblPr/>
      <w:tcPr>
        <w:tcBorders>
          <w:top w:val="single" w:sz="4" w:space="0" w:color="3D0417" w:themeColor="accent3"/>
          <w:bottom w:val="single" w:sz="4" w:space="0" w:color="3D0417"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D0417" w:themeColor="accent3"/>
          <w:left w:val="nil"/>
        </w:tcBorders>
      </w:tcPr>
    </w:tblStylePr>
    <w:tblStylePr w:type="swCell">
      <w:tblPr/>
      <w:tcPr>
        <w:tcBorders>
          <w:top w:val="double" w:sz="4" w:space="0" w:color="3D0417" w:themeColor="accent3"/>
          <w:right w:val="nil"/>
        </w:tcBorders>
      </w:tcPr>
    </w:tblStylePr>
  </w:style>
  <w:style w:type="paragraph" w:styleId="IntenseQuote">
    <w:name w:val="Intense Quote"/>
    <w:basedOn w:val="Normal"/>
    <w:next w:val="Normal"/>
    <w:link w:val="IntenseQuoteChar"/>
    <w:uiPriority w:val="30"/>
    <w:rsid w:val="00EB2522"/>
    <w:pPr>
      <w:pBdr>
        <w:top w:val="single" w:sz="4" w:space="6" w:color="4F0810" w:themeColor="accent1"/>
        <w:bottom w:val="single" w:sz="4" w:space="6" w:color="4F0810" w:themeColor="accent1"/>
      </w:pBdr>
      <w:spacing w:before="360" w:after="360"/>
      <w:ind w:right="2835"/>
      <w:jc w:val="center"/>
    </w:pPr>
    <w:rPr>
      <w:b/>
      <w:iCs/>
      <w:sz w:val="24"/>
    </w:rPr>
  </w:style>
  <w:style w:type="character" w:customStyle="1" w:styleId="IntenseQuoteChar">
    <w:name w:val="Intense Quote Char"/>
    <w:basedOn w:val="DefaultParagraphFont"/>
    <w:link w:val="IntenseQuote"/>
    <w:uiPriority w:val="30"/>
    <w:rsid w:val="00EB2522"/>
    <w:rPr>
      <w:b/>
      <w:iCs/>
      <w:sz w:val="24"/>
    </w:rPr>
  </w:style>
  <w:style w:type="paragraph" w:customStyle="1" w:styleId="Calloutbox">
    <w:name w:val="Call out box"/>
    <w:basedOn w:val="Normal"/>
    <w:qFormat/>
    <w:rsid w:val="00EB2522"/>
    <w:pPr>
      <w:pBdr>
        <w:top w:val="single" w:sz="4" w:space="6" w:color="E1E1E2" w:themeColor="accent5" w:themeTint="33"/>
        <w:left w:val="single" w:sz="4" w:space="4" w:color="E1E1E2" w:themeColor="accent5" w:themeTint="33"/>
        <w:bottom w:val="single" w:sz="4" w:space="6" w:color="E1E1E2" w:themeColor="accent5" w:themeTint="33"/>
        <w:right w:val="single" w:sz="4" w:space="4" w:color="E1E1E2" w:themeColor="accent5" w:themeTint="33"/>
      </w:pBdr>
      <w:shd w:val="clear" w:color="auto" w:fill="E1E1E2" w:themeFill="accent5" w:themeFillTint="33"/>
    </w:pPr>
  </w:style>
  <w:style w:type="character" w:customStyle="1" w:styleId="Heading6Char">
    <w:name w:val="Heading 6 Char"/>
    <w:basedOn w:val="DefaultParagraphFont"/>
    <w:link w:val="Heading6"/>
    <w:rsid w:val="00DE7B23"/>
    <w:rPr>
      <w:rFonts w:asciiTheme="majorHAnsi" w:eastAsiaTheme="majorEastAsia" w:hAnsiTheme="majorHAnsi" w:cstheme="majorBidi"/>
      <w:color w:val="4F0810" w:themeColor="accent1"/>
      <w:sz w:val="24"/>
    </w:rPr>
  </w:style>
  <w:style w:type="table" w:styleId="GridTable4-Accent2">
    <w:name w:val="Grid Table 4 Accent 2"/>
    <w:basedOn w:val="TableNormal"/>
    <w:uiPriority w:val="49"/>
    <w:rsid w:val="004D3B0F"/>
    <w:pPr>
      <w:spacing w:after="0" w:line="240" w:lineRule="auto"/>
    </w:pPr>
    <w:tblPr>
      <w:tblStyleRowBandSize w:val="1"/>
      <w:tblStyleColBandSize w:val="1"/>
      <w:tblBorders>
        <w:top w:val="single" w:sz="4" w:space="0" w:color="D17675" w:themeColor="accent2" w:themeTint="99"/>
        <w:left w:val="single" w:sz="4" w:space="0" w:color="D17675" w:themeColor="accent2" w:themeTint="99"/>
        <w:bottom w:val="single" w:sz="4" w:space="0" w:color="D17675" w:themeColor="accent2" w:themeTint="99"/>
        <w:right w:val="single" w:sz="4" w:space="0" w:color="D17675" w:themeColor="accent2" w:themeTint="99"/>
        <w:insideH w:val="single" w:sz="4" w:space="0" w:color="D17675" w:themeColor="accent2" w:themeTint="99"/>
        <w:insideV w:val="single" w:sz="4" w:space="0" w:color="D17675" w:themeColor="accent2" w:themeTint="99"/>
      </w:tblBorders>
    </w:tblPr>
    <w:tblStylePr w:type="firstRow">
      <w:rPr>
        <w:b/>
        <w:bCs/>
        <w:color w:val="FFFFFF" w:themeColor="background1"/>
      </w:rPr>
      <w:tblPr/>
      <w:tcPr>
        <w:tcBorders>
          <w:top w:val="single" w:sz="4" w:space="0" w:color="993533" w:themeColor="accent2"/>
          <w:left w:val="single" w:sz="4" w:space="0" w:color="993533" w:themeColor="accent2"/>
          <w:bottom w:val="single" w:sz="4" w:space="0" w:color="993533" w:themeColor="accent2"/>
          <w:right w:val="single" w:sz="4" w:space="0" w:color="993533" w:themeColor="accent2"/>
          <w:insideH w:val="nil"/>
          <w:insideV w:val="nil"/>
        </w:tcBorders>
        <w:shd w:val="clear" w:color="auto" w:fill="993533" w:themeFill="accent2"/>
      </w:tcPr>
    </w:tblStylePr>
    <w:tblStylePr w:type="lastRow">
      <w:rPr>
        <w:b/>
        <w:bCs/>
      </w:rPr>
      <w:tblPr/>
      <w:tcPr>
        <w:tcBorders>
          <w:top w:val="double" w:sz="4" w:space="0" w:color="993533" w:themeColor="accent2"/>
        </w:tcBorders>
      </w:tcPr>
    </w:tblStylePr>
    <w:tblStylePr w:type="firstCol">
      <w:rPr>
        <w:b/>
        <w:bCs/>
      </w:rPr>
    </w:tblStylePr>
    <w:tblStylePr w:type="lastCol">
      <w:rPr>
        <w:b/>
        <w:bCs/>
      </w:rPr>
    </w:tblStylePr>
    <w:tblStylePr w:type="band1Vert">
      <w:tblPr/>
      <w:tcPr>
        <w:shd w:val="clear" w:color="auto" w:fill="EFD1D1" w:themeFill="accent2" w:themeFillTint="33"/>
      </w:tcPr>
    </w:tblStylePr>
    <w:tblStylePr w:type="band1Horz">
      <w:tblPr/>
      <w:tcPr>
        <w:shd w:val="clear" w:color="auto" w:fill="EFD1D1" w:themeFill="accent2" w:themeFillTint="33"/>
      </w:tcPr>
    </w:tblStylePr>
  </w:style>
  <w:style w:type="table" w:styleId="GridTable1Light-Accent2">
    <w:name w:val="Grid Table 1 Light Accent 2"/>
    <w:basedOn w:val="TableNormal"/>
    <w:uiPriority w:val="46"/>
    <w:rsid w:val="004D3B0F"/>
    <w:pPr>
      <w:spacing w:after="0" w:line="240" w:lineRule="auto"/>
    </w:pPr>
    <w:tblPr>
      <w:tblStyleRowBandSize w:val="1"/>
      <w:tblStyleColBandSize w:val="1"/>
      <w:tblBorders>
        <w:top w:val="single" w:sz="4" w:space="0" w:color="E0A4A3" w:themeColor="accent2" w:themeTint="66"/>
        <w:left w:val="single" w:sz="4" w:space="0" w:color="E0A4A3" w:themeColor="accent2" w:themeTint="66"/>
        <w:bottom w:val="single" w:sz="4" w:space="0" w:color="E0A4A3" w:themeColor="accent2" w:themeTint="66"/>
        <w:right w:val="single" w:sz="4" w:space="0" w:color="E0A4A3" w:themeColor="accent2" w:themeTint="66"/>
        <w:insideH w:val="single" w:sz="4" w:space="0" w:color="E0A4A3" w:themeColor="accent2" w:themeTint="66"/>
        <w:insideV w:val="single" w:sz="4" w:space="0" w:color="E0A4A3" w:themeColor="accent2" w:themeTint="66"/>
      </w:tblBorders>
    </w:tblPr>
    <w:tblStylePr w:type="firstRow">
      <w:rPr>
        <w:b/>
        <w:bCs/>
      </w:rPr>
      <w:tblPr/>
      <w:tcPr>
        <w:tcBorders>
          <w:bottom w:val="single" w:sz="12" w:space="0" w:color="D17675" w:themeColor="accent2" w:themeTint="99"/>
        </w:tcBorders>
      </w:tcPr>
    </w:tblStylePr>
    <w:tblStylePr w:type="lastRow">
      <w:rPr>
        <w:b/>
        <w:bCs/>
      </w:rPr>
      <w:tblPr/>
      <w:tcPr>
        <w:tcBorders>
          <w:top w:val="double" w:sz="2" w:space="0" w:color="D17675" w:themeColor="accent2" w:themeTint="99"/>
        </w:tcBorders>
      </w:tcPr>
    </w:tblStylePr>
    <w:tblStylePr w:type="firstCol">
      <w:rPr>
        <w:b/>
        <w:bCs/>
      </w:rPr>
    </w:tblStylePr>
    <w:tblStylePr w:type="lastCol">
      <w:rPr>
        <w:b/>
        <w:bCs/>
      </w:rPr>
    </w:tblStylePr>
  </w:style>
  <w:style w:type="table" w:styleId="GridTable5Dark-Accent1">
    <w:name w:val="Grid Table 5 Dark Accent 1"/>
    <w:basedOn w:val="TableNormal"/>
    <w:uiPriority w:val="50"/>
    <w:rsid w:val="004D3B0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7B2B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081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081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081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0810" w:themeFill="accent1"/>
      </w:tcPr>
    </w:tblStylePr>
    <w:tblStylePr w:type="band1Vert">
      <w:tblPr/>
      <w:tcPr>
        <w:shd w:val="clear" w:color="auto" w:fill="EF6574" w:themeFill="accent1" w:themeFillTint="66"/>
      </w:tcPr>
    </w:tblStylePr>
    <w:tblStylePr w:type="band1Horz">
      <w:tblPr/>
      <w:tcPr>
        <w:shd w:val="clear" w:color="auto" w:fill="EF6574" w:themeFill="accent1" w:themeFillTint="66"/>
      </w:tcPr>
    </w:tblStylePr>
  </w:style>
  <w:style w:type="table" w:styleId="GridTable4-Accent1">
    <w:name w:val="Grid Table 4 Accent 1"/>
    <w:basedOn w:val="TableNormal"/>
    <w:uiPriority w:val="49"/>
    <w:rsid w:val="00F32757"/>
    <w:pPr>
      <w:spacing w:after="0" w:line="240" w:lineRule="auto"/>
    </w:pPr>
    <w:tblPr>
      <w:tblStyleRowBandSize w:val="1"/>
      <w:tblStyleColBandSize w:val="1"/>
      <w:tblBorders>
        <w:top w:val="single" w:sz="4" w:space="0" w:color="E7182F" w:themeColor="accent1" w:themeTint="99"/>
        <w:left w:val="single" w:sz="4" w:space="0" w:color="E7182F" w:themeColor="accent1" w:themeTint="99"/>
        <w:bottom w:val="single" w:sz="4" w:space="0" w:color="E7182F" w:themeColor="accent1" w:themeTint="99"/>
        <w:right w:val="single" w:sz="4" w:space="0" w:color="E7182F" w:themeColor="accent1" w:themeTint="99"/>
        <w:insideH w:val="single" w:sz="4" w:space="0" w:color="E7182F" w:themeColor="accent1" w:themeTint="99"/>
        <w:insideV w:val="single" w:sz="4" w:space="0" w:color="E7182F" w:themeColor="accent1" w:themeTint="99"/>
      </w:tblBorders>
    </w:tblPr>
    <w:tblStylePr w:type="firstRow">
      <w:rPr>
        <w:b/>
        <w:bCs/>
        <w:color w:val="FFFFFF" w:themeColor="background1"/>
      </w:rPr>
      <w:tblPr/>
      <w:tcPr>
        <w:shd w:val="clear" w:color="auto" w:fill="3B060B" w:themeFill="accent1" w:themeFillShade="BF"/>
      </w:tcPr>
    </w:tblStylePr>
    <w:tblStylePr w:type="lastRow">
      <w:rPr>
        <w:b/>
        <w:bCs/>
      </w:rPr>
      <w:tblPr/>
      <w:tcPr>
        <w:tcBorders>
          <w:top w:val="double" w:sz="4" w:space="0" w:color="4F0810" w:themeColor="accent1"/>
        </w:tcBorders>
      </w:tcPr>
    </w:tblStylePr>
    <w:tblStylePr w:type="firstCol">
      <w:rPr>
        <w:b/>
        <w:bCs/>
      </w:rPr>
    </w:tblStylePr>
    <w:tblStylePr w:type="lastCol">
      <w:rPr>
        <w:b/>
        <w:bCs/>
      </w:rPr>
    </w:tblStylePr>
    <w:tblStylePr w:type="band1Vert">
      <w:tblPr/>
      <w:tcPr>
        <w:shd w:val="clear" w:color="auto" w:fill="F7B2B9" w:themeFill="accent1" w:themeFillTint="33"/>
      </w:tcPr>
    </w:tblStylePr>
    <w:tblStylePr w:type="band1Horz">
      <w:tblPr/>
      <w:tcPr>
        <w:shd w:val="clear" w:color="auto" w:fill="F7B2B9" w:themeFill="accent1" w:themeFillTint="33"/>
      </w:tcPr>
    </w:tblStylePr>
  </w:style>
  <w:style w:type="table" w:styleId="GridTable4-Accent5">
    <w:name w:val="Grid Table 4 Accent 5"/>
    <w:basedOn w:val="TableNormal"/>
    <w:uiPriority w:val="49"/>
    <w:rsid w:val="004D3B0F"/>
    <w:pPr>
      <w:spacing w:after="0" w:line="240" w:lineRule="auto"/>
    </w:pPr>
    <w:tblPr>
      <w:tblStyleRowBandSize w:val="1"/>
      <w:tblStyleColBandSize w:val="1"/>
      <w:tblBorders>
        <w:top w:val="single" w:sz="4" w:space="0" w:color="A7A7A9" w:themeColor="accent5" w:themeTint="99"/>
        <w:left w:val="single" w:sz="4" w:space="0" w:color="A7A7A9" w:themeColor="accent5" w:themeTint="99"/>
        <w:bottom w:val="single" w:sz="4" w:space="0" w:color="A7A7A9" w:themeColor="accent5" w:themeTint="99"/>
        <w:right w:val="single" w:sz="4" w:space="0" w:color="A7A7A9" w:themeColor="accent5" w:themeTint="99"/>
        <w:insideH w:val="single" w:sz="4" w:space="0" w:color="A7A7A9" w:themeColor="accent5" w:themeTint="99"/>
        <w:insideV w:val="single" w:sz="4" w:space="0" w:color="A7A7A9" w:themeColor="accent5" w:themeTint="99"/>
      </w:tblBorders>
    </w:tblPr>
    <w:tblStylePr w:type="firstRow">
      <w:rPr>
        <w:b/>
        <w:bCs/>
        <w:color w:val="FFFFFF" w:themeColor="background1"/>
      </w:rPr>
      <w:tblPr/>
      <w:tcPr>
        <w:tcBorders>
          <w:top w:val="single" w:sz="4" w:space="0" w:color="6D6E70" w:themeColor="accent5"/>
          <w:left w:val="single" w:sz="4" w:space="0" w:color="6D6E70" w:themeColor="accent5"/>
          <w:bottom w:val="single" w:sz="4" w:space="0" w:color="6D6E70" w:themeColor="accent5"/>
          <w:right w:val="single" w:sz="4" w:space="0" w:color="6D6E70" w:themeColor="accent5"/>
          <w:insideH w:val="nil"/>
          <w:insideV w:val="nil"/>
        </w:tcBorders>
        <w:shd w:val="clear" w:color="auto" w:fill="6D6E70" w:themeFill="accent5"/>
      </w:tcPr>
    </w:tblStylePr>
    <w:tblStylePr w:type="lastRow">
      <w:rPr>
        <w:b/>
        <w:bCs/>
      </w:rPr>
      <w:tblPr/>
      <w:tcPr>
        <w:tcBorders>
          <w:top w:val="double" w:sz="4" w:space="0" w:color="6D6E70" w:themeColor="accent5"/>
        </w:tcBorders>
      </w:tcPr>
    </w:tblStylePr>
    <w:tblStylePr w:type="firstCol">
      <w:rPr>
        <w:b/>
        <w:bCs/>
      </w:rPr>
    </w:tblStylePr>
    <w:tblStylePr w:type="lastCol">
      <w:rPr>
        <w:b/>
        <w:bCs/>
      </w:rPr>
    </w:tblStylePr>
    <w:tblStylePr w:type="band1Vert">
      <w:tblPr/>
      <w:tcPr>
        <w:shd w:val="clear" w:color="auto" w:fill="E1E1E2" w:themeFill="accent5" w:themeFillTint="33"/>
      </w:tcPr>
    </w:tblStylePr>
    <w:tblStylePr w:type="band1Horz">
      <w:tblPr/>
      <w:tcPr>
        <w:shd w:val="clear" w:color="auto" w:fill="E1E1E2" w:themeFill="accent5" w:themeFillTint="33"/>
      </w:tcPr>
    </w:tblStylePr>
  </w:style>
  <w:style w:type="table" w:styleId="GridTable4-Accent4">
    <w:name w:val="Grid Table 4 Accent 4"/>
    <w:aliases w:val="DISR banded - Table 2"/>
    <w:basedOn w:val="TableNormal"/>
    <w:uiPriority w:val="49"/>
    <w:rsid w:val="005D19B8"/>
    <w:pPr>
      <w:spacing w:after="0" w:line="240" w:lineRule="auto"/>
    </w:pPr>
    <w:tblPr>
      <w:tblStyleRowBandSize w:val="1"/>
      <w:tblStyleColBandSize w:val="1"/>
      <w:tblBorders>
        <w:top w:val="single" w:sz="4" w:space="0" w:color="4F0810" w:themeColor="accent1"/>
        <w:left w:val="single" w:sz="4" w:space="0" w:color="4F0810" w:themeColor="accent1"/>
        <w:bottom w:val="single" w:sz="4" w:space="0" w:color="4F0810" w:themeColor="accent1"/>
        <w:right w:val="single" w:sz="4" w:space="0" w:color="4F0810" w:themeColor="accent1"/>
        <w:insideH w:val="single" w:sz="4" w:space="0" w:color="4F0810" w:themeColor="accent1"/>
        <w:insideV w:val="single" w:sz="4" w:space="0" w:color="4F0810" w:themeColor="accent1"/>
      </w:tblBorders>
    </w:tblPr>
    <w:tblStylePr w:type="firstRow">
      <w:rPr>
        <w:b/>
        <w:bCs/>
        <w:color w:val="FFFFFF" w:themeColor="background1"/>
      </w:rPr>
      <w:tblPr/>
      <w:tcPr>
        <w:shd w:val="clear" w:color="auto" w:fill="4F0810" w:themeFill="accent1"/>
      </w:tcPr>
    </w:tblStylePr>
    <w:tblStylePr w:type="lastRow">
      <w:rPr>
        <w:b/>
        <w:bCs/>
      </w:rPr>
      <w:tblPr/>
      <w:tcPr>
        <w:tcBorders>
          <w:top w:val="single" w:sz="18" w:space="0" w:color="B7B09C" w:themeColor="accent4"/>
        </w:tcBorders>
      </w:tcPr>
    </w:tblStylePr>
    <w:tblStylePr w:type="firstCol">
      <w:rPr>
        <w:b/>
        <w:bCs/>
      </w:rPr>
    </w:tblStylePr>
    <w:tblStylePr w:type="lastCol">
      <w:rPr>
        <w:b/>
        <w:bCs/>
      </w:rPr>
    </w:tblStylePr>
    <w:tblStylePr w:type="band1Vert">
      <w:tblPr/>
      <w:tcPr>
        <w:shd w:val="clear" w:color="auto" w:fill="F0EFEB" w:themeFill="accent4" w:themeFillTint="33"/>
      </w:tcPr>
    </w:tblStylePr>
    <w:tblStylePr w:type="band1Horz">
      <w:tblPr/>
      <w:tcPr>
        <w:shd w:val="clear" w:color="auto" w:fill="E1E1E2" w:themeFill="accent5" w:themeFillTint="33"/>
      </w:tcPr>
    </w:tblStylePr>
  </w:style>
  <w:style w:type="table" w:styleId="GridTable4-Accent3">
    <w:name w:val="Grid Table 4 Accent 3"/>
    <w:basedOn w:val="TableNormal"/>
    <w:uiPriority w:val="49"/>
    <w:rsid w:val="004D3B0F"/>
    <w:pPr>
      <w:spacing w:after="0" w:line="240" w:lineRule="auto"/>
    </w:pPr>
    <w:tblPr>
      <w:tblStyleRowBandSize w:val="1"/>
      <w:tblStyleColBandSize w:val="1"/>
      <w:tblBorders>
        <w:top w:val="single" w:sz="4" w:space="0" w:color="E30F56" w:themeColor="accent3" w:themeTint="99"/>
        <w:left w:val="single" w:sz="4" w:space="0" w:color="E30F56" w:themeColor="accent3" w:themeTint="99"/>
        <w:bottom w:val="single" w:sz="4" w:space="0" w:color="E30F56" w:themeColor="accent3" w:themeTint="99"/>
        <w:right w:val="single" w:sz="4" w:space="0" w:color="E30F56" w:themeColor="accent3" w:themeTint="99"/>
        <w:insideH w:val="single" w:sz="4" w:space="0" w:color="E30F56" w:themeColor="accent3" w:themeTint="99"/>
        <w:insideV w:val="single" w:sz="4" w:space="0" w:color="E30F56" w:themeColor="accent3" w:themeTint="99"/>
      </w:tblBorders>
    </w:tblPr>
    <w:tblStylePr w:type="firstRow">
      <w:rPr>
        <w:b/>
        <w:bCs/>
        <w:color w:val="FFFFFF" w:themeColor="background1"/>
      </w:rPr>
      <w:tblPr/>
      <w:tcPr>
        <w:tcBorders>
          <w:top w:val="single" w:sz="4" w:space="0" w:color="3D0417" w:themeColor="accent3"/>
          <w:left w:val="single" w:sz="4" w:space="0" w:color="3D0417" w:themeColor="accent3"/>
          <w:bottom w:val="single" w:sz="4" w:space="0" w:color="3D0417" w:themeColor="accent3"/>
          <w:right w:val="single" w:sz="4" w:space="0" w:color="3D0417" w:themeColor="accent3"/>
          <w:insideH w:val="nil"/>
          <w:insideV w:val="nil"/>
        </w:tcBorders>
        <w:shd w:val="clear" w:color="auto" w:fill="3D0417" w:themeFill="accent3"/>
      </w:tcPr>
    </w:tblStylePr>
    <w:tblStylePr w:type="lastRow">
      <w:rPr>
        <w:b/>
        <w:bCs/>
      </w:rPr>
      <w:tblPr/>
      <w:tcPr>
        <w:tcBorders>
          <w:top w:val="double" w:sz="4" w:space="0" w:color="3D0417" w:themeColor="accent3"/>
        </w:tcBorders>
      </w:tcPr>
    </w:tblStylePr>
    <w:tblStylePr w:type="firstCol">
      <w:rPr>
        <w:b/>
        <w:bCs/>
      </w:rPr>
    </w:tblStylePr>
    <w:tblStylePr w:type="lastCol">
      <w:rPr>
        <w:b/>
        <w:bCs/>
      </w:rPr>
    </w:tblStylePr>
    <w:tblStylePr w:type="band1Vert">
      <w:tblPr/>
      <w:tcPr>
        <w:shd w:val="clear" w:color="auto" w:fill="F9ABC5" w:themeFill="accent3" w:themeFillTint="33"/>
      </w:tcPr>
    </w:tblStylePr>
    <w:tblStylePr w:type="band1Horz">
      <w:tblPr/>
      <w:tcPr>
        <w:shd w:val="clear" w:color="auto" w:fill="F9ABC5" w:themeFill="accent3" w:themeFillTint="33"/>
      </w:tcPr>
    </w:tblStylePr>
  </w:style>
  <w:style w:type="paragraph" w:customStyle="1" w:styleId="Authoranddate">
    <w:name w:val="Author and date"/>
    <w:basedOn w:val="Subtitle"/>
    <w:link w:val="AuthoranddateChar"/>
    <w:qFormat/>
    <w:rsid w:val="000C1609"/>
    <w:rPr>
      <w:color w:val="4F0810" w:themeColor="accent1"/>
      <w:szCs w:val="40"/>
    </w:rPr>
  </w:style>
  <w:style w:type="character" w:customStyle="1" w:styleId="AuthoranddateChar">
    <w:name w:val="Author and date Char"/>
    <w:basedOn w:val="SubtitleChar"/>
    <w:link w:val="Authoranddate"/>
    <w:rsid w:val="000C1609"/>
    <w:rPr>
      <w:rFonts w:eastAsiaTheme="minorEastAsia"/>
      <w:color w:val="4F0810" w:themeColor="accent1"/>
      <w:sz w:val="40"/>
      <w:szCs w:val="40"/>
    </w:rPr>
  </w:style>
  <w:style w:type="character" w:customStyle="1" w:styleId="Heading7Char">
    <w:name w:val="Heading 7 Char"/>
    <w:basedOn w:val="DefaultParagraphFont"/>
    <w:link w:val="Heading7"/>
    <w:uiPriority w:val="99"/>
    <w:rsid w:val="00DE7B23"/>
    <w:rPr>
      <w:rFonts w:asciiTheme="majorHAnsi" w:eastAsiaTheme="majorEastAsia" w:hAnsiTheme="majorHAnsi" w:cstheme="majorBidi"/>
      <w:iCs/>
      <w:color w:val="4F0810" w:themeColor="accent1"/>
    </w:rPr>
  </w:style>
  <w:style w:type="character" w:styleId="UnresolvedMention">
    <w:name w:val="Unresolved Mention"/>
    <w:basedOn w:val="DefaultParagraphFont"/>
    <w:uiPriority w:val="99"/>
    <w:semiHidden/>
    <w:unhideWhenUsed/>
    <w:rsid w:val="00282ED3"/>
    <w:rPr>
      <w:color w:val="605E5C"/>
      <w:shd w:val="clear" w:color="auto" w:fill="E1DFDD"/>
    </w:rPr>
  </w:style>
  <w:style w:type="table" w:styleId="GridTable4">
    <w:name w:val="Grid Table 4"/>
    <w:basedOn w:val="TableNormal"/>
    <w:uiPriority w:val="49"/>
    <w:rsid w:val="0040603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4">
    <w:name w:val="List Table 3 Accent 4"/>
    <w:basedOn w:val="TableNormal"/>
    <w:uiPriority w:val="48"/>
    <w:rsid w:val="0031654A"/>
    <w:pPr>
      <w:spacing w:after="0" w:line="240" w:lineRule="auto"/>
    </w:pPr>
    <w:tblPr>
      <w:tblStyleRowBandSize w:val="1"/>
      <w:tblStyleColBandSize w:val="1"/>
      <w:tblBorders>
        <w:top w:val="single" w:sz="4" w:space="0" w:color="B7B09C" w:themeColor="accent4"/>
        <w:left w:val="single" w:sz="4" w:space="0" w:color="B7B09C" w:themeColor="accent4"/>
        <w:bottom w:val="single" w:sz="4" w:space="0" w:color="B7B09C" w:themeColor="accent4"/>
        <w:right w:val="single" w:sz="4" w:space="0" w:color="B7B09C" w:themeColor="accent4"/>
      </w:tblBorders>
    </w:tblPr>
    <w:tblStylePr w:type="firstRow">
      <w:rPr>
        <w:b/>
        <w:bCs/>
        <w:color w:val="FFFFFF" w:themeColor="background1"/>
      </w:rPr>
      <w:tblPr/>
      <w:tcPr>
        <w:shd w:val="clear" w:color="auto" w:fill="B7B09C" w:themeFill="accent4"/>
      </w:tcPr>
    </w:tblStylePr>
    <w:tblStylePr w:type="lastRow">
      <w:rPr>
        <w:b/>
        <w:bCs/>
      </w:rPr>
      <w:tblPr/>
      <w:tcPr>
        <w:tcBorders>
          <w:top w:val="double" w:sz="4" w:space="0" w:color="B7B09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7B09C" w:themeColor="accent4"/>
          <w:right w:val="single" w:sz="4" w:space="0" w:color="B7B09C" w:themeColor="accent4"/>
        </w:tcBorders>
      </w:tcPr>
    </w:tblStylePr>
    <w:tblStylePr w:type="band1Horz">
      <w:tblPr/>
      <w:tcPr>
        <w:tcBorders>
          <w:top w:val="single" w:sz="4" w:space="0" w:color="B7B09C" w:themeColor="accent4"/>
          <w:bottom w:val="single" w:sz="4" w:space="0" w:color="B7B09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7B09C" w:themeColor="accent4"/>
          <w:left w:val="nil"/>
        </w:tcBorders>
      </w:tcPr>
    </w:tblStylePr>
    <w:tblStylePr w:type="swCell">
      <w:tblPr/>
      <w:tcPr>
        <w:tcBorders>
          <w:top w:val="double" w:sz="4" w:space="0" w:color="B7B09C" w:themeColor="accent4"/>
          <w:right w:val="nil"/>
        </w:tcBorders>
      </w:tcPr>
    </w:tblStylePr>
  </w:style>
  <w:style w:type="paragraph" w:styleId="TOC4">
    <w:name w:val="toc 4"/>
    <w:basedOn w:val="Normal"/>
    <w:next w:val="Normal"/>
    <w:autoRedefine/>
    <w:uiPriority w:val="39"/>
    <w:unhideWhenUsed/>
    <w:rsid w:val="0043720A"/>
    <w:pPr>
      <w:spacing w:after="100"/>
      <w:ind w:left="442"/>
    </w:pPr>
  </w:style>
  <w:style w:type="paragraph" w:styleId="TOC5">
    <w:name w:val="toc 5"/>
    <w:basedOn w:val="Normal"/>
    <w:next w:val="Normal"/>
    <w:autoRedefine/>
    <w:uiPriority w:val="39"/>
    <w:unhideWhenUsed/>
    <w:rsid w:val="0043720A"/>
    <w:pPr>
      <w:spacing w:after="100"/>
      <w:ind w:left="601"/>
    </w:pPr>
  </w:style>
  <w:style w:type="paragraph" w:styleId="ListBullet">
    <w:name w:val="List Bullet"/>
    <w:basedOn w:val="Normal"/>
    <w:unhideWhenUsed/>
    <w:qFormat/>
    <w:rsid w:val="00BA1488"/>
    <w:pPr>
      <w:numPr>
        <w:numId w:val="16"/>
      </w:numPr>
      <w:ind w:left="567" w:hanging="567"/>
      <w:contextualSpacing/>
    </w:pPr>
  </w:style>
  <w:style w:type="paragraph" w:styleId="ListBullet2">
    <w:name w:val="List Bullet 2"/>
    <w:basedOn w:val="ListBullet"/>
    <w:uiPriority w:val="99"/>
    <w:unhideWhenUsed/>
    <w:rsid w:val="00340B51"/>
    <w:pPr>
      <w:ind w:left="1134" w:hanging="425"/>
    </w:pPr>
  </w:style>
  <w:style w:type="character" w:customStyle="1" w:styleId="Heading8Char">
    <w:name w:val="Heading 8 Char"/>
    <w:basedOn w:val="DefaultParagraphFont"/>
    <w:link w:val="Heading8"/>
    <w:uiPriority w:val="99"/>
    <w:rsid w:val="00C50A9A"/>
    <w:rPr>
      <w:rFonts w:asciiTheme="majorHAnsi" w:eastAsiaTheme="majorEastAsia" w:hAnsiTheme="majorHAnsi" w:cstheme="majorBidi"/>
      <w:color w:val="272727" w:themeColor="text1" w:themeTint="D8"/>
      <w:sz w:val="20"/>
      <w:szCs w:val="21"/>
    </w:rPr>
  </w:style>
  <w:style w:type="character" w:styleId="CommentReference">
    <w:name w:val="annotation reference"/>
    <w:basedOn w:val="DefaultParagraphFont"/>
    <w:uiPriority w:val="99"/>
    <w:semiHidden/>
    <w:unhideWhenUsed/>
    <w:rsid w:val="00FE4569"/>
    <w:rPr>
      <w:sz w:val="16"/>
      <w:szCs w:val="16"/>
    </w:rPr>
  </w:style>
  <w:style w:type="paragraph" w:styleId="CommentText">
    <w:name w:val="annotation text"/>
    <w:basedOn w:val="Normal"/>
    <w:link w:val="CommentTextChar"/>
    <w:uiPriority w:val="99"/>
    <w:unhideWhenUsed/>
    <w:rsid w:val="00FE4569"/>
    <w:rPr>
      <w:szCs w:val="20"/>
    </w:rPr>
  </w:style>
  <w:style w:type="character" w:customStyle="1" w:styleId="CommentTextChar">
    <w:name w:val="Comment Text Char"/>
    <w:basedOn w:val="DefaultParagraphFont"/>
    <w:link w:val="CommentText"/>
    <w:uiPriority w:val="99"/>
    <w:rsid w:val="00FE4569"/>
    <w:rPr>
      <w:sz w:val="20"/>
      <w:szCs w:val="20"/>
    </w:rPr>
  </w:style>
  <w:style w:type="paragraph" w:styleId="CommentSubject">
    <w:name w:val="annotation subject"/>
    <w:basedOn w:val="CommentText"/>
    <w:next w:val="CommentText"/>
    <w:link w:val="CommentSubjectChar"/>
    <w:uiPriority w:val="99"/>
    <w:semiHidden/>
    <w:unhideWhenUsed/>
    <w:rsid w:val="00FE4569"/>
    <w:rPr>
      <w:b/>
      <w:bCs/>
    </w:rPr>
  </w:style>
  <w:style w:type="character" w:customStyle="1" w:styleId="CommentSubjectChar">
    <w:name w:val="Comment Subject Char"/>
    <w:basedOn w:val="CommentTextChar"/>
    <w:link w:val="CommentSubject"/>
    <w:uiPriority w:val="99"/>
    <w:semiHidden/>
    <w:rsid w:val="00FE4569"/>
    <w:rPr>
      <w:b/>
      <w:bCs/>
      <w:sz w:val="20"/>
      <w:szCs w:val="20"/>
    </w:rPr>
  </w:style>
  <w:style w:type="paragraph" w:styleId="Title">
    <w:name w:val="Title"/>
    <w:basedOn w:val="Heading1"/>
    <w:next w:val="Normal"/>
    <w:link w:val="TitleChar"/>
    <w:uiPriority w:val="99"/>
    <w:qFormat/>
    <w:rsid w:val="00E97218"/>
    <w:pPr>
      <w:numPr>
        <w:numId w:val="0"/>
      </w:numPr>
    </w:pPr>
    <w:rPr>
      <w:color w:val="4F0810"/>
      <w:sz w:val="72"/>
      <w:szCs w:val="72"/>
    </w:rPr>
  </w:style>
  <w:style w:type="character" w:customStyle="1" w:styleId="TitleChar">
    <w:name w:val="Title Char"/>
    <w:basedOn w:val="DefaultParagraphFont"/>
    <w:link w:val="Title"/>
    <w:uiPriority w:val="99"/>
    <w:rsid w:val="00E97218"/>
    <w:rPr>
      <w:rFonts w:asciiTheme="majorHAnsi" w:eastAsiaTheme="majorEastAsia" w:hAnsiTheme="majorHAnsi" w:cstheme="majorBidi"/>
      <w:color w:val="4F0810"/>
      <w:sz w:val="72"/>
      <w:szCs w:val="72"/>
      <w:lang w:val="en-US"/>
    </w:rPr>
  </w:style>
  <w:style w:type="paragraph" w:styleId="NormalWeb">
    <w:name w:val="Normal (Web)"/>
    <w:basedOn w:val="Normal"/>
    <w:uiPriority w:val="99"/>
    <w:semiHidden/>
    <w:unhideWhenUsed/>
    <w:rsid w:val="00BA0B22"/>
    <w:pPr>
      <w:spacing w:before="100" w:beforeAutospacing="1" w:after="100" w:afterAutospacing="1"/>
    </w:pPr>
    <w:rPr>
      <w:rFonts w:ascii="Times New Roman" w:eastAsia="Times New Roman" w:hAnsi="Times New Roman" w:cs="Times New Roman"/>
      <w:sz w:val="24"/>
      <w:szCs w:val="24"/>
      <w:lang w:eastAsia="en-AU"/>
    </w:rPr>
  </w:style>
  <w:style w:type="paragraph" w:styleId="Revision">
    <w:name w:val="Revision"/>
    <w:hidden/>
    <w:uiPriority w:val="99"/>
    <w:semiHidden/>
    <w:rsid w:val="00AD473E"/>
    <w:pPr>
      <w:spacing w:after="0" w:line="240" w:lineRule="auto"/>
    </w:pPr>
    <w:rPr>
      <w:sz w:val="20"/>
    </w:rPr>
  </w:style>
  <w:style w:type="table" w:styleId="ListTable3-Accent1">
    <w:name w:val="List Table 3 Accent 1"/>
    <w:basedOn w:val="TableNormal"/>
    <w:uiPriority w:val="48"/>
    <w:rsid w:val="005D19B8"/>
    <w:pPr>
      <w:spacing w:after="0" w:line="240" w:lineRule="auto"/>
    </w:pPr>
    <w:tblPr>
      <w:tblStyleRowBandSize w:val="1"/>
      <w:tblStyleColBandSize w:val="1"/>
      <w:tblBorders>
        <w:top w:val="single" w:sz="4" w:space="0" w:color="4F0810" w:themeColor="accent1"/>
        <w:left w:val="single" w:sz="4" w:space="0" w:color="4F0810" w:themeColor="accent1"/>
        <w:bottom w:val="single" w:sz="4" w:space="0" w:color="4F0810" w:themeColor="accent1"/>
        <w:right w:val="single" w:sz="4" w:space="0" w:color="4F0810" w:themeColor="accent1"/>
      </w:tblBorders>
    </w:tblPr>
    <w:tblStylePr w:type="firstRow">
      <w:rPr>
        <w:b/>
        <w:bCs/>
        <w:color w:val="FFFFFF" w:themeColor="background1"/>
      </w:rPr>
      <w:tblPr/>
      <w:tcPr>
        <w:shd w:val="clear" w:color="auto" w:fill="4F0810" w:themeFill="accent1"/>
      </w:tcPr>
    </w:tblStylePr>
    <w:tblStylePr w:type="lastRow">
      <w:rPr>
        <w:b/>
        <w:bCs/>
      </w:rPr>
      <w:tblPr/>
      <w:tcPr>
        <w:tcBorders>
          <w:top w:val="double" w:sz="4" w:space="0" w:color="4F081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0810" w:themeColor="accent1"/>
          <w:right w:val="single" w:sz="4" w:space="0" w:color="4F0810" w:themeColor="accent1"/>
        </w:tcBorders>
      </w:tcPr>
    </w:tblStylePr>
    <w:tblStylePr w:type="band1Horz">
      <w:tblPr/>
      <w:tcPr>
        <w:tcBorders>
          <w:top w:val="single" w:sz="4" w:space="0" w:color="4F0810" w:themeColor="accent1"/>
          <w:bottom w:val="single" w:sz="4" w:space="0" w:color="4F081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0810" w:themeColor="accent1"/>
          <w:left w:val="nil"/>
        </w:tcBorders>
      </w:tcPr>
    </w:tblStylePr>
    <w:tblStylePr w:type="swCell">
      <w:tblPr/>
      <w:tcPr>
        <w:tcBorders>
          <w:top w:val="double" w:sz="4" w:space="0" w:color="4F0810" w:themeColor="accent1"/>
          <w:right w:val="nil"/>
        </w:tcBorders>
      </w:tcPr>
    </w:tblStylePr>
  </w:style>
  <w:style w:type="paragraph" w:customStyle="1" w:styleId="Editiondetails">
    <w:name w:val="Edition details"/>
    <w:basedOn w:val="Normal"/>
    <w:link w:val="EditiondetailsChar"/>
    <w:qFormat/>
    <w:rsid w:val="00EE7BB2"/>
    <w:pPr>
      <w:tabs>
        <w:tab w:val="left" w:pos="3119"/>
      </w:tabs>
      <w:spacing w:before="0" w:after="0"/>
    </w:pPr>
  </w:style>
  <w:style w:type="character" w:customStyle="1" w:styleId="EditiondetailsChar">
    <w:name w:val="Edition details Char"/>
    <w:basedOn w:val="DefaultParagraphFont"/>
    <w:link w:val="Editiondetails"/>
    <w:rsid w:val="00EE7BB2"/>
    <w:rPr>
      <w:sz w:val="20"/>
    </w:rPr>
  </w:style>
  <w:style w:type="paragraph" w:customStyle="1" w:styleId="Heading4-Appendix">
    <w:name w:val="Heading 4 - Appendix"/>
    <w:basedOn w:val="Heading4"/>
    <w:link w:val="Heading4-AppendixChar"/>
    <w:qFormat/>
    <w:rsid w:val="00566B35"/>
    <w:pPr>
      <w:numPr>
        <w:numId w:val="18"/>
      </w:numPr>
    </w:pPr>
  </w:style>
  <w:style w:type="character" w:customStyle="1" w:styleId="Heading4-AppendixChar">
    <w:name w:val="Heading 4 - Appendix Char"/>
    <w:basedOn w:val="Heading4Char"/>
    <w:link w:val="Heading4-Appendix"/>
    <w:rsid w:val="00566B35"/>
    <w:rPr>
      <w:rFonts w:asciiTheme="majorHAnsi" w:eastAsiaTheme="majorEastAsia" w:hAnsiTheme="majorHAnsi" w:cstheme="majorBidi"/>
      <w:color w:val="993533" w:themeColor="accent2"/>
      <w:sz w:val="26"/>
      <w:szCs w:val="26"/>
      <w:lang w:val="en-US"/>
    </w:rPr>
  </w:style>
  <w:style w:type="paragraph" w:customStyle="1" w:styleId="Note">
    <w:name w:val="Note"/>
    <w:basedOn w:val="Normal"/>
    <w:qFormat/>
    <w:rsid w:val="004710B9"/>
    <w:pPr>
      <w:spacing w:before="0" w:line="276" w:lineRule="auto"/>
      <w:ind w:left="720" w:hanging="720"/>
    </w:pPr>
    <w:rPr>
      <w:lang w:eastAsia="en-AU"/>
    </w:rPr>
  </w:style>
  <w:style w:type="paragraph" w:customStyle="1" w:styleId="Editiongroup">
    <w:name w:val="Edition group"/>
    <w:basedOn w:val="Editiondetails"/>
    <w:link w:val="EditiongroupChar"/>
    <w:qFormat/>
    <w:rsid w:val="001B190E"/>
    <w:pPr>
      <w:spacing w:before="120"/>
    </w:pPr>
    <w:rPr>
      <w:b/>
      <w:bCs/>
      <w:color w:val="993533" w:themeColor="accent2"/>
      <w:szCs w:val="20"/>
    </w:rPr>
  </w:style>
  <w:style w:type="character" w:customStyle="1" w:styleId="EditiongroupChar">
    <w:name w:val="Edition group Char"/>
    <w:basedOn w:val="Heading3Char"/>
    <w:link w:val="Editiongroup"/>
    <w:rsid w:val="001B190E"/>
    <w:rPr>
      <w:rFonts w:asciiTheme="majorHAnsi" w:eastAsiaTheme="majorEastAsia" w:hAnsiTheme="majorHAnsi" w:cstheme="majorBidi"/>
      <w:b/>
      <w:bCs/>
      <w:color w:val="993533" w:themeColor="accent2"/>
      <w:sz w:val="20"/>
      <w:szCs w:val="20"/>
      <w:lang w:val="en-US"/>
    </w:rPr>
  </w:style>
  <w:style w:type="paragraph" w:customStyle="1" w:styleId="TableText">
    <w:name w:val="Table Text"/>
    <w:basedOn w:val="Normal"/>
    <w:qFormat/>
    <w:rsid w:val="00F80D79"/>
    <w:pPr>
      <w:spacing w:before="40" w:after="40"/>
    </w:pPr>
    <w:rPr>
      <w:rFonts w:ascii="Arial" w:hAnsi="Arial"/>
    </w:rPr>
  </w:style>
  <w:style w:type="paragraph" w:styleId="List3">
    <w:name w:val="List 3"/>
    <w:basedOn w:val="Normal"/>
    <w:uiPriority w:val="99"/>
    <w:unhideWhenUsed/>
    <w:rsid w:val="00F80D79"/>
    <w:pPr>
      <w:numPr>
        <w:ilvl w:val="2"/>
        <w:numId w:val="1"/>
      </w:numPr>
      <w:spacing w:before="0" w:line="276" w:lineRule="auto"/>
      <w:contextualSpacing/>
    </w:pPr>
    <w:rPr>
      <w:rFonts w:ascii="Arial" w:hAnsi="Arial"/>
    </w:rPr>
  </w:style>
  <w:style w:type="paragraph" w:styleId="List4">
    <w:name w:val="List 4"/>
    <w:basedOn w:val="Normal"/>
    <w:uiPriority w:val="99"/>
    <w:unhideWhenUsed/>
    <w:rsid w:val="00F80D79"/>
    <w:pPr>
      <w:numPr>
        <w:ilvl w:val="3"/>
        <w:numId w:val="1"/>
      </w:numPr>
      <w:spacing w:before="0" w:line="276" w:lineRule="auto"/>
      <w:contextualSpacing/>
    </w:pPr>
    <w:rPr>
      <w:rFonts w:ascii="Arial" w:hAnsi="Arial"/>
    </w:rPr>
  </w:style>
  <w:style w:type="paragraph" w:styleId="BodyText2">
    <w:name w:val="Body Text 2"/>
    <w:basedOn w:val="Normal"/>
    <w:link w:val="BodyText2Char"/>
    <w:uiPriority w:val="99"/>
    <w:semiHidden/>
    <w:unhideWhenUsed/>
    <w:rsid w:val="00F80D79"/>
    <w:pPr>
      <w:spacing w:before="0" w:line="480" w:lineRule="auto"/>
    </w:pPr>
    <w:rPr>
      <w:rFonts w:ascii="Arial" w:hAnsi="Arial"/>
    </w:rPr>
  </w:style>
  <w:style w:type="character" w:customStyle="1" w:styleId="BodyText2Char">
    <w:name w:val="Body Text 2 Char"/>
    <w:basedOn w:val="DefaultParagraphFont"/>
    <w:link w:val="BodyText2"/>
    <w:uiPriority w:val="99"/>
    <w:semiHidden/>
    <w:rsid w:val="00F80D79"/>
    <w:rPr>
      <w:rFonts w:ascii="Arial" w:hAnsi="Arial"/>
      <w:sz w:val="20"/>
    </w:rPr>
  </w:style>
  <w:style w:type="paragraph" w:customStyle="1" w:styleId="Whitetext">
    <w:name w:val="White text"/>
    <w:basedOn w:val="Normal"/>
    <w:link w:val="WhitetextChar"/>
    <w:qFormat/>
    <w:rsid w:val="00F12030"/>
    <w:rPr>
      <w:color w:val="FFFFFF" w:themeColor="background1"/>
    </w:rPr>
  </w:style>
  <w:style w:type="character" w:customStyle="1" w:styleId="WhitetextChar">
    <w:name w:val="White text Char"/>
    <w:basedOn w:val="DefaultParagraphFont"/>
    <w:link w:val="Whitetext"/>
    <w:rsid w:val="00F12030"/>
    <w:rPr>
      <w:color w:val="FFFFFF" w:themeColor="background1"/>
      <w:sz w:val="20"/>
      <w:lang w:val="en-US"/>
    </w:rPr>
  </w:style>
  <w:style w:type="paragraph" w:customStyle="1" w:styleId="Heading1-Appendix">
    <w:name w:val="Heading 1 - Appendix"/>
    <w:basedOn w:val="Heading1"/>
    <w:link w:val="Heading1-AppendixChar"/>
    <w:qFormat/>
    <w:rsid w:val="00387BA8"/>
    <w:pPr>
      <w:numPr>
        <w:numId w:val="18"/>
      </w:numPr>
      <w:spacing w:after="240"/>
    </w:pPr>
    <w:rPr>
      <w:rFonts w:ascii="Arial Bold" w:hAnsi="Arial Bold"/>
      <w:b/>
      <w:color w:val="993533"/>
    </w:rPr>
  </w:style>
  <w:style w:type="character" w:customStyle="1" w:styleId="Heading1-AppendixChar">
    <w:name w:val="Heading 1 - Appendix Char"/>
    <w:basedOn w:val="Heading1Char"/>
    <w:link w:val="Heading1-Appendix"/>
    <w:rsid w:val="003F28E3"/>
    <w:rPr>
      <w:rFonts w:ascii="Arial Bold" w:eastAsiaTheme="majorEastAsia" w:hAnsi="Arial Bold" w:cstheme="majorBidi"/>
      <w:b/>
      <w:color w:val="993533"/>
      <w:sz w:val="48"/>
      <w:szCs w:val="48"/>
      <w:lang w:val="en-US"/>
    </w:rPr>
  </w:style>
  <w:style w:type="paragraph" w:styleId="ListNumber">
    <w:name w:val="List Number"/>
    <w:basedOn w:val="Normal"/>
    <w:uiPriority w:val="99"/>
    <w:unhideWhenUsed/>
    <w:rsid w:val="00AC1D59"/>
    <w:pPr>
      <w:numPr>
        <w:numId w:val="4"/>
      </w:numPr>
      <w:contextualSpacing/>
    </w:pPr>
  </w:style>
  <w:style w:type="paragraph" w:styleId="ListNumber2">
    <w:name w:val="List Number 2"/>
    <w:basedOn w:val="Normal"/>
    <w:uiPriority w:val="99"/>
    <w:unhideWhenUsed/>
    <w:rsid w:val="00AC1D59"/>
    <w:pPr>
      <w:numPr>
        <w:numId w:val="5"/>
      </w:numPr>
      <w:contextualSpacing/>
    </w:pPr>
  </w:style>
  <w:style w:type="character" w:customStyle="1" w:styleId="Heading9Char">
    <w:name w:val="Heading 9 Char"/>
    <w:basedOn w:val="DefaultParagraphFont"/>
    <w:link w:val="Heading9"/>
    <w:uiPriority w:val="99"/>
    <w:semiHidden/>
    <w:rsid w:val="00AC1D59"/>
    <w:rPr>
      <w:rFonts w:ascii="Arial" w:hAnsi="Arial" w:cs="Arial"/>
    </w:rPr>
  </w:style>
  <w:style w:type="paragraph" w:customStyle="1" w:styleId="msonormal0">
    <w:name w:val="msonormal"/>
    <w:basedOn w:val="Normal"/>
    <w:uiPriority w:val="99"/>
    <w:semiHidden/>
    <w:rsid w:val="00AC1D59"/>
    <w:pPr>
      <w:spacing w:before="0" w:line="264" w:lineRule="auto"/>
    </w:pPr>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AC1D59"/>
    <w:pPr>
      <w:spacing w:before="0" w:line="264" w:lineRule="auto"/>
    </w:pPr>
    <w:rPr>
      <w:rFonts w:ascii="Arial" w:hAnsi="Arial"/>
    </w:rPr>
  </w:style>
  <w:style w:type="character" w:customStyle="1" w:styleId="FootnoteTextChar">
    <w:name w:val="Footnote Text Char"/>
    <w:basedOn w:val="DefaultParagraphFont"/>
    <w:link w:val="FootnoteText"/>
    <w:uiPriority w:val="99"/>
    <w:semiHidden/>
    <w:rsid w:val="00AC1D59"/>
    <w:rPr>
      <w:rFonts w:ascii="Arial" w:hAnsi="Arial"/>
      <w:sz w:val="20"/>
    </w:rPr>
  </w:style>
  <w:style w:type="paragraph" w:styleId="EndnoteText">
    <w:name w:val="endnote text"/>
    <w:basedOn w:val="Normal"/>
    <w:link w:val="EndnoteTextChar"/>
    <w:uiPriority w:val="99"/>
    <w:semiHidden/>
    <w:unhideWhenUsed/>
    <w:rsid w:val="00AC1D59"/>
    <w:pPr>
      <w:spacing w:before="0" w:after="0" w:line="240" w:lineRule="auto"/>
    </w:pPr>
    <w:rPr>
      <w:rFonts w:ascii="Arial" w:hAnsi="Arial"/>
      <w:szCs w:val="20"/>
    </w:rPr>
  </w:style>
  <w:style w:type="character" w:customStyle="1" w:styleId="EndnoteTextChar">
    <w:name w:val="Endnote Text Char"/>
    <w:basedOn w:val="DefaultParagraphFont"/>
    <w:link w:val="EndnoteText"/>
    <w:uiPriority w:val="99"/>
    <w:semiHidden/>
    <w:rsid w:val="00AC1D59"/>
    <w:rPr>
      <w:rFonts w:ascii="Arial" w:hAnsi="Arial"/>
      <w:sz w:val="20"/>
      <w:szCs w:val="20"/>
    </w:rPr>
  </w:style>
  <w:style w:type="paragraph" w:styleId="ListNumber3">
    <w:name w:val="List Number 3"/>
    <w:basedOn w:val="Normal"/>
    <w:uiPriority w:val="99"/>
    <w:semiHidden/>
    <w:unhideWhenUsed/>
    <w:rsid w:val="00AC1D59"/>
    <w:pPr>
      <w:spacing w:after="60" w:line="240" w:lineRule="auto"/>
      <w:ind w:left="1276" w:hanging="425"/>
    </w:pPr>
    <w:rPr>
      <w:rFonts w:ascii="Arial" w:hAnsi="Arial"/>
    </w:rPr>
  </w:style>
  <w:style w:type="paragraph" w:styleId="Closing">
    <w:name w:val="Closing"/>
    <w:basedOn w:val="Normal"/>
    <w:link w:val="ClosingChar"/>
    <w:uiPriority w:val="99"/>
    <w:semiHidden/>
    <w:unhideWhenUsed/>
    <w:rsid w:val="00AC1D59"/>
    <w:pPr>
      <w:spacing w:line="240" w:lineRule="auto"/>
      <w:ind w:left="4320"/>
    </w:pPr>
    <w:rPr>
      <w:rFonts w:ascii="Arial" w:hAnsi="Arial"/>
    </w:rPr>
  </w:style>
  <w:style w:type="character" w:customStyle="1" w:styleId="ClosingChar">
    <w:name w:val="Closing Char"/>
    <w:basedOn w:val="DefaultParagraphFont"/>
    <w:link w:val="Closing"/>
    <w:uiPriority w:val="99"/>
    <w:semiHidden/>
    <w:rsid w:val="00AC1D59"/>
    <w:rPr>
      <w:rFonts w:ascii="Arial" w:hAnsi="Arial"/>
      <w:sz w:val="20"/>
    </w:rPr>
  </w:style>
  <w:style w:type="paragraph" w:styleId="BodyText">
    <w:name w:val="Body Text"/>
    <w:basedOn w:val="Normal"/>
    <w:link w:val="BodyTextChar"/>
    <w:uiPriority w:val="99"/>
    <w:semiHidden/>
    <w:unhideWhenUsed/>
    <w:rsid w:val="00AC1D59"/>
    <w:pPr>
      <w:spacing w:before="0" w:line="264" w:lineRule="auto"/>
    </w:pPr>
    <w:rPr>
      <w:rFonts w:ascii="Arial" w:eastAsia="MS Mincho" w:hAnsi="Arial"/>
      <w:sz w:val="22"/>
    </w:rPr>
  </w:style>
  <w:style w:type="character" w:customStyle="1" w:styleId="BodyTextChar">
    <w:name w:val="Body Text Char"/>
    <w:basedOn w:val="DefaultParagraphFont"/>
    <w:link w:val="BodyText"/>
    <w:uiPriority w:val="99"/>
    <w:semiHidden/>
    <w:rsid w:val="00AC1D59"/>
    <w:rPr>
      <w:rFonts w:ascii="Arial" w:eastAsia="MS Mincho" w:hAnsi="Arial"/>
    </w:rPr>
  </w:style>
  <w:style w:type="paragraph" w:styleId="BodyTextIndent">
    <w:name w:val="Body Text Indent"/>
    <w:basedOn w:val="Normal"/>
    <w:link w:val="BodyTextIndentChar"/>
    <w:uiPriority w:val="99"/>
    <w:semiHidden/>
    <w:unhideWhenUsed/>
    <w:rsid w:val="00AC1D59"/>
    <w:pPr>
      <w:spacing w:before="0" w:line="264" w:lineRule="auto"/>
      <w:ind w:left="283"/>
    </w:pPr>
    <w:rPr>
      <w:rFonts w:ascii="Arial" w:eastAsia="Times New Roman" w:hAnsi="Arial" w:cs="Times New Roman"/>
    </w:rPr>
  </w:style>
  <w:style w:type="character" w:customStyle="1" w:styleId="BodyTextIndentChar">
    <w:name w:val="Body Text Indent Char"/>
    <w:basedOn w:val="DefaultParagraphFont"/>
    <w:link w:val="BodyTextIndent"/>
    <w:uiPriority w:val="99"/>
    <w:semiHidden/>
    <w:rsid w:val="00AC1D59"/>
    <w:rPr>
      <w:rFonts w:ascii="Arial" w:eastAsia="Times New Roman" w:hAnsi="Arial" w:cs="Times New Roman"/>
      <w:sz w:val="20"/>
    </w:rPr>
  </w:style>
  <w:style w:type="paragraph" w:styleId="BodyText3">
    <w:name w:val="Body Text 3"/>
    <w:basedOn w:val="Normal"/>
    <w:link w:val="BodyText3Char"/>
    <w:uiPriority w:val="99"/>
    <w:semiHidden/>
    <w:unhideWhenUsed/>
    <w:rsid w:val="00AC1D59"/>
    <w:pPr>
      <w:spacing w:before="0" w:line="264" w:lineRule="auto"/>
    </w:pPr>
    <w:rPr>
      <w:rFonts w:ascii="Arial" w:hAnsi="Arial"/>
      <w:sz w:val="16"/>
      <w:szCs w:val="16"/>
    </w:rPr>
  </w:style>
  <w:style w:type="character" w:customStyle="1" w:styleId="BodyText3Char">
    <w:name w:val="Body Text 3 Char"/>
    <w:basedOn w:val="DefaultParagraphFont"/>
    <w:link w:val="BodyText3"/>
    <w:uiPriority w:val="99"/>
    <w:semiHidden/>
    <w:rsid w:val="00AC1D59"/>
    <w:rPr>
      <w:rFonts w:ascii="Arial" w:hAnsi="Arial"/>
      <w:sz w:val="16"/>
      <w:szCs w:val="16"/>
    </w:rPr>
  </w:style>
  <w:style w:type="paragraph" w:styleId="BlockText">
    <w:name w:val="Block Text"/>
    <w:basedOn w:val="Normal"/>
    <w:uiPriority w:val="99"/>
    <w:semiHidden/>
    <w:unhideWhenUsed/>
    <w:rsid w:val="00AC1D59"/>
    <w:pPr>
      <w:spacing w:before="0" w:line="264" w:lineRule="auto"/>
      <w:ind w:left="1440" w:right="1440"/>
    </w:pPr>
    <w:rPr>
      <w:rFonts w:ascii="Arial" w:hAnsi="Arial"/>
    </w:rPr>
  </w:style>
  <w:style w:type="paragraph" w:customStyle="1" w:styleId="NITPheadingfordefinitions">
    <w:name w:val="NITP heading for definitions"/>
    <w:basedOn w:val="Normal"/>
    <w:next w:val="Normal"/>
    <w:qFormat/>
    <w:rsid w:val="00AC1D59"/>
    <w:pPr>
      <w:spacing w:before="0" w:after="60" w:line="264" w:lineRule="auto"/>
    </w:pPr>
    <w:rPr>
      <w:rFonts w:ascii="Arial Bold" w:eastAsia="MS Mincho" w:hAnsi="Arial Bold" w:cs="Times New Roman"/>
      <w:iCs/>
      <w:noProof/>
      <w:color w:val="A6192E"/>
      <w:szCs w:val="24"/>
    </w:rPr>
  </w:style>
  <w:style w:type="paragraph" w:customStyle="1" w:styleId="SubHeading">
    <w:name w:val="SubHeading"/>
    <w:basedOn w:val="Normal"/>
    <w:next w:val="Normal"/>
    <w:uiPriority w:val="99"/>
    <w:semiHidden/>
    <w:rsid w:val="00AC1D59"/>
    <w:pPr>
      <w:tabs>
        <w:tab w:val="right" w:leader="dot" w:pos="9000"/>
      </w:tabs>
      <w:spacing w:before="240" w:line="264" w:lineRule="auto"/>
    </w:pPr>
    <w:rPr>
      <w:rFonts w:ascii="Arial" w:hAnsi="Arial" w:cs="Arial"/>
      <w:b/>
      <w:sz w:val="22"/>
    </w:rPr>
  </w:style>
  <w:style w:type="paragraph" w:customStyle="1" w:styleId="Subtitlefrontcover">
    <w:name w:val="Subtitle front cover"/>
    <w:basedOn w:val="Normal"/>
    <w:uiPriority w:val="99"/>
    <w:semiHidden/>
    <w:rsid w:val="00AC1D59"/>
    <w:pPr>
      <w:spacing w:before="0" w:line="264" w:lineRule="auto"/>
    </w:pPr>
    <w:rPr>
      <w:rFonts w:ascii="Arial" w:hAnsi="Arial" w:cs="Arial"/>
      <w:color w:val="FFFFFF" w:themeColor="background1"/>
      <w:sz w:val="24"/>
      <w:szCs w:val="24"/>
    </w:rPr>
  </w:style>
  <w:style w:type="paragraph" w:customStyle="1" w:styleId="head2">
    <w:name w:val="head2"/>
    <w:basedOn w:val="Heading2"/>
    <w:uiPriority w:val="99"/>
    <w:semiHidden/>
    <w:rsid w:val="00AC1D59"/>
    <w:pPr>
      <w:keepNext w:val="0"/>
      <w:keepLines w:val="0"/>
      <w:numPr>
        <w:ilvl w:val="0"/>
        <w:numId w:val="0"/>
      </w:numPr>
      <w:spacing w:before="120" w:line="264" w:lineRule="auto"/>
    </w:pPr>
    <w:rPr>
      <w:rFonts w:ascii="Arial" w:eastAsia="Times New Roman" w:hAnsi="Arial" w:cs="Times New Roman"/>
      <w:b/>
      <w:noProof/>
      <w:color w:val="A6192E"/>
      <w:sz w:val="22"/>
      <w:szCs w:val="24"/>
    </w:rPr>
  </w:style>
  <w:style w:type="paragraph" w:customStyle="1" w:styleId="Heading1-NoNumber">
    <w:name w:val="Heading 1 - No Number"/>
    <w:basedOn w:val="Heading1"/>
    <w:next w:val="Normal"/>
    <w:uiPriority w:val="99"/>
    <w:semiHidden/>
    <w:qFormat/>
    <w:rsid w:val="00AC1D59"/>
    <w:pPr>
      <w:numPr>
        <w:numId w:val="0"/>
      </w:numPr>
    </w:pPr>
    <w:rPr>
      <w:rFonts w:ascii="Arial Bold" w:hAnsi="Arial Bold"/>
      <w:b/>
      <w:bCs/>
      <w:color w:val="7C1222"/>
      <w:sz w:val="28"/>
      <w:szCs w:val="28"/>
    </w:rPr>
  </w:style>
  <w:style w:type="paragraph" w:customStyle="1" w:styleId="EditionsHeading">
    <w:name w:val="EditionsHeading"/>
    <w:basedOn w:val="Normal"/>
    <w:uiPriority w:val="99"/>
    <w:semiHidden/>
    <w:rsid w:val="00AC1D59"/>
    <w:pPr>
      <w:spacing w:after="60" w:line="240" w:lineRule="auto"/>
    </w:pPr>
    <w:rPr>
      <w:rFonts w:ascii="Arial" w:hAnsi="Arial"/>
      <w:b/>
    </w:rPr>
  </w:style>
  <w:style w:type="paragraph" w:customStyle="1" w:styleId="RevisionsTabbed">
    <w:name w:val="RevisionsTabbed"/>
    <w:basedOn w:val="Normal"/>
    <w:uiPriority w:val="99"/>
    <w:semiHidden/>
    <w:rsid w:val="00AC1D59"/>
    <w:pPr>
      <w:tabs>
        <w:tab w:val="left" w:pos="2977"/>
        <w:tab w:val="left" w:pos="3544"/>
      </w:tabs>
      <w:spacing w:line="240" w:lineRule="auto"/>
      <w:ind w:left="3544" w:hanging="3544"/>
    </w:pPr>
    <w:rPr>
      <w:rFonts w:ascii="Arial" w:hAnsi="Arial"/>
    </w:rPr>
  </w:style>
  <w:style w:type="paragraph" w:customStyle="1" w:styleId="Note2">
    <w:name w:val="Note2"/>
    <w:basedOn w:val="Note"/>
    <w:next w:val="Normal"/>
    <w:uiPriority w:val="99"/>
    <w:semiHidden/>
    <w:qFormat/>
    <w:rsid w:val="00BA1488"/>
    <w:pPr>
      <w:tabs>
        <w:tab w:val="left" w:pos="680"/>
      </w:tabs>
      <w:spacing w:line="240" w:lineRule="auto"/>
      <w:ind w:left="1105" w:hanging="680"/>
    </w:pPr>
    <w:rPr>
      <w:szCs w:val="20"/>
    </w:rPr>
  </w:style>
  <w:style w:type="paragraph" w:customStyle="1" w:styleId="Note3">
    <w:name w:val="Note3"/>
    <w:basedOn w:val="Normal"/>
    <w:next w:val="Normal"/>
    <w:uiPriority w:val="99"/>
    <w:semiHidden/>
    <w:qFormat/>
    <w:rsid w:val="00BA1488"/>
    <w:pPr>
      <w:tabs>
        <w:tab w:val="left" w:pos="1531"/>
      </w:tabs>
      <w:spacing w:line="240" w:lineRule="auto"/>
      <w:ind w:left="1531" w:hanging="680"/>
    </w:pPr>
    <w:rPr>
      <w:szCs w:val="20"/>
    </w:rPr>
  </w:style>
  <w:style w:type="character" w:styleId="FootnoteReference">
    <w:name w:val="footnote reference"/>
    <w:basedOn w:val="DefaultParagraphFont"/>
    <w:uiPriority w:val="99"/>
    <w:semiHidden/>
    <w:unhideWhenUsed/>
    <w:rsid w:val="00AC1D59"/>
    <w:rPr>
      <w:rFonts w:ascii="Times New Roman" w:hAnsi="Times New Roman" w:cs="Times New Roman" w:hint="default"/>
      <w:vertAlign w:val="superscript"/>
    </w:rPr>
  </w:style>
  <w:style w:type="character" w:styleId="EndnoteReference">
    <w:name w:val="endnote reference"/>
    <w:basedOn w:val="DefaultParagraphFont"/>
    <w:uiPriority w:val="99"/>
    <w:semiHidden/>
    <w:unhideWhenUsed/>
    <w:rsid w:val="00AC1D59"/>
    <w:rPr>
      <w:vertAlign w:val="superscript"/>
    </w:rPr>
  </w:style>
  <w:style w:type="character" w:customStyle="1" w:styleId="EquationCharacter">
    <w:name w:val="Equation Character"/>
    <w:basedOn w:val="DefaultParagraphFont"/>
    <w:uiPriority w:val="1"/>
    <w:qFormat/>
    <w:rsid w:val="00AC1D59"/>
    <w:rPr>
      <w:rFonts w:ascii="Times New Roman" w:hAnsi="Times New Roman" w:cs="Times New Roman" w:hint="default"/>
      <w:i/>
      <w:iCs w:val="0"/>
    </w:rPr>
  </w:style>
  <w:style w:type="character" w:customStyle="1" w:styleId="Equation">
    <w:name w:val="Equation"/>
    <w:basedOn w:val="DefaultParagraphFont"/>
    <w:uiPriority w:val="1"/>
    <w:qFormat/>
    <w:rsid w:val="00AC1D59"/>
    <w:rPr>
      <w:rFonts w:ascii="Cambria Math" w:hAnsi="Cambria Math" w:hint="default"/>
      <w:i/>
      <w:iCs w:val="0"/>
      <w:sz w:val="20"/>
    </w:rPr>
  </w:style>
  <w:style w:type="table" w:customStyle="1" w:styleId="MPEs">
    <w:name w:val="MPEs"/>
    <w:basedOn w:val="TableNormal"/>
    <w:uiPriority w:val="99"/>
    <w:rsid w:val="00AC1D59"/>
    <w:pPr>
      <w:spacing w:before="40" w:after="40" w:line="240" w:lineRule="auto"/>
      <w:jc w:val="center"/>
    </w:pPr>
    <w:rPr>
      <w:rFonts w:ascii="Times New Roman" w:hAnsi="Times New Roman"/>
      <w:kern w:val="2"/>
      <w14:ligatures w14:val="standardContextual"/>
    </w:rPr>
    <w:tblPr>
      <w:tblStyleRowBandSize w:val="1"/>
      <w:tblInd w:w="0" w:type="nil"/>
      <w:tblBorders>
        <w:bottom w:val="single" w:sz="12" w:space="0" w:color="auto"/>
        <w:insideH w:val="single" w:sz="2" w:space="0" w:color="auto"/>
        <w:insideV w:val="dotted" w:sz="2" w:space="0" w:color="auto"/>
      </w:tblBorders>
    </w:tblPr>
    <w:tcPr>
      <w:vAlign w:val="center"/>
    </w:tcPr>
    <w:tblStylePr w:type="firstRow">
      <w:pPr>
        <w:jc w:val="center"/>
      </w:pPr>
      <w:rPr>
        <w:rFonts w:ascii="Times New Roman" w:hAnsi="Times New Roman" w:cs="Times New Roman" w:hint="default"/>
        <w:b/>
        <w:sz w:val="22"/>
        <w:szCs w:val="22"/>
      </w:rPr>
      <w:tblPr/>
      <w:tcPr>
        <w:tcBorders>
          <w:top w:val="single" w:sz="12" w:space="0" w:color="auto"/>
          <w:left w:val="nil"/>
          <w:bottom w:val="single" w:sz="12" w:space="0" w:color="auto"/>
          <w:right w:val="nil"/>
        </w:tcBorders>
      </w:tcPr>
    </w:tblStylePr>
    <w:tblStylePr w:type="band1Horz">
      <w:tblPr/>
      <w:tcPr>
        <w:shd w:val="clear" w:color="auto" w:fill="F0F0F0"/>
      </w:tcPr>
    </w:tblStylePr>
  </w:style>
  <w:style w:type="table" w:customStyle="1" w:styleId="Style4">
    <w:name w:val="Style4"/>
    <w:basedOn w:val="TableNormal"/>
    <w:uiPriority w:val="99"/>
    <w:rsid w:val="00AC1D59"/>
    <w:pPr>
      <w:spacing w:after="0" w:line="240" w:lineRule="auto"/>
    </w:pPr>
    <w:tblPr>
      <w:tblStyleRowBandSize w:val="1"/>
      <w:tblInd w:w="0" w:type="nil"/>
    </w:tblPr>
    <w:tblStylePr w:type="band1Horz">
      <w:tblPr/>
      <w:tcPr>
        <w:shd w:val="clear" w:color="auto" w:fill="F2F2F2" w:themeFill="background1" w:themeFillShade="F2"/>
      </w:tcPr>
    </w:tblStylePr>
  </w:style>
  <w:style w:type="numbering" w:customStyle="1" w:styleId="Style2">
    <w:name w:val="Style2"/>
    <w:uiPriority w:val="99"/>
    <w:rsid w:val="00AC1D59"/>
    <w:pPr>
      <w:numPr>
        <w:numId w:val="10"/>
      </w:numPr>
    </w:pPr>
  </w:style>
  <w:style w:type="numbering" w:customStyle="1" w:styleId="StyleBulletedSymbolsymbolLeft0cmHanging063cm">
    <w:name w:val="Style Bulleted Symbol (symbol) Left:  0 cm Hanging:  0.63 cm"/>
    <w:rsid w:val="00AC1D59"/>
    <w:pPr>
      <w:numPr>
        <w:numId w:val="11"/>
      </w:numPr>
    </w:pPr>
  </w:style>
  <w:style w:type="numbering" w:customStyle="1" w:styleId="Style3">
    <w:name w:val="Style3"/>
    <w:uiPriority w:val="99"/>
    <w:rsid w:val="00AC1D59"/>
    <w:pPr>
      <w:numPr>
        <w:numId w:val="12"/>
      </w:numPr>
    </w:pPr>
  </w:style>
  <w:style w:type="numbering" w:customStyle="1" w:styleId="Style1">
    <w:name w:val="Style1"/>
    <w:uiPriority w:val="99"/>
    <w:rsid w:val="00AC1D59"/>
    <w:pPr>
      <w:numPr>
        <w:numId w:val="13"/>
      </w:numPr>
    </w:pPr>
  </w:style>
  <w:style w:type="paragraph" w:styleId="TOC6">
    <w:name w:val="toc 6"/>
    <w:basedOn w:val="Normal"/>
    <w:next w:val="Normal"/>
    <w:autoRedefine/>
    <w:uiPriority w:val="39"/>
    <w:unhideWhenUsed/>
    <w:rsid w:val="00A8199D"/>
    <w:pPr>
      <w:spacing w:before="0" w:after="100" w:line="278" w:lineRule="auto"/>
      <w:ind w:left="1200"/>
    </w:pPr>
    <w:rPr>
      <w:rFonts w:eastAsiaTheme="minorEastAsia"/>
      <w:kern w:val="2"/>
      <w:sz w:val="24"/>
      <w:szCs w:val="24"/>
      <w:lang w:eastAsia="en-AU"/>
      <w14:ligatures w14:val="standardContextual"/>
    </w:rPr>
  </w:style>
  <w:style w:type="paragraph" w:styleId="TOC7">
    <w:name w:val="toc 7"/>
    <w:basedOn w:val="Normal"/>
    <w:next w:val="Normal"/>
    <w:autoRedefine/>
    <w:uiPriority w:val="39"/>
    <w:unhideWhenUsed/>
    <w:rsid w:val="00A8199D"/>
    <w:pPr>
      <w:spacing w:before="0" w:after="100" w:line="278" w:lineRule="auto"/>
      <w:ind w:left="1440"/>
    </w:pPr>
    <w:rPr>
      <w:rFonts w:eastAsiaTheme="minorEastAsia"/>
      <w:kern w:val="2"/>
      <w:sz w:val="24"/>
      <w:szCs w:val="24"/>
      <w:lang w:eastAsia="en-AU"/>
      <w14:ligatures w14:val="standardContextual"/>
    </w:rPr>
  </w:style>
  <w:style w:type="paragraph" w:styleId="TOC8">
    <w:name w:val="toc 8"/>
    <w:basedOn w:val="Normal"/>
    <w:next w:val="Normal"/>
    <w:autoRedefine/>
    <w:uiPriority w:val="39"/>
    <w:unhideWhenUsed/>
    <w:rsid w:val="00A8199D"/>
    <w:pPr>
      <w:spacing w:before="0" w:after="100" w:line="278" w:lineRule="auto"/>
      <w:ind w:left="1680"/>
    </w:pPr>
    <w:rPr>
      <w:rFonts w:eastAsiaTheme="minorEastAsia"/>
      <w:kern w:val="2"/>
      <w:sz w:val="24"/>
      <w:szCs w:val="24"/>
      <w:lang w:eastAsia="en-AU"/>
      <w14:ligatures w14:val="standardContextual"/>
    </w:rPr>
  </w:style>
  <w:style w:type="paragraph" w:styleId="TOC9">
    <w:name w:val="toc 9"/>
    <w:basedOn w:val="Normal"/>
    <w:next w:val="Normal"/>
    <w:autoRedefine/>
    <w:uiPriority w:val="39"/>
    <w:unhideWhenUsed/>
    <w:rsid w:val="00A8199D"/>
    <w:pPr>
      <w:spacing w:before="0" w:after="100" w:line="278" w:lineRule="auto"/>
      <w:ind w:left="1920"/>
    </w:pPr>
    <w:rPr>
      <w:rFonts w:eastAsiaTheme="minorEastAsia"/>
      <w:kern w:val="2"/>
      <w:sz w:val="24"/>
      <w:szCs w:val="24"/>
      <w:lang w:eastAsia="en-AU"/>
      <w14:ligatures w14:val="standardContextual"/>
    </w:rPr>
  </w:style>
  <w:style w:type="paragraph" w:customStyle="1" w:styleId="Heading3-Nonumber">
    <w:name w:val="Heading 3 - No number"/>
    <w:basedOn w:val="Heading3"/>
    <w:link w:val="Heading3-NonumberChar"/>
    <w:qFormat/>
    <w:rsid w:val="00FD79FF"/>
    <w:pPr>
      <w:numPr>
        <w:ilvl w:val="0"/>
        <w:numId w:val="0"/>
      </w:numPr>
    </w:pPr>
  </w:style>
  <w:style w:type="character" w:customStyle="1" w:styleId="Heading3-NonumberChar">
    <w:name w:val="Heading 3 - No number Char"/>
    <w:basedOn w:val="Heading3Char"/>
    <w:link w:val="Heading3-Nonumber"/>
    <w:rsid w:val="00FD79FF"/>
    <w:rPr>
      <w:rFonts w:asciiTheme="majorHAnsi" w:eastAsiaTheme="majorEastAsia" w:hAnsiTheme="majorHAnsi" w:cstheme="majorBidi"/>
      <w:color w:val="993533" w:themeColor="accent2"/>
      <w:sz w:val="32"/>
      <w:szCs w:val="32"/>
      <w:lang w:val="en-US"/>
    </w:rPr>
  </w:style>
  <w:style w:type="paragraph" w:customStyle="1" w:styleId="Heading1-Title">
    <w:name w:val="Heading 1 - Title"/>
    <w:basedOn w:val="Heading1"/>
    <w:link w:val="Heading1-TitleChar"/>
    <w:qFormat/>
    <w:rsid w:val="009239EA"/>
    <w:pPr>
      <w:numPr>
        <w:numId w:val="0"/>
      </w:numPr>
    </w:pPr>
    <w:rPr>
      <w:color w:val="4F0810"/>
      <w:sz w:val="72"/>
      <w:szCs w:val="72"/>
    </w:rPr>
  </w:style>
  <w:style w:type="character" w:customStyle="1" w:styleId="Heading1-TitleChar">
    <w:name w:val="Heading 1 - Title Char"/>
    <w:basedOn w:val="Heading1Char"/>
    <w:link w:val="Heading1-Title"/>
    <w:rsid w:val="009239EA"/>
    <w:rPr>
      <w:rFonts w:asciiTheme="majorHAnsi" w:eastAsiaTheme="majorEastAsia" w:hAnsiTheme="majorHAnsi" w:cstheme="majorBidi"/>
      <w:color w:val="4F0810"/>
      <w:sz w:val="72"/>
      <w:szCs w:val="72"/>
      <w:lang w:val="en-US"/>
    </w:rPr>
  </w:style>
  <w:style w:type="paragraph" w:customStyle="1" w:styleId="Heading2-Nonumber">
    <w:name w:val="Heading 2 - No number"/>
    <w:basedOn w:val="Heading2"/>
    <w:link w:val="Heading2-NonumberChar"/>
    <w:qFormat/>
    <w:rsid w:val="009239EA"/>
    <w:pPr>
      <w:numPr>
        <w:ilvl w:val="0"/>
        <w:numId w:val="0"/>
      </w:numPr>
    </w:pPr>
  </w:style>
  <w:style w:type="character" w:customStyle="1" w:styleId="Heading2-NonumberChar">
    <w:name w:val="Heading 2 - No number Char"/>
    <w:basedOn w:val="Heading2Char"/>
    <w:link w:val="Heading2-Nonumber"/>
    <w:rsid w:val="009239EA"/>
    <w:rPr>
      <w:rFonts w:asciiTheme="majorHAnsi" w:eastAsiaTheme="majorEastAsia" w:hAnsiTheme="majorHAnsi" w:cstheme="majorBidi"/>
      <w:color w:val="993533" w:themeColor="accent2"/>
      <w:sz w:val="40"/>
      <w:szCs w:val="40"/>
      <w:lang w:val="en-US"/>
    </w:rPr>
  </w:style>
  <w:style w:type="paragraph" w:customStyle="1" w:styleId="Heading2-Appendix">
    <w:name w:val="Heading 2 - Appendix"/>
    <w:basedOn w:val="Heading2"/>
    <w:link w:val="Heading2-AppendixChar"/>
    <w:qFormat/>
    <w:rsid w:val="004B6396"/>
    <w:pPr>
      <w:numPr>
        <w:numId w:val="18"/>
      </w:numPr>
    </w:pPr>
  </w:style>
  <w:style w:type="character" w:customStyle="1" w:styleId="Heading2-AppendixChar">
    <w:name w:val="Heading 2 - Appendix Char"/>
    <w:basedOn w:val="Heading2Char"/>
    <w:link w:val="Heading2-Appendix"/>
    <w:rsid w:val="004B6396"/>
    <w:rPr>
      <w:rFonts w:asciiTheme="majorHAnsi" w:eastAsiaTheme="majorEastAsia" w:hAnsiTheme="majorHAnsi" w:cstheme="majorBidi"/>
      <w:color w:val="993533" w:themeColor="accent2"/>
      <w:sz w:val="40"/>
      <w:szCs w:val="40"/>
      <w:lang w:val="en-US"/>
    </w:rPr>
  </w:style>
  <w:style w:type="paragraph" w:customStyle="1" w:styleId="Heading3-Appendix">
    <w:name w:val="Heading 3 - Appendix"/>
    <w:basedOn w:val="Normal"/>
    <w:link w:val="Heading3-AppendixChar"/>
    <w:qFormat/>
    <w:rsid w:val="00566B35"/>
    <w:pPr>
      <w:keepNext/>
      <w:keepLines/>
      <w:numPr>
        <w:ilvl w:val="2"/>
        <w:numId w:val="18"/>
      </w:numPr>
      <w:spacing w:before="200" w:line="276" w:lineRule="auto"/>
      <w:outlineLvl w:val="2"/>
    </w:pPr>
    <w:rPr>
      <w:rFonts w:ascii="Arial" w:eastAsia="Times New Roman" w:hAnsi="Arial" w:cs="Times New Roman"/>
      <w:b/>
      <w:color w:val="A6192E"/>
      <w:sz w:val="32"/>
      <w:szCs w:val="32"/>
    </w:rPr>
  </w:style>
  <w:style w:type="character" w:customStyle="1" w:styleId="Heading3-AppendixChar">
    <w:name w:val="Heading 3 - Appendix Char"/>
    <w:basedOn w:val="DefaultParagraphFont"/>
    <w:link w:val="Heading3-Appendix"/>
    <w:rsid w:val="00566B35"/>
    <w:rPr>
      <w:rFonts w:ascii="Arial" w:eastAsia="Times New Roman" w:hAnsi="Arial" w:cs="Times New Roman"/>
      <w:b/>
      <w:color w:val="A6192E"/>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2781">
      <w:bodyDiv w:val="1"/>
      <w:marLeft w:val="0"/>
      <w:marRight w:val="0"/>
      <w:marTop w:val="0"/>
      <w:marBottom w:val="0"/>
      <w:divBdr>
        <w:top w:val="none" w:sz="0" w:space="0" w:color="auto"/>
        <w:left w:val="none" w:sz="0" w:space="0" w:color="auto"/>
        <w:bottom w:val="none" w:sz="0" w:space="0" w:color="auto"/>
        <w:right w:val="none" w:sz="0" w:space="0" w:color="auto"/>
      </w:divBdr>
    </w:div>
    <w:div w:id="14157420">
      <w:bodyDiv w:val="1"/>
      <w:marLeft w:val="0"/>
      <w:marRight w:val="0"/>
      <w:marTop w:val="0"/>
      <w:marBottom w:val="0"/>
      <w:divBdr>
        <w:top w:val="none" w:sz="0" w:space="0" w:color="auto"/>
        <w:left w:val="none" w:sz="0" w:space="0" w:color="auto"/>
        <w:bottom w:val="none" w:sz="0" w:space="0" w:color="auto"/>
        <w:right w:val="none" w:sz="0" w:space="0" w:color="auto"/>
      </w:divBdr>
    </w:div>
    <w:div w:id="226310559">
      <w:bodyDiv w:val="1"/>
      <w:marLeft w:val="0"/>
      <w:marRight w:val="0"/>
      <w:marTop w:val="0"/>
      <w:marBottom w:val="0"/>
      <w:divBdr>
        <w:top w:val="none" w:sz="0" w:space="0" w:color="auto"/>
        <w:left w:val="none" w:sz="0" w:space="0" w:color="auto"/>
        <w:bottom w:val="none" w:sz="0" w:space="0" w:color="auto"/>
        <w:right w:val="none" w:sz="0" w:space="0" w:color="auto"/>
      </w:divBdr>
    </w:div>
    <w:div w:id="354431514">
      <w:bodyDiv w:val="1"/>
      <w:marLeft w:val="0"/>
      <w:marRight w:val="0"/>
      <w:marTop w:val="0"/>
      <w:marBottom w:val="0"/>
      <w:divBdr>
        <w:top w:val="none" w:sz="0" w:space="0" w:color="auto"/>
        <w:left w:val="none" w:sz="0" w:space="0" w:color="auto"/>
        <w:bottom w:val="none" w:sz="0" w:space="0" w:color="auto"/>
        <w:right w:val="none" w:sz="0" w:space="0" w:color="auto"/>
      </w:divBdr>
    </w:div>
    <w:div w:id="429009989">
      <w:bodyDiv w:val="1"/>
      <w:marLeft w:val="0"/>
      <w:marRight w:val="0"/>
      <w:marTop w:val="0"/>
      <w:marBottom w:val="0"/>
      <w:divBdr>
        <w:top w:val="none" w:sz="0" w:space="0" w:color="auto"/>
        <w:left w:val="none" w:sz="0" w:space="0" w:color="auto"/>
        <w:bottom w:val="none" w:sz="0" w:space="0" w:color="auto"/>
        <w:right w:val="none" w:sz="0" w:space="0" w:color="auto"/>
      </w:divBdr>
    </w:div>
    <w:div w:id="517891877">
      <w:bodyDiv w:val="1"/>
      <w:marLeft w:val="0"/>
      <w:marRight w:val="0"/>
      <w:marTop w:val="0"/>
      <w:marBottom w:val="0"/>
      <w:divBdr>
        <w:top w:val="none" w:sz="0" w:space="0" w:color="auto"/>
        <w:left w:val="none" w:sz="0" w:space="0" w:color="auto"/>
        <w:bottom w:val="none" w:sz="0" w:space="0" w:color="auto"/>
        <w:right w:val="none" w:sz="0" w:space="0" w:color="auto"/>
      </w:divBdr>
    </w:div>
    <w:div w:id="621613626">
      <w:bodyDiv w:val="1"/>
      <w:marLeft w:val="0"/>
      <w:marRight w:val="0"/>
      <w:marTop w:val="0"/>
      <w:marBottom w:val="0"/>
      <w:divBdr>
        <w:top w:val="none" w:sz="0" w:space="0" w:color="auto"/>
        <w:left w:val="none" w:sz="0" w:space="0" w:color="auto"/>
        <w:bottom w:val="none" w:sz="0" w:space="0" w:color="auto"/>
        <w:right w:val="none" w:sz="0" w:space="0" w:color="auto"/>
      </w:divBdr>
    </w:div>
    <w:div w:id="740635926">
      <w:bodyDiv w:val="1"/>
      <w:marLeft w:val="0"/>
      <w:marRight w:val="0"/>
      <w:marTop w:val="0"/>
      <w:marBottom w:val="0"/>
      <w:divBdr>
        <w:top w:val="none" w:sz="0" w:space="0" w:color="auto"/>
        <w:left w:val="none" w:sz="0" w:space="0" w:color="auto"/>
        <w:bottom w:val="none" w:sz="0" w:space="0" w:color="auto"/>
        <w:right w:val="none" w:sz="0" w:space="0" w:color="auto"/>
      </w:divBdr>
    </w:div>
    <w:div w:id="805899069">
      <w:bodyDiv w:val="1"/>
      <w:marLeft w:val="0"/>
      <w:marRight w:val="0"/>
      <w:marTop w:val="0"/>
      <w:marBottom w:val="0"/>
      <w:divBdr>
        <w:top w:val="none" w:sz="0" w:space="0" w:color="auto"/>
        <w:left w:val="none" w:sz="0" w:space="0" w:color="auto"/>
        <w:bottom w:val="none" w:sz="0" w:space="0" w:color="auto"/>
        <w:right w:val="none" w:sz="0" w:space="0" w:color="auto"/>
      </w:divBdr>
    </w:div>
    <w:div w:id="818889168">
      <w:bodyDiv w:val="1"/>
      <w:marLeft w:val="0"/>
      <w:marRight w:val="0"/>
      <w:marTop w:val="0"/>
      <w:marBottom w:val="0"/>
      <w:divBdr>
        <w:top w:val="none" w:sz="0" w:space="0" w:color="auto"/>
        <w:left w:val="none" w:sz="0" w:space="0" w:color="auto"/>
        <w:bottom w:val="none" w:sz="0" w:space="0" w:color="auto"/>
        <w:right w:val="none" w:sz="0" w:space="0" w:color="auto"/>
      </w:divBdr>
      <w:divsChild>
        <w:div w:id="1014235431">
          <w:marLeft w:val="0"/>
          <w:marRight w:val="0"/>
          <w:marTop w:val="0"/>
          <w:marBottom w:val="336"/>
          <w:divBdr>
            <w:top w:val="none" w:sz="0" w:space="0" w:color="auto"/>
            <w:left w:val="none" w:sz="0" w:space="0" w:color="auto"/>
            <w:bottom w:val="none" w:sz="0" w:space="0" w:color="auto"/>
            <w:right w:val="none" w:sz="0" w:space="0" w:color="auto"/>
          </w:divBdr>
        </w:div>
      </w:divsChild>
    </w:div>
    <w:div w:id="960920062">
      <w:bodyDiv w:val="1"/>
      <w:marLeft w:val="0"/>
      <w:marRight w:val="0"/>
      <w:marTop w:val="0"/>
      <w:marBottom w:val="0"/>
      <w:divBdr>
        <w:top w:val="none" w:sz="0" w:space="0" w:color="auto"/>
        <w:left w:val="none" w:sz="0" w:space="0" w:color="auto"/>
        <w:bottom w:val="none" w:sz="0" w:space="0" w:color="auto"/>
        <w:right w:val="none" w:sz="0" w:space="0" w:color="auto"/>
      </w:divBdr>
    </w:div>
    <w:div w:id="1047418297">
      <w:bodyDiv w:val="1"/>
      <w:marLeft w:val="0"/>
      <w:marRight w:val="0"/>
      <w:marTop w:val="0"/>
      <w:marBottom w:val="0"/>
      <w:divBdr>
        <w:top w:val="none" w:sz="0" w:space="0" w:color="auto"/>
        <w:left w:val="none" w:sz="0" w:space="0" w:color="auto"/>
        <w:bottom w:val="none" w:sz="0" w:space="0" w:color="auto"/>
        <w:right w:val="none" w:sz="0" w:space="0" w:color="auto"/>
      </w:divBdr>
    </w:div>
    <w:div w:id="1053695551">
      <w:bodyDiv w:val="1"/>
      <w:marLeft w:val="0"/>
      <w:marRight w:val="0"/>
      <w:marTop w:val="0"/>
      <w:marBottom w:val="0"/>
      <w:divBdr>
        <w:top w:val="none" w:sz="0" w:space="0" w:color="auto"/>
        <w:left w:val="none" w:sz="0" w:space="0" w:color="auto"/>
        <w:bottom w:val="none" w:sz="0" w:space="0" w:color="auto"/>
        <w:right w:val="none" w:sz="0" w:space="0" w:color="auto"/>
      </w:divBdr>
    </w:div>
    <w:div w:id="1091312486">
      <w:bodyDiv w:val="1"/>
      <w:marLeft w:val="0"/>
      <w:marRight w:val="0"/>
      <w:marTop w:val="0"/>
      <w:marBottom w:val="0"/>
      <w:divBdr>
        <w:top w:val="none" w:sz="0" w:space="0" w:color="auto"/>
        <w:left w:val="none" w:sz="0" w:space="0" w:color="auto"/>
        <w:bottom w:val="none" w:sz="0" w:space="0" w:color="auto"/>
        <w:right w:val="none" w:sz="0" w:space="0" w:color="auto"/>
      </w:divBdr>
    </w:div>
    <w:div w:id="1129977586">
      <w:bodyDiv w:val="1"/>
      <w:marLeft w:val="0"/>
      <w:marRight w:val="0"/>
      <w:marTop w:val="0"/>
      <w:marBottom w:val="0"/>
      <w:divBdr>
        <w:top w:val="none" w:sz="0" w:space="0" w:color="auto"/>
        <w:left w:val="none" w:sz="0" w:space="0" w:color="auto"/>
        <w:bottom w:val="none" w:sz="0" w:space="0" w:color="auto"/>
        <w:right w:val="none" w:sz="0" w:space="0" w:color="auto"/>
      </w:divBdr>
    </w:div>
    <w:div w:id="1267737290">
      <w:bodyDiv w:val="1"/>
      <w:marLeft w:val="0"/>
      <w:marRight w:val="0"/>
      <w:marTop w:val="0"/>
      <w:marBottom w:val="0"/>
      <w:divBdr>
        <w:top w:val="none" w:sz="0" w:space="0" w:color="auto"/>
        <w:left w:val="none" w:sz="0" w:space="0" w:color="auto"/>
        <w:bottom w:val="none" w:sz="0" w:space="0" w:color="auto"/>
        <w:right w:val="none" w:sz="0" w:space="0" w:color="auto"/>
      </w:divBdr>
    </w:div>
    <w:div w:id="1304043410">
      <w:bodyDiv w:val="1"/>
      <w:marLeft w:val="0"/>
      <w:marRight w:val="0"/>
      <w:marTop w:val="0"/>
      <w:marBottom w:val="0"/>
      <w:divBdr>
        <w:top w:val="none" w:sz="0" w:space="0" w:color="auto"/>
        <w:left w:val="none" w:sz="0" w:space="0" w:color="auto"/>
        <w:bottom w:val="none" w:sz="0" w:space="0" w:color="auto"/>
        <w:right w:val="none" w:sz="0" w:space="0" w:color="auto"/>
      </w:divBdr>
    </w:div>
    <w:div w:id="1786582538">
      <w:bodyDiv w:val="1"/>
      <w:marLeft w:val="0"/>
      <w:marRight w:val="0"/>
      <w:marTop w:val="0"/>
      <w:marBottom w:val="0"/>
      <w:divBdr>
        <w:top w:val="none" w:sz="0" w:space="0" w:color="auto"/>
        <w:left w:val="none" w:sz="0" w:space="0" w:color="auto"/>
        <w:bottom w:val="none" w:sz="0" w:space="0" w:color="auto"/>
        <w:right w:val="none" w:sz="0" w:space="0" w:color="auto"/>
      </w:divBdr>
    </w:div>
    <w:div w:id="1795521770">
      <w:bodyDiv w:val="1"/>
      <w:marLeft w:val="0"/>
      <w:marRight w:val="0"/>
      <w:marTop w:val="0"/>
      <w:marBottom w:val="0"/>
      <w:divBdr>
        <w:top w:val="none" w:sz="0" w:space="0" w:color="auto"/>
        <w:left w:val="none" w:sz="0" w:space="0" w:color="auto"/>
        <w:bottom w:val="none" w:sz="0" w:space="0" w:color="auto"/>
        <w:right w:val="none" w:sz="0" w:space="0" w:color="auto"/>
      </w:divBdr>
    </w:div>
    <w:div w:id="1806123473">
      <w:bodyDiv w:val="1"/>
      <w:marLeft w:val="0"/>
      <w:marRight w:val="0"/>
      <w:marTop w:val="0"/>
      <w:marBottom w:val="0"/>
      <w:divBdr>
        <w:top w:val="none" w:sz="0" w:space="0" w:color="auto"/>
        <w:left w:val="none" w:sz="0" w:space="0" w:color="auto"/>
        <w:bottom w:val="none" w:sz="0" w:space="0" w:color="auto"/>
        <w:right w:val="none" w:sz="0" w:space="0" w:color="auto"/>
      </w:divBdr>
    </w:div>
    <w:div w:id="1847742109">
      <w:bodyDiv w:val="1"/>
      <w:marLeft w:val="0"/>
      <w:marRight w:val="0"/>
      <w:marTop w:val="0"/>
      <w:marBottom w:val="0"/>
      <w:divBdr>
        <w:top w:val="none" w:sz="0" w:space="0" w:color="auto"/>
        <w:left w:val="none" w:sz="0" w:space="0" w:color="auto"/>
        <w:bottom w:val="none" w:sz="0" w:space="0" w:color="auto"/>
        <w:right w:val="none" w:sz="0" w:space="0" w:color="auto"/>
      </w:divBdr>
    </w:div>
    <w:div w:id="1890452734">
      <w:bodyDiv w:val="1"/>
      <w:marLeft w:val="0"/>
      <w:marRight w:val="0"/>
      <w:marTop w:val="0"/>
      <w:marBottom w:val="0"/>
      <w:divBdr>
        <w:top w:val="none" w:sz="0" w:space="0" w:color="auto"/>
        <w:left w:val="none" w:sz="0" w:space="0" w:color="auto"/>
        <w:bottom w:val="none" w:sz="0" w:space="0" w:color="auto"/>
        <w:right w:val="none" w:sz="0" w:space="0" w:color="auto"/>
      </w:divBdr>
    </w:div>
    <w:div w:id="2066679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hyperlink" Target="https://www.industry.gov.au/national-measurement-institute/pattern-approval/pattern-approval-requirements" TargetMode="Externa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hyperlink" Target="https://www.industry.gov.au/national-measurement-institute/pattern-approval" TargetMode="External"/><Relationship Id="rId7" Type="http://schemas.openxmlformats.org/officeDocument/2006/relationships/endnotes" Target="endnotes.xml"/><Relationship Id="rId12" Type="http://schemas.openxmlformats.org/officeDocument/2006/relationships/hyperlink" Target="https://creativecommons.org/licenses/by-nd/4.0/legalcode.en" TargetMode="External"/><Relationship Id="rId17" Type="http://schemas.openxmlformats.org/officeDocument/2006/relationships/footer" Target="footer3.xml"/><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yperlink" Target="https://www.industry.gov.au/national-measurement-institute/pattern-approva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reativecommons.org/licenses/by-nd/4.0/" TargetMode="Externa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hyperlink" Target="https://creativecommons.org/licenses/by-nd/4.0/" TargetMode="External"/><Relationship Id="rId19" Type="http://schemas.openxmlformats.org/officeDocument/2006/relationships/hyperlink" Target="https://www.industry.gov.au/national-measurement-institute/pattern-approval/certificates-approva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header" Target="header3.xml"/><Relationship Id="rId27"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NMI">
      <a:dk1>
        <a:srgbClr val="000000"/>
      </a:dk1>
      <a:lt1>
        <a:sysClr val="window" lastClr="FFFFFF"/>
      </a:lt1>
      <a:dk2>
        <a:srgbClr val="7B0B15"/>
      </a:dk2>
      <a:lt2>
        <a:srgbClr val="E7E6E6"/>
      </a:lt2>
      <a:accent1>
        <a:srgbClr val="4F0810"/>
      </a:accent1>
      <a:accent2>
        <a:srgbClr val="993533"/>
      </a:accent2>
      <a:accent3>
        <a:srgbClr val="3D0417"/>
      </a:accent3>
      <a:accent4>
        <a:srgbClr val="B7B09C"/>
      </a:accent4>
      <a:accent5>
        <a:srgbClr val="6D6E70"/>
      </a:accent5>
      <a:accent6>
        <a:srgbClr val="001B35"/>
      </a:accent6>
      <a:hlink>
        <a:srgbClr val="15659B"/>
      </a:hlink>
      <a:folHlink>
        <a:srgbClr val="954F72"/>
      </a:folHlink>
    </a:clrScheme>
    <a:fontScheme name="DISR Aptos 2023 v2">
      <a:majorFont>
        <a:latin typeface="Aptos SemiBold"/>
        <a:ea typeface=""/>
        <a:cs typeface=""/>
      </a:majorFont>
      <a:minorFont>
        <a:latin typeface="Apto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18A426-2293-4A07-8069-76989BF31193}">
  <ds:schemaRefs>
    <ds:schemaRef ds:uri="http://schemas.openxmlformats.org/officeDocument/2006/bibliography"/>
  </ds:schemaRefs>
</ds:datastoreItem>
</file>

<file path=docMetadata/LabelInfo.xml><?xml version="1.0" encoding="utf-8"?>
<clbl:labelList xmlns:clbl="http://schemas.microsoft.com/office/2020/mipLabelMetadata">
  <clbl:label id="{f788632b-1377-4314-aac5-af7281e8e760}" enabled="1" method="Privileged" siteId="{8f73f427-32e5-4a3b-8d42-b369b956a96b}"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16</Pages>
  <Words>5081</Words>
  <Characters>28408</Characters>
  <Application>Microsoft Office Word</Application>
  <DocSecurity>0</DocSecurity>
  <Lines>489</Lines>
  <Paragraphs>322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2026-04-01T05:45:00Z</dcterms:created>
  <dcterms:modified xsi:type="dcterms:W3CDTF">2026-04-01T05:46:00Z</dcterms:modified>
</cp:coreProperties>
</file>