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1B31" w14:textId="70341A2D" w:rsidR="00C34E07" w:rsidRPr="00120A5B" w:rsidRDefault="00675721" w:rsidP="009832F7">
      <w:pPr>
        <w:pStyle w:val="Heading1"/>
      </w:pPr>
      <w:bookmarkStart w:id="0" w:name="_Toc19023741"/>
      <w:r>
        <w:t>ESG State of play</w:t>
      </w:r>
    </w:p>
    <w:p w14:paraId="3CCED67F" w14:textId="3CE41923" w:rsidR="00675721" w:rsidRPr="00675721" w:rsidRDefault="00675721" w:rsidP="00675721">
      <w:pPr>
        <w:rPr>
          <w:lang w:val="en"/>
        </w:rPr>
      </w:pPr>
      <w:r w:rsidRPr="00675721">
        <w:rPr>
          <w:lang w:val="en"/>
        </w:rPr>
        <w:t xml:space="preserve">This report presents findings for 2023 </w:t>
      </w:r>
      <w:r>
        <w:rPr>
          <w:lang w:val="en"/>
        </w:rPr>
        <w:t xml:space="preserve">and 2024 </w:t>
      </w:r>
      <w:r w:rsidRPr="00675721">
        <w:rPr>
          <w:lang w:val="en"/>
        </w:rPr>
        <w:t>from a pilot program conducted in collaboration with a limited number of venture capital (VC) firms across Oceania. The initiative collected Environment, Social, and Governance (ESG) data from portfolio companies ranging from pre-seed to Series C+ stages, using the ESG_VC framework.  ESG_VC is administered by UK-based group, Reframe Venture</w:t>
      </w:r>
    </w:p>
    <w:p w14:paraId="4D299026" w14:textId="77777777" w:rsidR="00675721" w:rsidRPr="00675721" w:rsidRDefault="00675721" w:rsidP="00675721">
      <w:pPr>
        <w:rPr>
          <w:lang w:val="en"/>
        </w:rPr>
      </w:pPr>
      <w:r w:rsidRPr="00675721">
        <w:rPr>
          <w:lang w:val="en"/>
        </w:rPr>
        <w:t>Ten venture capital firms voluntarily participated in the program, representing a subset of Australia’s broader VC ecosystem. Not all operate an ESVCLP or VCLP. The department oversaw data wrangling and reporting, with the Australian Investment Council playing a coordinating role</w:t>
      </w:r>
    </w:p>
    <w:p w14:paraId="65A1642E" w14:textId="77777777" w:rsidR="00675721" w:rsidRPr="00675721" w:rsidRDefault="00675721" w:rsidP="00675721">
      <w:pPr>
        <w:rPr>
          <w:lang w:val="en"/>
        </w:rPr>
      </w:pPr>
      <w:r w:rsidRPr="00675721">
        <w:rPr>
          <w:lang w:val="en"/>
        </w:rPr>
        <w:t>ESG considerations remain important in VC as investors seek greater transparency around non-financial performance. The pilot represents efforts to bring greater structure and consistency to ESG measurement within the early-stage investment ecosystem</w:t>
      </w:r>
    </w:p>
    <w:p w14:paraId="633591F4" w14:textId="4C819631" w:rsidR="00800336" w:rsidRPr="00675721" w:rsidRDefault="00675721" w:rsidP="009832F7">
      <w:pPr>
        <w:rPr>
          <w:lang w:val="en"/>
        </w:rPr>
      </w:pPr>
      <w:r w:rsidRPr="00675721">
        <w:rPr>
          <w:lang w:val="en"/>
        </w:rPr>
        <w:t xml:space="preserve">A considered ESG approach can enhance company valuations, unlock new opportunities, and improve portfolio management. By adopting internationally used frameworks such as ESG_VC, VC firms can help startups build long-term value and remain aligned with evolving global regulatory standards. Early measurement is particularly valuable for startups at the beginning of their ESG journey, providing a foundation for sustainable </w:t>
      </w:r>
      <w:proofErr w:type="spellStart"/>
      <w:r w:rsidRPr="00675721">
        <w:rPr>
          <w:lang w:val="en"/>
        </w:rPr>
        <w:t>growth</w:t>
      </w:r>
      <w:r w:rsidR="00EC7013">
        <w:rPr>
          <w:lang w:val="en"/>
        </w:rPr>
        <w:t>If</w:t>
      </w:r>
      <w:proofErr w:type="spellEnd"/>
      <w:r w:rsidR="00EC7013">
        <w:rPr>
          <w:lang w:val="en"/>
        </w:rPr>
        <w:t xml:space="preserve"> you would like assistance with this document please email </w:t>
      </w:r>
      <w:hyperlink r:id="rId12" w:history="1">
        <w:r w:rsidR="00EC7013" w:rsidRPr="00EC7013">
          <w:rPr>
            <w:rStyle w:val="Hyperlink"/>
            <w:lang w:val="en"/>
          </w:rPr>
          <w:t>mailto:venturecapital@industry.gov.au</w:t>
        </w:r>
      </w:hyperlink>
      <w:r w:rsidR="00EC7013">
        <w:rPr>
          <w:lang w:val="en"/>
        </w:rPr>
        <w:t>.</w:t>
      </w:r>
      <w:r w:rsidR="00800336">
        <w:br w:type="page"/>
      </w:r>
    </w:p>
    <w:p w14:paraId="3112A212" w14:textId="7B2184B1" w:rsidR="0030453C" w:rsidRDefault="00675721" w:rsidP="00675721">
      <w:pPr>
        <w:pStyle w:val="Heading1"/>
      </w:pPr>
      <w:r>
        <w:lastRenderedPageBreak/>
        <w:t>ESG in Venture Capital State of play – 2023</w:t>
      </w:r>
    </w:p>
    <w:p w14:paraId="5471DC06" w14:textId="4A3FD3E5" w:rsidR="00675721" w:rsidRDefault="00675721" w:rsidP="00675721">
      <w:r w:rsidRPr="00675721">
        <w:rPr>
          <w:noProof/>
        </w:rPr>
        <w:drawing>
          <wp:inline distT="0" distB="0" distL="0" distR="0" wp14:anchorId="0DB0E5D1" wp14:editId="297395BD">
            <wp:extent cx="8967470" cy="4020185"/>
            <wp:effectExtent l="0" t="0" r="5080" b="0"/>
            <wp:docPr id="2120275216" name="Picture 1" descr="A dashboard-style report summarising ESG (Environmental, Social, Governance) performance for venture capital firms for 2023.&#10;&#10;The page is divided into three main sections:&#10;&#10;Top left: Three coloured boxes labelled Environment, Social, and Governance with short descriptions of each pillar (e.g., “Decarbonising and safeguarding our world”, “Building a resilient, engaged and supported workforce”, “Operating ethically and responsibly”).&#10;Centre top: Three score tables showing percentage contributions for Environmental (carbon emissions reduced, circular economy, sustainable procurement), Social (diversity, parental policy, staff wellbeing, community engagement), and Governance (board oversight, corporate policy, data governance &amp; cyber security, fair and equal pay).&#10;Middle: A horizontal bar chart comparing improvement plan scores for Environment, Social, and Governance pillars.&#10;Bottom: Two grouped bar charts. The first shows ESG scores by sector and pillar (Manufacturing, Tech, Life Sciences) with colour-coded bars for Environment, Social, and Governance. The second shows ESG scores by portfolio company stage (Series C, Series B, Series A, Seed) with colour-coded bars for the three pillars.&#10;Text blocks: Explanatory text about the pilot programme, methodology, and findings, noting that governance scored highest overall, followed by environment and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75216" name="Picture 1" descr="A dashboard-style report summarising ESG (Environmental, Social, Governance) performance for venture capital firms for 2023.&#10;&#10;The page is divided into three main sections:&#10;&#10;Top left: Three coloured boxes labelled Environment, Social, and Governance with short descriptions of each pillar (e.g., “Decarbonising and safeguarding our world”, “Building a resilient, engaged and supported workforce”, “Operating ethically and responsibly”).&#10;Centre top: Three score tables showing percentage contributions for Environmental (carbon emissions reduced, circular economy, sustainable procurement), Social (diversity, parental policy, staff wellbeing, community engagement), and Governance (board oversight, corporate policy, data governance &amp; cyber security, fair and equal pay).&#10;Middle: A horizontal bar chart comparing improvement plan scores for Environment, Social, and Governance pillars.&#10;Bottom: Two grouped bar charts. The first shows ESG scores by sector and pillar (Manufacturing, Tech, Life Sciences) with colour-coded bars for Environment, Social, and Governance. The second shows ESG scores by portfolio company stage (Series C, Series B, Series A, Seed) with colour-coded bars for the three pillars.&#10;Text blocks: Explanatory text about the pilot programme, methodology, and findings, noting that governance scored highest overall, followed by environment and social."/>
                    <pic:cNvPicPr/>
                  </pic:nvPicPr>
                  <pic:blipFill>
                    <a:blip r:embed="rId13"/>
                    <a:stretch>
                      <a:fillRect/>
                    </a:stretch>
                  </pic:blipFill>
                  <pic:spPr>
                    <a:xfrm>
                      <a:off x="0" y="0"/>
                      <a:ext cx="8967470" cy="4020185"/>
                    </a:xfrm>
                    <a:prstGeom prst="rect">
                      <a:avLst/>
                    </a:prstGeom>
                  </pic:spPr>
                </pic:pic>
              </a:graphicData>
            </a:graphic>
          </wp:inline>
        </w:drawing>
      </w:r>
    </w:p>
    <w:p w14:paraId="3E6C33C3" w14:textId="5A9EE6FF" w:rsidR="00675721" w:rsidRDefault="00675721">
      <w:pPr>
        <w:keepNext w:val="0"/>
        <w:keepLines w:val="0"/>
        <w:spacing w:before="0" w:after="160"/>
        <w:outlineLvl w:val="9"/>
      </w:pPr>
      <w:r>
        <w:br w:type="page"/>
      </w:r>
    </w:p>
    <w:p w14:paraId="245CC04F" w14:textId="61E665A9" w:rsidR="00675721" w:rsidRDefault="00675721" w:rsidP="00675721">
      <w:pPr>
        <w:pStyle w:val="Heading1"/>
      </w:pPr>
      <w:r>
        <w:lastRenderedPageBreak/>
        <w:t>ESG in Venture Capital State of play – 2024</w:t>
      </w:r>
    </w:p>
    <w:p w14:paraId="39CF3199" w14:textId="5ED6E3B4" w:rsidR="002764AD" w:rsidRPr="00FA71B5" w:rsidRDefault="00675721" w:rsidP="009832F7">
      <w:r w:rsidRPr="00675721">
        <w:rPr>
          <w:noProof/>
        </w:rPr>
        <w:drawing>
          <wp:inline distT="0" distB="0" distL="0" distR="0" wp14:anchorId="0C873E2A" wp14:editId="50D33134">
            <wp:extent cx="8967470" cy="4040505"/>
            <wp:effectExtent l="0" t="0" r="5080" b="0"/>
            <wp:docPr id="608195729" name="Picture 1" descr="A dashboard-style report summarising ESG (Environmental, Social, Governance) performance for venture capital firms for 2024.&#10;&#10;The page is divided into three main sections:&#10;&#10;Top left: Three coloured boxes labelled Environment, Social, and Governance with short descriptions of each pillar (e.g., “Decarbonising and safeguarding our world”, “Building a resilient, engaged and supported workforce”, “Operating ethically and responsibly”).&#10;Centre top: Three score tables showing percentage contributions for Environmental (carbon emissions reduced, circular economy, sustainable procurement), Social (diversity, parental policy, staff wellbeing, community engagement), and Governance (board oversight, corporate policy, data governance &amp; cyber security, fair and equal pay).&#10;Middle: A horizontal bar chart comparing improvement plan scores for Environment, Social, and Governance pillars.&#10;Bottom: Two grouped bar charts. The first shows ESG scores by sector and pillar (Manufacturing, Tech, Life Sciences) with colour-coded bars for Environment, Social, and Governance. The second shows ESG scores by portfolio company stage (Series C, Series B, Series A, Seed) with colour-coded bars for the three pillars.&#10;Text blocks: Explanatory text about the pilot programme, methodology, and findings, noting that governance scored highest overall, followed by environment and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95729" name="Picture 1" descr="A dashboard-style report summarising ESG (Environmental, Social, Governance) performance for venture capital firms for 2024.&#10;&#10;The page is divided into three main sections:&#10;&#10;Top left: Three coloured boxes labelled Environment, Social, and Governance with short descriptions of each pillar (e.g., “Decarbonising and safeguarding our world”, “Building a resilient, engaged and supported workforce”, “Operating ethically and responsibly”).&#10;Centre top: Three score tables showing percentage contributions for Environmental (carbon emissions reduced, circular economy, sustainable procurement), Social (diversity, parental policy, staff wellbeing, community engagement), and Governance (board oversight, corporate policy, data governance &amp; cyber security, fair and equal pay).&#10;Middle: A horizontal bar chart comparing improvement plan scores for Environment, Social, and Governance pillars.&#10;Bottom: Two grouped bar charts. The first shows ESG scores by sector and pillar (Manufacturing, Tech, Life Sciences) with colour-coded bars for Environment, Social, and Governance. The second shows ESG scores by portfolio company stage (Series C, Series B, Series A, Seed) with colour-coded bars for the three pillars.&#10;Text blocks: Explanatory text about the pilot programme, methodology, and findings, noting that governance scored highest overall, followed by environment and social."/>
                    <pic:cNvPicPr/>
                  </pic:nvPicPr>
                  <pic:blipFill>
                    <a:blip r:embed="rId14"/>
                    <a:stretch>
                      <a:fillRect/>
                    </a:stretch>
                  </pic:blipFill>
                  <pic:spPr>
                    <a:xfrm>
                      <a:off x="0" y="0"/>
                      <a:ext cx="8967470" cy="4040505"/>
                    </a:xfrm>
                    <a:prstGeom prst="rect">
                      <a:avLst/>
                    </a:prstGeom>
                  </pic:spPr>
                </pic:pic>
              </a:graphicData>
            </a:graphic>
          </wp:inline>
        </w:drawing>
      </w:r>
    </w:p>
    <w:bookmarkEnd w:id="0"/>
    <w:sectPr w:rsidR="002764AD" w:rsidRPr="00FA71B5" w:rsidSect="00C34E07">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276"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1B53" w14:textId="77777777" w:rsidR="00C34E07" w:rsidRDefault="00C34E07" w:rsidP="009832F7">
      <w:r>
        <w:separator/>
      </w:r>
    </w:p>
  </w:endnote>
  <w:endnote w:type="continuationSeparator" w:id="0">
    <w:p w14:paraId="2A311B54" w14:textId="77777777" w:rsidR="00C34E07" w:rsidRDefault="00C34E07" w:rsidP="0098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816F" w14:textId="421B9BCC" w:rsidR="00493AA9" w:rsidRDefault="0030453C">
    <w:pPr>
      <w:pStyle w:val="Footer"/>
    </w:pPr>
    <w:r>
      <w:rPr>
        <w:noProof/>
      </w:rPr>
      <mc:AlternateContent>
        <mc:Choice Requires="wps">
          <w:drawing>
            <wp:anchor distT="0" distB="0" distL="0" distR="0" simplePos="0" relativeHeight="251664384" behindDoc="0" locked="0" layoutInCell="1" allowOverlap="1" wp14:anchorId="3834B867" wp14:editId="7B99FE57">
              <wp:simplePos x="635" y="635"/>
              <wp:positionH relativeFrom="page">
                <wp:align>center</wp:align>
              </wp:positionH>
              <wp:positionV relativeFrom="page">
                <wp:align>bottom</wp:align>
              </wp:positionV>
              <wp:extent cx="622300" cy="416560"/>
              <wp:effectExtent l="0" t="0" r="6350" b="0"/>
              <wp:wrapNone/>
              <wp:docPr id="4741156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2B691374" w14:textId="791C19AF"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4B867" id="_x0000_t202" coordsize="21600,21600" o:spt="202" path="m,l,21600r21600,l21600,xe">
              <v:stroke joinstyle="miter"/>
              <v:path gradientshapeok="t" o:connecttype="rect"/>
            </v:shapetype>
            <v:shape id="Text Box 5" o:spid="_x0000_s1028" type="#_x0000_t202" alt="OFFICIAL" style="position:absolute;margin-left:0;margin-top:0;width:49pt;height:32.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y5DQIAABwEAAAOAAAAZHJzL2Uyb0RvYy54bWysU01v2zAMvQ/YfxB0X+xka7A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" filled="f" stroked="f">
              <v:fill o:detectmouseclick="t"/>
              <v:textbox style="mso-fit-shape-to-text:t" inset="0,0,0,15pt">
                <w:txbxContent>
                  <w:p w14:paraId="2B691374" w14:textId="791C19AF"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1B55" w14:textId="5700A01D" w:rsidR="00BD0F8A" w:rsidRDefault="0030453C" w:rsidP="009832F7">
    <w:pPr>
      <w:pStyle w:val="Footer"/>
    </w:pPr>
    <w:r>
      <w:rPr>
        <w:noProof/>
      </w:rPr>
      <mc:AlternateContent>
        <mc:Choice Requires="wps">
          <w:drawing>
            <wp:anchor distT="0" distB="0" distL="0" distR="0" simplePos="0" relativeHeight="251665408" behindDoc="0" locked="0" layoutInCell="1" allowOverlap="1" wp14:anchorId="5D577FDF" wp14:editId="7C4F0735">
              <wp:simplePos x="809625" y="6915150"/>
              <wp:positionH relativeFrom="page">
                <wp:align>center</wp:align>
              </wp:positionH>
              <wp:positionV relativeFrom="page">
                <wp:align>bottom</wp:align>
              </wp:positionV>
              <wp:extent cx="622300" cy="416560"/>
              <wp:effectExtent l="0" t="0" r="6350" b="0"/>
              <wp:wrapNone/>
              <wp:docPr id="1427381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3BEA8DB2" w14:textId="304ABD42"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7FDF" id="_x0000_t202" coordsize="21600,21600" o:spt="202" path="m,l,21600r21600,l21600,xe">
              <v:stroke joinstyle="miter"/>
              <v:path gradientshapeok="t" o:connecttype="rect"/>
            </v:shapetype>
            <v:shape id="Text Box 6" o:spid="_x0000_s1029" type="#_x0000_t202" alt="OFFICIAL" style="position:absolute;margin-left:0;margin-top:0;width:49pt;height:32.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" filled="f" stroked="f">
              <v:fill o:detectmouseclick="t"/>
              <v:textbox style="mso-fit-shape-to-text:t" inset="0,0,0,15pt">
                <w:txbxContent>
                  <w:p w14:paraId="3BEA8DB2" w14:textId="304ABD42"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sdt>
      <w:sdtPr>
        <w:alias w:val="Title"/>
        <w:tag w:val=""/>
        <w:id w:val="-1005120900"/>
        <w:placeholder>
          <w:docPart w:val="ECD960D182274E29B84B26260F1F9885"/>
        </w:placeholder>
        <w:dataBinding w:prefixMappings="xmlns:ns0='http://purl.org/dc/elements/1.1/' xmlns:ns1='http://schemas.openxmlformats.org/package/2006/metadata/core-properties' " w:xpath="/ns1:coreProperties[1]/ns0:title[1]" w:storeItemID="{6C3C8BC8-F283-45AE-878A-BAB7291924A1}"/>
        <w:text/>
      </w:sdtPr>
      <w:sdtEndPr/>
      <w:sdtContent>
        <w:r w:rsidR="00675721">
          <w:t>ESG State of play</w:t>
        </w:r>
      </w:sdtContent>
    </w:sdt>
    <w:r w:rsidR="00BD0F8A">
      <w:tab/>
    </w:r>
    <w:r w:rsidR="00C34E07">
      <w:tab/>
    </w:r>
    <w:r w:rsidR="00BD0F8A">
      <w:t>industry.gov.au</w:t>
    </w:r>
    <w:r w:rsidR="00BD0F8A">
      <w:tab/>
    </w:r>
    <w:r w:rsidR="00C34E07">
      <w:tab/>
    </w:r>
    <w:r w:rsidR="00C34E07">
      <w:tab/>
    </w:r>
    <w:r w:rsidR="00C34E07">
      <w:tab/>
    </w:r>
    <w:r w:rsidR="00C34E07">
      <w:tab/>
    </w:r>
    <w:r w:rsidR="00C34E07">
      <w:tab/>
    </w:r>
    <w:r w:rsidR="00C34E07">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24901">
          <w:rPr>
            <w:noProof/>
          </w:rPr>
          <w:t>2</w:t>
        </w:r>
        <w:r w:rsidR="00BD0F8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1B57" w14:textId="232E7F45" w:rsidR="00607188" w:rsidRPr="00A540AE" w:rsidRDefault="0030453C" w:rsidP="009832F7">
    <w:pPr>
      <w:pStyle w:val="Footer"/>
    </w:pPr>
    <w:r>
      <w:rPr>
        <w:noProof/>
      </w:rPr>
      <mc:AlternateContent>
        <mc:Choice Requires="wps">
          <w:drawing>
            <wp:anchor distT="0" distB="0" distL="0" distR="0" simplePos="0" relativeHeight="251663360" behindDoc="0" locked="0" layoutInCell="1" allowOverlap="1" wp14:anchorId="49D533E9" wp14:editId="2E5D7A6F">
              <wp:simplePos x="635" y="635"/>
              <wp:positionH relativeFrom="page">
                <wp:align>center</wp:align>
              </wp:positionH>
              <wp:positionV relativeFrom="page">
                <wp:align>bottom</wp:align>
              </wp:positionV>
              <wp:extent cx="622300" cy="416560"/>
              <wp:effectExtent l="0" t="0" r="6350" b="0"/>
              <wp:wrapNone/>
              <wp:docPr id="9155559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78D3588C" w14:textId="5EF8EC9E"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533E9" id="_x0000_t202" coordsize="21600,21600" o:spt="202" path="m,l,21600r21600,l21600,xe">
              <v:stroke joinstyle="miter"/>
              <v:path gradientshapeok="t" o:connecttype="rect"/>
            </v:shapetype>
            <v:shape id="Text Box 4" o:spid="_x0000_s1031" type="#_x0000_t202" alt="OFFICIAL" style="position:absolute;margin-left:0;margin-top:0;width:49pt;height:3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" filled="f" stroked="f">
              <v:fill o:detectmouseclick="t"/>
              <v:textbox style="mso-fit-shape-to-text:t" inset="0,0,0,15pt">
                <w:txbxContent>
                  <w:p w14:paraId="78D3588C" w14:textId="5EF8EC9E"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r w:rsidR="00607188" w:rsidRPr="00A540AE">
      <w:t>Supporting economic growth and job creation for all Australians |</w:t>
    </w:r>
    <w:r w:rsidR="00607188" w:rsidRPr="00A540AE">
      <w:rPr>
        <w:b/>
      </w:rPr>
      <w:t xml:space="preserve"> industry.gov.au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1B51" w14:textId="77777777" w:rsidR="00C34E07" w:rsidRDefault="00C34E07" w:rsidP="009832F7">
      <w:r>
        <w:separator/>
      </w:r>
    </w:p>
  </w:footnote>
  <w:footnote w:type="continuationSeparator" w:id="0">
    <w:p w14:paraId="2A311B52" w14:textId="77777777" w:rsidR="00C34E07" w:rsidRDefault="00C34E07" w:rsidP="0098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171" w14:textId="77DA33B2" w:rsidR="00493AA9" w:rsidRDefault="0030453C">
    <w:pPr>
      <w:pStyle w:val="Header"/>
    </w:pPr>
    <w:r>
      <w:rPr>
        <w:noProof/>
      </w:rPr>
      <mc:AlternateContent>
        <mc:Choice Requires="wps">
          <w:drawing>
            <wp:anchor distT="0" distB="0" distL="0" distR="0" simplePos="0" relativeHeight="251661312" behindDoc="0" locked="0" layoutInCell="1" allowOverlap="1" wp14:anchorId="08FE19F2" wp14:editId="7E67CB3D">
              <wp:simplePos x="635" y="635"/>
              <wp:positionH relativeFrom="page">
                <wp:align>center</wp:align>
              </wp:positionH>
              <wp:positionV relativeFrom="page">
                <wp:align>top</wp:align>
              </wp:positionV>
              <wp:extent cx="622300" cy="416560"/>
              <wp:effectExtent l="0" t="0" r="6350" b="2540"/>
              <wp:wrapNone/>
              <wp:docPr id="3447697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3CC5B2AC" w14:textId="07643379"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E19F2" id="_x0000_t202" coordsize="21600,21600" o:spt="202" path="m,l,21600r21600,l21600,xe">
              <v:stroke joinstyle="miter"/>
              <v:path gradientshapeok="t" o:connecttype="rect"/>
            </v:shapetype>
            <v:shape id="Text Box 2" o:spid="_x0000_s1026" type="#_x0000_t202" alt="OFFICIAL" style="position:absolute;margin-left:0;margin-top:0;width:49pt;height:32.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" filled="f" stroked="f">
              <v:fill o:detectmouseclick="t"/>
              <v:textbox style="mso-fit-shape-to-text:t" inset="0,15pt,0,0">
                <w:txbxContent>
                  <w:p w14:paraId="3CC5B2AC" w14:textId="07643379"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F14E" w14:textId="1000C25D" w:rsidR="00493AA9" w:rsidRDefault="0030453C">
    <w:pPr>
      <w:pStyle w:val="Header"/>
    </w:pPr>
    <w:r>
      <w:rPr>
        <w:noProof/>
      </w:rPr>
      <mc:AlternateContent>
        <mc:Choice Requires="wps">
          <w:drawing>
            <wp:anchor distT="0" distB="0" distL="0" distR="0" simplePos="0" relativeHeight="251662336" behindDoc="0" locked="0" layoutInCell="1" allowOverlap="1" wp14:anchorId="082D2A27" wp14:editId="3274601D">
              <wp:simplePos x="809625" y="542925"/>
              <wp:positionH relativeFrom="page">
                <wp:align>center</wp:align>
              </wp:positionH>
              <wp:positionV relativeFrom="page">
                <wp:align>top</wp:align>
              </wp:positionV>
              <wp:extent cx="622300" cy="416560"/>
              <wp:effectExtent l="0" t="0" r="6350" b="2540"/>
              <wp:wrapNone/>
              <wp:docPr id="10976538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376A08C9" w14:textId="79DFDADC"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D2A27" id="_x0000_t202" coordsize="21600,21600" o:spt="202" path="m,l,21600r21600,l21600,xe">
              <v:stroke joinstyle="miter"/>
              <v:path gradientshapeok="t" o:connecttype="rect"/>
            </v:shapetype>
            <v:shape id="Text Box 3" o:spid="_x0000_s1027" type="#_x0000_t202" alt="OFFICIAL" style="position:absolute;margin-left:0;margin-top:0;width:49pt;height:32.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" filled="f" stroked="f">
              <v:fill o:detectmouseclick="t"/>
              <v:textbox style="mso-fit-shape-to-text:t" inset="0,15pt,0,0">
                <w:txbxContent>
                  <w:p w14:paraId="376A08C9" w14:textId="79DFDADC"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1B56" w14:textId="0CC638CD" w:rsidR="00806473" w:rsidRDefault="0030453C" w:rsidP="009832F7">
    <w:pPr>
      <w:pStyle w:val="Header"/>
    </w:pPr>
    <w:r>
      <w:rPr>
        <w:noProof/>
        <w:lang w:eastAsia="en-AU"/>
      </w:rPr>
      <mc:AlternateContent>
        <mc:Choice Requires="wps">
          <w:drawing>
            <wp:anchor distT="0" distB="0" distL="0" distR="0" simplePos="0" relativeHeight="251660288" behindDoc="0" locked="0" layoutInCell="1" allowOverlap="1" wp14:anchorId="2B7DB903" wp14:editId="0E9DD285">
              <wp:simplePos x="635" y="635"/>
              <wp:positionH relativeFrom="page">
                <wp:align>center</wp:align>
              </wp:positionH>
              <wp:positionV relativeFrom="page">
                <wp:align>top</wp:align>
              </wp:positionV>
              <wp:extent cx="622300" cy="416560"/>
              <wp:effectExtent l="0" t="0" r="6350" b="2540"/>
              <wp:wrapNone/>
              <wp:docPr id="10412637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6560"/>
                      </a:xfrm>
                      <a:prstGeom prst="rect">
                        <a:avLst/>
                      </a:prstGeom>
                      <a:noFill/>
                      <a:ln>
                        <a:noFill/>
                      </a:ln>
                    </wps:spPr>
                    <wps:txbx>
                      <w:txbxContent>
                        <w:p w14:paraId="747B29BD" w14:textId="33FD3936"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DB903" id="_x0000_t202" coordsize="21600,21600" o:spt="202" path="m,l,21600r21600,l21600,xe">
              <v:stroke joinstyle="miter"/>
              <v:path gradientshapeok="t" o:connecttype="rect"/>
            </v:shapetype>
            <v:shape id="Text Box 1" o:spid="_x0000_s1030" type="#_x0000_t202" alt="OFFICIAL" style="position:absolute;margin-left:0;margin-top:0;width:49pt;height:3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HDCQIAABUEAAAOAAAAZHJzL2Uyb0RvYy54bWysU01v2zAMvQ/YfxB0X+xka7A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ez2cecIpJCn6bzm3m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" filled="f" stroked="f">
              <v:fill o:detectmouseclick="t"/>
              <v:textbox style="mso-fit-shape-to-text:t" inset="0,15pt,0,0">
                <w:txbxContent>
                  <w:p w14:paraId="747B29BD" w14:textId="33FD3936" w:rsidR="0030453C" w:rsidRPr="0030453C" w:rsidRDefault="0030453C" w:rsidP="0030453C">
                    <w:pPr>
                      <w:spacing w:after="0"/>
                      <w:rPr>
                        <w:rFonts w:ascii="Aptos" w:eastAsia="Aptos" w:hAnsi="Aptos" w:cs="Aptos"/>
                        <w:noProof/>
                        <w:color w:val="C00000"/>
                        <w:sz w:val="24"/>
                        <w:szCs w:val="24"/>
                      </w:rPr>
                    </w:pPr>
                    <w:r w:rsidRPr="0030453C">
                      <w:rPr>
                        <w:rFonts w:ascii="Aptos" w:eastAsia="Aptos" w:hAnsi="Aptos" w:cs="Aptos"/>
                        <w:noProof/>
                        <w:color w:val="C00000"/>
                        <w:sz w:val="24"/>
                        <w:szCs w:val="24"/>
                      </w:rPr>
                      <w:t>OFFICIAL</w:t>
                    </w:r>
                  </w:p>
                </w:txbxContent>
              </v:textbox>
              <w10:wrap anchorx="page" anchory="page"/>
            </v:shape>
          </w:pict>
        </mc:Fallback>
      </mc:AlternateContent>
    </w:r>
    <w:r w:rsidR="00A540AE">
      <w:rPr>
        <w:noProof/>
        <w:lang w:eastAsia="en-AU"/>
      </w:rPr>
      <mc:AlternateContent>
        <mc:Choice Requires="wps">
          <w:drawing>
            <wp:anchor distT="0" distB="0" distL="114300" distR="114300" simplePos="0" relativeHeight="251659264" behindDoc="1" locked="0" layoutInCell="1" allowOverlap="1" wp14:anchorId="2A311B58" wp14:editId="2A311B59">
              <wp:simplePos x="0" y="0"/>
              <wp:positionH relativeFrom="page">
                <wp:align>left</wp:align>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E792E" id="Rectangle 1" o:spid="_x0000_s1026" alt="Title: Departmental background colour gradient - Description: Departmental background colour gradient" style="position:absolute;margin-left:0;margin-top:0;width:595.3pt;height:841.9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" fillcolor="#00283e [3205]" strokecolor="#484a4c [1604]" strokeweight="1pt">
              <v:fill color2="#1b9590 [3206]" colors="0 #00283e;33423f #005677;1 #1b9590" focus="100%" type="gradient"/>
              <w10:wrap anchorx="page" anchory="page"/>
            </v:rect>
          </w:pict>
        </mc:Fallback>
      </mc:AlternateContent>
    </w:r>
    <w:r w:rsidR="00A540AE" w:rsidRPr="00180BF8">
      <w:rPr>
        <w:noProof/>
        <w:lang w:eastAsia="en-AU"/>
      </w:rPr>
      <w:drawing>
        <wp:inline distT="0" distB="0" distL="0" distR="0" wp14:anchorId="2A311B5A" wp14:editId="2A311B5B">
          <wp:extent cx="2239200" cy="705600"/>
          <wp:effectExtent l="0" t="0" r="8890" b="0"/>
          <wp:docPr id="7" name="Picture 7" descr="Australian Government | Department of Industry, Innovation and Science logo" title="Australian Government | Department of Industry, Innovation an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39200" cy="705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C66226"/>
    <w:multiLevelType w:val="hybridMultilevel"/>
    <w:tmpl w:val="42229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42109E"/>
    <w:multiLevelType w:val="hybridMultilevel"/>
    <w:tmpl w:val="5B148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763456927">
    <w:abstractNumId w:val="5"/>
  </w:num>
  <w:num w:numId="2" w16cid:durableId="1122922854">
    <w:abstractNumId w:val="4"/>
  </w:num>
  <w:num w:numId="3" w16cid:durableId="1702706412">
    <w:abstractNumId w:val="10"/>
  </w:num>
  <w:num w:numId="4" w16cid:durableId="118960861">
    <w:abstractNumId w:val="7"/>
  </w:num>
  <w:num w:numId="5" w16cid:durableId="605115306">
    <w:abstractNumId w:val="12"/>
  </w:num>
  <w:num w:numId="6" w16cid:durableId="1886091645">
    <w:abstractNumId w:val="2"/>
  </w:num>
  <w:num w:numId="7" w16cid:durableId="1628656154">
    <w:abstractNumId w:val="0"/>
  </w:num>
  <w:num w:numId="8" w16cid:durableId="2033341838">
    <w:abstractNumId w:val="1"/>
  </w:num>
  <w:num w:numId="9" w16cid:durableId="178470582">
    <w:abstractNumId w:val="9"/>
  </w:num>
  <w:num w:numId="10" w16cid:durableId="313997423">
    <w:abstractNumId w:val="11"/>
  </w:num>
  <w:num w:numId="11" w16cid:durableId="659891014">
    <w:abstractNumId w:val="3"/>
  </w:num>
  <w:num w:numId="12" w16cid:durableId="1684018058">
    <w:abstractNumId w:val="16"/>
  </w:num>
  <w:num w:numId="13" w16cid:durableId="1826818874">
    <w:abstractNumId w:val="13"/>
  </w:num>
  <w:num w:numId="14" w16cid:durableId="510028114">
    <w:abstractNumId w:val="6"/>
  </w:num>
  <w:num w:numId="15" w16cid:durableId="318731712">
    <w:abstractNumId w:val="14"/>
  </w:num>
  <w:num w:numId="16" w16cid:durableId="2081905672">
    <w:abstractNumId w:val="15"/>
  </w:num>
  <w:num w:numId="17" w16cid:durableId="623004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07"/>
    <w:rsid w:val="00002A3C"/>
    <w:rsid w:val="0002017B"/>
    <w:rsid w:val="00032995"/>
    <w:rsid w:val="0005170A"/>
    <w:rsid w:val="000552B3"/>
    <w:rsid w:val="00060D46"/>
    <w:rsid w:val="00061DA6"/>
    <w:rsid w:val="0007067B"/>
    <w:rsid w:val="000717CE"/>
    <w:rsid w:val="000740B2"/>
    <w:rsid w:val="00076A0A"/>
    <w:rsid w:val="00081D07"/>
    <w:rsid w:val="00083DEC"/>
    <w:rsid w:val="000C3494"/>
    <w:rsid w:val="000E599A"/>
    <w:rsid w:val="000E5C2D"/>
    <w:rsid w:val="000E6C86"/>
    <w:rsid w:val="000E7F34"/>
    <w:rsid w:val="000F2564"/>
    <w:rsid w:val="000F3C6F"/>
    <w:rsid w:val="001017CB"/>
    <w:rsid w:val="00120A5B"/>
    <w:rsid w:val="00122FCD"/>
    <w:rsid w:val="00124B94"/>
    <w:rsid w:val="00125150"/>
    <w:rsid w:val="00153C15"/>
    <w:rsid w:val="00167869"/>
    <w:rsid w:val="00195EB2"/>
    <w:rsid w:val="001B6A95"/>
    <w:rsid w:val="001D216A"/>
    <w:rsid w:val="001D2E82"/>
    <w:rsid w:val="001F5AB1"/>
    <w:rsid w:val="00205DF3"/>
    <w:rsid w:val="0022083E"/>
    <w:rsid w:val="00222D0B"/>
    <w:rsid w:val="0023549A"/>
    <w:rsid w:val="00237744"/>
    <w:rsid w:val="00241D3D"/>
    <w:rsid w:val="00254DA8"/>
    <w:rsid w:val="00256A18"/>
    <w:rsid w:val="00272B04"/>
    <w:rsid w:val="00276413"/>
    <w:rsid w:val="002764AD"/>
    <w:rsid w:val="00280D0D"/>
    <w:rsid w:val="00282B1E"/>
    <w:rsid w:val="002860BF"/>
    <w:rsid w:val="002B5C69"/>
    <w:rsid w:val="002D230B"/>
    <w:rsid w:val="002F12E0"/>
    <w:rsid w:val="0030453C"/>
    <w:rsid w:val="0030511C"/>
    <w:rsid w:val="003435A7"/>
    <w:rsid w:val="00343E3D"/>
    <w:rsid w:val="0035290A"/>
    <w:rsid w:val="003652ED"/>
    <w:rsid w:val="00384DB7"/>
    <w:rsid w:val="003B3212"/>
    <w:rsid w:val="003D38ED"/>
    <w:rsid w:val="0041346F"/>
    <w:rsid w:val="004165DD"/>
    <w:rsid w:val="00416C6D"/>
    <w:rsid w:val="00424901"/>
    <w:rsid w:val="00462060"/>
    <w:rsid w:val="004632E9"/>
    <w:rsid w:val="0046678C"/>
    <w:rsid w:val="00483157"/>
    <w:rsid w:val="004842FC"/>
    <w:rsid w:val="00493AA9"/>
    <w:rsid w:val="004B4254"/>
    <w:rsid w:val="004C1D53"/>
    <w:rsid w:val="004D3B0F"/>
    <w:rsid w:val="004E6AD4"/>
    <w:rsid w:val="004E75D2"/>
    <w:rsid w:val="004F47E9"/>
    <w:rsid w:val="00505552"/>
    <w:rsid w:val="00516B0E"/>
    <w:rsid w:val="005302AA"/>
    <w:rsid w:val="00557E6E"/>
    <w:rsid w:val="00575853"/>
    <w:rsid w:val="00582389"/>
    <w:rsid w:val="00584B74"/>
    <w:rsid w:val="00587C09"/>
    <w:rsid w:val="005B2AC9"/>
    <w:rsid w:val="005B3FFF"/>
    <w:rsid w:val="005B6459"/>
    <w:rsid w:val="005D6031"/>
    <w:rsid w:val="005D69C9"/>
    <w:rsid w:val="00603DDF"/>
    <w:rsid w:val="006040F9"/>
    <w:rsid w:val="00605AE3"/>
    <w:rsid w:val="00607188"/>
    <w:rsid w:val="006109BB"/>
    <w:rsid w:val="00627172"/>
    <w:rsid w:val="006510A2"/>
    <w:rsid w:val="00660A55"/>
    <w:rsid w:val="00671D1D"/>
    <w:rsid w:val="00671F0D"/>
    <w:rsid w:val="00672F3D"/>
    <w:rsid w:val="00675721"/>
    <w:rsid w:val="0068286F"/>
    <w:rsid w:val="0068681A"/>
    <w:rsid w:val="00697567"/>
    <w:rsid w:val="006A7B40"/>
    <w:rsid w:val="006B3232"/>
    <w:rsid w:val="006C4C9C"/>
    <w:rsid w:val="006D2221"/>
    <w:rsid w:val="006D6D03"/>
    <w:rsid w:val="006E1E6A"/>
    <w:rsid w:val="006E4001"/>
    <w:rsid w:val="006E4268"/>
    <w:rsid w:val="006F546C"/>
    <w:rsid w:val="006F58A5"/>
    <w:rsid w:val="00705223"/>
    <w:rsid w:val="00711349"/>
    <w:rsid w:val="00712A22"/>
    <w:rsid w:val="00723C5D"/>
    <w:rsid w:val="00727CD8"/>
    <w:rsid w:val="00750685"/>
    <w:rsid w:val="007760E7"/>
    <w:rsid w:val="007833EE"/>
    <w:rsid w:val="007A6E73"/>
    <w:rsid w:val="007B1750"/>
    <w:rsid w:val="007B553F"/>
    <w:rsid w:val="007B6989"/>
    <w:rsid w:val="007E1C9D"/>
    <w:rsid w:val="007E2EB2"/>
    <w:rsid w:val="007E37BA"/>
    <w:rsid w:val="007E3FB8"/>
    <w:rsid w:val="007E78BF"/>
    <w:rsid w:val="00800336"/>
    <w:rsid w:val="00806473"/>
    <w:rsid w:val="0081179E"/>
    <w:rsid w:val="008406B9"/>
    <w:rsid w:val="00847F0E"/>
    <w:rsid w:val="00853A7A"/>
    <w:rsid w:val="0085610E"/>
    <w:rsid w:val="00856956"/>
    <w:rsid w:val="00857239"/>
    <w:rsid w:val="00860041"/>
    <w:rsid w:val="00864F94"/>
    <w:rsid w:val="00874B97"/>
    <w:rsid w:val="00892B6E"/>
    <w:rsid w:val="008B6E61"/>
    <w:rsid w:val="008D0B9B"/>
    <w:rsid w:val="008D4284"/>
    <w:rsid w:val="008E5280"/>
    <w:rsid w:val="008F1976"/>
    <w:rsid w:val="009100B4"/>
    <w:rsid w:val="00926BDB"/>
    <w:rsid w:val="009474FB"/>
    <w:rsid w:val="0095294B"/>
    <w:rsid w:val="009569C5"/>
    <w:rsid w:val="00967F32"/>
    <w:rsid w:val="009832F7"/>
    <w:rsid w:val="009A549D"/>
    <w:rsid w:val="009A5B0D"/>
    <w:rsid w:val="009B03BA"/>
    <w:rsid w:val="009C1375"/>
    <w:rsid w:val="009D42C5"/>
    <w:rsid w:val="009D6BB8"/>
    <w:rsid w:val="009F2BF7"/>
    <w:rsid w:val="00A026B9"/>
    <w:rsid w:val="00A1269A"/>
    <w:rsid w:val="00A15483"/>
    <w:rsid w:val="00A205D9"/>
    <w:rsid w:val="00A317BB"/>
    <w:rsid w:val="00A46599"/>
    <w:rsid w:val="00A52F3D"/>
    <w:rsid w:val="00A540AE"/>
    <w:rsid w:val="00A56537"/>
    <w:rsid w:val="00A731BB"/>
    <w:rsid w:val="00A74C6E"/>
    <w:rsid w:val="00A8269B"/>
    <w:rsid w:val="00A82C3E"/>
    <w:rsid w:val="00A82FF4"/>
    <w:rsid w:val="00A87075"/>
    <w:rsid w:val="00A8790C"/>
    <w:rsid w:val="00A87B09"/>
    <w:rsid w:val="00A94EC5"/>
    <w:rsid w:val="00AA740C"/>
    <w:rsid w:val="00AB09D1"/>
    <w:rsid w:val="00AD18B0"/>
    <w:rsid w:val="00AE3376"/>
    <w:rsid w:val="00AF4110"/>
    <w:rsid w:val="00B11217"/>
    <w:rsid w:val="00B251DB"/>
    <w:rsid w:val="00B26C25"/>
    <w:rsid w:val="00B34055"/>
    <w:rsid w:val="00B35C0C"/>
    <w:rsid w:val="00B40292"/>
    <w:rsid w:val="00B43164"/>
    <w:rsid w:val="00B50C7B"/>
    <w:rsid w:val="00B57D5F"/>
    <w:rsid w:val="00B67A39"/>
    <w:rsid w:val="00BA659C"/>
    <w:rsid w:val="00BA79B2"/>
    <w:rsid w:val="00BC51FE"/>
    <w:rsid w:val="00BD0F8A"/>
    <w:rsid w:val="00BE2F0F"/>
    <w:rsid w:val="00BE6EEA"/>
    <w:rsid w:val="00BF4EE4"/>
    <w:rsid w:val="00C34E07"/>
    <w:rsid w:val="00C40F1A"/>
    <w:rsid w:val="00C52A58"/>
    <w:rsid w:val="00C57B48"/>
    <w:rsid w:val="00C60D60"/>
    <w:rsid w:val="00C62BF4"/>
    <w:rsid w:val="00C672D0"/>
    <w:rsid w:val="00C84D96"/>
    <w:rsid w:val="00C915EB"/>
    <w:rsid w:val="00CD4116"/>
    <w:rsid w:val="00CD69DA"/>
    <w:rsid w:val="00CD7CCC"/>
    <w:rsid w:val="00CE213E"/>
    <w:rsid w:val="00CF3F2B"/>
    <w:rsid w:val="00CF729F"/>
    <w:rsid w:val="00D220CF"/>
    <w:rsid w:val="00D6144B"/>
    <w:rsid w:val="00D64AED"/>
    <w:rsid w:val="00D67C15"/>
    <w:rsid w:val="00D71A3F"/>
    <w:rsid w:val="00D841E9"/>
    <w:rsid w:val="00DB3FD2"/>
    <w:rsid w:val="00DB69D4"/>
    <w:rsid w:val="00DB7E9F"/>
    <w:rsid w:val="00DC3986"/>
    <w:rsid w:val="00DF5FF4"/>
    <w:rsid w:val="00E01D7D"/>
    <w:rsid w:val="00E03324"/>
    <w:rsid w:val="00E3027E"/>
    <w:rsid w:val="00E35946"/>
    <w:rsid w:val="00E35959"/>
    <w:rsid w:val="00E37CAE"/>
    <w:rsid w:val="00E57627"/>
    <w:rsid w:val="00E9484A"/>
    <w:rsid w:val="00E97867"/>
    <w:rsid w:val="00EB33E2"/>
    <w:rsid w:val="00EB610B"/>
    <w:rsid w:val="00EC7013"/>
    <w:rsid w:val="00ED0CBE"/>
    <w:rsid w:val="00EF5249"/>
    <w:rsid w:val="00EF77D5"/>
    <w:rsid w:val="00F076CD"/>
    <w:rsid w:val="00F22BB9"/>
    <w:rsid w:val="00F256F5"/>
    <w:rsid w:val="00F27355"/>
    <w:rsid w:val="00F33941"/>
    <w:rsid w:val="00F37058"/>
    <w:rsid w:val="00F465E3"/>
    <w:rsid w:val="00F50943"/>
    <w:rsid w:val="00F53293"/>
    <w:rsid w:val="00F71297"/>
    <w:rsid w:val="00F95A29"/>
    <w:rsid w:val="00FA139B"/>
    <w:rsid w:val="00FA22FE"/>
    <w:rsid w:val="00FA4C6A"/>
    <w:rsid w:val="00FA71B5"/>
    <w:rsid w:val="00FB13F3"/>
    <w:rsid w:val="00FB3A93"/>
    <w:rsid w:val="00FE7DB2"/>
    <w:rsid w:val="00FE7F44"/>
    <w:rsid w:val="00FF5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311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F7"/>
    <w:pPr>
      <w:keepNext/>
      <w:keepLines/>
      <w:spacing w:before="40" w:after="40"/>
      <w:outlineLvl w:val="1"/>
    </w:pPr>
  </w:style>
  <w:style w:type="paragraph" w:styleId="Heading1">
    <w:name w:val="heading 1"/>
    <w:basedOn w:val="Normal"/>
    <w:next w:val="Normal"/>
    <w:link w:val="Heading1Char"/>
    <w:uiPriority w:val="9"/>
    <w:qFormat/>
    <w:rsid w:val="00AF4110"/>
    <w:pPr>
      <w:pageBreakBefore/>
      <w:spacing w:before="240" w:after="80"/>
      <w:outlineLvl w:val="0"/>
    </w:pPr>
    <w:rPr>
      <w:rFonts w:ascii="Aptos" w:eastAsiaTheme="majorEastAsia" w:hAnsi="Aptos" w:cstheme="majorBidi"/>
      <w:b/>
      <w:color w:val="0766A5"/>
      <w:sz w:val="48"/>
      <w:szCs w:val="32"/>
    </w:rPr>
  </w:style>
  <w:style w:type="paragraph" w:styleId="Heading2">
    <w:name w:val="heading 2"/>
    <w:basedOn w:val="Normal"/>
    <w:next w:val="Normal"/>
    <w:link w:val="Heading2Char"/>
    <w:uiPriority w:val="9"/>
    <w:unhideWhenUsed/>
    <w:qFormat/>
    <w:rsid w:val="00603DDF"/>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spacing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spacing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spacing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spacing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AF4110"/>
    <w:rPr>
      <w:rFonts w:ascii="Aptos" w:eastAsiaTheme="majorEastAsia" w:hAnsi="Aptos" w:cstheme="majorBidi"/>
      <w:b/>
      <w:color w:val="0766A5"/>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4632E9"/>
    <w:pPr>
      <w:numPr>
        <w:numId w:val="10"/>
      </w:numPr>
      <w:contextualSpacing/>
    </w:pPr>
  </w:style>
  <w:style w:type="character" w:styleId="Hyperlink">
    <w:name w:val="Hyperlink"/>
    <w:basedOn w:val="DefaultParagraphFont"/>
    <w:uiPriority w:val="99"/>
    <w:unhideWhenUsed/>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character" w:styleId="FollowedHyperlink">
    <w:name w:val="FollowedHyperlink"/>
    <w:basedOn w:val="DefaultParagraphFont"/>
    <w:uiPriority w:val="99"/>
    <w:semiHidden/>
    <w:unhideWhenUsed/>
    <w:rsid w:val="00EC7013"/>
    <w:rPr>
      <w:color w:val="551A8B" w:themeColor="followedHyperlink"/>
      <w:u w:val="single"/>
    </w:rPr>
  </w:style>
  <w:style w:type="paragraph" w:styleId="NormalWeb">
    <w:name w:val="Normal (Web)"/>
    <w:basedOn w:val="Normal"/>
    <w:uiPriority w:val="99"/>
    <w:semiHidden/>
    <w:unhideWhenUsed/>
    <w:rsid w:val="002354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84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3329">
      <w:bodyDiv w:val="1"/>
      <w:marLeft w:val="0"/>
      <w:marRight w:val="0"/>
      <w:marTop w:val="0"/>
      <w:marBottom w:val="0"/>
      <w:divBdr>
        <w:top w:val="none" w:sz="0" w:space="0" w:color="auto"/>
        <w:left w:val="none" w:sz="0" w:space="0" w:color="auto"/>
        <w:bottom w:val="none" w:sz="0" w:space="0" w:color="auto"/>
        <w:right w:val="none" w:sz="0" w:space="0" w:color="auto"/>
      </w:divBdr>
    </w:div>
    <w:div w:id="428889917">
      <w:bodyDiv w:val="1"/>
      <w:marLeft w:val="0"/>
      <w:marRight w:val="0"/>
      <w:marTop w:val="0"/>
      <w:marBottom w:val="0"/>
      <w:divBdr>
        <w:top w:val="none" w:sz="0" w:space="0" w:color="auto"/>
        <w:left w:val="none" w:sz="0" w:space="0" w:color="auto"/>
        <w:bottom w:val="none" w:sz="0" w:space="0" w:color="auto"/>
        <w:right w:val="none" w:sz="0" w:space="0" w:color="auto"/>
      </w:divBdr>
    </w:div>
    <w:div w:id="469590627">
      <w:bodyDiv w:val="1"/>
      <w:marLeft w:val="0"/>
      <w:marRight w:val="0"/>
      <w:marTop w:val="0"/>
      <w:marBottom w:val="0"/>
      <w:divBdr>
        <w:top w:val="none" w:sz="0" w:space="0" w:color="auto"/>
        <w:left w:val="none" w:sz="0" w:space="0" w:color="auto"/>
        <w:bottom w:val="none" w:sz="0" w:space="0" w:color="auto"/>
        <w:right w:val="none" w:sz="0" w:space="0" w:color="auto"/>
      </w:divBdr>
    </w:div>
    <w:div w:id="996689583">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262372431">
      <w:bodyDiv w:val="1"/>
      <w:marLeft w:val="0"/>
      <w:marRight w:val="0"/>
      <w:marTop w:val="0"/>
      <w:marBottom w:val="0"/>
      <w:divBdr>
        <w:top w:val="none" w:sz="0" w:space="0" w:color="auto"/>
        <w:left w:val="none" w:sz="0" w:space="0" w:color="auto"/>
        <w:bottom w:val="none" w:sz="0" w:space="0" w:color="auto"/>
        <w:right w:val="none" w:sz="0" w:space="0" w:color="auto"/>
      </w:divBdr>
    </w:div>
    <w:div w:id="1528638554">
      <w:bodyDiv w:val="1"/>
      <w:marLeft w:val="0"/>
      <w:marRight w:val="0"/>
      <w:marTop w:val="0"/>
      <w:marBottom w:val="0"/>
      <w:divBdr>
        <w:top w:val="none" w:sz="0" w:space="0" w:color="auto"/>
        <w:left w:val="none" w:sz="0" w:space="0" w:color="auto"/>
        <w:bottom w:val="none" w:sz="0" w:space="0" w:color="auto"/>
        <w:right w:val="none" w:sz="0" w:space="0" w:color="auto"/>
      </w:divBdr>
    </w:div>
    <w:div w:id="1926450452">
      <w:bodyDiv w:val="1"/>
      <w:marLeft w:val="0"/>
      <w:marRight w:val="0"/>
      <w:marTop w:val="0"/>
      <w:marBottom w:val="0"/>
      <w:divBdr>
        <w:top w:val="none" w:sz="0" w:space="0" w:color="auto"/>
        <w:left w:val="none" w:sz="0" w:space="0" w:color="auto"/>
        <w:bottom w:val="none" w:sz="0" w:space="0" w:color="auto"/>
        <w:right w:val="none" w:sz="0" w:space="0" w:color="auto"/>
      </w:divBdr>
    </w:div>
    <w:div w:id="20787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enturecapital@industry.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960D182274E29B84B26260F1F9885"/>
        <w:category>
          <w:name w:val="General"/>
          <w:gallery w:val="placeholder"/>
        </w:category>
        <w:types>
          <w:type w:val="bbPlcHdr"/>
        </w:types>
        <w:behaviors>
          <w:behavior w:val="content"/>
        </w:behaviors>
        <w:guid w:val="{2D9CDEAF-6FCA-4F4C-A91C-9EB755CE3E6A}"/>
      </w:docPartPr>
      <w:docPartBody>
        <w:p w:rsidR="00187700" w:rsidRDefault="00C1685B">
          <w:pPr>
            <w:pStyle w:val="ECD960D182274E29B84B26260F1F9885"/>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5B"/>
    <w:rsid w:val="00187700"/>
    <w:rsid w:val="009569C5"/>
    <w:rsid w:val="00A8790C"/>
    <w:rsid w:val="00C16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85B"/>
    <w:rPr>
      <w:color w:val="808080"/>
    </w:rPr>
  </w:style>
  <w:style w:type="paragraph" w:customStyle="1" w:styleId="ECD960D182274E29B84B26260F1F9885">
    <w:name w:val="ECD960D182274E29B84B26260F1F9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adb9bed2e36e4a93af574aeb444da63e>
    <o1116530bc244d4bbd793e6e47aad9f9 xmlns="2a251b7e-61e4-4816-a71f-b295a9ad20fb">
      <Terms xmlns="http://schemas.microsoft.com/office/infopath/2007/PartnerControls"/>
    </o1116530bc244d4bbd793e6e47aad9f9>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4fbcaf2e-c858-4248-836e-58ac5eb285ca</TermId>
        </TermInfo>
      </Terms>
    </n99e4c9942c6404eb103464a00e6097b>
    <TaxCatchAll xmlns="2a251b7e-61e4-4816-a71f-b295a9ad20fb">
      <Value>46829</Value>
      <Value>40</Value>
      <Value>67</Value>
      <Value>3</Value>
    </TaxCatchAll>
    <DocHub_ProjectGrantBenefitNo xmlns="2a251b7e-61e4-4816-a71f-b295a9ad20fb" xsi:nil="true"/>
    <i1b1d89ca1344d158659b406de327cce xmlns="2a251b7e-61e4-4816-a71f-b295a9ad20fb">
      <Terms xmlns="http://schemas.microsoft.com/office/infopath/2007/PartnerControls"/>
    </i1b1d89ca1344d158659b406de327cce>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12af97d0-e555-43d0-b3d2-0f0b8e33cc04</TermId>
        </TermInfo>
      </Terms>
    </g7bcb40ba23249a78edca7d43a67c1c9>
    <Comments xmlns="http://schemas.microsoft.com/sharepoint/v3">Alternative version of VC tax concession dashboard</Comments>
    <_dlc_DocId xmlns="2a251b7e-61e4-4816-a71f-b295a9ad20fb">YZXQVS7QACYM-679045184-2799</_dlc_DocId>
    <_dlc_DocIdUrl xmlns="2a251b7e-61e4-4816-a71f-b295a9ad20fb">
      <Url>https://dochub/div/ausindustry/programmesprojectstaskforces/venturecapital/_layouts/15/DocIdRedir.aspx?ID=YZXQVS7QACYM-679045184-2799</Url>
      <Description>YZXQVS7QACYM-679045184-2799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E22515F5B0340B0AF29FCD9B29DA1" ma:contentTypeVersion="20" ma:contentTypeDescription="Create a new document." ma:contentTypeScope="" ma:versionID="8b8b23134d2cf566b449892f08deed4d">
  <xsd:schema xmlns:xsd="http://www.w3.org/2001/XMLSchema" xmlns:xs="http://www.w3.org/2001/XMLSchema" xmlns:p="http://schemas.microsoft.com/office/2006/metadata/properties" xmlns:ns1="http://schemas.microsoft.com/sharepoint/v3" xmlns:ns2="2a251b7e-61e4-4816-a71f-b295a9ad20fb" xmlns:ns3="b3b2f4e5-2ec4-4f1f-99dd-9592e758b1a2" xmlns:ns4="http://schemas.microsoft.com/sharepoint/v4" targetNamespace="http://schemas.microsoft.com/office/2006/metadata/properties" ma:root="true" ma:fieldsID="7244dcc77a4bd7977fff9c460370e9f4" ns1:_="" ns2:_="" ns3:_="" ns4:_="">
    <xsd:import namespace="http://schemas.microsoft.com/sharepoint/v3"/>
    <xsd:import namespace="2a251b7e-61e4-4816-a71f-b295a9ad20fb"/>
    <xsd:import namespace="b3b2f4e5-2ec4-4f1f-99dd-9592e758b1a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i1b1d89ca1344d158659b406de327cce" minOccurs="0"/>
                <xsd:element ref="ns2:o1116530bc244d4bbd793e6e47aad9f9" minOccurs="0"/>
                <xsd:element ref="ns2:DocHub_ProjectGrantBenefitNo"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i1b1d89ca1344d158659b406de327cce" ma:index="24" nillable="true" ma:taxonomy="true" ma:internalName="i1b1d89ca1344d158659b406de327cce" ma:taxonomyFieldName="DocHub_PhaseLifecycle" ma:displayName="Phase/Lifecycle" ma:indexed="true" ma:fieldId="{21b1d89c-a134-4d15-8659-b406de327cce}" ma:sspId="fb0313f7-9433-48c0-866e-9e0bbee59a50" ma:termSetId="f4d8ac1b-73e2-4426-9c84-b980c1719e78" ma:anchorId="00000000-0000-0000-0000-000000000000" ma:open="false" ma:isKeyword="false">
      <xsd:complexType>
        <xsd:sequence>
          <xsd:element ref="pc:Terms" minOccurs="0" maxOccurs="1"/>
        </xsd:sequence>
      </xsd:complexType>
    </xsd:element>
    <xsd:element name="o1116530bc244d4bbd793e6e47aad9f9" ma:index="26" nillable="true" ma:taxonomy="true" ma:internalName="o1116530bc244d4bbd793e6e47aad9f9" ma:taxonomyFieldName="DocHub_EntityCustomer" ma:displayName="Entity (Customer)" ma:indexed="true" ma:default="" ma:fieldId="{81116530-bc24-4d4b-bd79-3e6e47aad9f9}" ma:sspId="fb0313f7-9433-48c0-866e-9e0bbee59a50" ma:termSetId="3d16dad7-9c2a-4544-b039-528cc1012230" ma:anchorId="00000000-0000-0000-0000-000000000000" ma:open="true" ma:isKeyword="false">
      <xsd:complexType>
        <xsd:sequence>
          <xsd:element ref="pc:Terms" minOccurs="0" maxOccurs="1"/>
        </xsd:sequence>
      </xsd:complexType>
    </xsd:element>
    <xsd:element name="DocHub_ProjectGrantBenefitNo" ma:index="27" nillable="true" ma:displayName="Project (Grant/Benefit) No" ma:internalName="DocHub_ProjectGrantBenefit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b2f4e5-2ec4-4f1f-99dd-9592e758b1a2"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9229A-BF33-4CE5-AC2C-92FF235DC18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sharepoint/v4"/>
    <ds:schemaRef ds:uri="http://schemas.microsoft.com/sharepoint/v3"/>
    <ds:schemaRef ds:uri="http://purl.org/dc/elements/1.1/"/>
    <ds:schemaRef ds:uri="b3b2f4e5-2ec4-4f1f-99dd-9592e758b1a2"/>
    <ds:schemaRef ds:uri="2a251b7e-61e4-4816-a71f-b295a9ad20fb"/>
    <ds:schemaRef ds:uri="http://www.w3.org/XML/1998/namespace"/>
    <ds:schemaRef ds:uri="http://purl.org/dc/dcmitype/"/>
  </ds:schemaRefs>
</ds:datastoreItem>
</file>

<file path=customXml/itemProps2.xml><?xml version="1.0" encoding="utf-8"?>
<ds:datastoreItem xmlns:ds="http://schemas.openxmlformats.org/officeDocument/2006/customXml" ds:itemID="{BE4A6845-8996-4EF1-B65B-4A15B40D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b3b2f4e5-2ec4-4f1f-99dd-9592e758b1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71333-0C42-4E48-824E-C3C2C4BFF48A}">
  <ds:schemaRefs>
    <ds:schemaRef ds:uri="http://schemas.microsoft.com/sharepoint/events"/>
  </ds:schemaRefs>
</ds:datastoreItem>
</file>

<file path=customXml/itemProps4.xml><?xml version="1.0" encoding="utf-8"?>
<ds:datastoreItem xmlns:ds="http://schemas.openxmlformats.org/officeDocument/2006/customXml" ds:itemID="{BBAA8A7F-08DE-46ED-995D-9D93A46F0864}">
  <ds:schemaRefs>
    <ds:schemaRef ds:uri="http://schemas.openxmlformats.org/officeDocument/2006/bibliography"/>
  </ds:schemaRefs>
</ds:datastoreItem>
</file>

<file path=customXml/itemProps5.xml><?xml version="1.0" encoding="utf-8"?>
<ds:datastoreItem xmlns:ds="http://schemas.openxmlformats.org/officeDocument/2006/customXml" ds:itemID="{7D2F32E3-98B2-4EF9-9C6B-503E09317893}">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1336</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Venture Capital Dashboard</vt:lpstr>
    </vt:vector>
  </TitlesOfParts>
  <Manager/>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State of play</dc:title>
  <dc:subject/>
  <dc:creator/>
  <cp:keywords/>
  <dc:description/>
  <cp:lastModifiedBy/>
  <cp:revision>1</cp:revision>
  <dcterms:created xsi:type="dcterms:W3CDTF">2024-12-06T09:53:00Z</dcterms:created>
  <dcterms:modified xsi:type="dcterms:W3CDTF">2025-12-23T06:33:00Z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0x0101002BEE22515F5B0340B0AF29FCD9B29DA1</vt:lpwstr>
  </property>
  <property fmtid="{D5CDD505-2E9C-101B-9397-08002B2CF9AE}" pid="3" name="_dlc_DocIdItemGuid">
    <vt:lpwstr>247b546c-d675-4e35-ad65-2fc92057bd4e</vt:lpwstr>
  </property>
  <property fmtid="{D5CDD505-2E9C-101B-9397-08002B2CF9AE}" pid="4" name="DocHub_Year">
    <vt:lpwstr>46829;#2023|4fbcaf2e-c858-4248-836e-58ac5eb285ca</vt:lpwstr>
  </property>
  <property fmtid="{D5CDD505-2E9C-101B-9397-08002B2CF9AE}" pid="5" name="DocHub_DocumentType">
    <vt:lpwstr>40;#Report|116a9244-cef6-47ce-a9a5-088c9cf21292</vt:lpwstr>
  </property>
  <property fmtid="{D5CDD505-2E9C-101B-9397-08002B2CF9AE}" pid="6" name="DocHub_SecurityClassification">
    <vt:lpwstr>3;#OFFICIAL|6106d03b-a1a0-4e30-9d91-d5e9fb4314f9</vt:lpwstr>
  </property>
  <property fmtid="{D5CDD505-2E9C-101B-9397-08002B2CF9AE}" pid="7" name="DocHub_PhaseLifecycle">
    <vt:lpwstr/>
  </property>
  <property fmtid="{D5CDD505-2E9C-101B-9397-08002B2CF9AE}" pid="8" name="DocHub_Keywords">
    <vt:lpwstr/>
  </property>
  <property fmtid="{D5CDD505-2E9C-101B-9397-08002B2CF9AE}" pid="9" name="DocHub_WorkActivity">
    <vt:lpwstr>67;#Reporting|12af97d0-e555-43d0-b3d2-0f0b8e33cc04</vt:lpwstr>
  </property>
  <property fmtid="{D5CDD505-2E9C-101B-9397-08002B2CF9AE}" pid="10" name="DocHub_EntityCustomer">
    <vt:lpwstr/>
  </property>
  <property fmtid="{D5CDD505-2E9C-101B-9397-08002B2CF9AE}" pid="11" name="ClassificationContentMarkingHeaderShapeIds">
    <vt:lpwstr>3e106ca5,148cc4b1,416cde4c</vt:lpwstr>
  </property>
  <property fmtid="{D5CDD505-2E9C-101B-9397-08002B2CF9AE}" pid="12" name="ClassificationContentMarkingHeaderFontProps">
    <vt:lpwstr>#c00000,12,Aptos</vt:lpwstr>
  </property>
  <property fmtid="{D5CDD505-2E9C-101B-9397-08002B2CF9AE}" pid="13" name="ClassificationContentMarkingHeaderText">
    <vt:lpwstr>OFFICIAL</vt:lpwstr>
  </property>
  <property fmtid="{D5CDD505-2E9C-101B-9397-08002B2CF9AE}" pid="14" name="ClassificationContentMarkingFooterShapeIds">
    <vt:lpwstr>3692467c,1c426e66,88202b5</vt:lpwstr>
  </property>
  <property fmtid="{D5CDD505-2E9C-101B-9397-08002B2CF9AE}" pid="15" name="ClassificationContentMarkingFooterFontProps">
    <vt:lpwstr>#c00000,12,Aptos</vt:lpwstr>
  </property>
  <property fmtid="{D5CDD505-2E9C-101B-9397-08002B2CF9AE}" pid="16" name="ClassificationContentMarkingFooterText">
    <vt:lpwstr>OFFICIAL</vt:lpwstr>
  </property>
</Properties>
</file>