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D66B1" w14:textId="1DF00503" w:rsidR="002F60C0" w:rsidRDefault="00960D98" w:rsidP="001C34C5">
      <w:bookmarkStart w:id="0" w:name="_Toc19289801"/>
      <w:r w:rsidRPr="00180BF8">
        <w:rPr>
          <w:noProof/>
          <w:lang w:eastAsia="en-AU"/>
        </w:rPr>
        <w:drawing>
          <wp:inline distT="0" distB="0" distL="0" distR="0" wp14:anchorId="333698FB" wp14:editId="1BFCF7DE">
            <wp:extent cx="2228400" cy="651600"/>
            <wp:effectExtent l="0" t="0" r="635" b="0"/>
            <wp:docPr id="3" name="Picture 3"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and Resource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28400" cy="6516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r w:rsidR="002F60C0" w:rsidRPr="002F60C0">
        <w:t xml:space="preserve"> </w:t>
      </w:r>
    </w:p>
    <w:p w14:paraId="0F30A161" w14:textId="2B3B9876" w:rsidR="00AD78E3" w:rsidRDefault="00AD78E3" w:rsidP="001C34C5"/>
    <w:bookmarkStart w:id="1" w:name="_Toc144911604" w:displacedByCustomXml="next"/>
    <w:bookmarkEnd w:id="1" w:displacedByCustomXml="next"/>
    <w:bookmarkStart w:id="2" w:name="_Toc155176735" w:displacedByCustomXml="next"/>
    <w:bookmarkEnd w:id="2" w:displacedByCustomXml="next"/>
    <w:bookmarkEnd w:id="0" w:displacedByCustomXml="next"/>
    <w:sdt>
      <w:sdtPr>
        <w:rPr>
          <w:rFonts w:asciiTheme="minorHAnsi" w:eastAsiaTheme="minorEastAsia" w:hAnsiTheme="minorHAnsi" w:cstheme="minorBidi"/>
          <w:color w:val="auto"/>
          <w:sz w:val="22"/>
          <w:szCs w:val="22"/>
        </w:rPr>
        <w:id w:val="-2088995269"/>
        <w:docPartObj>
          <w:docPartGallery w:val="Cover Pages"/>
          <w:docPartUnique/>
        </w:docPartObj>
      </w:sdtPr>
      <w:sdtEndPr>
        <w:rPr>
          <w:color w:val="001B35" w:themeColor="background2"/>
          <w:sz w:val="40"/>
          <w:szCs w:val="40"/>
        </w:rPr>
      </w:sdtEndPr>
      <w:sdtContent>
        <w:sdt>
          <w:sdtPr>
            <w:alias w:val="Title"/>
            <w:tag w:val=""/>
            <w:id w:val="-856345196"/>
            <w:placeholder>
              <w:docPart w:val="F461769746F64F7ABEAB398BFFC8C29F"/>
            </w:placeholder>
            <w:dataBinding w:prefixMappings="xmlns:ns0='http://purl.org/dc/elements/1.1/' xmlns:ns1='http://schemas.openxmlformats.org/package/2006/metadata/core-properties' " w:xpath="/ns1:coreProperties[1]/ns0:title[1]" w:storeItemID="{6C3C8BC8-F283-45AE-878A-BAB7291924A1}"/>
            <w:text/>
          </w:sdtPr>
          <w:sdtContent>
            <w:p w14:paraId="0D09806D" w14:textId="20B4A9DA" w:rsidR="0068286F" w:rsidRDefault="00E02E5D" w:rsidP="001C34C5">
              <w:pPr>
                <w:pStyle w:val="Heading1"/>
              </w:pPr>
              <w:r>
                <w:t>Department of Industry, Science and Resources</w:t>
              </w:r>
            </w:p>
          </w:sdtContent>
        </w:sdt>
        <w:p w14:paraId="04886856" w14:textId="47447079" w:rsidR="002F60C0" w:rsidRPr="00090DDB" w:rsidRDefault="008301DC" w:rsidP="001C34C5">
          <w:pPr>
            <w:pStyle w:val="Subtitle"/>
          </w:pPr>
          <w:r>
            <w:t>Post Implementation Review – PsiQuantum Project</w:t>
          </w:r>
          <w:r w:rsidR="00090DDB">
            <w:tab/>
          </w:r>
        </w:p>
      </w:sdtContent>
    </w:sdt>
    <w:p w14:paraId="28D3CF20" w14:textId="77777777" w:rsidR="00ED1FF1" w:rsidRDefault="00ED1FF1" w:rsidP="001C34C5">
      <w:pPr>
        <w:rPr>
          <w:rFonts w:asciiTheme="majorHAnsi" w:eastAsiaTheme="majorEastAsia" w:hAnsiTheme="majorHAnsi" w:cstheme="majorBidi"/>
          <w:color w:val="0766A5" w:themeColor="accent1"/>
          <w:sz w:val="48"/>
          <w:szCs w:val="48"/>
        </w:rPr>
      </w:pPr>
      <w:bookmarkStart w:id="3" w:name="_Toc155191315"/>
      <w:bookmarkStart w:id="4" w:name="_Toc144911608"/>
      <w:bookmarkStart w:id="5" w:name="_Toc155176736"/>
      <w:bookmarkStart w:id="6" w:name="_Toc19023741"/>
      <w:bookmarkStart w:id="7" w:name="_Hlk155189889"/>
      <w:r>
        <w:br w:type="page"/>
      </w:r>
    </w:p>
    <w:p w14:paraId="5A831F69" w14:textId="77777777" w:rsidR="00DC6FE0" w:rsidRDefault="00DC6FE0" w:rsidP="001C34C5">
      <w:pPr>
        <w:pStyle w:val="Heading4"/>
      </w:pPr>
      <w:bookmarkStart w:id="8" w:name="_Toc203032167"/>
      <w:r>
        <w:lastRenderedPageBreak/>
        <w:t>Contents</w:t>
      </w:r>
      <w:bookmarkEnd w:id="8"/>
    </w:p>
    <w:p w14:paraId="151AF18A" w14:textId="28126695" w:rsidR="007C182B" w:rsidRDefault="00DF2110">
      <w:pPr>
        <w:pStyle w:val="TOC1"/>
        <w:rPr>
          <w:rFonts w:eastAsiaTheme="minorEastAsia"/>
          <w:b w:val="0"/>
          <w:bCs w:val="0"/>
          <w:kern w:val="2"/>
          <w:lang w:eastAsia="en-AU"/>
          <w14:ligatures w14:val="standardContextual"/>
        </w:rPr>
      </w:pPr>
      <w:r w:rsidRPr="001C34C5">
        <w:rPr>
          <w:sz w:val="22"/>
        </w:rPr>
        <w:fldChar w:fldCharType="begin"/>
      </w:r>
      <w:r w:rsidRPr="001C34C5">
        <w:instrText xml:space="preserve"> TOC \h \z \u \t "Heading 4,1,Heading 5,2" </w:instrText>
      </w:r>
      <w:r w:rsidRPr="001C34C5">
        <w:rPr>
          <w:sz w:val="22"/>
        </w:rPr>
        <w:fldChar w:fldCharType="separate"/>
      </w:r>
      <w:hyperlink w:anchor="_Toc203032167" w:history="1">
        <w:r w:rsidR="007C182B" w:rsidRPr="00E8589B">
          <w:rPr>
            <w:rStyle w:val="Hyperlink"/>
          </w:rPr>
          <w:t>Contents</w:t>
        </w:r>
        <w:r w:rsidR="007C182B">
          <w:rPr>
            <w:webHidden/>
          </w:rPr>
          <w:tab/>
        </w:r>
        <w:r w:rsidR="007C182B">
          <w:rPr>
            <w:webHidden/>
          </w:rPr>
          <w:fldChar w:fldCharType="begin"/>
        </w:r>
        <w:r w:rsidR="007C182B">
          <w:rPr>
            <w:webHidden/>
          </w:rPr>
          <w:instrText xml:space="preserve"> PAGEREF _Toc203032167 \h </w:instrText>
        </w:r>
        <w:r w:rsidR="007C182B">
          <w:rPr>
            <w:webHidden/>
          </w:rPr>
        </w:r>
        <w:r w:rsidR="007C182B">
          <w:rPr>
            <w:webHidden/>
          </w:rPr>
          <w:fldChar w:fldCharType="separate"/>
        </w:r>
        <w:r w:rsidR="00AA6F3C">
          <w:rPr>
            <w:webHidden/>
          </w:rPr>
          <w:t>2</w:t>
        </w:r>
        <w:r w:rsidR="007C182B">
          <w:rPr>
            <w:webHidden/>
          </w:rPr>
          <w:fldChar w:fldCharType="end"/>
        </w:r>
      </w:hyperlink>
    </w:p>
    <w:p w14:paraId="45B0F248" w14:textId="75A05FEF" w:rsidR="007C182B" w:rsidRDefault="007C182B">
      <w:pPr>
        <w:pStyle w:val="TOC1"/>
        <w:rPr>
          <w:rFonts w:eastAsiaTheme="minorEastAsia"/>
          <w:b w:val="0"/>
          <w:bCs w:val="0"/>
          <w:kern w:val="2"/>
          <w:lang w:eastAsia="en-AU"/>
          <w14:ligatures w14:val="standardContextual"/>
        </w:rPr>
      </w:pPr>
      <w:hyperlink w:anchor="_Toc203032168" w:history="1">
        <w:r w:rsidRPr="00E8589B">
          <w:rPr>
            <w:rStyle w:val="Hyperlink"/>
          </w:rPr>
          <w:t>1. Executive Summary</w:t>
        </w:r>
        <w:r>
          <w:rPr>
            <w:webHidden/>
          </w:rPr>
          <w:tab/>
        </w:r>
        <w:r>
          <w:rPr>
            <w:webHidden/>
          </w:rPr>
          <w:fldChar w:fldCharType="begin"/>
        </w:r>
        <w:r>
          <w:rPr>
            <w:webHidden/>
          </w:rPr>
          <w:instrText xml:space="preserve"> PAGEREF _Toc203032168 \h </w:instrText>
        </w:r>
        <w:r>
          <w:rPr>
            <w:webHidden/>
          </w:rPr>
        </w:r>
        <w:r>
          <w:rPr>
            <w:webHidden/>
          </w:rPr>
          <w:fldChar w:fldCharType="separate"/>
        </w:r>
        <w:r w:rsidR="00AA6F3C">
          <w:rPr>
            <w:webHidden/>
          </w:rPr>
          <w:t>3</w:t>
        </w:r>
        <w:r>
          <w:rPr>
            <w:webHidden/>
          </w:rPr>
          <w:fldChar w:fldCharType="end"/>
        </w:r>
      </w:hyperlink>
    </w:p>
    <w:p w14:paraId="304B8202" w14:textId="5AA43BE5" w:rsidR="007C182B" w:rsidRDefault="007C182B">
      <w:pPr>
        <w:pStyle w:val="TOC1"/>
        <w:rPr>
          <w:rFonts w:eastAsiaTheme="minorEastAsia"/>
          <w:b w:val="0"/>
          <w:bCs w:val="0"/>
          <w:kern w:val="2"/>
          <w:lang w:eastAsia="en-AU"/>
          <w14:ligatures w14:val="standardContextual"/>
        </w:rPr>
      </w:pPr>
      <w:hyperlink w:anchor="_Toc203032169" w:history="1">
        <w:r w:rsidRPr="00E8589B">
          <w:rPr>
            <w:rStyle w:val="Hyperlink"/>
          </w:rPr>
          <w:t>2. Introduction</w:t>
        </w:r>
        <w:r>
          <w:rPr>
            <w:webHidden/>
          </w:rPr>
          <w:tab/>
        </w:r>
        <w:r>
          <w:rPr>
            <w:webHidden/>
          </w:rPr>
          <w:fldChar w:fldCharType="begin"/>
        </w:r>
        <w:r>
          <w:rPr>
            <w:webHidden/>
          </w:rPr>
          <w:instrText xml:space="preserve"> PAGEREF _Toc203032169 \h </w:instrText>
        </w:r>
        <w:r>
          <w:rPr>
            <w:webHidden/>
          </w:rPr>
        </w:r>
        <w:r>
          <w:rPr>
            <w:webHidden/>
          </w:rPr>
          <w:fldChar w:fldCharType="separate"/>
        </w:r>
        <w:r w:rsidR="00AA6F3C">
          <w:rPr>
            <w:webHidden/>
          </w:rPr>
          <w:t>4</w:t>
        </w:r>
        <w:r>
          <w:rPr>
            <w:webHidden/>
          </w:rPr>
          <w:fldChar w:fldCharType="end"/>
        </w:r>
      </w:hyperlink>
    </w:p>
    <w:p w14:paraId="5BC75600" w14:textId="6D9AB97A" w:rsidR="007C182B" w:rsidRDefault="007C182B">
      <w:pPr>
        <w:pStyle w:val="TOC2"/>
        <w:tabs>
          <w:tab w:val="right" w:leader="dot" w:pos="9016"/>
        </w:tabs>
        <w:rPr>
          <w:rFonts w:eastAsiaTheme="minorEastAsia"/>
          <w:noProof/>
          <w:kern w:val="2"/>
          <w:lang w:eastAsia="en-AU"/>
          <w14:ligatures w14:val="standardContextual"/>
        </w:rPr>
      </w:pPr>
      <w:hyperlink w:anchor="_Toc203032170" w:history="1">
        <w:r w:rsidRPr="00E8589B">
          <w:rPr>
            <w:rStyle w:val="Hyperlink"/>
            <w:noProof/>
          </w:rPr>
          <w:t>2.1 Structure of report</w:t>
        </w:r>
        <w:r>
          <w:rPr>
            <w:noProof/>
            <w:webHidden/>
          </w:rPr>
          <w:tab/>
        </w:r>
        <w:r>
          <w:rPr>
            <w:noProof/>
            <w:webHidden/>
          </w:rPr>
          <w:fldChar w:fldCharType="begin"/>
        </w:r>
        <w:r>
          <w:rPr>
            <w:noProof/>
            <w:webHidden/>
          </w:rPr>
          <w:instrText xml:space="preserve"> PAGEREF _Toc203032170 \h </w:instrText>
        </w:r>
        <w:r>
          <w:rPr>
            <w:noProof/>
            <w:webHidden/>
          </w:rPr>
        </w:r>
        <w:r>
          <w:rPr>
            <w:noProof/>
            <w:webHidden/>
          </w:rPr>
          <w:fldChar w:fldCharType="separate"/>
        </w:r>
        <w:r w:rsidR="00AA6F3C">
          <w:rPr>
            <w:noProof/>
            <w:webHidden/>
          </w:rPr>
          <w:t>4</w:t>
        </w:r>
        <w:r>
          <w:rPr>
            <w:noProof/>
            <w:webHidden/>
          </w:rPr>
          <w:fldChar w:fldCharType="end"/>
        </w:r>
      </w:hyperlink>
    </w:p>
    <w:p w14:paraId="093B1E96" w14:textId="6932FB87" w:rsidR="007C182B" w:rsidRDefault="007C182B">
      <w:pPr>
        <w:pStyle w:val="TOC2"/>
        <w:tabs>
          <w:tab w:val="right" w:leader="dot" w:pos="9016"/>
        </w:tabs>
        <w:rPr>
          <w:rFonts w:eastAsiaTheme="minorEastAsia"/>
          <w:noProof/>
          <w:kern w:val="2"/>
          <w:lang w:eastAsia="en-AU"/>
          <w14:ligatures w14:val="standardContextual"/>
        </w:rPr>
      </w:pPr>
      <w:hyperlink w:anchor="_Toc203032171" w:history="1">
        <w:r w:rsidRPr="00E8589B">
          <w:rPr>
            <w:rStyle w:val="Hyperlink"/>
            <w:noProof/>
          </w:rPr>
          <w:t>2.2 Operating environment</w:t>
        </w:r>
        <w:r>
          <w:rPr>
            <w:noProof/>
            <w:webHidden/>
          </w:rPr>
          <w:tab/>
        </w:r>
        <w:r>
          <w:rPr>
            <w:noProof/>
            <w:webHidden/>
          </w:rPr>
          <w:fldChar w:fldCharType="begin"/>
        </w:r>
        <w:r>
          <w:rPr>
            <w:noProof/>
            <w:webHidden/>
          </w:rPr>
          <w:instrText xml:space="preserve"> PAGEREF _Toc203032171 \h </w:instrText>
        </w:r>
        <w:r>
          <w:rPr>
            <w:noProof/>
            <w:webHidden/>
          </w:rPr>
        </w:r>
        <w:r>
          <w:rPr>
            <w:noProof/>
            <w:webHidden/>
          </w:rPr>
          <w:fldChar w:fldCharType="separate"/>
        </w:r>
        <w:r w:rsidR="00AA6F3C">
          <w:rPr>
            <w:noProof/>
            <w:webHidden/>
          </w:rPr>
          <w:t>5</w:t>
        </w:r>
        <w:r>
          <w:rPr>
            <w:noProof/>
            <w:webHidden/>
          </w:rPr>
          <w:fldChar w:fldCharType="end"/>
        </w:r>
      </w:hyperlink>
    </w:p>
    <w:p w14:paraId="3C111923" w14:textId="62781024" w:rsidR="007C182B" w:rsidRDefault="007C182B">
      <w:pPr>
        <w:pStyle w:val="TOC1"/>
        <w:rPr>
          <w:rFonts w:eastAsiaTheme="minorEastAsia"/>
          <w:b w:val="0"/>
          <w:bCs w:val="0"/>
          <w:kern w:val="2"/>
          <w:lang w:eastAsia="en-AU"/>
          <w14:ligatures w14:val="standardContextual"/>
        </w:rPr>
      </w:pPr>
      <w:hyperlink w:anchor="_Toc203032172" w:history="1">
        <w:r w:rsidRPr="00E8589B">
          <w:rPr>
            <w:rStyle w:val="Hyperlink"/>
          </w:rPr>
          <w:t>3. The effectiveness of the decision-making framework, assessment approach and procurement practices applied by DISR</w:t>
        </w:r>
        <w:r>
          <w:rPr>
            <w:webHidden/>
          </w:rPr>
          <w:tab/>
        </w:r>
        <w:r>
          <w:rPr>
            <w:webHidden/>
          </w:rPr>
          <w:fldChar w:fldCharType="begin"/>
        </w:r>
        <w:r>
          <w:rPr>
            <w:webHidden/>
          </w:rPr>
          <w:instrText xml:space="preserve"> PAGEREF _Toc203032172 \h </w:instrText>
        </w:r>
        <w:r>
          <w:rPr>
            <w:webHidden/>
          </w:rPr>
        </w:r>
        <w:r>
          <w:rPr>
            <w:webHidden/>
          </w:rPr>
          <w:fldChar w:fldCharType="separate"/>
        </w:r>
        <w:r w:rsidR="00AA6F3C">
          <w:rPr>
            <w:webHidden/>
          </w:rPr>
          <w:t>6</w:t>
        </w:r>
        <w:r>
          <w:rPr>
            <w:webHidden/>
          </w:rPr>
          <w:fldChar w:fldCharType="end"/>
        </w:r>
      </w:hyperlink>
    </w:p>
    <w:p w14:paraId="76FE39D7" w14:textId="0B2FF280" w:rsidR="007C182B" w:rsidRDefault="007C182B">
      <w:pPr>
        <w:pStyle w:val="TOC2"/>
        <w:tabs>
          <w:tab w:val="right" w:leader="dot" w:pos="9016"/>
        </w:tabs>
        <w:rPr>
          <w:rFonts w:eastAsiaTheme="minorEastAsia"/>
          <w:noProof/>
          <w:kern w:val="2"/>
          <w:lang w:eastAsia="en-AU"/>
          <w14:ligatures w14:val="standardContextual"/>
        </w:rPr>
      </w:pPr>
      <w:hyperlink w:anchor="_Toc203032173" w:history="1">
        <w:r w:rsidRPr="00E8589B">
          <w:rPr>
            <w:rStyle w:val="Hyperlink"/>
            <w:noProof/>
          </w:rPr>
          <w:t>3.1 Assessment approach and authorising environment</w:t>
        </w:r>
        <w:r>
          <w:rPr>
            <w:noProof/>
            <w:webHidden/>
          </w:rPr>
          <w:tab/>
        </w:r>
        <w:r>
          <w:rPr>
            <w:noProof/>
            <w:webHidden/>
          </w:rPr>
          <w:fldChar w:fldCharType="begin"/>
        </w:r>
        <w:r>
          <w:rPr>
            <w:noProof/>
            <w:webHidden/>
          </w:rPr>
          <w:instrText xml:space="preserve"> PAGEREF _Toc203032173 \h </w:instrText>
        </w:r>
        <w:r>
          <w:rPr>
            <w:noProof/>
            <w:webHidden/>
          </w:rPr>
        </w:r>
        <w:r>
          <w:rPr>
            <w:noProof/>
            <w:webHidden/>
          </w:rPr>
          <w:fldChar w:fldCharType="separate"/>
        </w:r>
        <w:r w:rsidR="00AA6F3C">
          <w:rPr>
            <w:noProof/>
            <w:webHidden/>
          </w:rPr>
          <w:t>6</w:t>
        </w:r>
        <w:r>
          <w:rPr>
            <w:noProof/>
            <w:webHidden/>
          </w:rPr>
          <w:fldChar w:fldCharType="end"/>
        </w:r>
      </w:hyperlink>
    </w:p>
    <w:p w14:paraId="11FDDD0D" w14:textId="70C081DB" w:rsidR="007C182B" w:rsidRDefault="007C182B">
      <w:pPr>
        <w:pStyle w:val="TOC2"/>
        <w:tabs>
          <w:tab w:val="right" w:leader="dot" w:pos="9016"/>
        </w:tabs>
        <w:rPr>
          <w:rFonts w:eastAsiaTheme="minorEastAsia"/>
          <w:noProof/>
          <w:kern w:val="2"/>
          <w:lang w:eastAsia="en-AU"/>
          <w14:ligatures w14:val="standardContextual"/>
        </w:rPr>
      </w:pPr>
      <w:hyperlink w:anchor="_Toc203032174" w:history="1">
        <w:r w:rsidRPr="00E8589B">
          <w:rPr>
            <w:rStyle w:val="Hyperlink"/>
            <w:noProof/>
          </w:rPr>
          <w:t>3.2 Stakeholder engagement</w:t>
        </w:r>
        <w:r>
          <w:rPr>
            <w:noProof/>
            <w:webHidden/>
          </w:rPr>
          <w:tab/>
        </w:r>
        <w:r>
          <w:rPr>
            <w:noProof/>
            <w:webHidden/>
          </w:rPr>
          <w:fldChar w:fldCharType="begin"/>
        </w:r>
        <w:r>
          <w:rPr>
            <w:noProof/>
            <w:webHidden/>
          </w:rPr>
          <w:instrText xml:space="preserve"> PAGEREF _Toc203032174 \h </w:instrText>
        </w:r>
        <w:r>
          <w:rPr>
            <w:noProof/>
            <w:webHidden/>
          </w:rPr>
        </w:r>
        <w:r>
          <w:rPr>
            <w:noProof/>
            <w:webHidden/>
          </w:rPr>
          <w:fldChar w:fldCharType="separate"/>
        </w:r>
        <w:r w:rsidR="00AA6F3C">
          <w:rPr>
            <w:noProof/>
            <w:webHidden/>
          </w:rPr>
          <w:t>9</w:t>
        </w:r>
        <w:r>
          <w:rPr>
            <w:noProof/>
            <w:webHidden/>
          </w:rPr>
          <w:fldChar w:fldCharType="end"/>
        </w:r>
      </w:hyperlink>
    </w:p>
    <w:p w14:paraId="5315FD95" w14:textId="2BA7B27D" w:rsidR="007C182B" w:rsidRDefault="007C182B">
      <w:pPr>
        <w:pStyle w:val="TOC2"/>
        <w:tabs>
          <w:tab w:val="right" w:leader="dot" w:pos="9016"/>
        </w:tabs>
        <w:rPr>
          <w:rFonts w:eastAsiaTheme="minorEastAsia"/>
          <w:noProof/>
          <w:kern w:val="2"/>
          <w:lang w:eastAsia="en-AU"/>
          <w14:ligatures w14:val="standardContextual"/>
        </w:rPr>
      </w:pPr>
      <w:hyperlink w:anchor="_Toc203032175" w:history="1">
        <w:r w:rsidRPr="00E8589B">
          <w:rPr>
            <w:rStyle w:val="Hyperlink"/>
            <w:noProof/>
          </w:rPr>
          <w:t>3.3 Market testing</w:t>
        </w:r>
        <w:r>
          <w:rPr>
            <w:noProof/>
            <w:webHidden/>
          </w:rPr>
          <w:tab/>
        </w:r>
        <w:r>
          <w:rPr>
            <w:noProof/>
            <w:webHidden/>
          </w:rPr>
          <w:fldChar w:fldCharType="begin"/>
        </w:r>
        <w:r>
          <w:rPr>
            <w:noProof/>
            <w:webHidden/>
          </w:rPr>
          <w:instrText xml:space="preserve"> PAGEREF _Toc203032175 \h </w:instrText>
        </w:r>
        <w:r>
          <w:rPr>
            <w:noProof/>
            <w:webHidden/>
          </w:rPr>
        </w:r>
        <w:r>
          <w:rPr>
            <w:noProof/>
            <w:webHidden/>
          </w:rPr>
          <w:fldChar w:fldCharType="separate"/>
        </w:r>
        <w:r w:rsidR="00AA6F3C">
          <w:rPr>
            <w:noProof/>
            <w:webHidden/>
          </w:rPr>
          <w:t>10</w:t>
        </w:r>
        <w:r>
          <w:rPr>
            <w:noProof/>
            <w:webHidden/>
          </w:rPr>
          <w:fldChar w:fldCharType="end"/>
        </w:r>
      </w:hyperlink>
    </w:p>
    <w:p w14:paraId="0DAE305F" w14:textId="084C713A" w:rsidR="007C182B" w:rsidRDefault="007C182B">
      <w:pPr>
        <w:pStyle w:val="TOC1"/>
        <w:rPr>
          <w:rFonts w:eastAsiaTheme="minorEastAsia"/>
          <w:b w:val="0"/>
          <w:bCs w:val="0"/>
          <w:kern w:val="2"/>
          <w:lang w:eastAsia="en-AU"/>
          <w14:ligatures w14:val="standardContextual"/>
        </w:rPr>
      </w:pPr>
      <w:hyperlink w:anchor="_Toc203032176" w:history="1">
        <w:r w:rsidRPr="00E8589B">
          <w:rPr>
            <w:rStyle w:val="Hyperlink"/>
          </w:rPr>
          <w:t>4. The effectiveness of the risk, governance and compliance frameworks applied to the project, and record-keeping undertaken by DISR</w:t>
        </w:r>
        <w:r>
          <w:rPr>
            <w:webHidden/>
          </w:rPr>
          <w:tab/>
        </w:r>
        <w:r>
          <w:rPr>
            <w:webHidden/>
          </w:rPr>
          <w:fldChar w:fldCharType="begin"/>
        </w:r>
        <w:r>
          <w:rPr>
            <w:webHidden/>
          </w:rPr>
          <w:instrText xml:space="preserve"> PAGEREF _Toc203032176 \h </w:instrText>
        </w:r>
        <w:r>
          <w:rPr>
            <w:webHidden/>
          </w:rPr>
        </w:r>
        <w:r>
          <w:rPr>
            <w:webHidden/>
          </w:rPr>
          <w:fldChar w:fldCharType="separate"/>
        </w:r>
        <w:r w:rsidR="00AA6F3C">
          <w:rPr>
            <w:webHidden/>
          </w:rPr>
          <w:t>12</w:t>
        </w:r>
        <w:r>
          <w:rPr>
            <w:webHidden/>
          </w:rPr>
          <w:fldChar w:fldCharType="end"/>
        </w:r>
      </w:hyperlink>
    </w:p>
    <w:p w14:paraId="6E826DEC" w14:textId="63729F89" w:rsidR="007C182B" w:rsidRDefault="007C182B">
      <w:pPr>
        <w:pStyle w:val="TOC2"/>
        <w:tabs>
          <w:tab w:val="right" w:leader="dot" w:pos="9016"/>
        </w:tabs>
        <w:rPr>
          <w:rFonts w:eastAsiaTheme="minorEastAsia"/>
          <w:noProof/>
          <w:kern w:val="2"/>
          <w:lang w:eastAsia="en-AU"/>
          <w14:ligatures w14:val="standardContextual"/>
        </w:rPr>
      </w:pPr>
      <w:hyperlink w:anchor="_Toc203032177" w:history="1">
        <w:r w:rsidRPr="00E8589B">
          <w:rPr>
            <w:rStyle w:val="Hyperlink"/>
            <w:noProof/>
          </w:rPr>
          <w:t>4.1 Governance arrangements</w:t>
        </w:r>
        <w:r>
          <w:rPr>
            <w:noProof/>
            <w:webHidden/>
          </w:rPr>
          <w:tab/>
        </w:r>
        <w:r>
          <w:rPr>
            <w:noProof/>
            <w:webHidden/>
          </w:rPr>
          <w:fldChar w:fldCharType="begin"/>
        </w:r>
        <w:r>
          <w:rPr>
            <w:noProof/>
            <w:webHidden/>
          </w:rPr>
          <w:instrText xml:space="preserve"> PAGEREF _Toc203032177 \h </w:instrText>
        </w:r>
        <w:r>
          <w:rPr>
            <w:noProof/>
            <w:webHidden/>
          </w:rPr>
        </w:r>
        <w:r>
          <w:rPr>
            <w:noProof/>
            <w:webHidden/>
          </w:rPr>
          <w:fldChar w:fldCharType="separate"/>
        </w:r>
        <w:r w:rsidR="00AA6F3C">
          <w:rPr>
            <w:noProof/>
            <w:webHidden/>
          </w:rPr>
          <w:t>12</w:t>
        </w:r>
        <w:r>
          <w:rPr>
            <w:noProof/>
            <w:webHidden/>
          </w:rPr>
          <w:fldChar w:fldCharType="end"/>
        </w:r>
      </w:hyperlink>
    </w:p>
    <w:p w14:paraId="1CBFE688" w14:textId="4256ABF6" w:rsidR="007C182B" w:rsidRDefault="007C182B">
      <w:pPr>
        <w:pStyle w:val="TOC2"/>
        <w:tabs>
          <w:tab w:val="right" w:leader="dot" w:pos="9016"/>
        </w:tabs>
        <w:rPr>
          <w:rFonts w:eastAsiaTheme="minorEastAsia"/>
          <w:noProof/>
          <w:kern w:val="2"/>
          <w:lang w:eastAsia="en-AU"/>
          <w14:ligatures w14:val="standardContextual"/>
        </w:rPr>
      </w:pPr>
      <w:hyperlink w:anchor="_Toc203032178" w:history="1">
        <w:r w:rsidRPr="00E8589B">
          <w:rPr>
            <w:rStyle w:val="Hyperlink"/>
            <w:noProof/>
          </w:rPr>
          <w:t>4.2 Probity and confidentiality</w:t>
        </w:r>
        <w:r>
          <w:rPr>
            <w:noProof/>
            <w:webHidden/>
          </w:rPr>
          <w:tab/>
        </w:r>
        <w:r>
          <w:rPr>
            <w:noProof/>
            <w:webHidden/>
          </w:rPr>
          <w:fldChar w:fldCharType="begin"/>
        </w:r>
        <w:r>
          <w:rPr>
            <w:noProof/>
            <w:webHidden/>
          </w:rPr>
          <w:instrText xml:space="preserve"> PAGEREF _Toc203032178 \h </w:instrText>
        </w:r>
        <w:r>
          <w:rPr>
            <w:noProof/>
            <w:webHidden/>
          </w:rPr>
        </w:r>
        <w:r>
          <w:rPr>
            <w:noProof/>
            <w:webHidden/>
          </w:rPr>
          <w:fldChar w:fldCharType="separate"/>
        </w:r>
        <w:r w:rsidR="00AA6F3C">
          <w:rPr>
            <w:noProof/>
            <w:webHidden/>
          </w:rPr>
          <w:t>14</w:t>
        </w:r>
        <w:r>
          <w:rPr>
            <w:noProof/>
            <w:webHidden/>
          </w:rPr>
          <w:fldChar w:fldCharType="end"/>
        </w:r>
      </w:hyperlink>
    </w:p>
    <w:p w14:paraId="08FBA32F" w14:textId="0506BC04" w:rsidR="007C182B" w:rsidRDefault="007C182B">
      <w:pPr>
        <w:pStyle w:val="TOC2"/>
        <w:tabs>
          <w:tab w:val="right" w:leader="dot" w:pos="9016"/>
        </w:tabs>
        <w:rPr>
          <w:rFonts w:eastAsiaTheme="minorEastAsia"/>
          <w:noProof/>
          <w:kern w:val="2"/>
          <w:lang w:eastAsia="en-AU"/>
          <w14:ligatures w14:val="standardContextual"/>
        </w:rPr>
      </w:pPr>
      <w:hyperlink w:anchor="_Toc203032179" w:history="1">
        <w:r w:rsidRPr="00E8589B">
          <w:rPr>
            <w:rStyle w:val="Hyperlink"/>
            <w:noProof/>
          </w:rPr>
          <w:t>4.3 Risk &amp; project planning</w:t>
        </w:r>
        <w:r>
          <w:rPr>
            <w:noProof/>
            <w:webHidden/>
          </w:rPr>
          <w:tab/>
        </w:r>
        <w:r>
          <w:rPr>
            <w:noProof/>
            <w:webHidden/>
          </w:rPr>
          <w:fldChar w:fldCharType="begin"/>
        </w:r>
        <w:r>
          <w:rPr>
            <w:noProof/>
            <w:webHidden/>
          </w:rPr>
          <w:instrText xml:space="preserve"> PAGEREF _Toc203032179 \h </w:instrText>
        </w:r>
        <w:r>
          <w:rPr>
            <w:noProof/>
            <w:webHidden/>
          </w:rPr>
        </w:r>
        <w:r>
          <w:rPr>
            <w:noProof/>
            <w:webHidden/>
          </w:rPr>
          <w:fldChar w:fldCharType="separate"/>
        </w:r>
        <w:r w:rsidR="00AA6F3C">
          <w:rPr>
            <w:noProof/>
            <w:webHidden/>
          </w:rPr>
          <w:t>15</w:t>
        </w:r>
        <w:r>
          <w:rPr>
            <w:noProof/>
            <w:webHidden/>
          </w:rPr>
          <w:fldChar w:fldCharType="end"/>
        </w:r>
      </w:hyperlink>
    </w:p>
    <w:p w14:paraId="38B00942" w14:textId="16D8BA58" w:rsidR="007C182B" w:rsidRDefault="007C182B">
      <w:pPr>
        <w:pStyle w:val="TOC2"/>
        <w:tabs>
          <w:tab w:val="right" w:leader="dot" w:pos="9016"/>
        </w:tabs>
        <w:rPr>
          <w:rFonts w:eastAsiaTheme="minorEastAsia"/>
          <w:noProof/>
          <w:kern w:val="2"/>
          <w:lang w:eastAsia="en-AU"/>
          <w14:ligatures w14:val="standardContextual"/>
        </w:rPr>
      </w:pPr>
      <w:hyperlink w:anchor="_Toc203032180" w:history="1">
        <w:r w:rsidRPr="00E8589B">
          <w:rPr>
            <w:rStyle w:val="Hyperlink"/>
            <w:noProof/>
          </w:rPr>
          <w:t>4.4 Records management</w:t>
        </w:r>
        <w:r>
          <w:rPr>
            <w:noProof/>
            <w:webHidden/>
          </w:rPr>
          <w:tab/>
        </w:r>
        <w:r>
          <w:rPr>
            <w:noProof/>
            <w:webHidden/>
          </w:rPr>
          <w:fldChar w:fldCharType="begin"/>
        </w:r>
        <w:r>
          <w:rPr>
            <w:noProof/>
            <w:webHidden/>
          </w:rPr>
          <w:instrText xml:space="preserve"> PAGEREF _Toc203032180 \h </w:instrText>
        </w:r>
        <w:r>
          <w:rPr>
            <w:noProof/>
            <w:webHidden/>
          </w:rPr>
        </w:r>
        <w:r>
          <w:rPr>
            <w:noProof/>
            <w:webHidden/>
          </w:rPr>
          <w:fldChar w:fldCharType="separate"/>
        </w:r>
        <w:r w:rsidR="00AA6F3C">
          <w:rPr>
            <w:noProof/>
            <w:webHidden/>
          </w:rPr>
          <w:t>17</w:t>
        </w:r>
        <w:r>
          <w:rPr>
            <w:noProof/>
            <w:webHidden/>
          </w:rPr>
          <w:fldChar w:fldCharType="end"/>
        </w:r>
      </w:hyperlink>
    </w:p>
    <w:p w14:paraId="545FF1E2" w14:textId="038DDE43" w:rsidR="007C182B" w:rsidRDefault="007C182B">
      <w:pPr>
        <w:pStyle w:val="TOC1"/>
        <w:rPr>
          <w:rFonts w:eastAsiaTheme="minorEastAsia"/>
          <w:b w:val="0"/>
          <w:bCs w:val="0"/>
          <w:kern w:val="2"/>
          <w:lang w:eastAsia="en-AU"/>
          <w14:ligatures w14:val="standardContextual"/>
        </w:rPr>
      </w:pPr>
      <w:hyperlink w:anchor="_Toc203032181" w:history="1">
        <w:r w:rsidRPr="00E8589B">
          <w:rPr>
            <w:rStyle w:val="Hyperlink"/>
          </w:rPr>
          <w:t>5. Additional observations</w:t>
        </w:r>
        <w:r>
          <w:rPr>
            <w:webHidden/>
          </w:rPr>
          <w:tab/>
        </w:r>
        <w:r>
          <w:rPr>
            <w:webHidden/>
          </w:rPr>
          <w:fldChar w:fldCharType="begin"/>
        </w:r>
        <w:r>
          <w:rPr>
            <w:webHidden/>
          </w:rPr>
          <w:instrText xml:space="preserve"> PAGEREF _Toc203032181 \h </w:instrText>
        </w:r>
        <w:r>
          <w:rPr>
            <w:webHidden/>
          </w:rPr>
        </w:r>
        <w:r>
          <w:rPr>
            <w:webHidden/>
          </w:rPr>
          <w:fldChar w:fldCharType="separate"/>
        </w:r>
        <w:r w:rsidR="00AA6F3C">
          <w:rPr>
            <w:webHidden/>
          </w:rPr>
          <w:t>17</w:t>
        </w:r>
        <w:r>
          <w:rPr>
            <w:webHidden/>
          </w:rPr>
          <w:fldChar w:fldCharType="end"/>
        </w:r>
      </w:hyperlink>
    </w:p>
    <w:p w14:paraId="7FCF3AD2" w14:textId="7AC3663C" w:rsidR="007C182B" w:rsidRDefault="007C182B">
      <w:pPr>
        <w:pStyle w:val="TOC2"/>
        <w:tabs>
          <w:tab w:val="right" w:leader="dot" w:pos="9016"/>
        </w:tabs>
        <w:rPr>
          <w:rFonts w:eastAsiaTheme="minorEastAsia"/>
          <w:noProof/>
          <w:kern w:val="2"/>
          <w:lang w:eastAsia="en-AU"/>
          <w14:ligatures w14:val="standardContextual"/>
        </w:rPr>
      </w:pPr>
      <w:hyperlink w:anchor="_Toc203032182" w:history="1">
        <w:r w:rsidRPr="00E8589B">
          <w:rPr>
            <w:rStyle w:val="Hyperlink"/>
            <w:noProof/>
          </w:rPr>
          <w:t>5.1 The DISR Initiative Support Model</w:t>
        </w:r>
        <w:r>
          <w:rPr>
            <w:noProof/>
            <w:webHidden/>
          </w:rPr>
          <w:tab/>
        </w:r>
        <w:r>
          <w:rPr>
            <w:noProof/>
            <w:webHidden/>
          </w:rPr>
          <w:fldChar w:fldCharType="begin"/>
        </w:r>
        <w:r>
          <w:rPr>
            <w:noProof/>
            <w:webHidden/>
          </w:rPr>
          <w:instrText xml:space="preserve"> PAGEREF _Toc203032182 \h </w:instrText>
        </w:r>
        <w:r>
          <w:rPr>
            <w:noProof/>
            <w:webHidden/>
          </w:rPr>
        </w:r>
        <w:r>
          <w:rPr>
            <w:noProof/>
            <w:webHidden/>
          </w:rPr>
          <w:fldChar w:fldCharType="separate"/>
        </w:r>
        <w:r w:rsidR="00AA6F3C">
          <w:rPr>
            <w:noProof/>
            <w:webHidden/>
          </w:rPr>
          <w:t>17</w:t>
        </w:r>
        <w:r>
          <w:rPr>
            <w:noProof/>
            <w:webHidden/>
          </w:rPr>
          <w:fldChar w:fldCharType="end"/>
        </w:r>
      </w:hyperlink>
    </w:p>
    <w:p w14:paraId="4C1094AE" w14:textId="737D4481" w:rsidR="007C182B" w:rsidRDefault="007C182B">
      <w:pPr>
        <w:pStyle w:val="TOC2"/>
        <w:tabs>
          <w:tab w:val="right" w:leader="dot" w:pos="9016"/>
        </w:tabs>
        <w:rPr>
          <w:rFonts w:eastAsiaTheme="minorEastAsia"/>
          <w:noProof/>
          <w:kern w:val="2"/>
          <w:lang w:eastAsia="en-AU"/>
          <w14:ligatures w14:val="standardContextual"/>
        </w:rPr>
      </w:pPr>
      <w:hyperlink w:anchor="_Toc203032183" w:history="1">
        <w:r w:rsidRPr="00E8589B">
          <w:rPr>
            <w:rStyle w:val="Hyperlink"/>
            <w:noProof/>
          </w:rPr>
          <w:t>5.2 Workforce and culture</w:t>
        </w:r>
        <w:r>
          <w:rPr>
            <w:noProof/>
            <w:webHidden/>
          </w:rPr>
          <w:tab/>
        </w:r>
        <w:r>
          <w:rPr>
            <w:noProof/>
            <w:webHidden/>
          </w:rPr>
          <w:fldChar w:fldCharType="begin"/>
        </w:r>
        <w:r>
          <w:rPr>
            <w:noProof/>
            <w:webHidden/>
          </w:rPr>
          <w:instrText xml:space="preserve"> PAGEREF _Toc203032183 \h </w:instrText>
        </w:r>
        <w:r>
          <w:rPr>
            <w:noProof/>
            <w:webHidden/>
          </w:rPr>
        </w:r>
        <w:r>
          <w:rPr>
            <w:noProof/>
            <w:webHidden/>
          </w:rPr>
          <w:fldChar w:fldCharType="separate"/>
        </w:r>
        <w:r w:rsidR="00AA6F3C">
          <w:rPr>
            <w:noProof/>
            <w:webHidden/>
          </w:rPr>
          <w:t>18</w:t>
        </w:r>
        <w:r>
          <w:rPr>
            <w:noProof/>
            <w:webHidden/>
          </w:rPr>
          <w:fldChar w:fldCharType="end"/>
        </w:r>
      </w:hyperlink>
    </w:p>
    <w:p w14:paraId="3324C3EF" w14:textId="276ABDF5" w:rsidR="007C182B" w:rsidRDefault="007C182B">
      <w:pPr>
        <w:pStyle w:val="TOC1"/>
        <w:rPr>
          <w:rFonts w:eastAsiaTheme="minorEastAsia"/>
          <w:b w:val="0"/>
          <w:bCs w:val="0"/>
          <w:kern w:val="2"/>
          <w:lang w:eastAsia="en-AU"/>
          <w14:ligatures w14:val="standardContextual"/>
        </w:rPr>
      </w:pPr>
      <w:hyperlink w:anchor="_Toc203032184" w:history="1">
        <w:r w:rsidRPr="00E8589B">
          <w:rPr>
            <w:rStyle w:val="Hyperlink"/>
          </w:rPr>
          <w:t>Appendix A – Objective and scope of internal audit</w:t>
        </w:r>
        <w:r>
          <w:rPr>
            <w:webHidden/>
          </w:rPr>
          <w:tab/>
        </w:r>
        <w:r>
          <w:rPr>
            <w:webHidden/>
          </w:rPr>
          <w:fldChar w:fldCharType="begin"/>
        </w:r>
        <w:r>
          <w:rPr>
            <w:webHidden/>
          </w:rPr>
          <w:instrText xml:space="preserve"> PAGEREF _Toc203032184 \h </w:instrText>
        </w:r>
        <w:r>
          <w:rPr>
            <w:webHidden/>
          </w:rPr>
        </w:r>
        <w:r>
          <w:rPr>
            <w:webHidden/>
          </w:rPr>
          <w:fldChar w:fldCharType="separate"/>
        </w:r>
        <w:r w:rsidR="00AA6F3C">
          <w:rPr>
            <w:webHidden/>
          </w:rPr>
          <w:t>19</w:t>
        </w:r>
        <w:r>
          <w:rPr>
            <w:webHidden/>
          </w:rPr>
          <w:fldChar w:fldCharType="end"/>
        </w:r>
      </w:hyperlink>
    </w:p>
    <w:p w14:paraId="7337E817" w14:textId="247D70CE" w:rsidR="00A11577" w:rsidRPr="001C34C5" w:rsidRDefault="00DF2110" w:rsidP="001C34C5">
      <w:pPr>
        <w:pStyle w:val="Heading6"/>
      </w:pPr>
      <w:r w:rsidRPr="001C34C5">
        <w:fldChar w:fldCharType="end"/>
      </w:r>
      <w:r w:rsidR="00A11577" w:rsidRPr="001C34C5">
        <w:br w:type="page"/>
      </w:r>
    </w:p>
    <w:p w14:paraId="2A1C3441" w14:textId="613727EB" w:rsidR="00D750BD" w:rsidRDefault="00B122C7" w:rsidP="001C34C5">
      <w:pPr>
        <w:pStyle w:val="Heading4"/>
      </w:pPr>
      <w:bookmarkStart w:id="9" w:name="_Toc203032168"/>
      <w:r>
        <w:lastRenderedPageBreak/>
        <w:t>1.</w:t>
      </w:r>
      <w:r w:rsidR="00A2471C">
        <w:t xml:space="preserve"> </w:t>
      </w:r>
      <w:r w:rsidR="00D750BD">
        <w:t>Executive Summary</w:t>
      </w:r>
      <w:bookmarkEnd w:id="9"/>
    </w:p>
    <w:p w14:paraId="7F5DEC65" w14:textId="18D681E7" w:rsidR="0040058C" w:rsidRPr="001C34C5" w:rsidRDefault="0040058C" w:rsidP="001C34C5">
      <w:r>
        <w:t>The objective of this internal audit was to review the approach and processes undertaken by the Department of Industry</w:t>
      </w:r>
      <w:r w:rsidR="002C21FE">
        <w:t>, Science</w:t>
      </w:r>
      <w:r>
        <w:t xml:space="preserve"> and Resources (DISR) in its evaluation of PsiQuantum’s </w:t>
      </w:r>
      <w:r w:rsidR="15411991">
        <w:t xml:space="preserve">investment </w:t>
      </w:r>
      <w:r>
        <w:t>proposal and provision of advice to government</w:t>
      </w:r>
      <w:r w:rsidR="542B7A0C">
        <w:t xml:space="preserve"> </w:t>
      </w:r>
      <w:r w:rsidR="498686E5">
        <w:t xml:space="preserve">to </w:t>
      </w:r>
      <w:r w:rsidR="00D5351F">
        <w:t>i</w:t>
      </w:r>
      <w:r w:rsidR="498686E5">
        <w:t>dentify what worked well,</w:t>
      </w:r>
      <w:r w:rsidR="542B7A0C">
        <w:t xml:space="preserve"> lessons learned</w:t>
      </w:r>
      <w:r w:rsidR="498686E5">
        <w:t xml:space="preserve"> and opportunities for improvement</w:t>
      </w:r>
      <w:r>
        <w:t xml:space="preserve">. The full scope of the </w:t>
      </w:r>
      <w:r w:rsidR="006A3A93">
        <w:t xml:space="preserve">internal </w:t>
      </w:r>
      <w:r>
        <w:t xml:space="preserve">audit is listed in </w:t>
      </w:r>
      <w:r w:rsidRPr="72DBA057">
        <w:rPr>
          <w:b/>
          <w:bCs/>
        </w:rPr>
        <w:t>Appendix A</w:t>
      </w:r>
      <w:r w:rsidR="00F44C7D" w:rsidRPr="72DBA057">
        <w:rPr>
          <w:b/>
          <w:bCs/>
        </w:rPr>
        <w:t xml:space="preserve">, </w:t>
      </w:r>
      <w:r w:rsidR="00F44C7D">
        <w:t>including</w:t>
      </w:r>
      <w:r w:rsidR="00AA5A25">
        <w:t xml:space="preserve"> aspects </w:t>
      </w:r>
      <w:r w:rsidR="00963BFF">
        <w:t xml:space="preserve">that </w:t>
      </w:r>
      <w:r w:rsidR="00AA5A25">
        <w:t>were explicitly out of scope</w:t>
      </w:r>
      <w:r>
        <w:t>.</w:t>
      </w:r>
      <w:r w:rsidR="004F1874">
        <w:t xml:space="preserve"> McGrathNicol was contracted to</w:t>
      </w:r>
      <w:r w:rsidR="00E14061">
        <w:t xml:space="preserve"> assist the Internal Audit team in</w:t>
      </w:r>
      <w:r w:rsidR="004F1874">
        <w:t xml:space="preserve"> deliver</w:t>
      </w:r>
      <w:r w:rsidR="00E14061">
        <w:t>ing</w:t>
      </w:r>
      <w:r w:rsidR="004F1874">
        <w:t xml:space="preserve"> th</w:t>
      </w:r>
      <w:r w:rsidR="00B72196">
        <w:t>is</w:t>
      </w:r>
      <w:r w:rsidR="004F1874">
        <w:t xml:space="preserve"> </w:t>
      </w:r>
      <w:r w:rsidR="00930DC3">
        <w:t>audit</w:t>
      </w:r>
      <w:r w:rsidR="004F1874">
        <w:t>.</w:t>
      </w:r>
    </w:p>
    <w:p w14:paraId="5142CB90" w14:textId="58802CDF" w:rsidR="0040058C" w:rsidRPr="001C34C5" w:rsidRDefault="00E81A80" w:rsidP="001C34C5">
      <w:r w:rsidRPr="001C34C5">
        <w:t>T</w:t>
      </w:r>
      <w:r w:rsidR="0040058C" w:rsidRPr="001C34C5">
        <w:t>his was a complicated project that involved consideration of scientific and engineering technology that was</w:t>
      </w:r>
      <w:r w:rsidR="009A2F80" w:rsidRPr="001C34C5">
        <w:t xml:space="preserve"> </w:t>
      </w:r>
      <w:r w:rsidR="0040058C" w:rsidRPr="001C34C5">
        <w:t xml:space="preserve">yet to be fully developed. The proposal involved </w:t>
      </w:r>
      <w:r w:rsidR="00EF55C7" w:rsidRPr="001C34C5">
        <w:t>2</w:t>
      </w:r>
      <w:r w:rsidR="00D53C2C" w:rsidRPr="001C34C5">
        <w:t xml:space="preserve"> </w:t>
      </w:r>
      <w:r w:rsidR="0040058C" w:rsidRPr="001C34C5">
        <w:t xml:space="preserve">government jurisdictions, with each having shared, as well as unique interests. </w:t>
      </w:r>
      <w:r w:rsidR="00940B8A" w:rsidRPr="001C34C5">
        <w:t xml:space="preserve">To inform advice, DISR led a process that required financial, commercial, legal, economic, national security and technological input. </w:t>
      </w:r>
      <w:r w:rsidR="0040058C" w:rsidRPr="001C34C5">
        <w:t xml:space="preserve">Due to the complexities involved, contributions from multiple government agencies were required. This included </w:t>
      </w:r>
      <w:r w:rsidR="00190F6D" w:rsidRPr="001C34C5">
        <w:t xml:space="preserve">engagement across </w:t>
      </w:r>
      <w:r w:rsidR="00E002F5" w:rsidRPr="001C34C5">
        <w:t>various Ministers</w:t>
      </w:r>
      <w:r w:rsidR="000C3FA5" w:rsidRPr="001C34C5">
        <w:t>,</w:t>
      </w:r>
      <w:r w:rsidR="00E002F5" w:rsidRPr="001C34C5">
        <w:t xml:space="preserve"> portfolio interests</w:t>
      </w:r>
      <w:r w:rsidR="000C3FA5" w:rsidRPr="001C34C5">
        <w:t xml:space="preserve"> and ultimately the Cabinet.</w:t>
      </w:r>
      <w:r w:rsidR="0040058C" w:rsidRPr="001C34C5">
        <w:t xml:space="preserve"> </w:t>
      </w:r>
    </w:p>
    <w:p w14:paraId="44B6515A" w14:textId="111AF680" w:rsidR="0040058C" w:rsidRPr="001C34C5" w:rsidRDefault="742D8E3F" w:rsidP="001C34C5">
      <w:r>
        <w:t xml:space="preserve">Overall, the </w:t>
      </w:r>
      <w:r w:rsidR="7838B939">
        <w:t>I</w:t>
      </w:r>
      <w:r>
        <w:t xml:space="preserve">nternal </w:t>
      </w:r>
      <w:r w:rsidR="7838B939">
        <w:t>A</w:t>
      </w:r>
      <w:r>
        <w:t xml:space="preserve">udit identified that DISR’s approach and processes were </w:t>
      </w:r>
      <w:r w:rsidR="00E95577">
        <w:t>appropriate</w:t>
      </w:r>
      <w:r w:rsidR="6FF7D1E1">
        <w:t xml:space="preserve">. </w:t>
      </w:r>
      <w:r w:rsidR="156CC843">
        <w:t xml:space="preserve">The review </w:t>
      </w:r>
      <w:r w:rsidR="6470AA36">
        <w:t>additionally identified a number of lessons learned.</w:t>
      </w:r>
      <w:r>
        <w:t xml:space="preserve"> </w:t>
      </w:r>
      <w:r w:rsidR="64292EC8">
        <w:t>While the</w:t>
      </w:r>
      <w:r w:rsidR="7DF94BF3">
        <w:t xml:space="preserve"> Australian Government </w:t>
      </w:r>
      <w:r w:rsidR="64292EC8">
        <w:t>does not have a single, formal, agreed</w:t>
      </w:r>
      <w:r w:rsidR="7DF94BF3">
        <w:t xml:space="preserve"> framework on managing consideration of </w:t>
      </w:r>
      <w:r w:rsidR="005335A1">
        <w:t>industry</w:t>
      </w:r>
      <w:r w:rsidR="0040058C">
        <w:t xml:space="preserve"> </w:t>
      </w:r>
      <w:r w:rsidR="7DF94BF3">
        <w:t>proposal</w:t>
      </w:r>
      <w:r w:rsidR="005335A1">
        <w:t>s</w:t>
      </w:r>
      <w:r w:rsidR="64292EC8">
        <w:t xml:space="preserve">, </w:t>
      </w:r>
      <w:r w:rsidR="151B4298">
        <w:t>DISR’s</w:t>
      </w:r>
      <w:r>
        <w:t xml:space="preserve"> governance frameworks were fit-for-purpose, and advice to government was responsive. A summary of key observations</w:t>
      </w:r>
      <w:r w:rsidR="009A2F80">
        <w:t xml:space="preserve"> </w:t>
      </w:r>
      <w:r w:rsidR="00E0BFA9">
        <w:t xml:space="preserve">is </w:t>
      </w:r>
      <w:r>
        <w:t>provided below:</w:t>
      </w:r>
    </w:p>
    <w:p w14:paraId="60924662" w14:textId="77777777" w:rsidR="003176B9" w:rsidRPr="001C34C5" w:rsidRDefault="003176B9" w:rsidP="001C34C5">
      <w:pPr>
        <w:pStyle w:val="ListBullet2"/>
        <w:contextualSpacing w:val="0"/>
      </w:pPr>
      <w:r w:rsidRPr="001C34C5">
        <w:rPr>
          <w:b/>
          <w:bCs/>
        </w:rPr>
        <w:t xml:space="preserve">Assessment approach &amp; authorising environment: </w:t>
      </w:r>
      <w:r w:rsidRPr="001C34C5">
        <w:t>DISR engaged appropriate technical, legal and commercial assistance to provide an informed view to government on the benefits and risks of the proposal. The business case prepared for government aligned with government objectives, described the policy opportunity, and articulated potential benefits and risks.</w:t>
      </w:r>
    </w:p>
    <w:p w14:paraId="66A3181B" w14:textId="77777777" w:rsidR="003176B9" w:rsidRPr="001C34C5" w:rsidRDefault="003176B9" w:rsidP="001C34C5">
      <w:pPr>
        <w:pStyle w:val="ListBullet2"/>
        <w:contextualSpacing w:val="0"/>
        <w:rPr>
          <w:rFonts w:eastAsia="Malgun Gothic"/>
        </w:rPr>
      </w:pPr>
      <w:r w:rsidRPr="001C34C5">
        <w:rPr>
          <w:b/>
          <w:bCs/>
        </w:rPr>
        <w:t xml:space="preserve">Stakeholder engagement: </w:t>
      </w:r>
      <w:r w:rsidRPr="001C34C5">
        <w:t>Throughout the process DISR engaged with stakeholders across the Commonwealth, Queensland (QLD) Treasury and the private sector to provide an informed view to government, while also balancing the sensitivity and confidentiality requirements of the project.</w:t>
      </w:r>
    </w:p>
    <w:p w14:paraId="19E0C357" w14:textId="526F57E1" w:rsidR="003176B9" w:rsidRPr="001C34C5" w:rsidRDefault="003176B9" w:rsidP="001C34C5">
      <w:pPr>
        <w:pStyle w:val="ListBullet2"/>
        <w:contextualSpacing w:val="0"/>
        <w:rPr>
          <w:rFonts w:eastAsia="Malgun Gothic"/>
        </w:rPr>
      </w:pPr>
      <w:r w:rsidRPr="001C34C5">
        <w:rPr>
          <w:b/>
          <w:bCs/>
        </w:rPr>
        <w:t>Market testing:</w:t>
      </w:r>
      <w:r w:rsidRPr="001C34C5">
        <w:t xml:space="preserve"> DISR’s approach was </w:t>
      </w:r>
      <w:r w:rsidR="0005226B">
        <w:t>appropriate</w:t>
      </w:r>
      <w:r w:rsidR="0005226B" w:rsidRPr="001C34C5">
        <w:t xml:space="preserve"> </w:t>
      </w:r>
      <w:r w:rsidRPr="001C34C5">
        <w:t xml:space="preserve">and the documented assessment process was followed. </w:t>
      </w:r>
      <w:r w:rsidR="005348D5" w:rsidRPr="001C34C5">
        <w:t>P</w:t>
      </w:r>
      <w:r w:rsidRPr="001C34C5">
        <w:t xml:space="preserve">lanning for the market testing could have been improved, </w:t>
      </w:r>
      <w:r w:rsidR="00527644" w:rsidRPr="001C34C5">
        <w:t xml:space="preserve">and </w:t>
      </w:r>
      <w:r w:rsidRPr="001C34C5">
        <w:t>possible next steps</w:t>
      </w:r>
      <w:r w:rsidR="0093662B" w:rsidRPr="001C34C5">
        <w:t xml:space="preserve"> –</w:t>
      </w:r>
      <w:r w:rsidRPr="001C34C5">
        <w:t xml:space="preserve"> depending on the outcome of the evaluation</w:t>
      </w:r>
      <w:r w:rsidR="0093662B" w:rsidRPr="001C34C5">
        <w:t xml:space="preserve"> – could have been </w:t>
      </w:r>
      <w:r w:rsidR="009E7D22" w:rsidRPr="001C34C5">
        <w:t xml:space="preserve">better </w:t>
      </w:r>
      <w:r w:rsidR="0093662B" w:rsidRPr="001C34C5">
        <w:t>documented</w:t>
      </w:r>
      <w:r w:rsidRPr="001C34C5">
        <w:t>.</w:t>
      </w:r>
    </w:p>
    <w:p w14:paraId="5EB299ED" w14:textId="03D902BF" w:rsidR="003176B9" w:rsidRPr="001C34C5" w:rsidRDefault="003176B9" w:rsidP="001C34C5">
      <w:pPr>
        <w:pStyle w:val="ListBullet2"/>
        <w:contextualSpacing w:val="0"/>
        <w:rPr>
          <w:rFonts w:eastAsia="Malgun Gothic"/>
        </w:rPr>
      </w:pPr>
      <w:r w:rsidRPr="001C34C5">
        <w:rPr>
          <w:b/>
          <w:bCs/>
        </w:rPr>
        <w:t>Governance arrangements:</w:t>
      </w:r>
      <w:r w:rsidRPr="001C34C5">
        <w:t xml:space="preserve"> The </w:t>
      </w:r>
      <w:r w:rsidR="00EB49BD" w:rsidRPr="001C34C5">
        <w:t xml:space="preserve">governance </w:t>
      </w:r>
      <w:r w:rsidRPr="001C34C5">
        <w:t xml:space="preserve">structures used were fit-for-purpose, and arrangements were appropriately structured according to </w:t>
      </w:r>
      <w:r w:rsidR="001954DB" w:rsidRPr="001C34C5">
        <w:t xml:space="preserve">each </w:t>
      </w:r>
      <w:r w:rsidRPr="001C34C5">
        <w:t xml:space="preserve">stage </w:t>
      </w:r>
      <w:r w:rsidR="000866B4" w:rsidRPr="001C34C5">
        <w:t>of the pr</w:t>
      </w:r>
      <w:r w:rsidR="00C321D2" w:rsidRPr="001C34C5">
        <w:t>oject</w:t>
      </w:r>
      <w:r w:rsidRPr="001C34C5">
        <w:t>.</w:t>
      </w:r>
      <w:r w:rsidR="009524B5" w:rsidRPr="001C34C5">
        <w:t xml:space="preserve"> This include</w:t>
      </w:r>
      <w:r w:rsidR="00724B9F" w:rsidRPr="001C34C5">
        <w:t xml:space="preserve">d </w:t>
      </w:r>
      <w:r w:rsidR="00BA6154" w:rsidRPr="001C34C5">
        <w:t>use of</w:t>
      </w:r>
      <w:r w:rsidR="00724B9F" w:rsidRPr="001C34C5">
        <w:t xml:space="preserve"> </w:t>
      </w:r>
      <w:r w:rsidR="00BA6154" w:rsidRPr="001C34C5">
        <w:t>IDCs, working groups and clear roles and responsibilities established in terms of reference.</w:t>
      </w:r>
    </w:p>
    <w:p w14:paraId="04C7F138" w14:textId="19D9F722" w:rsidR="003176B9" w:rsidRPr="001C34C5" w:rsidRDefault="003176B9" w:rsidP="001C34C5">
      <w:pPr>
        <w:pStyle w:val="ListBullet2"/>
        <w:contextualSpacing w:val="0"/>
        <w:rPr>
          <w:rFonts w:eastAsia="Malgun Gothic"/>
        </w:rPr>
      </w:pPr>
      <w:r w:rsidRPr="001C34C5">
        <w:rPr>
          <w:b/>
        </w:rPr>
        <w:t xml:space="preserve">Probity </w:t>
      </w:r>
      <w:r w:rsidRPr="001C34C5">
        <w:rPr>
          <w:b/>
          <w:bCs/>
        </w:rPr>
        <w:t>and confidentiality</w:t>
      </w:r>
      <w:r w:rsidRPr="001C34C5">
        <w:t xml:space="preserve">: </w:t>
      </w:r>
      <w:r w:rsidR="00514472" w:rsidRPr="001C34C5">
        <w:t>P</w:t>
      </w:r>
      <w:r w:rsidRPr="001C34C5">
        <w:t>robity and confidentiality were managed effectively.</w:t>
      </w:r>
      <w:r w:rsidR="00514472" w:rsidRPr="001C34C5">
        <w:t xml:space="preserve"> </w:t>
      </w:r>
      <w:r w:rsidR="004A70E9" w:rsidRPr="001C34C5">
        <w:t xml:space="preserve">Arrangements were </w:t>
      </w:r>
      <w:r w:rsidR="00516CD7" w:rsidRPr="001C34C5">
        <w:t xml:space="preserve">implemented </w:t>
      </w:r>
      <w:r w:rsidR="00D536F5" w:rsidRPr="001C34C5">
        <w:t>early, followed throughout, and included use of an external probity advisor.</w:t>
      </w:r>
    </w:p>
    <w:p w14:paraId="057D95D6" w14:textId="1EE522A3" w:rsidR="003176B9" w:rsidRPr="001C34C5" w:rsidRDefault="003176B9" w:rsidP="0027056B">
      <w:pPr>
        <w:pStyle w:val="ListParagraph"/>
        <w:ind w:left="641" w:hanging="357"/>
      </w:pPr>
      <w:r w:rsidRPr="001C34C5">
        <w:rPr>
          <w:b/>
          <w:bCs/>
        </w:rPr>
        <w:t>Risk &amp; project planning</w:t>
      </w:r>
      <w:r w:rsidRPr="001C34C5">
        <w:t xml:space="preserve">: </w:t>
      </w:r>
      <w:r w:rsidR="000D38E4" w:rsidRPr="001C34C5">
        <w:t>From establishment of the Taskforce</w:t>
      </w:r>
      <w:r w:rsidR="00055760" w:rsidRPr="001C34C5">
        <w:t xml:space="preserve"> t</w:t>
      </w:r>
      <w:r w:rsidRPr="001C34C5">
        <w:t xml:space="preserve">here </w:t>
      </w:r>
      <w:r w:rsidR="00055760" w:rsidRPr="001C34C5">
        <w:t>was dedicated, documented project and risk plans, and</w:t>
      </w:r>
      <w:r w:rsidRPr="001C34C5">
        <w:t xml:space="preserve"> clear monitoring of </w:t>
      </w:r>
      <w:r w:rsidR="004232F3" w:rsidRPr="001C34C5">
        <w:t xml:space="preserve">due diligence and </w:t>
      </w:r>
      <w:r w:rsidRPr="001C34C5">
        <w:t xml:space="preserve">negotiation matters. </w:t>
      </w:r>
      <w:r w:rsidR="00055760" w:rsidRPr="001C34C5">
        <w:t>P</w:t>
      </w:r>
      <w:r w:rsidR="00B60BB1" w:rsidRPr="001C34C5">
        <w:t xml:space="preserve">rior to </w:t>
      </w:r>
      <w:r w:rsidR="007415CD" w:rsidRPr="001C34C5">
        <w:t>the Taskforce</w:t>
      </w:r>
      <w:r w:rsidR="00055760" w:rsidRPr="001C34C5">
        <w:t xml:space="preserve">, </w:t>
      </w:r>
      <w:r w:rsidR="00167D1C" w:rsidRPr="001C34C5">
        <w:t xml:space="preserve">while </w:t>
      </w:r>
      <w:r w:rsidR="00C3448E" w:rsidRPr="001C34C5">
        <w:t>there was no dedicated, document</w:t>
      </w:r>
      <w:r w:rsidR="00E73D2D" w:rsidRPr="001C34C5">
        <w:t>ed</w:t>
      </w:r>
      <w:r w:rsidR="00C3448E" w:rsidRPr="001C34C5">
        <w:t xml:space="preserve"> project or risk plan, </w:t>
      </w:r>
      <w:r w:rsidR="00055760" w:rsidRPr="001C34C5">
        <w:t xml:space="preserve">DISR </w:t>
      </w:r>
      <w:r w:rsidR="00B638B0" w:rsidRPr="001C34C5">
        <w:t>had</w:t>
      </w:r>
      <w:r w:rsidR="00055760" w:rsidRPr="001C34C5">
        <w:t xml:space="preserve"> </w:t>
      </w:r>
      <w:r w:rsidR="00167D1C" w:rsidRPr="001C34C5">
        <w:t xml:space="preserve">adopted </w:t>
      </w:r>
      <w:r w:rsidR="002564C9" w:rsidRPr="001C34C5">
        <w:t xml:space="preserve">enterprise </w:t>
      </w:r>
      <w:r w:rsidR="00055760" w:rsidRPr="001C34C5">
        <w:lastRenderedPageBreak/>
        <w:t xml:space="preserve">arrangements </w:t>
      </w:r>
      <w:r w:rsidR="00C152E2" w:rsidRPr="001C34C5">
        <w:t xml:space="preserve">with additional arrangements </w:t>
      </w:r>
      <w:r w:rsidR="001F18BD" w:rsidRPr="001C34C5">
        <w:t xml:space="preserve">in the </w:t>
      </w:r>
      <w:r w:rsidR="00B962F8" w:rsidRPr="001C34C5">
        <w:t xml:space="preserve">responsible Division, </w:t>
      </w:r>
      <w:r w:rsidR="00F57EE3" w:rsidRPr="001C34C5">
        <w:t>reflecting the earl</w:t>
      </w:r>
      <w:r w:rsidR="005F5DCE" w:rsidRPr="001C34C5">
        <w:t>y</w:t>
      </w:r>
      <w:r w:rsidR="00F57EE3" w:rsidRPr="001C34C5">
        <w:t xml:space="preserve"> stage of the project</w:t>
      </w:r>
      <w:r w:rsidR="00055760" w:rsidRPr="001C34C5">
        <w:t>.</w:t>
      </w:r>
    </w:p>
    <w:p w14:paraId="3DE9F7D4" w14:textId="1E63C942" w:rsidR="003176B9" w:rsidRPr="001C34C5" w:rsidRDefault="003176B9" w:rsidP="001C34C5">
      <w:pPr>
        <w:pStyle w:val="ListBullet2"/>
        <w:contextualSpacing w:val="0"/>
      </w:pPr>
      <w:r w:rsidRPr="001C34C5">
        <w:rPr>
          <w:b/>
          <w:bCs/>
        </w:rPr>
        <w:t>Records management:</w:t>
      </w:r>
      <w:r w:rsidRPr="001C34C5">
        <w:t xml:space="preserve"> All required records were provided.</w:t>
      </w:r>
    </w:p>
    <w:p w14:paraId="7B439BDE" w14:textId="1E779A10" w:rsidR="003176B9" w:rsidRPr="001C34C5" w:rsidRDefault="00703CCA" w:rsidP="001C34C5">
      <w:r w:rsidRPr="001C34C5">
        <w:t>Th</w:t>
      </w:r>
      <w:r>
        <w:t>is</w:t>
      </w:r>
      <w:r w:rsidRPr="001C34C5">
        <w:t xml:space="preserve"> </w:t>
      </w:r>
      <w:r>
        <w:t>i</w:t>
      </w:r>
      <w:r w:rsidR="001C7A45" w:rsidRPr="001C34C5">
        <w:t xml:space="preserve">nternal </w:t>
      </w:r>
      <w:r>
        <w:t>a</w:t>
      </w:r>
      <w:r w:rsidR="00BF6258" w:rsidRPr="001C34C5">
        <w:t xml:space="preserve">udit identified </w:t>
      </w:r>
      <w:r w:rsidR="00817E81">
        <w:t xml:space="preserve">six key aspects of the project that are likely to be relevant to </w:t>
      </w:r>
      <w:r w:rsidR="008F3864" w:rsidRPr="001C34C5">
        <w:t>future comparable processes</w:t>
      </w:r>
      <w:r w:rsidR="00817E81">
        <w:t>:</w:t>
      </w:r>
    </w:p>
    <w:tbl>
      <w:tblPr>
        <w:tblStyle w:val="TableGrid"/>
        <w:tblW w:w="0" w:type="auto"/>
        <w:tblLook w:val="04A0" w:firstRow="1" w:lastRow="0" w:firstColumn="1" w:lastColumn="0" w:noHBand="0" w:noVBand="1"/>
      </w:tblPr>
      <w:tblGrid>
        <w:gridCol w:w="9016"/>
      </w:tblGrid>
      <w:tr w:rsidR="006E35C4" w:rsidRPr="001C34C5" w14:paraId="49315588" w14:textId="77777777" w:rsidTr="5E83745D">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F2F2F2" w:themeFill="background1" w:themeFillShade="F2"/>
          </w:tcPr>
          <w:p w14:paraId="43B4F567" w14:textId="7EF3B609" w:rsidR="002B34CB" w:rsidRPr="001C34C5" w:rsidRDefault="6892F00B" w:rsidP="41DDB787">
            <w:pPr>
              <w:pStyle w:val="ListNumber"/>
              <w:ind w:left="357" w:hanging="357"/>
              <w:contextualSpacing w:val="0"/>
              <w:rPr>
                <w:b w:val="0"/>
              </w:rPr>
            </w:pPr>
            <w:r>
              <w:rPr>
                <w:b w:val="0"/>
              </w:rPr>
              <w:t xml:space="preserve">Consistent with </w:t>
            </w:r>
            <w:r w:rsidR="479E4BED">
              <w:rPr>
                <w:b w:val="0"/>
              </w:rPr>
              <w:t xml:space="preserve">enterprise </w:t>
            </w:r>
            <w:r>
              <w:rPr>
                <w:b w:val="0"/>
              </w:rPr>
              <w:t xml:space="preserve">processes, </w:t>
            </w:r>
            <w:r w:rsidR="479E4BED">
              <w:rPr>
                <w:b w:val="0"/>
              </w:rPr>
              <w:t xml:space="preserve">DISR </w:t>
            </w:r>
            <w:r w:rsidR="520B9B95">
              <w:rPr>
                <w:b w:val="0"/>
              </w:rPr>
              <w:t>consider</w:t>
            </w:r>
            <w:r w:rsidR="479E4BED">
              <w:rPr>
                <w:b w:val="0"/>
              </w:rPr>
              <w:t>ed</w:t>
            </w:r>
            <w:r w:rsidR="520B9B95">
              <w:rPr>
                <w:b w:val="0"/>
              </w:rPr>
              <w:t xml:space="preserve"> early whether </w:t>
            </w:r>
            <w:r w:rsidR="003C401F">
              <w:rPr>
                <w:b w:val="0"/>
              </w:rPr>
              <w:t>it should conduct a</w:t>
            </w:r>
            <w:r w:rsidR="520B9B95">
              <w:rPr>
                <w:b w:val="0"/>
              </w:rPr>
              <w:t xml:space="preserve"> competitive process (i.e. whether the broader market may have the ability to provide comparable benefits). </w:t>
            </w:r>
          </w:p>
          <w:p w14:paraId="10375473" w14:textId="148B223D" w:rsidR="002B34CB" w:rsidRPr="001C34C5" w:rsidRDefault="00A24D80" w:rsidP="001C34C5">
            <w:pPr>
              <w:pStyle w:val="ListNumber"/>
              <w:ind w:left="357" w:hanging="357"/>
              <w:contextualSpacing w:val="0"/>
              <w:rPr>
                <w:b w:val="0"/>
                <w:bCs/>
              </w:rPr>
            </w:pPr>
            <w:r w:rsidRPr="001C34C5">
              <w:rPr>
                <w:b w:val="0"/>
                <w:bCs/>
              </w:rPr>
              <w:t xml:space="preserve">When conducting an </w:t>
            </w:r>
            <w:r w:rsidR="009713A4" w:rsidRPr="001C34C5">
              <w:rPr>
                <w:b w:val="0"/>
                <w:bCs/>
              </w:rPr>
              <w:t xml:space="preserve">Expression </w:t>
            </w:r>
            <w:r w:rsidR="00C76036" w:rsidRPr="001C34C5">
              <w:rPr>
                <w:b w:val="0"/>
                <w:bCs/>
              </w:rPr>
              <w:t xml:space="preserve">of </w:t>
            </w:r>
            <w:r w:rsidR="009713A4" w:rsidRPr="001C34C5">
              <w:rPr>
                <w:b w:val="0"/>
                <w:bCs/>
              </w:rPr>
              <w:t>Interest (</w:t>
            </w:r>
            <w:r w:rsidR="002B34CB" w:rsidRPr="001C34C5">
              <w:rPr>
                <w:b w:val="0"/>
                <w:bCs/>
              </w:rPr>
              <w:t>EOI</w:t>
            </w:r>
            <w:r w:rsidR="009713A4" w:rsidRPr="001C34C5">
              <w:rPr>
                <w:b w:val="0"/>
                <w:bCs/>
              </w:rPr>
              <w:t>)</w:t>
            </w:r>
            <w:r w:rsidR="00A90617" w:rsidRPr="001C34C5">
              <w:rPr>
                <w:b w:val="0"/>
                <w:bCs/>
              </w:rPr>
              <w:t xml:space="preserve"> </w:t>
            </w:r>
            <w:r w:rsidR="00CD09EE">
              <w:rPr>
                <w:b w:val="0"/>
                <w:bCs/>
              </w:rPr>
              <w:t>and</w:t>
            </w:r>
            <w:r w:rsidR="00A90617" w:rsidRPr="001C34C5">
              <w:rPr>
                <w:b w:val="0"/>
                <w:bCs/>
              </w:rPr>
              <w:t xml:space="preserve"> </w:t>
            </w:r>
            <w:r w:rsidR="00B331CA" w:rsidRPr="001C34C5">
              <w:rPr>
                <w:b w:val="0"/>
                <w:bCs/>
              </w:rPr>
              <w:t>developing</w:t>
            </w:r>
            <w:r w:rsidR="008C3037" w:rsidRPr="001C34C5">
              <w:rPr>
                <w:b w:val="0"/>
                <w:bCs/>
              </w:rPr>
              <w:t xml:space="preserve"> a</w:t>
            </w:r>
            <w:r w:rsidR="008F7795" w:rsidRPr="001C34C5">
              <w:rPr>
                <w:b w:val="0"/>
                <w:bCs/>
              </w:rPr>
              <w:t>n</w:t>
            </w:r>
            <w:r w:rsidR="008C3037" w:rsidRPr="001C34C5">
              <w:rPr>
                <w:b w:val="0"/>
                <w:bCs/>
              </w:rPr>
              <w:t xml:space="preserve"> </w:t>
            </w:r>
            <w:r w:rsidR="002B34CB" w:rsidRPr="001C34C5">
              <w:rPr>
                <w:b w:val="0"/>
                <w:bCs/>
              </w:rPr>
              <w:t>evaluation plan</w:t>
            </w:r>
            <w:r w:rsidRPr="001C34C5">
              <w:rPr>
                <w:b w:val="0"/>
                <w:bCs/>
              </w:rPr>
              <w:t>,</w:t>
            </w:r>
            <w:r w:rsidR="002B34CB" w:rsidRPr="001C34C5">
              <w:rPr>
                <w:b w:val="0"/>
                <w:bCs/>
              </w:rPr>
              <w:t xml:space="preserve"> </w:t>
            </w:r>
            <w:r w:rsidRPr="001C34C5">
              <w:rPr>
                <w:b w:val="0"/>
                <w:bCs/>
              </w:rPr>
              <w:t xml:space="preserve">including detail </w:t>
            </w:r>
            <w:r w:rsidR="002B34CB" w:rsidRPr="001C34C5">
              <w:rPr>
                <w:b w:val="0"/>
                <w:bCs/>
              </w:rPr>
              <w:t xml:space="preserve">of possible outcomes following evaluation activity (based on defined ratings) </w:t>
            </w:r>
            <w:r w:rsidR="004E321B" w:rsidRPr="001C34C5">
              <w:rPr>
                <w:b w:val="0"/>
                <w:bCs/>
              </w:rPr>
              <w:t>supports</w:t>
            </w:r>
            <w:r w:rsidR="002B34CB" w:rsidRPr="001C34C5">
              <w:rPr>
                <w:b w:val="0"/>
                <w:bCs/>
              </w:rPr>
              <w:t xml:space="preserve"> the </w:t>
            </w:r>
            <w:r w:rsidR="00E53E8C">
              <w:rPr>
                <w:b w:val="0"/>
                <w:bCs/>
              </w:rPr>
              <w:t>robustness</w:t>
            </w:r>
            <w:r w:rsidR="00E53E8C" w:rsidRPr="001C34C5">
              <w:rPr>
                <w:b w:val="0"/>
                <w:bCs/>
              </w:rPr>
              <w:t xml:space="preserve"> </w:t>
            </w:r>
            <w:r w:rsidR="002B34CB" w:rsidRPr="001C34C5">
              <w:rPr>
                <w:b w:val="0"/>
                <w:bCs/>
              </w:rPr>
              <w:t>of market testing.</w:t>
            </w:r>
            <w:r w:rsidR="008E1DA0" w:rsidRPr="001C34C5">
              <w:rPr>
                <w:b w:val="0"/>
                <w:bCs/>
              </w:rPr>
              <w:t xml:space="preserve"> DISR could </w:t>
            </w:r>
            <w:r w:rsidR="00CD09EE">
              <w:rPr>
                <w:b w:val="0"/>
                <w:bCs/>
              </w:rPr>
              <w:t xml:space="preserve">have </w:t>
            </w:r>
            <w:r w:rsidR="0040414C" w:rsidRPr="001C34C5">
              <w:rPr>
                <w:b w:val="0"/>
                <w:bCs/>
              </w:rPr>
              <w:t>be</w:t>
            </w:r>
            <w:r w:rsidR="00CD09EE">
              <w:rPr>
                <w:b w:val="0"/>
                <w:bCs/>
              </w:rPr>
              <w:t>en</w:t>
            </w:r>
            <w:r w:rsidR="008E1DA0" w:rsidRPr="001C34C5">
              <w:rPr>
                <w:b w:val="0"/>
                <w:bCs/>
              </w:rPr>
              <w:t xml:space="preserve"> more explici</w:t>
            </w:r>
            <w:r w:rsidR="0040414C" w:rsidRPr="001C34C5">
              <w:rPr>
                <w:b w:val="0"/>
                <w:bCs/>
              </w:rPr>
              <w:t xml:space="preserve">t </w:t>
            </w:r>
            <w:r w:rsidR="00071F48" w:rsidRPr="001C34C5">
              <w:rPr>
                <w:b w:val="0"/>
                <w:bCs/>
              </w:rPr>
              <w:t xml:space="preserve">in its proposed course of action </w:t>
            </w:r>
            <w:r w:rsidR="00E25664" w:rsidRPr="001C34C5">
              <w:rPr>
                <w:b w:val="0"/>
                <w:bCs/>
              </w:rPr>
              <w:t>following</w:t>
            </w:r>
            <w:r w:rsidR="00071F48" w:rsidRPr="001C34C5">
              <w:rPr>
                <w:b w:val="0"/>
                <w:bCs/>
              </w:rPr>
              <w:t xml:space="preserve"> an assessment</w:t>
            </w:r>
            <w:r w:rsidR="00CE0EB8" w:rsidRPr="001C34C5">
              <w:rPr>
                <w:b w:val="0"/>
                <w:bCs/>
              </w:rPr>
              <w:t xml:space="preserve"> outcome</w:t>
            </w:r>
            <w:r w:rsidR="00071F48" w:rsidRPr="001C34C5">
              <w:rPr>
                <w:b w:val="0"/>
                <w:bCs/>
              </w:rPr>
              <w:t>.</w:t>
            </w:r>
            <w:r w:rsidR="008E1DA0" w:rsidRPr="001C34C5">
              <w:rPr>
                <w:b w:val="0"/>
                <w:bCs/>
              </w:rPr>
              <w:t xml:space="preserve"> </w:t>
            </w:r>
          </w:p>
          <w:p w14:paraId="29B6D5D3" w14:textId="5877F4BF" w:rsidR="002B34CB" w:rsidRPr="001C34C5" w:rsidRDefault="002C6A1D" w:rsidP="001C34C5">
            <w:pPr>
              <w:pStyle w:val="ListNumber"/>
              <w:ind w:left="357" w:hanging="357"/>
              <w:contextualSpacing w:val="0"/>
              <w:rPr>
                <w:b w:val="0"/>
                <w:bCs/>
              </w:rPr>
            </w:pPr>
            <w:r w:rsidRPr="001C34C5">
              <w:rPr>
                <w:b w:val="0"/>
                <w:bCs/>
              </w:rPr>
              <w:t>E</w:t>
            </w:r>
            <w:r w:rsidR="002B34CB" w:rsidRPr="001C34C5">
              <w:rPr>
                <w:b w:val="0"/>
                <w:bCs/>
              </w:rPr>
              <w:t>arly implementation and senior support</w:t>
            </w:r>
            <w:r w:rsidR="009A2F80" w:rsidRPr="001C34C5">
              <w:rPr>
                <w:b w:val="0"/>
                <w:bCs/>
              </w:rPr>
              <w:t xml:space="preserve"> </w:t>
            </w:r>
            <w:r w:rsidR="002B34CB" w:rsidRPr="001C34C5">
              <w:rPr>
                <w:b w:val="0"/>
                <w:bCs/>
              </w:rPr>
              <w:t xml:space="preserve">of strong probity and confidentiality arrangements </w:t>
            </w:r>
            <w:r w:rsidR="00206604" w:rsidRPr="001C34C5">
              <w:rPr>
                <w:b w:val="0"/>
                <w:bCs/>
              </w:rPr>
              <w:t>contribute</w:t>
            </w:r>
            <w:r w:rsidR="00206604">
              <w:rPr>
                <w:b w:val="0"/>
                <w:bCs/>
              </w:rPr>
              <w:t>d</w:t>
            </w:r>
            <w:r w:rsidR="00206604" w:rsidRPr="001C34C5">
              <w:rPr>
                <w:b w:val="0"/>
                <w:bCs/>
              </w:rPr>
              <w:t xml:space="preserve"> </w:t>
            </w:r>
            <w:r w:rsidR="002B34CB" w:rsidRPr="001C34C5">
              <w:rPr>
                <w:b w:val="0"/>
                <w:bCs/>
              </w:rPr>
              <w:t xml:space="preserve">to a well-managed process and </w:t>
            </w:r>
            <w:r w:rsidR="00206604" w:rsidRPr="001C34C5">
              <w:rPr>
                <w:b w:val="0"/>
                <w:bCs/>
              </w:rPr>
              <w:t>reduce</w:t>
            </w:r>
            <w:r w:rsidR="00206604">
              <w:rPr>
                <w:b w:val="0"/>
                <w:bCs/>
              </w:rPr>
              <w:t>d</w:t>
            </w:r>
            <w:r w:rsidR="00206604" w:rsidRPr="001C34C5">
              <w:rPr>
                <w:b w:val="0"/>
                <w:bCs/>
              </w:rPr>
              <w:t xml:space="preserve"> </w:t>
            </w:r>
            <w:r w:rsidR="002B34CB" w:rsidRPr="001C34C5">
              <w:rPr>
                <w:b w:val="0"/>
                <w:bCs/>
              </w:rPr>
              <w:t xml:space="preserve">the risk of probity issues. </w:t>
            </w:r>
          </w:p>
          <w:p w14:paraId="598CA20A" w14:textId="189014E5" w:rsidR="00A21412" w:rsidRPr="001C34C5" w:rsidRDefault="00A21412" w:rsidP="001C34C5">
            <w:pPr>
              <w:pStyle w:val="ListNumber"/>
              <w:ind w:left="357" w:hanging="357"/>
              <w:contextualSpacing w:val="0"/>
              <w:rPr>
                <w:b w:val="0"/>
                <w:bCs/>
              </w:rPr>
            </w:pPr>
            <w:r w:rsidRPr="001C34C5">
              <w:rPr>
                <w:b w:val="0"/>
                <w:bCs/>
              </w:rPr>
              <w:t xml:space="preserve">High-risk, high-profile initiatives can be expected to bring with </w:t>
            </w:r>
            <w:r w:rsidR="00B61D6B" w:rsidRPr="001C34C5">
              <w:rPr>
                <w:b w:val="0"/>
                <w:bCs/>
              </w:rPr>
              <w:t>them</w:t>
            </w:r>
            <w:r w:rsidRPr="001C34C5">
              <w:rPr>
                <w:b w:val="0"/>
                <w:bCs/>
              </w:rPr>
              <w:t xml:space="preserve"> external scrutiny. Robust record keeping supports efficient and timely access to material, and transparency of departmental actions.</w:t>
            </w:r>
          </w:p>
          <w:p w14:paraId="2C43B762" w14:textId="3DA0FA64" w:rsidR="002B34CB" w:rsidRPr="001C34C5" w:rsidRDefault="002B34CB" w:rsidP="001C34C5">
            <w:pPr>
              <w:pStyle w:val="ListNumber"/>
              <w:ind w:left="357" w:hanging="357"/>
              <w:contextualSpacing w:val="0"/>
              <w:rPr>
                <w:b w:val="0"/>
                <w:bCs/>
              </w:rPr>
            </w:pPr>
            <w:r w:rsidRPr="001C34C5">
              <w:rPr>
                <w:b w:val="0"/>
                <w:bCs/>
              </w:rPr>
              <w:t>The DISR Initiative Support Model provides a good framework to assist DISR define and then support officials with complex initiatives.</w:t>
            </w:r>
            <w:r w:rsidR="009A2F80" w:rsidRPr="001C34C5">
              <w:rPr>
                <w:b w:val="0"/>
                <w:bCs/>
              </w:rPr>
              <w:t xml:space="preserve"> </w:t>
            </w:r>
          </w:p>
          <w:p w14:paraId="2AD85B3F" w14:textId="601F403C" w:rsidR="006E35C4" w:rsidRPr="008E09B3" w:rsidRDefault="000C56B7" w:rsidP="001C34C5">
            <w:pPr>
              <w:pStyle w:val="ListNumber"/>
              <w:ind w:left="357" w:hanging="357"/>
              <w:contextualSpacing w:val="0"/>
              <w:rPr>
                <w:b w:val="0"/>
                <w:bCs/>
              </w:rPr>
            </w:pPr>
            <w:r w:rsidRPr="007D5A48">
              <w:rPr>
                <w:b w:val="0"/>
                <w:bCs/>
              </w:rPr>
              <w:t xml:space="preserve">Having </w:t>
            </w:r>
            <w:r w:rsidRPr="008E09B3">
              <w:rPr>
                <w:b w:val="0"/>
                <w:bCs/>
              </w:rPr>
              <w:t xml:space="preserve">the right expertise, culture and leadership </w:t>
            </w:r>
            <w:r w:rsidR="00C0113F" w:rsidRPr="007D5A48">
              <w:rPr>
                <w:b w:val="0"/>
                <w:bCs/>
              </w:rPr>
              <w:t>w</w:t>
            </w:r>
            <w:r w:rsidR="00B56BBB" w:rsidRPr="007D5A48">
              <w:rPr>
                <w:b w:val="0"/>
                <w:bCs/>
              </w:rPr>
              <w:t>as</w:t>
            </w:r>
            <w:r w:rsidR="00C0113F" w:rsidRPr="007D5A48">
              <w:rPr>
                <w:b w:val="0"/>
                <w:bCs/>
              </w:rPr>
              <w:t xml:space="preserve"> critical to</w:t>
            </w:r>
            <w:r w:rsidRPr="008E09B3">
              <w:rPr>
                <w:b w:val="0"/>
                <w:bCs/>
              </w:rPr>
              <w:t xml:space="preserve"> successfully delivering </w:t>
            </w:r>
            <w:r w:rsidR="00404D11" w:rsidRPr="007D5A48">
              <w:rPr>
                <w:b w:val="0"/>
                <w:bCs/>
              </w:rPr>
              <w:t>a complex initiative</w:t>
            </w:r>
            <w:r w:rsidR="006E3330" w:rsidRPr="007D5A48">
              <w:rPr>
                <w:b w:val="0"/>
                <w:bCs/>
              </w:rPr>
              <w:t>.</w:t>
            </w:r>
            <w:r w:rsidRPr="008E09B3">
              <w:rPr>
                <w:b w:val="0"/>
                <w:bCs/>
              </w:rPr>
              <w:t xml:space="preserve"> </w:t>
            </w:r>
          </w:p>
        </w:tc>
      </w:tr>
    </w:tbl>
    <w:p w14:paraId="5FF4CF1D" w14:textId="26B541EB" w:rsidR="00D750BD" w:rsidRDefault="00D363FD" w:rsidP="001C34C5">
      <w:pPr>
        <w:pStyle w:val="Heading4"/>
      </w:pPr>
      <w:bookmarkStart w:id="10" w:name="_Toc203032169"/>
      <w:r>
        <w:t xml:space="preserve">2. </w:t>
      </w:r>
      <w:r w:rsidR="00D750BD">
        <w:t>Introduction</w:t>
      </w:r>
      <w:bookmarkEnd w:id="10"/>
    </w:p>
    <w:p w14:paraId="1C2077C8" w14:textId="72A84CB4" w:rsidR="004B4A5C" w:rsidRPr="001C34C5" w:rsidRDefault="004B4A5C" w:rsidP="001C34C5">
      <w:r>
        <w:t>This internal audit examined the approach and processes undertaken by the Department of Industry, Science and Resources (DISR) in its consideration of PsiQuantum’s (PQ’s) proposal between receipt of the proposal in November 2022 until contractual close for the investment in May</w:t>
      </w:r>
      <w:r w:rsidR="00057010">
        <w:t> </w:t>
      </w:r>
      <w:r>
        <w:t xml:space="preserve">2024. The internal audit focused on DISR and did not examine documentation held, or consult stakeholders, outside of DISR. The full objective and scope of the </w:t>
      </w:r>
      <w:r w:rsidR="001C7A45">
        <w:t xml:space="preserve">internal </w:t>
      </w:r>
      <w:r>
        <w:t xml:space="preserve">audit is listed in Appendix A. </w:t>
      </w:r>
    </w:p>
    <w:p w14:paraId="249FE689" w14:textId="6B7ABC2A" w:rsidR="004B4A5C" w:rsidRPr="001C34C5" w:rsidRDefault="0083089D" w:rsidP="001C34C5">
      <w:r w:rsidRPr="001C34C5">
        <w:t xml:space="preserve">McGrathNicol was contracted to lead this review. </w:t>
      </w:r>
      <w:r w:rsidR="004B4A5C" w:rsidRPr="001C34C5">
        <w:t>A work order for this</w:t>
      </w:r>
      <w:r w:rsidR="001C7A45" w:rsidRPr="001C34C5">
        <w:t xml:space="preserve"> internal</w:t>
      </w:r>
      <w:r w:rsidR="004B4A5C" w:rsidRPr="001C34C5">
        <w:t xml:space="preserve"> audit was signed on 18</w:t>
      </w:r>
      <w:r w:rsidR="00057010" w:rsidRPr="001C34C5">
        <w:t> </w:t>
      </w:r>
      <w:r w:rsidR="004B4A5C" w:rsidRPr="001C34C5">
        <w:t xml:space="preserve">October 2024, and a final Project Plan approved 17 December 2024. Internal Audit team members were required to sign conflict of interest declarations and </w:t>
      </w:r>
      <w:r w:rsidR="00E53E8C">
        <w:t xml:space="preserve">attend a </w:t>
      </w:r>
      <w:r w:rsidR="004B4A5C" w:rsidRPr="001C34C5">
        <w:t>probity brief</w:t>
      </w:r>
      <w:r w:rsidR="00E53E8C">
        <w:t>ing</w:t>
      </w:r>
      <w:r w:rsidR="004B4A5C" w:rsidRPr="001C34C5">
        <w:t xml:space="preserve">. Additional Non-Disclosure Agreements (NDAs) were signed by specific team members in order to access documentation relating to DISR’s market testing process. </w:t>
      </w:r>
    </w:p>
    <w:p w14:paraId="41620CA4" w14:textId="12539A78" w:rsidR="00D750BD" w:rsidRDefault="00D357D8" w:rsidP="001C34C5">
      <w:pPr>
        <w:pStyle w:val="Heading5"/>
      </w:pPr>
      <w:bookmarkStart w:id="11" w:name="_Toc203032170"/>
      <w:r>
        <w:t xml:space="preserve">2.1 </w:t>
      </w:r>
      <w:r w:rsidR="00D750BD">
        <w:t>Structure of report</w:t>
      </w:r>
      <w:bookmarkEnd w:id="11"/>
    </w:p>
    <w:p w14:paraId="76D847B5" w14:textId="124C062F" w:rsidR="00961E9E" w:rsidRDefault="00961E9E" w:rsidP="001C34C5">
      <w:r>
        <w:t xml:space="preserve">The report structure is based on the internal audit’s scope points at </w:t>
      </w:r>
      <w:r w:rsidRPr="00961E9E">
        <w:rPr>
          <w:b/>
          <w:bCs/>
        </w:rPr>
        <w:t>Appendix A</w:t>
      </w:r>
      <w:r>
        <w:t xml:space="preserve">, which cover </w:t>
      </w:r>
    </w:p>
    <w:p w14:paraId="6243F0CD" w14:textId="681E3AA9" w:rsidR="00961E9E" w:rsidRPr="0027056B" w:rsidRDefault="00FD20D3" w:rsidP="0027056B">
      <w:pPr>
        <w:pStyle w:val="ListParagraph"/>
      </w:pPr>
      <w:r w:rsidRPr="0027056B">
        <w:t xml:space="preserve">understanding </w:t>
      </w:r>
      <w:r w:rsidR="00382EF6" w:rsidRPr="0027056B">
        <w:t xml:space="preserve">of </w:t>
      </w:r>
      <w:r w:rsidRPr="0027056B">
        <w:t xml:space="preserve">the </w:t>
      </w:r>
      <w:r w:rsidR="00961E9E" w:rsidRPr="0027056B">
        <w:t>project timeline</w:t>
      </w:r>
      <w:r w:rsidRPr="0027056B">
        <w:t xml:space="preserve"> and key milestones</w:t>
      </w:r>
      <w:r w:rsidR="00961E9E" w:rsidRPr="0027056B">
        <w:t>;</w:t>
      </w:r>
    </w:p>
    <w:p w14:paraId="6379C0A9" w14:textId="7E0D90C7" w:rsidR="00961E9E" w:rsidRPr="0027056B" w:rsidRDefault="00961E9E" w:rsidP="0027056B">
      <w:pPr>
        <w:pStyle w:val="ListParagraph"/>
      </w:pPr>
      <w:r w:rsidRPr="0027056B">
        <w:t>assessing the effectiveness of DISR’s decision-making frameworks, assessment approach and procurement practices;</w:t>
      </w:r>
    </w:p>
    <w:p w14:paraId="50E10B94" w14:textId="41FE063B" w:rsidR="00961E9E" w:rsidRPr="0027056B" w:rsidRDefault="00961E9E" w:rsidP="0027056B">
      <w:pPr>
        <w:pStyle w:val="ListParagraph"/>
      </w:pPr>
      <w:r w:rsidRPr="0027056B">
        <w:lastRenderedPageBreak/>
        <w:t>assessing the effectiveness of DISR’s risk, governance and compliance frameworks, including record-keeping; and</w:t>
      </w:r>
    </w:p>
    <w:p w14:paraId="64861417" w14:textId="7D73055E" w:rsidR="00961E9E" w:rsidRPr="0027056B" w:rsidRDefault="00961E9E" w:rsidP="0027056B">
      <w:pPr>
        <w:pStyle w:val="ListParagraph"/>
      </w:pPr>
      <w:r w:rsidRPr="0027056B">
        <w:t>identifying lessons learned and opportunities for improvement.</w:t>
      </w:r>
    </w:p>
    <w:p w14:paraId="06BDA2B5" w14:textId="77777777" w:rsidR="00961E9E" w:rsidRDefault="00961E9E" w:rsidP="001C34C5">
      <w:r>
        <w:t>For this internal audit, consideration of the project was based on the following stages of the project:</w:t>
      </w:r>
    </w:p>
    <w:p w14:paraId="34179FE5" w14:textId="6265D3F6" w:rsidR="00961E9E" w:rsidRDefault="00961E9E" w:rsidP="000C3A90">
      <w:pPr>
        <w:pStyle w:val="ListBullet2"/>
        <w:tabs>
          <w:tab w:val="num" w:pos="1539"/>
        </w:tabs>
        <w:ind w:left="644"/>
      </w:pPr>
      <w:r>
        <w:t xml:space="preserve">Initial consideration of PQ’s proposal (November 2022-May 2023) – referred to as ‘Stage 1’. This stage covered activities commencing with DISR’s receipt of PQ’s revised proposal in November 2022, up until </w:t>
      </w:r>
      <w:r w:rsidR="00A473CE">
        <w:t>the</w:t>
      </w:r>
      <w:r>
        <w:t xml:space="preserve"> government</w:t>
      </w:r>
      <w:r w:rsidR="00D16108">
        <w:t xml:space="preserve">’s decision to </w:t>
      </w:r>
      <w:r w:rsidR="00EF7D10">
        <w:t>establish</w:t>
      </w:r>
      <w:r w:rsidR="00D16108">
        <w:t xml:space="preserve"> a Taskforce</w:t>
      </w:r>
      <w:r>
        <w:t xml:space="preserve"> </w:t>
      </w:r>
      <w:r w:rsidR="00EF7D10">
        <w:t xml:space="preserve">to formally consider </w:t>
      </w:r>
      <w:r>
        <w:t>the proposal.</w:t>
      </w:r>
    </w:p>
    <w:p w14:paraId="095DD921" w14:textId="4E86737C" w:rsidR="00961E9E" w:rsidRDefault="00961E9E" w:rsidP="0027056B">
      <w:pPr>
        <w:pStyle w:val="ListParagraph"/>
        <w:ind w:left="641" w:hanging="357"/>
      </w:pPr>
      <w:r>
        <w:t>D</w:t>
      </w:r>
      <w:r w:rsidR="00EF7D10">
        <w:t>etailed d</w:t>
      </w:r>
      <w:r>
        <w:t xml:space="preserve">ue diligence, market testing and non-binding commercial negotiations (June 2023-February 2024) – referred to as ‘Stage 2’. This stage covered activities commencing with the </w:t>
      </w:r>
      <w:r w:rsidR="00C8470B">
        <w:t>g</w:t>
      </w:r>
      <w:r>
        <w:t>overnment’s approval for additional due diligence in June 2023, up until final advice to government on the outcome of this process in February 2024.</w:t>
      </w:r>
    </w:p>
    <w:p w14:paraId="705F7EA8" w14:textId="0B09F0FB" w:rsidR="00961E9E" w:rsidRDefault="00961E9E" w:rsidP="0027056B">
      <w:pPr>
        <w:pStyle w:val="ListParagraph"/>
        <w:ind w:left="641" w:hanging="357"/>
      </w:pPr>
      <w:r>
        <w:t>Contract negotiations and close (February</w:t>
      </w:r>
      <w:r w:rsidR="003D67C0">
        <w:t>-</w:t>
      </w:r>
      <w:r>
        <w:t xml:space="preserve">May 2024) – referred to as ‘Stage 3’. This stage covered activities commencing with </w:t>
      </w:r>
      <w:r w:rsidR="005D4E74">
        <w:t>g</w:t>
      </w:r>
      <w:r>
        <w:t xml:space="preserve">overnment’s agreement to invest in PQ and for the conduct of contractual negotiations in February 2024, up until contractual close in May 2024 (with </w:t>
      </w:r>
      <w:r w:rsidR="005D4E74">
        <w:t>g</w:t>
      </w:r>
      <w:r>
        <w:t>overnment publicly announc</w:t>
      </w:r>
      <w:r w:rsidR="002033BD">
        <w:t>ing</w:t>
      </w:r>
      <w:r>
        <w:t xml:space="preserve"> the investment decision on 30 April 2024).</w:t>
      </w:r>
    </w:p>
    <w:p w14:paraId="44303365" w14:textId="1BFD1CC0" w:rsidR="00D750BD" w:rsidRDefault="00D357D8" w:rsidP="001C34C5">
      <w:pPr>
        <w:pStyle w:val="Heading5"/>
      </w:pPr>
      <w:bookmarkStart w:id="12" w:name="_Toc203032171"/>
      <w:r>
        <w:t xml:space="preserve">2.2 </w:t>
      </w:r>
      <w:r w:rsidR="00D750BD">
        <w:t>Operating environment</w:t>
      </w:r>
      <w:bookmarkEnd w:id="12"/>
    </w:p>
    <w:p w14:paraId="4C5BB087" w14:textId="778169D1" w:rsidR="003769DA" w:rsidRDefault="003769DA" w:rsidP="001C34C5">
      <w:r>
        <w:t>PQ’s</w:t>
      </w:r>
      <w:r w:rsidDel="003769DA">
        <w:t xml:space="preserve"> </w:t>
      </w:r>
      <w:r>
        <w:t>proposal was considered in a context where the Australian Government had either already published, or would publish, the following reports and strategies applicable to investment in the quantum sector:</w:t>
      </w:r>
    </w:p>
    <w:p w14:paraId="74901570" w14:textId="60135478" w:rsidR="003769DA" w:rsidRDefault="00F9755D" w:rsidP="0027056B">
      <w:pPr>
        <w:pStyle w:val="ListParagraph"/>
        <w:ind w:left="641" w:hanging="357"/>
      </w:pPr>
      <w:r>
        <w:t xml:space="preserve">Commonwealth Scientific </w:t>
      </w:r>
      <w:r w:rsidR="003040AF">
        <w:t>and Industrial Research Organisation’s (</w:t>
      </w:r>
      <w:r w:rsidR="003769DA">
        <w:t>CSIRO</w:t>
      </w:r>
      <w:r w:rsidR="003040AF">
        <w:t>)</w:t>
      </w:r>
      <w:r w:rsidR="003769DA">
        <w:t xml:space="preserve"> </w:t>
      </w:r>
      <w:r w:rsidR="003769DA" w:rsidRPr="003769DA">
        <w:rPr>
          <w:i/>
          <w:iCs/>
        </w:rPr>
        <w:t>Growing Australia’s Quantum Technology Industry</w:t>
      </w:r>
      <w:r w:rsidR="003769DA">
        <w:t xml:space="preserve"> report (May 2020), a roadmap flagging the growth and potential for the quantum sector in Australia, including the need to act quickly. Amongst other recommendations, the report recommended the development of a “national quantum technology strategy” and the exploration of funding and investment mechanisms to support “quantum technologies that demonstrate commercial potential.”</w:t>
      </w:r>
      <w:r w:rsidR="00D93A5C">
        <w:rPr>
          <w:rStyle w:val="FootnoteReference"/>
        </w:rPr>
        <w:footnoteReference w:id="2"/>
      </w:r>
      <w:r w:rsidR="003769DA">
        <w:t xml:space="preserve"> </w:t>
      </w:r>
    </w:p>
    <w:p w14:paraId="56936731" w14:textId="6EB18915" w:rsidR="003769DA" w:rsidRDefault="003769DA" w:rsidP="0027056B">
      <w:pPr>
        <w:pStyle w:val="ListParagraph"/>
        <w:ind w:left="641" w:hanging="357"/>
      </w:pPr>
      <w:r>
        <w:t xml:space="preserve">DISR’s </w:t>
      </w:r>
      <w:r w:rsidRPr="003769DA">
        <w:rPr>
          <w:i/>
          <w:iCs/>
        </w:rPr>
        <w:t>Critical Technologies Statement</w:t>
      </w:r>
      <w:r>
        <w:t xml:space="preserve"> (May 2023) noted one critical technology that would impact on Australia’s national interest was quantum technologies. Critical technologies have both benefits and risks for Australia. The statement reaffirms Australia’s commitment to building a sustainable and world-leading quantum economy.</w:t>
      </w:r>
      <w:r w:rsidR="00502EA7">
        <w:rPr>
          <w:rStyle w:val="FootnoteReference"/>
        </w:rPr>
        <w:footnoteReference w:id="3"/>
      </w:r>
      <w:r>
        <w:t xml:space="preserve"> </w:t>
      </w:r>
    </w:p>
    <w:p w14:paraId="0142A9AB" w14:textId="738F0094" w:rsidR="00D750BD" w:rsidRPr="00057010" w:rsidRDefault="003769DA" w:rsidP="0027056B">
      <w:pPr>
        <w:pStyle w:val="ListParagraph"/>
        <w:ind w:left="641" w:hanging="357"/>
      </w:pPr>
      <w:r>
        <w:lastRenderedPageBreak/>
        <w:t xml:space="preserve">The </w:t>
      </w:r>
      <w:r w:rsidRPr="003769DA">
        <w:rPr>
          <w:i/>
          <w:iCs/>
        </w:rPr>
        <w:t>National Quantum Strategy</w:t>
      </w:r>
      <w:r>
        <w:t xml:space="preserve"> (May 2023</w:t>
      </w:r>
      <w:r w:rsidR="00C71966">
        <w:t>) (</w:t>
      </w:r>
      <w:r>
        <w:t xml:space="preserve">the Strategy) focuses on the opportunities, uses, and case studies of quantum technologies, in addition to the themes of the </w:t>
      </w:r>
      <w:r w:rsidR="00924C49">
        <w:t>S</w:t>
      </w:r>
      <w:r>
        <w:t>trategy. The Strategy is a part of the government’s framework for critical technologies, and notes that government investment must maximise benefit and minimise market distortions. In doing so, the Australian Government will “be bold and ambitious in supporting the growth of new quantum infrastructure, including building the world’s first error-corrected quantum computer in Australia”.</w:t>
      </w:r>
      <w:r w:rsidR="00BA09DF">
        <w:rPr>
          <w:rStyle w:val="FootnoteReference"/>
        </w:rPr>
        <w:footnoteReference w:id="4"/>
      </w:r>
      <w:r w:rsidR="009A2F80">
        <w:t xml:space="preserve"> </w:t>
      </w:r>
      <w:r>
        <w:t>The Strategy notes the need for a national effort for the implementation and growth of critical technologies, such as quantum, across government departments and the private sector. A key focus in the Strategy is means for investing in quantum, with a primary vehicle for investment in critical technologies and projects being the National Reconstruction Fund (NRF), which commenced operations in 2023.</w:t>
      </w:r>
    </w:p>
    <w:p w14:paraId="2935986D" w14:textId="49281A18" w:rsidR="00A72E39" w:rsidRDefault="00D363FD" w:rsidP="001C34C5">
      <w:pPr>
        <w:pStyle w:val="Heading4"/>
      </w:pPr>
      <w:bookmarkStart w:id="13" w:name="_Toc203032172"/>
      <w:r>
        <w:t xml:space="preserve">3. </w:t>
      </w:r>
      <w:r w:rsidR="00D750BD">
        <w:t>The effectiveness of the decision-making framework, assessment approach and procurement practices applied by DISR</w:t>
      </w:r>
      <w:bookmarkEnd w:id="13"/>
    </w:p>
    <w:p w14:paraId="265ECDD4" w14:textId="71C20114" w:rsidR="00C36EFB" w:rsidRDefault="00C36EFB" w:rsidP="001C34C5">
      <w:r>
        <w:t xml:space="preserve">To test this scope point the </w:t>
      </w:r>
      <w:r w:rsidR="00F32270">
        <w:t>I</w:t>
      </w:r>
      <w:r>
        <w:t xml:space="preserve">nternal </w:t>
      </w:r>
      <w:r w:rsidR="00F32270">
        <w:t>A</w:t>
      </w:r>
      <w:r>
        <w:t>udit considered the following matters:</w:t>
      </w:r>
    </w:p>
    <w:p w14:paraId="1E0B0580" w14:textId="25DFDF84" w:rsidR="00C36EFB" w:rsidRDefault="00C36EFB" w:rsidP="001C34C5">
      <w:pPr>
        <w:pStyle w:val="ListBullet2"/>
      </w:pPr>
      <w:r>
        <w:t xml:space="preserve">The assessment approach and authorising environment </w:t>
      </w:r>
    </w:p>
    <w:p w14:paraId="27DEBDEB" w14:textId="2EAA8E28" w:rsidR="00C36EFB" w:rsidRDefault="00C36EFB" w:rsidP="001C34C5">
      <w:pPr>
        <w:pStyle w:val="ListBullet2"/>
      </w:pPr>
      <w:r>
        <w:t>Stakeholder engagement (including with the Minister for Industry and Science)</w:t>
      </w:r>
    </w:p>
    <w:p w14:paraId="1E150454" w14:textId="3D1ADBC0" w:rsidR="00A72E39" w:rsidRDefault="00C36EFB" w:rsidP="001C34C5">
      <w:pPr>
        <w:pStyle w:val="ListBullet2"/>
      </w:pPr>
      <w:r>
        <w:t>Market testing</w:t>
      </w:r>
    </w:p>
    <w:p w14:paraId="61C530F2" w14:textId="0554E7C5" w:rsidR="00071124" w:rsidRDefault="00D363FD" w:rsidP="001C34C5">
      <w:pPr>
        <w:pStyle w:val="Heading5"/>
      </w:pPr>
      <w:bookmarkStart w:id="14" w:name="_Toc203032173"/>
      <w:r>
        <w:t xml:space="preserve">3.1 </w:t>
      </w:r>
      <w:r w:rsidR="00071124">
        <w:t xml:space="preserve">Assessment approach </w:t>
      </w:r>
      <w:r w:rsidR="00924C49">
        <w:t>and</w:t>
      </w:r>
      <w:r w:rsidR="00071124">
        <w:t xml:space="preserve"> authorising environment</w:t>
      </w:r>
      <w:bookmarkEnd w:id="14"/>
    </w:p>
    <w:tbl>
      <w:tblPr>
        <w:tblStyle w:val="TableGrid"/>
        <w:tblW w:w="0" w:type="auto"/>
        <w:tblLook w:val="04A0" w:firstRow="1" w:lastRow="0" w:firstColumn="1" w:lastColumn="0" w:noHBand="0" w:noVBand="1"/>
      </w:tblPr>
      <w:tblGrid>
        <w:gridCol w:w="9016"/>
      </w:tblGrid>
      <w:tr w:rsidR="00C36EFB" w14:paraId="76076A75" w14:textId="77777777" w:rsidTr="00927CB2">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A2C2E2"/>
          </w:tcPr>
          <w:p w14:paraId="460CD9AC" w14:textId="16CED0D1" w:rsidR="00C36EFB" w:rsidRPr="003C7BC0" w:rsidRDefault="003C7BC0" w:rsidP="001C34C5">
            <w:r w:rsidRPr="003C7BC0">
              <w:rPr>
                <w:u w:val="single"/>
              </w:rPr>
              <w:t>Observation:</w:t>
            </w:r>
            <w:r w:rsidRPr="003C7BC0">
              <w:t xml:space="preserve"> </w:t>
            </w:r>
            <w:r w:rsidRPr="0027694A">
              <w:rPr>
                <w:b w:val="0"/>
                <w:bCs/>
              </w:rPr>
              <w:t>DISR engaged appropriate technical, legal and commercial assistance to provide an informed view to government on the benefits and risks of the proposal. The business case prepared for government aligned with government objectives, described the policy opportunity the investment was seeking to address, and articulated potential benefits and risks.</w:t>
            </w:r>
          </w:p>
        </w:tc>
      </w:tr>
    </w:tbl>
    <w:p w14:paraId="65F2E8B6" w14:textId="4CC1C5A0" w:rsidR="00D363FD" w:rsidRDefault="00D363FD" w:rsidP="001C34C5">
      <w:pPr>
        <w:pStyle w:val="Heading8"/>
      </w:pPr>
      <w:r>
        <w:t xml:space="preserve">Overview of </w:t>
      </w:r>
      <w:r w:rsidR="00F47A4F">
        <w:t>Stage 1 authorising environment</w:t>
      </w:r>
    </w:p>
    <w:p w14:paraId="58A72BE3" w14:textId="5E917E82" w:rsidR="000F5F3A" w:rsidRDefault="5E7A63F4" w:rsidP="001C34C5">
      <w:r>
        <w:t>PQ submitted its proposal on 16 November 2022</w:t>
      </w:r>
      <w:r w:rsidR="76C8B4D3">
        <w:t xml:space="preserve"> address</w:t>
      </w:r>
      <w:r w:rsidR="618946A0">
        <w:t>ing</w:t>
      </w:r>
      <w:r>
        <w:t xml:space="preserve"> the proposal’s competitive advantage; value for money; and impact for government. It</w:t>
      </w:r>
      <w:r w:rsidR="5F6FAAD9">
        <w:t> </w:t>
      </w:r>
      <w:r>
        <w:t>also outlined the investment support sought from government.</w:t>
      </w:r>
    </w:p>
    <w:p w14:paraId="15274B74" w14:textId="20F9D113" w:rsidR="00531611" w:rsidRDefault="00531611" w:rsidP="001C34C5">
      <w:r>
        <w:t xml:space="preserve">On 19 December 2022, the Minister for Industry and Science (the Minister) </w:t>
      </w:r>
      <w:r w:rsidR="000F5F3A">
        <w:t xml:space="preserve">agreed that </w:t>
      </w:r>
      <w:r>
        <w:t>DISR</w:t>
      </w:r>
      <w:r w:rsidR="00733AF2">
        <w:t xml:space="preserve"> should</w:t>
      </w:r>
      <w:r>
        <w:t xml:space="preserve"> undertake a more comprehensive assessment of the proposal in collaboration with QLD Treasury. In the associated Ministerial Submission, DISR added its preliminary views on QLD Treasury’s initial assessment and included initial technical advice from </w:t>
      </w:r>
      <w:r w:rsidR="00AA0D04">
        <w:t xml:space="preserve">Australia’s </w:t>
      </w:r>
      <w:r>
        <w:t xml:space="preserve">Chief Scientist. DISR’s initial assessment reflected its </w:t>
      </w:r>
      <w:r>
        <w:lastRenderedPageBreak/>
        <w:t>uncertainty over both potential benefits and risks of the proposal</w:t>
      </w:r>
      <w:r w:rsidR="001449EF">
        <w:t>,</w:t>
      </w:r>
      <w:r>
        <w:t xml:space="preserve"> and that gaps in understanding necessitated further analysis.</w:t>
      </w:r>
    </w:p>
    <w:p w14:paraId="3CE0A4BF" w14:textId="70C1B82F" w:rsidR="00F47A4F" w:rsidRDefault="00531611" w:rsidP="001C34C5">
      <w:r>
        <w:t xml:space="preserve">On 25 May 2023, DISR reported to the Minister the outcomes of this assessment, recommending </w:t>
      </w:r>
      <w:r w:rsidR="00580984">
        <w:t>detailed due diligence on</w:t>
      </w:r>
      <w:r>
        <w:t xml:space="preserve"> PQ’s proposal. </w:t>
      </w:r>
      <w:r w:rsidR="008A202D">
        <w:t xml:space="preserve">To support its recommendation, </w:t>
      </w:r>
      <w:r>
        <w:t xml:space="preserve">DISR included the results of commercial and economic analysis conducted by a third party, a technical maturity risk assessment by Defence Science and Technology Group (DSTG), and further advice from </w:t>
      </w:r>
      <w:r w:rsidR="00AA0D04">
        <w:t xml:space="preserve">Australia’s </w:t>
      </w:r>
      <w:r>
        <w:t xml:space="preserve">Chief Scientist. DISR’s Submission articulated both the potential benefits and risks of the proposal. This Submission led to advice to Cabinet on the </w:t>
      </w:r>
      <w:r w:rsidR="00861CFE">
        <w:t>merits of</w:t>
      </w:r>
      <w:r>
        <w:t xml:space="preserve"> further consideration, including establishing a taskforce.</w:t>
      </w:r>
    </w:p>
    <w:p w14:paraId="234373BA" w14:textId="172FCE40" w:rsidR="00F47A4F" w:rsidRDefault="00F47A4F" w:rsidP="001C34C5">
      <w:pPr>
        <w:pStyle w:val="Heading8"/>
      </w:pPr>
      <w:r>
        <w:t>Overview of Stage 2 authorising environment</w:t>
      </w:r>
    </w:p>
    <w:p w14:paraId="59E4015E" w14:textId="5FF8CB7C" w:rsidR="00E34937" w:rsidRDefault="00CE0F0F" w:rsidP="001C34C5">
      <w:r>
        <w:t>In June 2023, t</w:t>
      </w:r>
      <w:r w:rsidR="00CC1B34">
        <w:t xml:space="preserve">he </w:t>
      </w:r>
      <w:r w:rsidR="00CE6874">
        <w:t>government established the</w:t>
      </w:r>
      <w:r w:rsidR="00CC1B34">
        <w:t xml:space="preserve"> Technology Investment Taskforce (TITF, or the Taskforce) to manage </w:t>
      </w:r>
      <w:r w:rsidR="00CE6874">
        <w:t xml:space="preserve">detailed </w:t>
      </w:r>
      <w:r w:rsidR="00CC1B34">
        <w:t>due diligence and non-binding commercial negotiations</w:t>
      </w:r>
      <w:r w:rsidR="00E34937">
        <w:t xml:space="preserve"> – including a framework to govern the Commonwealth and QLD’s relationship in supporting non-binding negotiations</w:t>
      </w:r>
      <w:r w:rsidR="00CC1B34">
        <w:t xml:space="preserve">. </w:t>
      </w:r>
    </w:p>
    <w:p w14:paraId="56989677" w14:textId="07840618" w:rsidR="00CC1B34" w:rsidRDefault="005412D0" w:rsidP="001C34C5">
      <w:r>
        <w:t>This clear authorising environment was translated into the Taskforce’s Terms of Reference (ToRs) (discussed in Section 4.1 ‘Governance arrangements’).</w:t>
      </w:r>
      <w:r w:rsidR="00CC1B34">
        <w:t xml:space="preserve"> Funding was allocated to operate the Taskforce, which included costs for additional DISR staff, officials from other government agencies, establishment of a project management office, and the engagement of legal, commercial, economic and probity support.</w:t>
      </w:r>
    </w:p>
    <w:p w14:paraId="14DFB901" w14:textId="5E195335" w:rsidR="00CC1B34" w:rsidRDefault="00CC1B34" w:rsidP="001C34C5">
      <w:r>
        <w:t xml:space="preserve">On 12 July 2023, the SES Band 3 Inter-Departmental Committee (IDC) approved 2 negotiation mandates acceptable to the Commonwealth to guide commercial advisors involved in negotiations and a potential contractual decision: </w:t>
      </w:r>
    </w:p>
    <w:p w14:paraId="65C90B64" w14:textId="51E296E9" w:rsidR="00CC1B34" w:rsidRDefault="00CC1B34" w:rsidP="0027056B">
      <w:pPr>
        <w:pStyle w:val="ListParagraph"/>
        <w:ind w:left="641" w:hanging="357"/>
      </w:pPr>
      <w:r>
        <w:t xml:space="preserve">The Commonwealth negotiation mandate was a principle-based framework of Commonwealth priorities, distinguishing between Commonwealth and QLD responsibilities. </w:t>
      </w:r>
    </w:p>
    <w:p w14:paraId="6CC6E5B9" w14:textId="5956366A" w:rsidR="00CC1B34" w:rsidRDefault="00CC1B34" w:rsidP="0027056B">
      <w:pPr>
        <w:pStyle w:val="ListParagraph"/>
        <w:ind w:left="641" w:hanging="357"/>
      </w:pPr>
      <w:r>
        <w:t>The second negotiation mandate outlined how the Commonwealth could work with the QLD government to achieve a fair distribution of rights, risks</w:t>
      </w:r>
      <w:r w:rsidR="004F5D34">
        <w:t>,</w:t>
      </w:r>
      <w:r>
        <w:t xml:space="preserve"> and potential future rewards, whilst protecting the Commonwealth interests. </w:t>
      </w:r>
      <w:r w:rsidR="00956E17">
        <w:t>At the time, t</w:t>
      </w:r>
      <w:r>
        <w:t xml:space="preserve">he document </w:t>
      </w:r>
      <w:r w:rsidR="00EE4FC8">
        <w:t xml:space="preserve">was </w:t>
      </w:r>
      <w:r>
        <w:t xml:space="preserve">flagged as yet to be agreed with QLD. </w:t>
      </w:r>
    </w:p>
    <w:p w14:paraId="3325CCD7" w14:textId="706E98AC" w:rsidR="00557D47" w:rsidRDefault="00CC1B34" w:rsidP="001C34C5">
      <w:r>
        <w:t xml:space="preserve">The </w:t>
      </w:r>
      <w:r w:rsidR="00DB3470">
        <w:t>mandates were treated as living documents that would continue to be refined, and were provided to t</w:t>
      </w:r>
      <w:r>
        <w:t>he Minister</w:t>
      </w:r>
      <w:r w:rsidR="00DB3470">
        <w:t>.</w:t>
      </w:r>
      <w:r>
        <w:t xml:space="preserve"> </w:t>
      </w:r>
      <w:r w:rsidR="00DB3470">
        <w:t xml:space="preserve">Initially, it was noted that QLD and the Commonwealth were “still some way apart on certain issues” but “respective commercial advisers will now work to close the gaps.” </w:t>
      </w:r>
      <w:r w:rsidR="00257600">
        <w:t>T</w:t>
      </w:r>
      <w:r>
        <w:t xml:space="preserve">he QLD government </w:t>
      </w:r>
      <w:r w:rsidR="00673215">
        <w:t xml:space="preserve">was </w:t>
      </w:r>
      <w:r>
        <w:t>provided</w:t>
      </w:r>
      <w:r w:rsidR="00830D02">
        <w:t xml:space="preserve"> </w:t>
      </w:r>
      <w:r w:rsidR="00DB3470">
        <w:t xml:space="preserve">a copy of </w:t>
      </w:r>
      <w:r>
        <w:t xml:space="preserve">the QLD </w:t>
      </w:r>
      <w:r w:rsidR="00DB3470">
        <w:t xml:space="preserve">related </w:t>
      </w:r>
      <w:r>
        <w:t xml:space="preserve">mandate. </w:t>
      </w:r>
    </w:p>
    <w:p w14:paraId="5308CC78" w14:textId="0FC8C5F3" w:rsidR="00F47A4F" w:rsidRDefault="00F47A4F" w:rsidP="001C34C5">
      <w:pPr>
        <w:pStyle w:val="Heading8"/>
      </w:pPr>
      <w:r>
        <w:t>Overview of Stage 3 authorising environment</w:t>
      </w:r>
    </w:p>
    <w:p w14:paraId="50F3E264" w14:textId="1825D539" w:rsidR="00823EA7" w:rsidRPr="00823EA7" w:rsidRDefault="000A4477" w:rsidP="001C34C5">
      <w:r>
        <w:t>In February 2024</w:t>
      </w:r>
      <w:r w:rsidR="00823EA7" w:rsidRPr="00823EA7">
        <w:t xml:space="preserve">, </w:t>
      </w:r>
      <w:r w:rsidR="0058374F">
        <w:t>G</w:t>
      </w:r>
      <w:r w:rsidR="00823EA7" w:rsidRPr="00823EA7">
        <w:t xml:space="preserve">overnment authorised the Secretary of DISR to lead negotiations with PQ, agree on the term sheet, and to lead resolution of outstanding contractual issues. Based on DISR advice, the government agreed to restructure part of the financial support package during the negotiation process. The </w:t>
      </w:r>
      <w:r w:rsidR="00F32270">
        <w:t>I</w:t>
      </w:r>
      <w:r w:rsidR="00823EA7" w:rsidRPr="00823EA7">
        <w:t xml:space="preserve">nternal </w:t>
      </w:r>
      <w:r w:rsidR="00F32270">
        <w:t>A</w:t>
      </w:r>
      <w:r w:rsidR="00823EA7" w:rsidRPr="00823EA7">
        <w:t>udit noted evidence of the Secretary reviewing and approving refinements to the Commonwealth’s position on outstanding commercial items.</w:t>
      </w:r>
      <w:r w:rsidR="009A2F80">
        <w:t xml:space="preserve"> </w:t>
      </w:r>
    </w:p>
    <w:p w14:paraId="6311C95D" w14:textId="1B9210FA" w:rsidR="00F47A4F" w:rsidRPr="00823EA7" w:rsidRDefault="003D61EC" w:rsidP="001C34C5">
      <w:r>
        <w:t>O</w:t>
      </w:r>
      <w:r w:rsidRPr="00823EA7">
        <w:t>n 30 April 2024</w:t>
      </w:r>
      <w:r>
        <w:t>, t</w:t>
      </w:r>
      <w:r w:rsidR="00823EA7" w:rsidRPr="00823EA7">
        <w:t xml:space="preserve">he Australian Government announced the decision to invest in PQ, with </w:t>
      </w:r>
      <w:r w:rsidR="00C85CED">
        <w:t>contracts</w:t>
      </w:r>
      <w:r w:rsidR="00823EA7" w:rsidRPr="00823EA7">
        <w:t xml:space="preserve"> executed on 31 May 2024. Broadly, the</w:t>
      </w:r>
      <w:r w:rsidR="00741DE5">
        <w:t>se</w:t>
      </w:r>
      <w:r w:rsidR="00823EA7" w:rsidRPr="00823EA7">
        <w:t xml:space="preserve"> set out the obligations and </w:t>
      </w:r>
      <w:r w:rsidR="00823EA7" w:rsidRPr="00823EA7">
        <w:lastRenderedPageBreak/>
        <w:t xml:space="preserve">rights of all parties, including conditions PQ must meet to access government funding; governance and oversight of the transaction; and includes statements of overarching </w:t>
      </w:r>
      <w:r w:rsidR="000F3D5F">
        <w:t>g</w:t>
      </w:r>
      <w:r w:rsidR="00823EA7" w:rsidRPr="00823EA7">
        <w:t xml:space="preserve">overnment objectives and PQ commitments. Following execution of </w:t>
      </w:r>
      <w:r w:rsidR="00606599">
        <w:t>contracts</w:t>
      </w:r>
      <w:r w:rsidR="00823EA7" w:rsidRPr="00823EA7">
        <w:t xml:space="preserve">, the Taskforce transitioned into a Branch within DISR, with a reduction in staffing and a corresponding shift in focus towards </w:t>
      </w:r>
      <w:r w:rsidR="0072575C">
        <w:t>implementation.</w:t>
      </w:r>
    </w:p>
    <w:p w14:paraId="53672FE0" w14:textId="405AE0B4" w:rsidR="00F47A4F" w:rsidRDefault="00F47A4F" w:rsidP="001C34C5">
      <w:pPr>
        <w:pStyle w:val="Heading8"/>
      </w:pPr>
      <w:r>
        <w:t xml:space="preserve">Management of the business case and investment decision </w:t>
      </w:r>
    </w:p>
    <w:p w14:paraId="3A69A5F8" w14:textId="660338BD" w:rsidR="004D62F0" w:rsidRDefault="004F2A09" w:rsidP="001C34C5">
      <w:r>
        <w:t xml:space="preserve">At the time, unsolicited </w:t>
      </w:r>
      <w:r w:rsidR="00911760">
        <w:t xml:space="preserve">proposals </w:t>
      </w:r>
      <w:r w:rsidR="00D135A7">
        <w:t>seeking</w:t>
      </w:r>
      <w:r w:rsidR="00D97730">
        <w:t xml:space="preserve"> </w:t>
      </w:r>
      <w:r w:rsidR="00911760">
        <w:t>C</w:t>
      </w:r>
      <w:r w:rsidR="00D97730">
        <w:t>ommonwealth</w:t>
      </w:r>
      <w:r w:rsidR="001A43CC">
        <w:t xml:space="preserve"> investment </w:t>
      </w:r>
      <w:r>
        <w:t>lacked a</w:t>
      </w:r>
      <w:r w:rsidR="00D97730">
        <w:t xml:space="preserve"> Whole of Australian Government (WoAG) framework </w:t>
      </w:r>
      <w:r>
        <w:t>to</w:t>
      </w:r>
      <w:r w:rsidR="00D97730">
        <w:t xml:space="preserve"> manag</w:t>
      </w:r>
      <w:r>
        <w:t>e</w:t>
      </w:r>
      <w:r w:rsidR="00911760">
        <w:t xml:space="preserve"> </w:t>
      </w:r>
      <w:r w:rsidR="00D97730">
        <w:t>consideration.</w:t>
      </w:r>
      <w:r w:rsidR="00911760">
        <w:t xml:space="preserve"> </w:t>
      </w:r>
      <w:r w:rsidR="004D62F0">
        <w:t>At a high level, the Commonwealth Investment Framework requires that</w:t>
      </w:r>
      <w:r w:rsidR="00911760">
        <w:t xml:space="preserve"> a business case</w:t>
      </w:r>
      <w:r w:rsidR="004D62F0">
        <w:t>: clearly articulate the policy problem / opportunity being addressed; align to government strategic objectives; contain clear and measurable targets; and includes analysis of options (including analysing market demand and alternative sources of supply), costs, benefits and risks.</w:t>
      </w:r>
    </w:p>
    <w:p w14:paraId="0FC28DA5" w14:textId="3B86A8BD" w:rsidR="003405E1" w:rsidRDefault="004D62F0" w:rsidP="001C34C5">
      <w:r>
        <w:t>DISR provided legal, technical, and economic / commercial considerations to support government to make an informed decision</w:t>
      </w:r>
      <w:r w:rsidR="00B5769F">
        <w:t>,</w:t>
      </w:r>
      <w:r w:rsidR="00245EF0">
        <w:t xml:space="preserve"> cognis</w:t>
      </w:r>
      <w:r w:rsidR="00B5769F">
        <w:t>a</w:t>
      </w:r>
      <w:r w:rsidR="00091C01">
        <w:t>nt</w:t>
      </w:r>
      <w:r w:rsidR="00B5769F">
        <w:t xml:space="preserve"> of the risk</w:t>
      </w:r>
      <w:r>
        <w:t xml:space="preserve">. PQ’s proposal aligned with </w:t>
      </w:r>
      <w:r w:rsidR="002A1B63">
        <w:t xml:space="preserve">the strategic </w:t>
      </w:r>
      <w:r>
        <w:t>objectives</w:t>
      </w:r>
      <w:r w:rsidR="002A1B63">
        <w:t xml:space="preserve"> of government,</w:t>
      </w:r>
      <w:r>
        <w:t xml:space="preserve"> and identified the policy benefits. </w:t>
      </w:r>
      <w:r w:rsidR="00F23D75">
        <w:t>DISR’s business case</w:t>
      </w:r>
      <w:r>
        <w:t xml:space="preserve"> articulated that </w:t>
      </w:r>
      <w:r w:rsidR="002A1B63">
        <w:t>PQ’s proposal</w:t>
      </w:r>
      <w:r>
        <w:t>, although innovative and offering significant potential economic and financial benefits, also involved high financial risk</w:t>
      </w:r>
      <w:r w:rsidR="00BD299C">
        <w:t>, which the trans</w:t>
      </w:r>
      <w:r w:rsidR="00896DD5">
        <w:t xml:space="preserve">action structure </w:t>
      </w:r>
      <w:r w:rsidR="00491BD0">
        <w:t>subsequently sought to mitigate</w:t>
      </w:r>
      <w:r>
        <w:t xml:space="preserve">. </w:t>
      </w:r>
    </w:p>
    <w:p w14:paraId="0210F90F" w14:textId="17EAB130" w:rsidR="004D62F0" w:rsidRDefault="004D62F0" w:rsidP="001C34C5">
      <w:r>
        <w:t>Information provided to government at first pass (to inform a government decision on further due diligence requirements)</w:t>
      </w:r>
      <w:r>
        <w:rPr>
          <w:rStyle w:val="FootnoteReference"/>
        </w:rPr>
        <w:footnoteReference w:id="5"/>
      </w:r>
      <w:r>
        <w:t xml:space="preserve"> </w:t>
      </w:r>
      <w:r w:rsidR="003405E1">
        <w:t>drew on DISR</w:t>
      </w:r>
      <w:r w:rsidR="009C5088">
        <w:t>’s</w:t>
      </w:r>
      <w:r w:rsidR="003405E1">
        <w:t xml:space="preserve"> and </w:t>
      </w:r>
      <w:r w:rsidR="009B064F">
        <w:t>technical advisor</w:t>
      </w:r>
      <w:r w:rsidR="003405E1">
        <w:t>s</w:t>
      </w:r>
      <w:r w:rsidR="009B064F">
        <w:t>’</w:t>
      </w:r>
      <w:r w:rsidR="003405E1">
        <w:t xml:space="preserve"> understanding of the market</w:t>
      </w:r>
      <w:r w:rsidR="009C5088">
        <w:t xml:space="preserve">, but </w:t>
      </w:r>
      <w:r>
        <w:t xml:space="preserve">did not include </w:t>
      </w:r>
      <w:r w:rsidR="009C5088">
        <w:t xml:space="preserve">market </w:t>
      </w:r>
      <w:r w:rsidR="009535C7">
        <w:t>analysis</w:t>
      </w:r>
      <w:r w:rsidR="009C5088">
        <w:t>. H</w:t>
      </w:r>
      <w:r>
        <w:t>owever, this was addressed in the second pass (see also Section 3.3 ‘Market testing’). As DISR’s consideration of the proposal progressed, additional analysis was undertaken on assessing the instruments and vehicles for investment, and the costs, benefits and risks of the selected approach were outlined (including legal risks).</w:t>
      </w:r>
    </w:p>
    <w:p w14:paraId="5DB0E524" w14:textId="4624D8AA" w:rsidR="00B230DF" w:rsidRDefault="00B230DF" w:rsidP="001C34C5">
      <w:r>
        <w:t>The government</w:t>
      </w:r>
      <w:r w:rsidR="00B17549">
        <w:t xml:space="preserve"> consider</w:t>
      </w:r>
      <w:r w:rsidR="00B3607F">
        <w:t>ed the business case and</w:t>
      </w:r>
      <w:r w:rsidR="00C86FE1">
        <w:t xml:space="preserve"> </w:t>
      </w:r>
      <w:r w:rsidR="00B3607F">
        <w:t>investment decision through multiple passes spanning</w:t>
      </w:r>
      <w:r w:rsidR="00C86FE1">
        <w:t xml:space="preserve"> </w:t>
      </w:r>
      <w:r w:rsidR="00F81989">
        <w:t>each Stage</w:t>
      </w:r>
      <w:r w:rsidR="00812E1C">
        <w:t xml:space="preserve"> of the project.</w:t>
      </w:r>
      <w:r>
        <w:t xml:space="preserve"> </w:t>
      </w:r>
      <w:r w:rsidR="00B3607F">
        <w:t xml:space="preserve">This included </w:t>
      </w:r>
      <w:r w:rsidR="00D727E4">
        <w:t xml:space="preserve">the decision </w:t>
      </w:r>
      <w:r>
        <w:t>to purchase equity and provide loans, using Export Finance Australia (EFA) as the investment vehicle, and authoris</w:t>
      </w:r>
      <w:r w:rsidR="00D727E4">
        <w:t>ation for</w:t>
      </w:r>
      <w:r>
        <w:t xml:space="preserve"> the Secretary of DISR to continue negotiations and finalise due diligence prior to contractual close</w:t>
      </w:r>
      <w:r w:rsidR="00943D1A">
        <w:t>.</w:t>
      </w:r>
      <w:r w:rsidR="00267ABB">
        <w:t xml:space="preserve"> </w:t>
      </w:r>
      <w:r w:rsidR="7C052D14">
        <w:t>T</w:t>
      </w:r>
      <w:r w:rsidR="007B674E">
        <w:t>he final</w:t>
      </w:r>
      <w:r w:rsidR="007D3E93">
        <w:t xml:space="preserve"> investment detail was </w:t>
      </w:r>
      <w:r w:rsidR="2B1659A6">
        <w:t>agreed</w:t>
      </w:r>
      <w:r w:rsidR="007D3E93">
        <w:t xml:space="preserve"> by </w:t>
      </w:r>
      <w:r w:rsidR="7F6BF268">
        <w:t>G</w:t>
      </w:r>
      <w:r w:rsidR="7B1EE2E4">
        <w:t>overnment</w:t>
      </w:r>
      <w:r w:rsidR="000E272C">
        <w:t xml:space="preserve">, </w:t>
      </w:r>
      <w:r w:rsidR="5E1C5D0A">
        <w:t>as part of the finalisation of the 2024-25 Budget</w:t>
      </w:r>
      <w:r w:rsidR="000E272C">
        <w:t>.</w:t>
      </w:r>
      <w:r w:rsidR="009303F4">
        <w:t xml:space="preserve"> </w:t>
      </w:r>
    </w:p>
    <w:p w14:paraId="378EB01B" w14:textId="2DA468AC" w:rsidR="00F47A4F" w:rsidRDefault="00F47A4F" w:rsidP="001C34C5">
      <w:pPr>
        <w:pStyle w:val="Heading5"/>
      </w:pPr>
      <w:bookmarkStart w:id="15" w:name="_Toc203032174"/>
      <w:r>
        <w:t>3.2 Stakeholder engagement</w:t>
      </w:r>
      <w:bookmarkEnd w:id="15"/>
    </w:p>
    <w:tbl>
      <w:tblPr>
        <w:tblStyle w:val="TableGrid"/>
        <w:tblW w:w="0" w:type="auto"/>
        <w:tblLook w:val="04A0" w:firstRow="1" w:lastRow="0" w:firstColumn="1" w:lastColumn="0" w:noHBand="0" w:noVBand="1"/>
      </w:tblPr>
      <w:tblGrid>
        <w:gridCol w:w="9016"/>
      </w:tblGrid>
      <w:tr w:rsidR="00DA263E" w14:paraId="6D39DF62" w14:textId="77777777" w:rsidTr="00927CB2">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A2C2E2"/>
          </w:tcPr>
          <w:p w14:paraId="01DBEDAE" w14:textId="5FC8E71B" w:rsidR="00DA263E" w:rsidRPr="00A30562" w:rsidRDefault="00A30562" w:rsidP="001C34C5">
            <w:r w:rsidRPr="00A30562">
              <w:rPr>
                <w:u w:val="single"/>
              </w:rPr>
              <w:t>Observation:</w:t>
            </w:r>
            <w:r w:rsidRPr="00A30562">
              <w:t xml:space="preserve"> </w:t>
            </w:r>
            <w:r w:rsidRPr="000802B4">
              <w:rPr>
                <w:b w:val="0"/>
                <w:bCs/>
              </w:rPr>
              <w:t>Throughout the process DISR engaged with stakeholders across the Commonwealth public service, QLD Treasury and the private sector to provide an informed view to government, while also balancing the sensitivity and confidentiality requirements of the project.</w:t>
            </w:r>
          </w:p>
        </w:tc>
      </w:tr>
    </w:tbl>
    <w:p w14:paraId="4FCCE1D6" w14:textId="7E328C53" w:rsidR="00B0015E" w:rsidRDefault="00B0015E" w:rsidP="001C34C5">
      <w:r>
        <w:lastRenderedPageBreak/>
        <w:t>Effective stakeholder engagement is important to successfully implement complex initiatives, including where there are implications for multiple government agencies and expertise is required across multiple domains.</w:t>
      </w:r>
      <w:r w:rsidR="009A2F80">
        <w:t xml:space="preserve"> </w:t>
      </w:r>
      <w:r>
        <w:t>Engaging with a broad range of stakeholders and industry specialists throughout the process was required to provide informed advice to government on the full risks and implications of the proposal. This cut across security, economic, technical and commercial areas.</w:t>
      </w:r>
    </w:p>
    <w:p w14:paraId="0200B4B9" w14:textId="0D58EBC2" w:rsidR="00B0015E" w:rsidRDefault="00B0015E" w:rsidP="001C34C5">
      <w:r>
        <w:t xml:space="preserve">During initial consideration of the proposal, DISR convened a WoAG Working Group with representatives from </w:t>
      </w:r>
      <w:r w:rsidR="00B807DD">
        <w:t>relevant</w:t>
      </w:r>
      <w:r>
        <w:t xml:space="preserve"> Commonwealth agencies.</w:t>
      </w:r>
      <w:r w:rsidR="00864B0C">
        <w:rPr>
          <w:rStyle w:val="FootnoteReference"/>
        </w:rPr>
        <w:footnoteReference w:id="6"/>
      </w:r>
      <w:r w:rsidR="009A2F80">
        <w:t xml:space="preserve"> </w:t>
      </w:r>
      <w:r>
        <w:t>This forum was primarily used to promote awareness and consistency of communication across the Commonwealth.</w:t>
      </w:r>
    </w:p>
    <w:p w14:paraId="7021D8D9" w14:textId="77777777" w:rsidR="00B0015E" w:rsidRDefault="00B0015E" w:rsidP="001C34C5">
      <w:r>
        <w:t>Stakeholder engagement was formalised upon the creation of the Taskforce:</w:t>
      </w:r>
    </w:p>
    <w:p w14:paraId="5D88ED27" w14:textId="233F57F0" w:rsidR="00B0015E" w:rsidRDefault="00B0015E" w:rsidP="0027056B">
      <w:pPr>
        <w:pStyle w:val="ListParagraph"/>
        <w:ind w:left="641" w:hanging="357"/>
      </w:pPr>
      <w:r>
        <w:t xml:space="preserve">With Department of Finance (Finance) as the primary supporting agency, including as Deputy Chair of the Band 2 Steering Committee and Band 3 IDC. Other agencies represented on the Band 3 IDC included the Department of the Prime Minister and Cabinet, the Department of </w:t>
      </w:r>
      <w:r w:rsidR="0066076C">
        <w:t xml:space="preserve">the </w:t>
      </w:r>
      <w:r>
        <w:t>Treasury and the Department of Defence.</w:t>
      </w:r>
    </w:p>
    <w:p w14:paraId="68FEC65C" w14:textId="7A1C5BB9" w:rsidR="00B0015E" w:rsidRDefault="00B0015E" w:rsidP="0027056B">
      <w:pPr>
        <w:pStyle w:val="ListParagraph"/>
        <w:ind w:left="641" w:hanging="357"/>
      </w:pPr>
      <w:r>
        <w:t>The Technical Advisory Group (TAG) included representatives from Finance, CSIRO, DSTG, and the Chief Scientist.</w:t>
      </w:r>
    </w:p>
    <w:p w14:paraId="110CA56B" w14:textId="20E06F6F" w:rsidR="00B0015E" w:rsidRDefault="00B0015E" w:rsidP="0027056B">
      <w:pPr>
        <w:pStyle w:val="ListParagraph"/>
        <w:ind w:left="641" w:hanging="357"/>
      </w:pPr>
      <w:r>
        <w:t>Outside of these forums there was engagement with QLD Treasury, and communication with PQ.</w:t>
      </w:r>
    </w:p>
    <w:p w14:paraId="2D32C639" w14:textId="77777777" w:rsidR="00B0015E" w:rsidRPr="00B0015E" w:rsidRDefault="00B0015E" w:rsidP="001C34C5">
      <w:r w:rsidRPr="00B0015E">
        <w:t>Advice to the Minister</w:t>
      </w:r>
    </w:p>
    <w:p w14:paraId="0FEB5612" w14:textId="1D162320" w:rsidR="00B0015E" w:rsidRDefault="00B0015E" w:rsidP="001C34C5">
      <w:r>
        <w:t xml:space="preserve">Advice on the proposal needed to clearly articulate DISR’s assessment, progress, risks and opportunities. </w:t>
      </w:r>
      <w:r w:rsidR="00BA7388">
        <w:t>DISR engaged the</w:t>
      </w:r>
      <w:r>
        <w:t xml:space="preserve"> Minister throughout consideration of the proposal</w:t>
      </w:r>
      <w:r w:rsidR="006B21A9">
        <w:t>.</w:t>
      </w:r>
      <w:r>
        <w:t xml:space="preserve"> </w:t>
      </w:r>
      <w:r w:rsidR="006B21A9">
        <w:t>In addition to the work supporting</w:t>
      </w:r>
      <w:r>
        <w:t xml:space="preserve"> multiple passes through Cabinet (see </w:t>
      </w:r>
      <w:r w:rsidR="004D28CE">
        <w:t>S</w:t>
      </w:r>
      <w:r>
        <w:t>ection</w:t>
      </w:r>
      <w:r w:rsidR="004D28CE">
        <w:t xml:space="preserve"> 3.1 ‘Assessment approach &amp; authorising environment’</w:t>
      </w:r>
      <w:r>
        <w:t>)</w:t>
      </w:r>
      <w:r w:rsidR="006B21A9">
        <w:t>,</w:t>
      </w:r>
      <w:r>
        <w:t xml:space="preserve"> DISR prepared multiple Ministerial Submissions and briefings between December 2022 and May 2024. Most prominently, weekly updates were provided to the Minister in the period from 30</w:t>
      </w:r>
      <w:r w:rsidR="006B21A9">
        <w:t> </w:t>
      </w:r>
      <w:r>
        <w:t>June to 15 September 2023, during a period of significant Taskforce work.</w:t>
      </w:r>
    </w:p>
    <w:p w14:paraId="009CE266" w14:textId="37CF3B67" w:rsidR="00F47A4F" w:rsidRDefault="00B0015E" w:rsidP="001C34C5">
      <w:r>
        <w:t xml:space="preserve">The </w:t>
      </w:r>
      <w:r w:rsidR="00F32270">
        <w:t>I</w:t>
      </w:r>
      <w:r>
        <w:t xml:space="preserve">nternal </w:t>
      </w:r>
      <w:r w:rsidR="00977650">
        <w:t>A</w:t>
      </w:r>
      <w:r>
        <w:t xml:space="preserve">udit reviewed </w:t>
      </w:r>
      <w:r w:rsidR="00AD6B87">
        <w:t>m</w:t>
      </w:r>
      <w:r>
        <w:t xml:space="preserve">inisterial </w:t>
      </w:r>
      <w:r w:rsidR="00AD6B87">
        <w:t>submissions</w:t>
      </w:r>
      <w:r w:rsidR="00760168">
        <w:t xml:space="preserve">, </w:t>
      </w:r>
      <w:r>
        <w:t>briefing</w:t>
      </w:r>
      <w:r w:rsidR="00760168">
        <w:t xml:space="preserve">s and </w:t>
      </w:r>
      <w:r w:rsidR="00AD6B87">
        <w:t>c</w:t>
      </w:r>
      <w:r>
        <w:t xml:space="preserve">abinet </w:t>
      </w:r>
      <w:r w:rsidR="00AD6B87">
        <w:t>submissions</w:t>
      </w:r>
      <w:r>
        <w:t>. Overall, DISR provided the Minister with regular reporting and was responsive to ministerial direction. DISR’s language was appropriately tailored to the information at hand</w:t>
      </w:r>
      <w:r w:rsidR="0016690D">
        <w:t>. For example,</w:t>
      </w:r>
      <w:r>
        <w:t xml:space="preserve"> in the early stages, where there was minimal independent assessment of the potential benefits of PQ’s proposal, DISR’s language was appropriately cautious and focused on the uncertainty. As the project progressed, there was increasing focus on the benefits of the proposal, while also acknowledging ongoing risks and uncertainties.</w:t>
      </w:r>
    </w:p>
    <w:p w14:paraId="0A0596B3" w14:textId="707AB684" w:rsidR="00F47A4F" w:rsidRDefault="00F47A4F" w:rsidP="001C34C5">
      <w:pPr>
        <w:pStyle w:val="Heading5"/>
      </w:pPr>
      <w:bookmarkStart w:id="16" w:name="_Toc203032175"/>
      <w:r>
        <w:t>3.3 Market testing</w:t>
      </w:r>
      <w:bookmarkEnd w:id="16"/>
    </w:p>
    <w:tbl>
      <w:tblPr>
        <w:tblStyle w:val="TableGrid"/>
        <w:tblW w:w="0" w:type="auto"/>
        <w:tblLook w:val="04A0" w:firstRow="1" w:lastRow="0" w:firstColumn="1" w:lastColumn="0" w:noHBand="0" w:noVBand="1"/>
      </w:tblPr>
      <w:tblGrid>
        <w:gridCol w:w="9016"/>
      </w:tblGrid>
      <w:tr w:rsidR="004F47EC" w14:paraId="044DFA64" w14:textId="77777777" w:rsidTr="00927CB2">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A2C2E2"/>
          </w:tcPr>
          <w:p w14:paraId="21A9A5E5" w14:textId="5DE3E12A" w:rsidR="004F47EC" w:rsidRPr="005E27D6" w:rsidRDefault="005E27D6" w:rsidP="001C34C5">
            <w:r w:rsidRPr="005E27D6">
              <w:rPr>
                <w:u w:val="single"/>
              </w:rPr>
              <w:t>Observation:</w:t>
            </w:r>
            <w:r w:rsidRPr="005E27D6">
              <w:t xml:space="preserve"> </w:t>
            </w:r>
            <w:r w:rsidRPr="000802B4">
              <w:rPr>
                <w:b w:val="0"/>
                <w:bCs/>
              </w:rPr>
              <w:t xml:space="preserve">DISR’s approach was </w:t>
            </w:r>
            <w:r w:rsidR="00E53E8C">
              <w:rPr>
                <w:b w:val="0"/>
                <w:bCs/>
              </w:rPr>
              <w:t>appropriate</w:t>
            </w:r>
            <w:r w:rsidRPr="000802B4">
              <w:rPr>
                <w:b w:val="0"/>
                <w:bCs/>
              </w:rPr>
              <w:t>. Probity and confidentiality were managed effectively, and the documented process for assessment was followed.</w:t>
            </w:r>
            <w:r w:rsidR="001E69CA" w:rsidRPr="000802B4">
              <w:rPr>
                <w:b w:val="0"/>
                <w:bCs/>
              </w:rPr>
              <w:t xml:space="preserve"> </w:t>
            </w:r>
            <w:r w:rsidR="001E69CA" w:rsidRPr="000802B4">
              <w:rPr>
                <w:b w:val="0"/>
                <w:bCs/>
              </w:rPr>
              <w:lastRenderedPageBreak/>
              <w:t>P</w:t>
            </w:r>
            <w:r w:rsidRPr="000802B4">
              <w:rPr>
                <w:b w:val="0"/>
                <w:bCs/>
              </w:rPr>
              <w:t>lanning for the market testing could have been improved, in particular by documenting possible next steps depending on the outcome of the evaluation.</w:t>
            </w:r>
          </w:p>
        </w:tc>
      </w:tr>
    </w:tbl>
    <w:p w14:paraId="7F17A6BF" w14:textId="1DD35C03" w:rsidR="003B3C9B" w:rsidRDefault="003B3C9B" w:rsidP="001C34C5">
      <w:r>
        <w:lastRenderedPageBreak/>
        <w:t xml:space="preserve">Testing the market in response to receiving an </w:t>
      </w:r>
      <w:r w:rsidR="0A244C96">
        <w:t xml:space="preserve">investment </w:t>
      </w:r>
      <w:r>
        <w:t xml:space="preserve">proposal provides additional certainty to government that the proposed expenditure involves the proper use of public resources. </w:t>
      </w:r>
      <w:r w:rsidR="00D55D4F">
        <w:t xml:space="preserve">Good practice to test the broader market is </w:t>
      </w:r>
      <w:r w:rsidR="0016690D">
        <w:t xml:space="preserve">by using </w:t>
      </w:r>
      <w:r w:rsidR="00D55D4F">
        <w:t xml:space="preserve">a competitive process. </w:t>
      </w:r>
      <w:r>
        <w:t xml:space="preserve">Expressions </w:t>
      </w:r>
      <w:r w:rsidR="008B5C6B">
        <w:t>o</w:t>
      </w:r>
      <w:r>
        <w:t xml:space="preserve">f Interest (EOI/s) are </w:t>
      </w:r>
      <w:r w:rsidR="00554E51">
        <w:t>a</w:t>
      </w:r>
      <w:r w:rsidR="002B73CC">
        <w:t xml:space="preserve"> suitable</w:t>
      </w:r>
      <w:r w:rsidR="00554E51">
        <w:t xml:space="preserve"> </w:t>
      </w:r>
      <w:r w:rsidR="00212AD4">
        <w:t xml:space="preserve">tool </w:t>
      </w:r>
      <w:r>
        <w:t xml:space="preserve">often used </w:t>
      </w:r>
      <w:r w:rsidR="00212AD4">
        <w:t xml:space="preserve">by </w:t>
      </w:r>
      <w:r>
        <w:t>government to screen the market</w:t>
      </w:r>
      <w:r w:rsidR="00AA444A">
        <w:t xml:space="preserve"> and to inform whether a </w:t>
      </w:r>
      <w:r w:rsidR="00760AE7">
        <w:t>more detailed</w:t>
      </w:r>
      <w:r w:rsidR="00373059">
        <w:t xml:space="preserve"> </w:t>
      </w:r>
      <w:r w:rsidR="00AA444A">
        <w:t xml:space="preserve">process </w:t>
      </w:r>
      <w:r w:rsidR="00760AE7">
        <w:t xml:space="preserve">(e.g a </w:t>
      </w:r>
      <w:r w:rsidR="009B69A7">
        <w:t>r</w:t>
      </w:r>
      <w:r w:rsidR="00760AE7">
        <w:t xml:space="preserve">equest </w:t>
      </w:r>
      <w:r w:rsidR="009B69A7">
        <w:t>f</w:t>
      </w:r>
      <w:r w:rsidR="00760AE7">
        <w:t xml:space="preserve">or </w:t>
      </w:r>
      <w:r w:rsidR="009B69A7">
        <w:t>te</w:t>
      </w:r>
      <w:r w:rsidR="00760AE7">
        <w:t xml:space="preserve">nder) </w:t>
      </w:r>
      <w:r w:rsidR="00AA444A">
        <w:t>is required</w:t>
      </w:r>
      <w:r>
        <w:t>. Typically, the level of detail expected in response to an EOI would be less than that as part of a request for tender. However, an EOI needs to be sufficiently detailed and be supported by clear criteria that can be readily evaluated to inform next steps.</w:t>
      </w:r>
      <w:r w:rsidR="009A2F80">
        <w:t xml:space="preserve"> </w:t>
      </w:r>
    </w:p>
    <w:p w14:paraId="06653E14" w14:textId="5F39E873" w:rsidR="00F47A4F" w:rsidRDefault="00CF3597" w:rsidP="001C34C5">
      <w:r>
        <w:t>T</w:t>
      </w:r>
      <w:r w:rsidRPr="000F6FE9">
        <w:t>he Government agreed</w:t>
      </w:r>
      <w:r>
        <w:t>,</w:t>
      </w:r>
      <w:r w:rsidRPr="000F6FE9">
        <w:t xml:space="preserve"> </w:t>
      </w:r>
      <w:r>
        <w:t>i</w:t>
      </w:r>
      <w:r w:rsidR="003B3C9B" w:rsidRPr="000F6FE9">
        <w:t xml:space="preserve">n June 2023 </w:t>
      </w:r>
      <w:r w:rsidR="00CE4BD9" w:rsidRPr="000F6FE9">
        <w:t xml:space="preserve">as part of establishing a Taskforce, </w:t>
      </w:r>
      <w:r w:rsidR="00927543" w:rsidRPr="000F6FE9">
        <w:t>that DISR,</w:t>
      </w:r>
      <w:r w:rsidR="003B3C9B" w:rsidRPr="000F6FE9">
        <w:t xml:space="preserve"> supported by Finance, </w:t>
      </w:r>
      <w:r w:rsidR="007419C1" w:rsidRPr="000F6FE9">
        <w:t xml:space="preserve">should </w:t>
      </w:r>
      <w:r w:rsidR="003B3C9B" w:rsidRPr="000F6FE9">
        <w:t xml:space="preserve">undertake a market testing process consistent with an EOI. This was undertaken in parallel with due diligence activities and commercial negotiations with PQ. This was to be completed in time to form part of </w:t>
      </w:r>
      <w:r w:rsidR="003B3C9B" w:rsidRPr="00973843">
        <w:t>further advice to government in October 2023, which placed time pressure on the Taskforce.</w:t>
      </w:r>
      <w:r w:rsidR="00973843" w:rsidRPr="00973843">
        <w:rPr>
          <w:rStyle w:val="CommentReference"/>
        </w:rPr>
        <w:t xml:space="preserve"> </w:t>
      </w:r>
      <w:r w:rsidR="009A2F80" w:rsidRPr="00973843">
        <w:t xml:space="preserve"> </w:t>
      </w:r>
      <w:r w:rsidR="009A2F80">
        <w:t xml:space="preserve">  </w:t>
      </w:r>
    </w:p>
    <w:p w14:paraId="3D756904" w14:textId="14CBA0A5" w:rsidR="005B6C1D" w:rsidRDefault="00602268" w:rsidP="001C34C5">
      <w:r>
        <w:t xml:space="preserve">The EOI approach was developed by </w:t>
      </w:r>
      <w:r w:rsidR="005B6C1D">
        <w:t>DISR work</w:t>
      </w:r>
      <w:r>
        <w:t>ing</w:t>
      </w:r>
      <w:r w:rsidR="005B6C1D">
        <w:t xml:space="preserve"> with Finance </w:t>
      </w:r>
      <w:r w:rsidR="006B2B32">
        <w:t>and the B</w:t>
      </w:r>
      <w:r w:rsidR="007F74C0">
        <w:t xml:space="preserve">and </w:t>
      </w:r>
      <w:r w:rsidR="006B2B32">
        <w:t>3 IDC</w:t>
      </w:r>
      <w:r w:rsidR="005B6C1D">
        <w:t>. On 2 August 2023, the Minister agreed to the proposed process, which involved a confidential and limited approach to market</w:t>
      </w:r>
      <w:r w:rsidR="00103363">
        <w:t xml:space="preserve"> to </w:t>
      </w:r>
      <w:r w:rsidR="009C4B22">
        <w:t>21</w:t>
      </w:r>
      <w:r w:rsidR="00103363">
        <w:t xml:space="preserve"> </w:t>
      </w:r>
      <w:r w:rsidR="00646556">
        <w:t>quantum computing companies</w:t>
      </w:r>
      <w:r w:rsidR="005B6C1D">
        <w:t>. This approach was selected as it would meet necessary requirements whilst minimising risks of impacting PQ negotiations.</w:t>
      </w:r>
    </w:p>
    <w:p w14:paraId="5C4A87E2" w14:textId="5401067E" w:rsidR="005B6C1D" w:rsidRDefault="009F5307" w:rsidP="001C34C5">
      <w:r>
        <w:t>An</w:t>
      </w:r>
      <w:r w:rsidR="005B6C1D">
        <w:t xml:space="preserve"> EOI Plan</w:t>
      </w:r>
      <w:r>
        <w:t xml:space="preserve">, which included an evaluation plan and probity plan, was also developed by DISR </w:t>
      </w:r>
      <w:r w:rsidR="005B6C1D">
        <w:t>in consultation with Finance, DSTG and the TAG.</w:t>
      </w:r>
      <w:r w:rsidR="005B6C1D">
        <w:rPr>
          <w:rStyle w:val="FootnoteReference"/>
        </w:rPr>
        <w:footnoteReference w:id="7"/>
      </w:r>
      <w:r w:rsidR="009A2F80">
        <w:t xml:space="preserve"> </w:t>
      </w:r>
      <w:r w:rsidR="005B6C1D">
        <w:t xml:space="preserve">A DISR </w:t>
      </w:r>
      <w:r w:rsidR="007C3623">
        <w:t xml:space="preserve">SES </w:t>
      </w:r>
      <w:r w:rsidR="005B6C1D">
        <w:t>representative chaired the panel, with 2 other members from DSTG and Finance</w:t>
      </w:r>
      <w:r w:rsidR="00BA76D4">
        <w:t xml:space="preserve">, supported by the TAG and </w:t>
      </w:r>
      <w:r w:rsidR="008038EB">
        <w:t>other specialist advisors</w:t>
      </w:r>
      <w:r w:rsidR="005B6C1D">
        <w:t>. The Panel finalised the Evaluation Report on 25 September 2023.</w:t>
      </w:r>
    </w:p>
    <w:p w14:paraId="324BDA3F" w14:textId="5AEE7D2D" w:rsidR="005B6C1D" w:rsidRDefault="009F5307" w:rsidP="001C34C5">
      <w:r>
        <w:t xml:space="preserve">The </w:t>
      </w:r>
      <w:r w:rsidR="00904A5E">
        <w:t xml:space="preserve">Phase 2 </w:t>
      </w:r>
      <w:r w:rsidR="005B6C1D">
        <w:t xml:space="preserve">Risk Register </w:t>
      </w:r>
      <w:r>
        <w:t>for the Taskforce</w:t>
      </w:r>
      <w:r w:rsidR="00904A5E">
        <w:t xml:space="preserve"> identified</w:t>
      </w:r>
      <w:r>
        <w:t xml:space="preserve"> </w:t>
      </w:r>
      <w:r w:rsidR="005B6C1D">
        <w:t xml:space="preserve">the </w:t>
      </w:r>
      <w:r w:rsidR="00904A5E">
        <w:t>risk that</w:t>
      </w:r>
      <w:r w:rsidR="005B6C1D">
        <w:t xml:space="preserve"> </w:t>
      </w:r>
      <w:r w:rsidR="007C3623">
        <w:t xml:space="preserve">a </w:t>
      </w:r>
      <w:r w:rsidR="005B6C1D">
        <w:t xml:space="preserve">market testing process </w:t>
      </w:r>
      <w:r w:rsidR="00904A5E">
        <w:t xml:space="preserve">could </w:t>
      </w:r>
      <w:r w:rsidR="005B6C1D">
        <w:t>be subject to criticism. Controls identified included having a robust process, detailed probity advice, clear messaging around the investment supporting the Strategy, and that market testing is not a procurement.</w:t>
      </w:r>
    </w:p>
    <w:p w14:paraId="23006101" w14:textId="507DAF0A" w:rsidR="005B6C1D" w:rsidRDefault="005B6C1D" w:rsidP="001C34C5">
      <w:r>
        <w:t xml:space="preserve">DISR’s approach to undertaking market testing met the requirements of government and was </w:t>
      </w:r>
      <w:r w:rsidR="00E53E8C">
        <w:t>appropriate</w:t>
      </w:r>
      <w:r>
        <w:t>:</w:t>
      </w:r>
    </w:p>
    <w:p w14:paraId="60962D17" w14:textId="02BA7D84" w:rsidR="005B6C1D" w:rsidRDefault="005B6C1D" w:rsidP="0027056B">
      <w:pPr>
        <w:pStyle w:val="ListParagraph"/>
        <w:ind w:left="641" w:hanging="357"/>
      </w:pPr>
      <w:r>
        <w:t xml:space="preserve">The expertise of the panel was balanced, supported by policy, financial and technical representation, and complemented by guidance from the Band 3 IDC on establishing the process. </w:t>
      </w:r>
    </w:p>
    <w:p w14:paraId="7C4CC15D" w14:textId="00B0E535" w:rsidR="005B6C1D" w:rsidRDefault="005B6C1D" w:rsidP="000C3A90">
      <w:pPr>
        <w:pStyle w:val="ListBullet2"/>
        <w:tabs>
          <w:tab w:val="num" w:pos="1539"/>
        </w:tabs>
        <w:ind w:left="644"/>
      </w:pPr>
      <w:r>
        <w:t xml:space="preserve">The criteria used were </w:t>
      </w:r>
      <w:r w:rsidR="00E53E8C">
        <w:t>appropriate</w:t>
      </w:r>
      <w:r w:rsidR="00E53E8C" w:rsidDel="00E53E8C">
        <w:t xml:space="preserve"> </w:t>
      </w:r>
      <w:r>
        <w:t>and focused on matters being considered as part of PQ’s proposal, including key technical requirements and the timeline.</w:t>
      </w:r>
    </w:p>
    <w:p w14:paraId="27A31036" w14:textId="2E9132BC" w:rsidR="005B6C1D" w:rsidRDefault="005B6C1D" w:rsidP="0027056B">
      <w:pPr>
        <w:pStyle w:val="ListParagraph"/>
        <w:ind w:left="641" w:hanging="357"/>
      </w:pPr>
      <w:r>
        <w:t>The</w:t>
      </w:r>
      <w:r w:rsidR="009A2F80">
        <w:t xml:space="preserve"> </w:t>
      </w:r>
      <w:r>
        <w:t xml:space="preserve">panel followed the defined process and applied the assessment criteria consistent with the EOI plan. </w:t>
      </w:r>
    </w:p>
    <w:p w14:paraId="35B1B22C" w14:textId="01EC6D7D" w:rsidR="005B6C1D" w:rsidRDefault="005B6C1D" w:rsidP="0027056B">
      <w:pPr>
        <w:pStyle w:val="ListParagraph"/>
        <w:ind w:left="641" w:hanging="357"/>
      </w:pPr>
      <w:r>
        <w:t xml:space="preserve">The selected approach to testing the market, via a confidential approach to identify possible respondents, was </w:t>
      </w:r>
      <w:r w:rsidR="00E53E8C">
        <w:t>appropriate</w:t>
      </w:r>
      <w:r>
        <w:t xml:space="preserve">: the Taskforce considered several </w:t>
      </w:r>
      <w:r>
        <w:lastRenderedPageBreak/>
        <w:t>options for market testing, and the list of possible respondents was developed with input from the TAG and cleared by the Minister.</w:t>
      </w:r>
    </w:p>
    <w:p w14:paraId="7D0D118E" w14:textId="6B211F63" w:rsidR="005B6C1D" w:rsidRPr="008C7472" w:rsidRDefault="005B6C1D" w:rsidP="0027056B">
      <w:pPr>
        <w:pStyle w:val="ListParagraph"/>
        <w:ind w:left="641" w:hanging="357"/>
      </w:pPr>
      <w:r>
        <w:t xml:space="preserve">Confidentiality </w:t>
      </w:r>
      <w:r w:rsidRPr="008C7472">
        <w:t>and probity requirements were managed effectively during the market testing process (see also</w:t>
      </w:r>
      <w:r w:rsidR="00633923" w:rsidRPr="008C7472">
        <w:t xml:space="preserve"> Section 4.2</w:t>
      </w:r>
      <w:r w:rsidRPr="008C7472">
        <w:t xml:space="preserve"> ‘</w:t>
      </w:r>
      <w:r w:rsidR="00633923" w:rsidRPr="008C7472">
        <w:t>P</w:t>
      </w:r>
      <w:r w:rsidRPr="008C7472">
        <w:t xml:space="preserve">robity and confidentiality’). </w:t>
      </w:r>
    </w:p>
    <w:p w14:paraId="7967710A" w14:textId="663109CB" w:rsidR="005B6C1D" w:rsidRPr="008C7472" w:rsidRDefault="005B6C1D" w:rsidP="001C34C5">
      <w:r w:rsidRPr="008C7472">
        <w:t xml:space="preserve">DISR could have improved </w:t>
      </w:r>
      <w:r w:rsidR="00BA652B" w:rsidRPr="008C7472">
        <w:t xml:space="preserve">its EOI plan </w:t>
      </w:r>
      <w:r w:rsidRPr="008C7472">
        <w:t xml:space="preserve">to support the </w:t>
      </w:r>
      <w:r w:rsidR="00E95577">
        <w:t>robustness</w:t>
      </w:r>
      <w:r w:rsidR="00E95577" w:rsidRPr="008C7472">
        <w:t xml:space="preserve"> </w:t>
      </w:r>
      <w:r w:rsidRPr="008C7472">
        <w:t>of the market testing approach.</w:t>
      </w:r>
      <w:r w:rsidR="009A2F80" w:rsidRPr="008C7472">
        <w:t xml:space="preserve"> </w:t>
      </w:r>
      <w:r w:rsidRPr="008C7472">
        <w:t>In particular</w:t>
      </w:r>
      <w:r w:rsidR="00BA652B" w:rsidRPr="008C7472">
        <w:t>:</w:t>
      </w:r>
      <w:r w:rsidRPr="008C7472">
        <w:t xml:space="preserve"> </w:t>
      </w:r>
    </w:p>
    <w:p w14:paraId="10688199" w14:textId="452C8B0E" w:rsidR="005B6C1D" w:rsidRDefault="00867ABF" w:rsidP="001C34C5">
      <w:pPr>
        <w:pStyle w:val="ListBullet2"/>
      </w:pPr>
      <w:r w:rsidRPr="008C7472">
        <w:t>The EOI Plan did not d</w:t>
      </w:r>
      <w:r w:rsidR="00BA652B" w:rsidRPr="008C7472">
        <w:t>efine</w:t>
      </w:r>
      <w:r w:rsidR="00BA652B">
        <w:t xml:space="preserve"> </w:t>
      </w:r>
      <w:r>
        <w:t xml:space="preserve">in any detail the rating scale used. </w:t>
      </w:r>
      <w:r w:rsidR="005B6C1D">
        <w:t xml:space="preserve">Evaluation of EOIs was based on a four-stage rating scale: </w:t>
      </w:r>
    </w:p>
    <w:p w14:paraId="144092E4" w14:textId="2478BD81" w:rsidR="005B6C1D" w:rsidRDefault="005B6C1D" w:rsidP="001C34C5">
      <w:pPr>
        <w:pStyle w:val="ListNumber3"/>
      </w:pPr>
      <w:r>
        <w:t>Highly Competitive</w:t>
      </w:r>
    </w:p>
    <w:p w14:paraId="0C4FF32C" w14:textId="159EB4FB" w:rsidR="005B6C1D" w:rsidRDefault="005B6C1D" w:rsidP="001C34C5">
      <w:pPr>
        <w:pStyle w:val="ListNumber3"/>
      </w:pPr>
      <w:r>
        <w:t xml:space="preserve">Competitive </w:t>
      </w:r>
    </w:p>
    <w:p w14:paraId="72309741" w14:textId="44162CFC" w:rsidR="005B6C1D" w:rsidRDefault="005B6C1D" w:rsidP="001C34C5">
      <w:pPr>
        <w:pStyle w:val="ListNumber3"/>
      </w:pPr>
      <w:r>
        <w:t>Borderline</w:t>
      </w:r>
    </w:p>
    <w:p w14:paraId="4D278243" w14:textId="05904E7B" w:rsidR="005B6C1D" w:rsidRDefault="005B6C1D" w:rsidP="001C34C5">
      <w:pPr>
        <w:pStyle w:val="ListNumber3"/>
      </w:pPr>
      <w:r>
        <w:t xml:space="preserve">Not Competitive </w:t>
      </w:r>
    </w:p>
    <w:p w14:paraId="7FBD22AC" w14:textId="272313D7" w:rsidR="005B6C1D" w:rsidRPr="008C7472" w:rsidRDefault="005B6C1D" w:rsidP="001C34C5">
      <w:r>
        <w:t xml:space="preserve">Prior </w:t>
      </w:r>
      <w:r w:rsidR="00EF42A6">
        <w:t xml:space="preserve">to </w:t>
      </w:r>
      <w:r>
        <w:t>and during evaluation, the rating scale used was not defined beyond the title</w:t>
      </w:r>
      <w:r w:rsidR="007C3623">
        <w:t xml:space="preserve">. This </w:t>
      </w:r>
      <w:r w:rsidR="00D829C9">
        <w:t>appr</w:t>
      </w:r>
      <w:r w:rsidR="0016652E">
        <w:t xml:space="preserve">oach </w:t>
      </w:r>
      <w:r w:rsidR="007C3623">
        <w:t>risks</w:t>
      </w:r>
      <w:r>
        <w:t xml:space="preserve"> creating ambiguity about what each </w:t>
      </w:r>
      <w:r w:rsidR="00E937A4">
        <w:t>rating</w:t>
      </w:r>
      <w:r w:rsidR="00387A9D">
        <w:t xml:space="preserve"> </w:t>
      </w:r>
      <w:r>
        <w:t>meant and the implications for being rated as such (particularly the ‘Borderline’ category).</w:t>
      </w:r>
      <w:r w:rsidR="004C2A47">
        <w:rPr>
          <w:rStyle w:val="FootnoteReference"/>
        </w:rPr>
        <w:footnoteReference w:id="8"/>
      </w:r>
      <w:r w:rsidR="009A2F80">
        <w:t xml:space="preserve"> </w:t>
      </w:r>
      <w:r>
        <w:t>After assessments were conducted and during finalisation of the evaluation report, broad definitions of each were included (in response to a recommendation from the probity advisor</w:t>
      </w:r>
      <w:r w:rsidR="005813DC">
        <w:t>).</w:t>
      </w:r>
      <w:r w:rsidR="006A2DA6">
        <w:t xml:space="preserve"> </w:t>
      </w:r>
      <w:r w:rsidR="006A2DA6" w:rsidRPr="00DC1F94">
        <w:t xml:space="preserve">DISR </w:t>
      </w:r>
      <w:r w:rsidR="00E22291">
        <w:t xml:space="preserve">did </w:t>
      </w:r>
      <w:r w:rsidR="006A2DA6" w:rsidRPr="00126DD6">
        <w:t xml:space="preserve">advise Internal Audit that the </w:t>
      </w:r>
      <w:r w:rsidR="006A2DA6" w:rsidRPr="00DC1F94">
        <w:t>Panel did discuss</w:t>
      </w:r>
      <w:r w:rsidR="006A2DA6" w:rsidRPr="00126DD6">
        <w:t xml:space="preserve"> what </w:t>
      </w:r>
      <w:r w:rsidR="006A2DA6">
        <w:t xml:space="preserve">the </w:t>
      </w:r>
      <w:r w:rsidR="006A2DA6" w:rsidRPr="00126DD6">
        <w:t>ratings meant</w:t>
      </w:r>
      <w:r w:rsidR="006A2DA6">
        <w:t>,</w:t>
      </w:r>
      <w:r w:rsidR="006A2DA6" w:rsidRPr="00126DD6">
        <w:t xml:space="preserve"> however </w:t>
      </w:r>
      <w:r w:rsidR="006A2DA6">
        <w:t>this was no</w:t>
      </w:r>
      <w:r w:rsidR="006A2DA6" w:rsidRPr="00126DD6">
        <w:t>t document</w:t>
      </w:r>
      <w:r w:rsidR="006A2DA6">
        <w:t xml:space="preserve">ed </w:t>
      </w:r>
      <w:r w:rsidR="006A2DA6" w:rsidRPr="00126DD6">
        <w:t xml:space="preserve">in the </w:t>
      </w:r>
      <w:r w:rsidR="006A2DA6" w:rsidRPr="008C7472">
        <w:t>EOI Plan. This would be expected as part of good practice.</w:t>
      </w:r>
    </w:p>
    <w:p w14:paraId="587EADC8" w14:textId="5DC80D20" w:rsidR="00E906DC" w:rsidRPr="008C7472" w:rsidRDefault="005B6C1D" w:rsidP="0027056B">
      <w:pPr>
        <w:pStyle w:val="ListParagraph"/>
        <w:ind w:left="641" w:hanging="357"/>
      </w:pPr>
      <w:r w:rsidRPr="008C7472">
        <w:t>The EOI Plan did not articulate next steps, including what action would be taken as a result of possible assessment outcomes (according to the rating scale adopted)</w:t>
      </w:r>
      <w:r w:rsidR="00207CBE" w:rsidRPr="008C7472">
        <w:t xml:space="preserve">, </w:t>
      </w:r>
      <w:r w:rsidR="008C7472" w:rsidRPr="008C7472">
        <w:t xml:space="preserve">in line with better practice. </w:t>
      </w:r>
      <w:r w:rsidR="00000EDD" w:rsidRPr="008C7472">
        <w:t xml:space="preserve">DISR advised </w:t>
      </w:r>
      <w:r w:rsidR="00912311" w:rsidRPr="008C7472">
        <w:t xml:space="preserve">Internal </w:t>
      </w:r>
      <w:r w:rsidR="00535233" w:rsidRPr="008C7472">
        <w:t xml:space="preserve">Audit </w:t>
      </w:r>
      <w:r w:rsidR="00912311" w:rsidRPr="008C7472">
        <w:t>that</w:t>
      </w:r>
      <w:r w:rsidR="00716070" w:rsidRPr="008C7472">
        <w:t xml:space="preserve"> </w:t>
      </w:r>
      <w:r w:rsidR="00224579" w:rsidRPr="008C7472">
        <w:t>its next step was always to provide advice to Government on the outcomes, and seek authority for next steps</w:t>
      </w:r>
      <w:r w:rsidR="00912311" w:rsidRPr="008C7472">
        <w:t xml:space="preserve">. </w:t>
      </w:r>
    </w:p>
    <w:p w14:paraId="30DE26A2" w14:textId="69A19D25" w:rsidR="003A3971" w:rsidRDefault="00D75E17" w:rsidP="00750EE3">
      <w:pPr>
        <w:pStyle w:val="ListBullet2"/>
        <w:tabs>
          <w:tab w:val="num" w:pos="1539"/>
        </w:tabs>
        <w:ind w:left="644"/>
      </w:pPr>
      <w:r>
        <w:t xml:space="preserve">The EOI Plan </w:t>
      </w:r>
      <w:r w:rsidR="005B6C1D">
        <w:t>also did not identify a proposed course of action for notifying respondents about the outcome and possible debriefings (debriefings were later provided in May 2024, once consideration of the proposal was complete).</w:t>
      </w:r>
      <w:r w:rsidR="009A2F80">
        <w:t xml:space="preserve"> </w:t>
      </w:r>
      <w:r w:rsidR="00713D62">
        <w:t xml:space="preserve">DISR </w:t>
      </w:r>
      <w:r w:rsidR="003F0F17">
        <w:t xml:space="preserve">advised that </w:t>
      </w:r>
      <w:r w:rsidR="00873AB4">
        <w:t>the plan was based on the existing departmental template, which did not include a section for planning and documenting next steps.</w:t>
      </w:r>
    </w:p>
    <w:tbl>
      <w:tblPr>
        <w:tblStyle w:val="TableGrid"/>
        <w:tblW w:w="0" w:type="auto"/>
        <w:tblLook w:val="04A0" w:firstRow="1" w:lastRow="0" w:firstColumn="1" w:lastColumn="0" w:noHBand="0" w:noVBand="1"/>
      </w:tblPr>
      <w:tblGrid>
        <w:gridCol w:w="9016"/>
      </w:tblGrid>
      <w:tr w:rsidR="003A3971" w14:paraId="2F903A3D" w14:textId="77777777" w:rsidTr="4FA05A3E">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F2F2F2" w:themeFill="background1" w:themeFillShade="F2"/>
          </w:tcPr>
          <w:p w14:paraId="7EDDDB45" w14:textId="0251ADD8" w:rsidR="00DE2507" w:rsidRPr="00A31485" w:rsidRDefault="00A31485" w:rsidP="007A4453">
            <w:pPr>
              <w:spacing w:after="240"/>
            </w:pPr>
            <w:r>
              <w:t xml:space="preserve">1. LESSON: </w:t>
            </w:r>
            <w:r w:rsidR="000F4E98">
              <w:rPr>
                <w:b w:val="0"/>
              </w:rPr>
              <w:t>Consistent with enterprise processes, DISR considered early whether</w:t>
            </w:r>
            <w:r w:rsidR="1216A5E8">
              <w:rPr>
                <w:b w:val="0"/>
              </w:rPr>
              <w:t xml:space="preserve"> it should conduct</w:t>
            </w:r>
            <w:r w:rsidR="000F4E98">
              <w:rPr>
                <w:b w:val="0"/>
              </w:rPr>
              <w:t xml:space="preserve"> a competitive process (i.e. whether the broader market may have the ability to provide comparable benefits).</w:t>
            </w:r>
          </w:p>
          <w:p w14:paraId="1B949E79" w14:textId="1286F849" w:rsidR="003A3971" w:rsidRDefault="00A31485" w:rsidP="001C34C5">
            <w:r w:rsidRPr="00A31485">
              <w:t xml:space="preserve">2. LESSON: </w:t>
            </w:r>
            <w:r w:rsidR="008A1101" w:rsidRPr="008A1101">
              <w:rPr>
                <w:b w:val="0"/>
                <w:bCs/>
              </w:rPr>
              <w:t xml:space="preserve">When conducting an Expression of Interest (EOI) and developing an evaluation plan, including detail of possible outcomes following evaluation activity (based on defined ratings) supports the </w:t>
            </w:r>
            <w:r w:rsidR="00E95577">
              <w:rPr>
                <w:b w:val="0"/>
                <w:bCs/>
              </w:rPr>
              <w:t>robustness</w:t>
            </w:r>
            <w:r w:rsidR="00E95577" w:rsidRPr="008A1101">
              <w:rPr>
                <w:b w:val="0"/>
                <w:bCs/>
              </w:rPr>
              <w:t xml:space="preserve"> </w:t>
            </w:r>
            <w:r w:rsidR="008A1101" w:rsidRPr="008A1101">
              <w:rPr>
                <w:b w:val="0"/>
                <w:bCs/>
              </w:rPr>
              <w:t xml:space="preserve">of market testing. DISR could have been more explicit in its proposed course of action following an assessment outcome. </w:t>
            </w:r>
          </w:p>
        </w:tc>
      </w:tr>
    </w:tbl>
    <w:p w14:paraId="118E0A1C" w14:textId="2BA7EC23" w:rsidR="00284889" w:rsidRDefault="00284889" w:rsidP="001C34C5"/>
    <w:p w14:paraId="47278AD0" w14:textId="73949F21" w:rsidR="00F47A4F" w:rsidRDefault="00F47A4F" w:rsidP="001C34C5">
      <w:pPr>
        <w:pStyle w:val="Heading4"/>
      </w:pPr>
      <w:bookmarkStart w:id="17" w:name="_Toc203032176"/>
      <w:r>
        <w:lastRenderedPageBreak/>
        <w:t>4. The effectiveness of the risk, governance and compliance frameworks applied to the project, and record-keeping undertaken by DISR</w:t>
      </w:r>
      <w:bookmarkEnd w:id="17"/>
    </w:p>
    <w:p w14:paraId="175D9763" w14:textId="55D5A0B5" w:rsidR="000B2F2E" w:rsidRDefault="000B2F2E" w:rsidP="001C34C5">
      <w:r>
        <w:t xml:space="preserve">To test this scope point the </w:t>
      </w:r>
      <w:r w:rsidR="001C7A45">
        <w:t>Internal A</w:t>
      </w:r>
      <w:r>
        <w:t>udit considered the following matters:</w:t>
      </w:r>
    </w:p>
    <w:p w14:paraId="7C857BAA" w14:textId="1855F207" w:rsidR="000B2F2E" w:rsidRDefault="000B2F2E" w:rsidP="001C34C5">
      <w:pPr>
        <w:pStyle w:val="ListBullet2"/>
      </w:pPr>
      <w:r>
        <w:t>Governance arrangements</w:t>
      </w:r>
    </w:p>
    <w:p w14:paraId="27E62CA2" w14:textId="19073897" w:rsidR="000B2F2E" w:rsidRDefault="000B2F2E" w:rsidP="001C34C5">
      <w:pPr>
        <w:pStyle w:val="ListBullet2"/>
      </w:pPr>
      <w:r>
        <w:t>Probity and confidentiality</w:t>
      </w:r>
    </w:p>
    <w:p w14:paraId="444B10B4" w14:textId="7C1E9FDF" w:rsidR="000B2F2E" w:rsidRDefault="000B2F2E" w:rsidP="001C34C5">
      <w:pPr>
        <w:pStyle w:val="ListBullet2"/>
      </w:pPr>
      <w:r>
        <w:t>Risk and project planning</w:t>
      </w:r>
    </w:p>
    <w:p w14:paraId="339BF5EE" w14:textId="0C9B6440" w:rsidR="00F47A4F" w:rsidRDefault="000B2F2E" w:rsidP="001C34C5">
      <w:pPr>
        <w:pStyle w:val="ListBullet2"/>
      </w:pPr>
      <w:r>
        <w:t>Records management</w:t>
      </w:r>
    </w:p>
    <w:p w14:paraId="2179E59B" w14:textId="32F06679" w:rsidR="00F47A4F" w:rsidRDefault="00F47A4F" w:rsidP="001C34C5">
      <w:pPr>
        <w:pStyle w:val="Heading5"/>
      </w:pPr>
      <w:bookmarkStart w:id="18" w:name="_Toc203032177"/>
      <w:r>
        <w:t>4.1 Governance arrangements</w:t>
      </w:r>
      <w:bookmarkEnd w:id="18"/>
    </w:p>
    <w:tbl>
      <w:tblPr>
        <w:tblStyle w:val="TableGrid"/>
        <w:tblW w:w="0" w:type="auto"/>
        <w:tblLook w:val="04A0" w:firstRow="1" w:lastRow="0" w:firstColumn="1" w:lastColumn="0" w:noHBand="0" w:noVBand="1"/>
      </w:tblPr>
      <w:tblGrid>
        <w:gridCol w:w="9016"/>
      </w:tblGrid>
      <w:tr w:rsidR="000B2F2E" w14:paraId="731B35BA" w14:textId="77777777" w:rsidTr="00927CB2">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A2C2E2"/>
          </w:tcPr>
          <w:p w14:paraId="57EE7C16" w14:textId="7A484828" w:rsidR="000B2F2E" w:rsidRPr="00D445A7" w:rsidRDefault="00D445A7" w:rsidP="001C34C5">
            <w:r w:rsidRPr="00D445A7">
              <w:rPr>
                <w:u w:val="single"/>
              </w:rPr>
              <w:t>Observation:</w:t>
            </w:r>
            <w:r w:rsidRPr="00D445A7">
              <w:t xml:space="preserve"> </w:t>
            </w:r>
            <w:r w:rsidRPr="000802B4">
              <w:rPr>
                <w:b w:val="0"/>
                <w:bCs/>
              </w:rPr>
              <w:t>The structures used were fit-for-purpose: there was a clear authorising environment, and arrangements were appropriately structured according to the stage of consideration. Documented Taskforce Terms of Reference were developed, then an updated ToR was drafted as the Taskforce proceeded into contract negotiations and final due diligence, however this update was not formally endorsed</w:t>
            </w:r>
            <w:r w:rsidR="00F96694" w:rsidRPr="000802B4">
              <w:rPr>
                <w:b w:val="0"/>
                <w:bCs/>
              </w:rPr>
              <w:t xml:space="preserve"> </w:t>
            </w:r>
            <w:r w:rsidRPr="000802B4">
              <w:rPr>
                <w:b w:val="0"/>
                <w:bCs/>
              </w:rPr>
              <w:t>/</w:t>
            </w:r>
            <w:r w:rsidR="00F96694" w:rsidRPr="000802B4">
              <w:rPr>
                <w:b w:val="0"/>
                <w:bCs/>
              </w:rPr>
              <w:t xml:space="preserve"> </w:t>
            </w:r>
            <w:r w:rsidRPr="000802B4">
              <w:rPr>
                <w:b w:val="0"/>
                <w:bCs/>
              </w:rPr>
              <w:t>finalised.</w:t>
            </w:r>
          </w:p>
        </w:tc>
      </w:tr>
    </w:tbl>
    <w:p w14:paraId="0A4B1D60" w14:textId="77777777" w:rsidR="00A36824" w:rsidRDefault="00A36824" w:rsidP="001C34C5">
      <w:r>
        <w:t>Governance structures must be fit-for-purpose and tailored to the issues being addressed and the operating environment. Taskforces are a type of structure often used to deliver high priority issues requiring cooperation across agencies.</w:t>
      </w:r>
    </w:p>
    <w:p w14:paraId="7EB2AF1F" w14:textId="56FD8CA7" w:rsidR="00A36824" w:rsidRDefault="00A36824" w:rsidP="001C34C5">
      <w:r>
        <w:t>During Stage 1, DISR’s initial consideration was managed within the normal organisational structure of DISR, within the Quantum Branch. While not a formalised structure with ToRs, a WoAG Working Group was established</w:t>
      </w:r>
      <w:r w:rsidR="007C3623">
        <w:t>,</w:t>
      </w:r>
      <w:r>
        <w:t xml:space="preserve"> which met 4 times between October 2022 and May 2023. It comprised representatives from multiple Commonwealth agencies and was used to promote awareness and consistency of communication and information. This Working Group agreed that DISR would be the point of contact for all Commonwealth communication with PQ.</w:t>
      </w:r>
      <w:r>
        <w:rPr>
          <w:rStyle w:val="FootnoteReference"/>
        </w:rPr>
        <w:footnoteReference w:id="9"/>
      </w:r>
    </w:p>
    <w:p w14:paraId="27F52625" w14:textId="65FB80A8" w:rsidR="00A36824" w:rsidRDefault="00A36824" w:rsidP="001C34C5">
      <w:r>
        <w:t xml:space="preserve">The </w:t>
      </w:r>
      <w:r w:rsidRPr="00974E9C">
        <w:t xml:space="preserve">establishment of the Taskforce in Stage 2 was based on ToRs that built on a “Governance and process plan” </w:t>
      </w:r>
      <w:r w:rsidR="00147293" w:rsidRPr="00974E9C">
        <w:t>DISR provided to the Government.</w:t>
      </w:r>
      <w:r w:rsidRPr="00974E9C">
        <w:t xml:space="preserve"> The ToR</w:t>
      </w:r>
      <w:r>
        <w:t>s were reviewed and finalised through the Band 3 IDC meeting. The ToRs set out the project objectives, policy framework, project governance and oversight arrangements, and supporting committees (see also diagram below):</w:t>
      </w:r>
    </w:p>
    <w:p w14:paraId="02C52EA4" w14:textId="16909559" w:rsidR="00A36824" w:rsidRDefault="00A36824" w:rsidP="0027056B">
      <w:pPr>
        <w:pStyle w:val="ListParagraph"/>
        <w:ind w:left="641" w:hanging="357"/>
      </w:pPr>
      <w:r>
        <w:t xml:space="preserve">The Band 3 IDC, which met monthly (between June 2023 and January 2024), provided guidance and direction on all critical parts of the non-binding negotiations to support advice to government. </w:t>
      </w:r>
    </w:p>
    <w:p w14:paraId="619AEAD8" w14:textId="624602E7" w:rsidR="00A36824" w:rsidRDefault="00A36824" w:rsidP="0027056B">
      <w:pPr>
        <w:pStyle w:val="ListParagraph"/>
        <w:ind w:left="641" w:hanging="357"/>
      </w:pPr>
      <w:r>
        <w:t xml:space="preserve">The Band 2 Steering Committee, which met at least twice weekly (from July 2023 until June 2024), managed project deliverables, including engagement with Secretaries, and the Minister. </w:t>
      </w:r>
    </w:p>
    <w:p w14:paraId="10D9936C" w14:textId="2DD510E3" w:rsidR="002D77D3" w:rsidRPr="008827CD" w:rsidRDefault="002D77D3" w:rsidP="0027056B">
      <w:pPr>
        <w:pStyle w:val="ListParagraph"/>
        <w:ind w:left="641" w:hanging="357"/>
      </w:pPr>
      <w:r w:rsidRPr="008827CD">
        <w:lastRenderedPageBreak/>
        <w:t xml:space="preserve">The Band 1 Working Group, </w:t>
      </w:r>
      <w:r w:rsidR="000E5105" w:rsidRPr="008827CD">
        <w:t>which met</w:t>
      </w:r>
      <w:r w:rsidR="00836E25" w:rsidRPr="008827CD">
        <w:t xml:space="preserve"> multiple times per week</w:t>
      </w:r>
      <w:r w:rsidR="000E5105" w:rsidRPr="008827CD">
        <w:t xml:space="preserve"> </w:t>
      </w:r>
      <w:r w:rsidR="00AC7384" w:rsidRPr="008827CD">
        <w:t>(from July 2023 until June 2024</w:t>
      </w:r>
      <w:r w:rsidR="008827CD" w:rsidRPr="008827CD">
        <w:t>), focused</w:t>
      </w:r>
      <w:r w:rsidR="00BF1F68" w:rsidRPr="008827CD">
        <w:t xml:space="preserve"> on </w:t>
      </w:r>
      <w:r w:rsidR="00882EE1" w:rsidRPr="008827CD">
        <w:t xml:space="preserve">delivering day-to-day activities </w:t>
      </w:r>
      <w:r w:rsidR="0070621D" w:rsidRPr="008827CD">
        <w:t>and respond</w:t>
      </w:r>
      <w:r w:rsidR="007C5467" w:rsidRPr="008827CD">
        <w:t>ing</w:t>
      </w:r>
      <w:r w:rsidR="0070621D" w:rsidRPr="008827CD">
        <w:t xml:space="preserve"> to direction from the Steering Committee and IDC</w:t>
      </w:r>
      <w:r w:rsidR="004A1FFC" w:rsidRPr="008827CD">
        <w:t>.</w:t>
      </w:r>
      <w:r w:rsidR="00044E31">
        <w:rPr>
          <w:rStyle w:val="FootnoteReference"/>
        </w:rPr>
        <w:footnoteReference w:id="10"/>
      </w:r>
    </w:p>
    <w:p w14:paraId="0F305331" w14:textId="5D3EEF9D" w:rsidR="00A36824" w:rsidRDefault="00A36824" w:rsidP="0027056B">
      <w:pPr>
        <w:pStyle w:val="ListParagraph"/>
        <w:ind w:left="641" w:hanging="357"/>
      </w:pPr>
      <w:r>
        <w:t>ToRs</w:t>
      </w:r>
      <w:r w:rsidR="009A2F80">
        <w:t xml:space="preserve"> </w:t>
      </w:r>
      <w:r>
        <w:t xml:space="preserve">were also subsequently established for the TAG, with clear roles and authority as an advisory (not decision-making) body. </w:t>
      </w:r>
    </w:p>
    <w:p w14:paraId="1E80F98A" w14:textId="61BD1F00" w:rsidR="00F47A4F" w:rsidRDefault="007C14EE" w:rsidP="001C34C5">
      <w:r w:rsidRPr="00955BFA">
        <w:rPr>
          <w:noProof/>
          <w:sz w:val="20"/>
          <w:szCs w:val="20"/>
        </w:rPr>
        <w:drawing>
          <wp:anchor distT="0" distB="0" distL="114300" distR="114300" simplePos="0" relativeHeight="251658240" behindDoc="0" locked="0" layoutInCell="1" allowOverlap="1" wp14:anchorId="4BC5F060" wp14:editId="0DF40A6E">
            <wp:simplePos x="0" y="0"/>
            <wp:positionH relativeFrom="column">
              <wp:posOffset>466726</wp:posOffset>
            </wp:positionH>
            <wp:positionV relativeFrom="paragraph">
              <wp:posOffset>255905</wp:posOffset>
            </wp:positionV>
            <wp:extent cx="4615180" cy="3499843"/>
            <wp:effectExtent l="0" t="0" r="0" b="5715"/>
            <wp:wrapNone/>
            <wp:docPr id="1249418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30340" cy="3511339"/>
                    </a:xfrm>
                    <a:prstGeom prst="rect">
                      <a:avLst/>
                    </a:prstGeom>
                    <a:noFill/>
                  </pic:spPr>
                </pic:pic>
              </a:graphicData>
            </a:graphic>
            <wp14:sizeRelH relativeFrom="margin">
              <wp14:pctWidth>0</wp14:pctWidth>
            </wp14:sizeRelH>
            <wp14:sizeRelV relativeFrom="margin">
              <wp14:pctHeight>0</wp14:pctHeight>
            </wp14:sizeRelV>
          </wp:anchor>
        </w:drawing>
      </w:r>
      <w:r w:rsidR="00A36824">
        <w:t>The Taskforce structure that operated during the life of the Taskforce has been depicted below (see Figure 1).</w:t>
      </w:r>
    </w:p>
    <w:p w14:paraId="627B4728" w14:textId="77777777" w:rsidR="007A4453" w:rsidRDefault="007A4453" w:rsidP="007C14EE">
      <w:pPr>
        <w:pStyle w:val="TableofFigures"/>
        <w:ind w:left="851" w:hanging="851"/>
        <w:rPr>
          <w:b/>
          <w:bCs/>
          <w:sz w:val="20"/>
          <w:szCs w:val="20"/>
        </w:rPr>
      </w:pPr>
    </w:p>
    <w:p w14:paraId="5E7D84A2" w14:textId="6640E418" w:rsidR="00422D2A" w:rsidRPr="00955BFA" w:rsidRDefault="00164817" w:rsidP="007C14EE">
      <w:pPr>
        <w:pStyle w:val="TableofFigures"/>
        <w:ind w:left="851" w:hanging="851"/>
        <w:rPr>
          <w:sz w:val="20"/>
          <w:szCs w:val="20"/>
        </w:rPr>
      </w:pPr>
      <w:r w:rsidRPr="00955BFA">
        <w:rPr>
          <w:b/>
          <w:bCs/>
          <w:sz w:val="20"/>
          <w:szCs w:val="20"/>
        </w:rPr>
        <w:t>Figure 1</w:t>
      </w:r>
      <w:r w:rsidRPr="00955BFA">
        <w:rPr>
          <w:sz w:val="20"/>
          <w:szCs w:val="20"/>
        </w:rPr>
        <w:t xml:space="preserve">: PsiQuantum Project Taskforce </w:t>
      </w:r>
      <w:r w:rsidR="007C14EE">
        <w:rPr>
          <w:sz w:val="20"/>
          <w:szCs w:val="20"/>
        </w:rPr>
        <w:br/>
      </w:r>
      <w:r w:rsidRPr="00955BFA">
        <w:rPr>
          <w:sz w:val="20"/>
          <w:szCs w:val="20"/>
        </w:rPr>
        <w:t>Governance Structure</w:t>
      </w:r>
    </w:p>
    <w:p w14:paraId="3A233E94" w14:textId="4A40A2CD" w:rsidR="0005449E" w:rsidRDefault="0005449E" w:rsidP="001C34C5">
      <w:pPr>
        <w:pStyle w:val="TableofFigures"/>
      </w:pPr>
    </w:p>
    <w:p w14:paraId="70A3D8B0" w14:textId="77777777" w:rsidR="007C14EE" w:rsidRDefault="007C14EE" w:rsidP="001C34C5"/>
    <w:p w14:paraId="5E5DFE9A" w14:textId="77777777" w:rsidR="007C14EE" w:rsidRDefault="007C14EE" w:rsidP="001C34C5"/>
    <w:p w14:paraId="4C4DC575" w14:textId="77777777" w:rsidR="007C14EE" w:rsidRDefault="007C14EE" w:rsidP="001C34C5"/>
    <w:p w14:paraId="4547731E" w14:textId="77777777" w:rsidR="007C14EE" w:rsidRDefault="007C14EE" w:rsidP="001C34C5"/>
    <w:p w14:paraId="73BD5BE4" w14:textId="77777777" w:rsidR="007C14EE" w:rsidRDefault="007C14EE" w:rsidP="001C34C5"/>
    <w:p w14:paraId="0CD2B234" w14:textId="77777777" w:rsidR="007C14EE" w:rsidRDefault="007C14EE" w:rsidP="001C34C5"/>
    <w:p w14:paraId="6C7F68A2" w14:textId="77777777" w:rsidR="007C14EE" w:rsidRDefault="007C14EE" w:rsidP="001C34C5"/>
    <w:p w14:paraId="54BB62E0" w14:textId="77777777" w:rsidR="007C14EE" w:rsidRDefault="007C14EE" w:rsidP="001C34C5"/>
    <w:p w14:paraId="1733BEEC" w14:textId="77777777" w:rsidR="00113ECD" w:rsidRDefault="00113ECD" w:rsidP="001C34C5"/>
    <w:p w14:paraId="41F4FCDD" w14:textId="6EDDF98C" w:rsidR="009B11B5" w:rsidRDefault="009B11B5" w:rsidP="001C34C5">
      <w:r>
        <w:t>Overall, the project’s ToRs were fit-for-purpose against key guidance contained in the</w:t>
      </w:r>
      <w:r w:rsidR="00727D0B">
        <w:t xml:space="preserve"> Australian Public Service Commission (</w:t>
      </w:r>
      <w:r>
        <w:t>APSC</w:t>
      </w:r>
      <w:r w:rsidR="00727D0B">
        <w:t>)</w:t>
      </w:r>
      <w:r>
        <w:t xml:space="preserve"> Taskforce Toolkit:</w:t>
      </w:r>
    </w:p>
    <w:p w14:paraId="6E9578E2" w14:textId="7E2DA54C" w:rsidR="009B11B5" w:rsidRDefault="009B11B5" w:rsidP="0027056B">
      <w:pPr>
        <w:pStyle w:val="ListParagraph"/>
        <w:ind w:left="641" w:hanging="357"/>
      </w:pPr>
      <w:r>
        <w:t>There was a clear authorising environment for the work of the Taskforce, set by Cabinet direction</w:t>
      </w:r>
      <w:r w:rsidR="00487067">
        <w:t>,</w:t>
      </w:r>
      <w:r>
        <w:t xml:space="preserve"> which included funding approval, representing clear buy-in from government. As noted in the Toolkit:</w:t>
      </w:r>
    </w:p>
    <w:p w14:paraId="774B64B1" w14:textId="7036EFE0" w:rsidR="009B11B5" w:rsidRPr="00966991" w:rsidRDefault="009B11B5" w:rsidP="00966991">
      <w:pPr>
        <w:pStyle w:val="ListParagraph"/>
        <w:numPr>
          <w:ilvl w:val="0"/>
          <w:numId w:val="0"/>
        </w:numPr>
        <w:ind w:left="641"/>
        <w:rPr>
          <w:i/>
          <w:iCs/>
        </w:rPr>
      </w:pPr>
      <w:r w:rsidRPr="00966991">
        <w:rPr>
          <w:i/>
          <w:iCs/>
        </w:rPr>
        <w:t>Authority in the form of a Cabinet decision or a deeply-invested minister or deputy secretary can be a great tool to drive action, particularly if you need to marshal resources or efforts around your problem.</w:t>
      </w:r>
      <w:r w:rsidR="006A7F86" w:rsidRPr="00966991">
        <w:rPr>
          <w:rStyle w:val="FootnoteReference"/>
          <w:i/>
          <w:iCs/>
        </w:rPr>
        <w:footnoteReference w:id="11"/>
      </w:r>
      <w:r w:rsidR="009A2F80" w:rsidRPr="00966991">
        <w:rPr>
          <w:i/>
          <w:iCs/>
        </w:rPr>
        <w:t xml:space="preserve"> </w:t>
      </w:r>
      <w:r w:rsidRPr="00966991">
        <w:rPr>
          <w:i/>
          <w:iCs/>
        </w:rPr>
        <w:t xml:space="preserve"> </w:t>
      </w:r>
    </w:p>
    <w:p w14:paraId="2262DE67" w14:textId="48E66625" w:rsidR="009B11B5" w:rsidRDefault="009B11B5" w:rsidP="0027056B">
      <w:pPr>
        <w:pStyle w:val="ListParagraph"/>
        <w:ind w:left="641" w:hanging="357"/>
      </w:pPr>
      <w:r>
        <w:t xml:space="preserve">Arrangements were logically structured with a clear ultimate decision-maker (the Expenditure Review Committee </w:t>
      </w:r>
      <w:r w:rsidR="00EA7324">
        <w:t>of Cabinet</w:t>
      </w:r>
      <w:r>
        <w:t xml:space="preserve"> (ERC)</w:t>
      </w:r>
      <w:r w:rsidR="00D72785">
        <w:t>, with the Minister for Industry and Science as lead Minister</w:t>
      </w:r>
      <w:r>
        <w:t>), decision-making and advisory bodies. The IDC</w:t>
      </w:r>
      <w:r w:rsidR="00F96694">
        <w:t xml:space="preserve"> </w:t>
      </w:r>
      <w:r>
        <w:t>/</w:t>
      </w:r>
      <w:r w:rsidR="00F96694">
        <w:t xml:space="preserve"> </w:t>
      </w:r>
      <w:r>
        <w:t>Steering Committee</w:t>
      </w:r>
      <w:r w:rsidR="00F96694">
        <w:t xml:space="preserve"> </w:t>
      </w:r>
      <w:r>
        <w:t>/</w:t>
      </w:r>
      <w:r w:rsidR="00F96694">
        <w:t xml:space="preserve"> </w:t>
      </w:r>
      <w:r>
        <w:t>TAG structure was a tailored governance arrangement that increased commitment and facilitated consultation across Commonwealth partner organisations.</w:t>
      </w:r>
      <w:r w:rsidR="00047F4F">
        <w:rPr>
          <w:rStyle w:val="FootnoteReference"/>
        </w:rPr>
        <w:footnoteReference w:id="12"/>
      </w:r>
      <w:r>
        <w:t xml:space="preserve"> </w:t>
      </w:r>
    </w:p>
    <w:p w14:paraId="17313B0C" w14:textId="477C3072" w:rsidR="005049CD" w:rsidRDefault="009B11B5" w:rsidP="001C34C5">
      <w:r>
        <w:t xml:space="preserve">For Stage 3 of the project, updated ToRs were drafted. DISR advised that </w:t>
      </w:r>
      <w:r w:rsidR="00FE08FE">
        <w:t>while</w:t>
      </w:r>
      <w:r w:rsidR="0061780B">
        <w:t xml:space="preserve"> the updated</w:t>
      </w:r>
      <w:r w:rsidR="00FE08FE">
        <w:t xml:space="preserve"> </w:t>
      </w:r>
      <w:r>
        <w:t>ToRs were not</w:t>
      </w:r>
      <w:r w:rsidR="00DF12F3">
        <w:t xml:space="preserve"> </w:t>
      </w:r>
      <w:r w:rsidR="00DB4A53">
        <w:t xml:space="preserve">formally </w:t>
      </w:r>
      <w:r w:rsidR="00DF12F3">
        <w:t>endorsed</w:t>
      </w:r>
      <w:r w:rsidR="00FE08FE">
        <w:t xml:space="preserve"> /</w:t>
      </w:r>
      <w:r>
        <w:t xml:space="preserve"> finalised due to competing high priority </w:t>
      </w:r>
      <w:r w:rsidRPr="00727D0B">
        <w:lastRenderedPageBreak/>
        <w:t>tasks</w:t>
      </w:r>
      <w:r w:rsidR="00FE08FE" w:rsidRPr="00727D0B">
        <w:t xml:space="preserve">, </w:t>
      </w:r>
      <w:r w:rsidR="00C84772" w:rsidRPr="00727D0B">
        <w:t>the</w:t>
      </w:r>
      <w:r w:rsidR="00280770" w:rsidRPr="00727D0B">
        <w:t xml:space="preserve"> changes</w:t>
      </w:r>
      <w:r w:rsidR="00C84772" w:rsidRPr="00727D0B">
        <w:t xml:space="preserve"> </w:t>
      </w:r>
      <w:r w:rsidR="00280770" w:rsidRPr="00727D0B">
        <w:t xml:space="preserve">were </w:t>
      </w:r>
      <w:r w:rsidR="00BB7B15" w:rsidRPr="00727D0B">
        <w:t>u</w:t>
      </w:r>
      <w:r w:rsidR="00FE08FE" w:rsidRPr="00727D0B">
        <w:t>nderstood</w:t>
      </w:r>
      <w:r w:rsidR="00783BDA">
        <w:t xml:space="preserve"> and operationalised</w:t>
      </w:r>
      <w:r>
        <w:t xml:space="preserve">. While the lack of finalised ToRs did not appear to impact the operation of the project, ToRs are key governance documents that should be finalised to provide certainty on objectives and approach. </w:t>
      </w:r>
    </w:p>
    <w:p w14:paraId="5F8EB024" w14:textId="45DFDB0F" w:rsidR="00F47A4F" w:rsidRDefault="00F47A4F" w:rsidP="001C34C5">
      <w:pPr>
        <w:pStyle w:val="Heading5"/>
      </w:pPr>
      <w:bookmarkStart w:id="19" w:name="_Toc203032178"/>
      <w:r>
        <w:t>4.2 Probity and confidentiality</w:t>
      </w:r>
      <w:bookmarkEnd w:id="19"/>
    </w:p>
    <w:tbl>
      <w:tblPr>
        <w:tblStyle w:val="TableGrid"/>
        <w:tblW w:w="0" w:type="auto"/>
        <w:tblLook w:val="04A0" w:firstRow="1" w:lastRow="0" w:firstColumn="1" w:lastColumn="0" w:noHBand="0" w:noVBand="1"/>
      </w:tblPr>
      <w:tblGrid>
        <w:gridCol w:w="9016"/>
      </w:tblGrid>
      <w:tr w:rsidR="000E5751" w14:paraId="4B894455" w14:textId="77777777" w:rsidTr="00927CB2">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A2C2E2"/>
          </w:tcPr>
          <w:p w14:paraId="096D9211" w14:textId="6F58A6B6" w:rsidR="000E5751" w:rsidRPr="00F360B1" w:rsidRDefault="00F360B1" w:rsidP="001C34C5">
            <w:r w:rsidRPr="00F360B1">
              <w:rPr>
                <w:u w:val="single"/>
              </w:rPr>
              <w:t>Observation:</w:t>
            </w:r>
            <w:r w:rsidRPr="00F360B1">
              <w:t xml:space="preserve"> </w:t>
            </w:r>
            <w:r w:rsidR="00EB04A3" w:rsidRPr="000802B4">
              <w:rPr>
                <w:b w:val="0"/>
                <w:bCs/>
              </w:rPr>
              <w:t>P</w:t>
            </w:r>
            <w:r w:rsidRPr="000802B4">
              <w:rPr>
                <w:b w:val="0"/>
                <w:bCs/>
              </w:rPr>
              <w:t>robity and confidentiality were managed effectively</w:t>
            </w:r>
            <w:r w:rsidR="009612AE" w:rsidRPr="000802B4">
              <w:rPr>
                <w:b w:val="0"/>
                <w:bCs/>
              </w:rPr>
              <w:t>.</w:t>
            </w:r>
            <w:r w:rsidRPr="000802B4">
              <w:rPr>
                <w:b w:val="0"/>
                <w:bCs/>
              </w:rPr>
              <w:t xml:space="preserve"> </w:t>
            </w:r>
            <w:r w:rsidR="00EB04A3" w:rsidRPr="000802B4">
              <w:rPr>
                <w:b w:val="0"/>
                <w:bCs/>
              </w:rPr>
              <w:t>A</w:t>
            </w:r>
            <w:r w:rsidRPr="000802B4">
              <w:rPr>
                <w:b w:val="0"/>
                <w:bCs/>
              </w:rPr>
              <w:t>rrangements were implemented early, followed through</w:t>
            </w:r>
            <w:r w:rsidR="00EB04A3" w:rsidRPr="000802B4">
              <w:rPr>
                <w:b w:val="0"/>
                <w:bCs/>
              </w:rPr>
              <w:t>out</w:t>
            </w:r>
            <w:r w:rsidRPr="000802B4">
              <w:rPr>
                <w:b w:val="0"/>
                <w:bCs/>
              </w:rPr>
              <w:t xml:space="preserve"> the project, and an external probity advisor was used to guide DISR’s actions where probity issues emerged.</w:t>
            </w:r>
          </w:p>
        </w:tc>
      </w:tr>
    </w:tbl>
    <w:p w14:paraId="63B0EDED" w14:textId="6D72CB88" w:rsidR="008537E8" w:rsidRDefault="008537E8" w:rsidP="001C34C5">
      <w:r>
        <w:t>Probity relates to conduct within the public sector, both at the individual and the entity level, that is ethical and defensible. There were many probity matters that DISR needed to be mindful of during consideration of the proposal, including:</w:t>
      </w:r>
    </w:p>
    <w:p w14:paraId="15A488C6" w14:textId="1DB9BD8B" w:rsidR="008537E8" w:rsidRDefault="008537E8" w:rsidP="0027056B">
      <w:pPr>
        <w:pStyle w:val="ListParagraph"/>
        <w:ind w:left="641" w:hanging="357"/>
      </w:pPr>
      <w:r>
        <w:t xml:space="preserve">Managing engagement with PQ, including supporting the Minister during meetings with PQ, in a way that did not incorrectly create the perception </w:t>
      </w:r>
      <w:r w:rsidR="00AA6AFF">
        <w:t>of</w:t>
      </w:r>
      <w:r>
        <w:t xml:space="preserve"> Commonwealth </w:t>
      </w:r>
      <w:r w:rsidR="00E15363">
        <w:t>support</w:t>
      </w:r>
      <w:r w:rsidR="00AA6AFF">
        <w:t xml:space="preserve"> ahead of due diligence and a decision by government.</w:t>
      </w:r>
      <w:r>
        <w:t xml:space="preserve"> This occurred whilst also requiring PQ to provide substantial commercial and additional information to support DISR’s consideration. </w:t>
      </w:r>
    </w:p>
    <w:p w14:paraId="641FC814" w14:textId="0379A6DA" w:rsidR="008537E8" w:rsidRDefault="008537E8" w:rsidP="0027056B">
      <w:pPr>
        <w:pStyle w:val="ListParagraph"/>
        <w:ind w:left="641" w:hanging="357"/>
      </w:pPr>
      <w:r>
        <w:t>Other Commonwealth equities in the quantum industry (including an Australian Government investment in another quantum computing company).</w:t>
      </w:r>
    </w:p>
    <w:p w14:paraId="324B914A" w14:textId="7EBEF332" w:rsidR="008537E8" w:rsidRDefault="008537E8" w:rsidP="0027056B">
      <w:pPr>
        <w:pStyle w:val="ListParagraph"/>
        <w:ind w:left="641" w:hanging="357"/>
      </w:pPr>
      <w:r>
        <w:t>Points where the Commonwealth and QLD Government had different priorities.</w:t>
      </w:r>
    </w:p>
    <w:p w14:paraId="18119E8C" w14:textId="0CF394E1" w:rsidR="008537E8" w:rsidRDefault="008537E8" w:rsidP="0027056B">
      <w:pPr>
        <w:pStyle w:val="ListParagraph"/>
        <w:ind w:left="641" w:hanging="357"/>
      </w:pPr>
      <w:r>
        <w:t>Engaging sufficient external technical expertise (through the TAG) in an environment where the Australian quantum sector is small and well connected.</w:t>
      </w:r>
    </w:p>
    <w:p w14:paraId="76FC3274" w14:textId="616F47E9" w:rsidR="008537E8" w:rsidRDefault="008537E8" w:rsidP="0027056B">
      <w:pPr>
        <w:pStyle w:val="ListParagraph"/>
        <w:ind w:left="641" w:hanging="357"/>
      </w:pPr>
      <w:r>
        <w:t xml:space="preserve">Continuing due diligence and commercial negotiations with PQ during a time when the </w:t>
      </w:r>
      <w:r w:rsidR="00727D0B">
        <w:t>Taskforce</w:t>
      </w:r>
      <w:r>
        <w:t xml:space="preserve"> was also undertaking market testing through an EOI process.</w:t>
      </w:r>
    </w:p>
    <w:p w14:paraId="442884ED" w14:textId="477510D9" w:rsidR="008537E8" w:rsidRDefault="008537E8" w:rsidP="001C34C5">
      <w:r>
        <w:t xml:space="preserve">The need to implement appropriate probity arrangements was identified in DISR’s </w:t>
      </w:r>
      <w:r w:rsidR="0040380E">
        <w:t xml:space="preserve">first </w:t>
      </w:r>
      <w:r w:rsidR="001A6874">
        <w:t xml:space="preserve">submission </w:t>
      </w:r>
      <w:r>
        <w:t>to the Minister in December 2022</w:t>
      </w:r>
      <w:r w:rsidR="001A6874">
        <w:t>, and f</w:t>
      </w:r>
      <w:r>
        <w:t xml:space="preserve">or Stage 1 DISR engaged an external probity advisor in January 2023. This resulted in the development of a probity plan and ‘probity protocols,’ to provide appropriate arrangements for DISR’s engagement with PQ. There are records that indicate that DISR and the probity advisor revised the probity plan </w:t>
      </w:r>
      <w:r w:rsidR="00CE5995">
        <w:t>for</w:t>
      </w:r>
      <w:r w:rsidR="002259AD">
        <w:t xml:space="preserve"> Stage 1.</w:t>
      </w:r>
      <w:r>
        <w:t xml:space="preserve"> </w:t>
      </w:r>
      <w:r w:rsidR="002259AD">
        <w:t>I</w:t>
      </w:r>
      <w:r>
        <w:t xml:space="preserve">t was unclear to </w:t>
      </w:r>
      <w:r w:rsidR="00BA681B">
        <w:t>I</w:t>
      </w:r>
      <w:r>
        <w:t xml:space="preserve">nternal </w:t>
      </w:r>
      <w:r w:rsidR="00BA681B">
        <w:t>A</w:t>
      </w:r>
      <w:r>
        <w:t>udit</w:t>
      </w:r>
      <w:r w:rsidR="009A2F80">
        <w:t xml:space="preserve"> </w:t>
      </w:r>
      <w:r>
        <w:t xml:space="preserve">if </w:t>
      </w:r>
      <w:r w:rsidR="002259AD">
        <w:t xml:space="preserve">this early </w:t>
      </w:r>
      <w:r>
        <w:t xml:space="preserve">probity plan was finalised, or whether a </w:t>
      </w:r>
      <w:r w:rsidR="00794435">
        <w:t xml:space="preserve">Stage 1 </w:t>
      </w:r>
      <w:r>
        <w:t xml:space="preserve">probity register was developed. Given the importance of probity arrangements these should have been clearly documented (see also comments on </w:t>
      </w:r>
      <w:r w:rsidR="00BC3DA3">
        <w:t>S</w:t>
      </w:r>
      <w:r>
        <w:t xml:space="preserve">tage 1 in </w:t>
      </w:r>
      <w:r w:rsidR="00414D24">
        <w:t>S</w:t>
      </w:r>
      <w:r w:rsidR="00BE62A5">
        <w:t xml:space="preserve">ection 4.4 </w:t>
      </w:r>
      <w:r>
        <w:t>‘</w:t>
      </w:r>
      <w:r w:rsidR="00BE62A5">
        <w:t>R</w:t>
      </w:r>
      <w:r>
        <w:t>ecords management’).</w:t>
      </w:r>
    </w:p>
    <w:p w14:paraId="61804A71" w14:textId="37008EC7" w:rsidR="008537E8" w:rsidRDefault="00532F61" w:rsidP="001C34C5">
      <w:r>
        <w:t xml:space="preserve">In </w:t>
      </w:r>
      <w:r w:rsidR="00D3783E">
        <w:t>S</w:t>
      </w:r>
      <w:r>
        <w:t xml:space="preserve">tages </w:t>
      </w:r>
      <w:r w:rsidR="009713F6">
        <w:t>2</w:t>
      </w:r>
      <w:r w:rsidR="00D3783E">
        <w:t xml:space="preserve"> and 3, </w:t>
      </w:r>
      <w:r w:rsidR="00EB04A3">
        <w:t xml:space="preserve">probity </w:t>
      </w:r>
      <w:r w:rsidR="008537E8">
        <w:t xml:space="preserve">was managed in a proactive and comprehensive manner with the introduction of the Taskforce (which included the appointment of a new probity advisor): </w:t>
      </w:r>
    </w:p>
    <w:p w14:paraId="11B4C2CC" w14:textId="2891534B" w:rsidR="008537E8" w:rsidRDefault="008537E8" w:rsidP="0027056B">
      <w:pPr>
        <w:pStyle w:val="ListParagraph"/>
        <w:ind w:left="641" w:hanging="357"/>
      </w:pPr>
      <w:r>
        <w:t xml:space="preserve">Meetings of the Band 2 Steering Committee and Band 3 IDC were attended by the probity advisor and included consideration of any conflicts of interest. </w:t>
      </w:r>
    </w:p>
    <w:p w14:paraId="5EA1B53E" w14:textId="1759F63B" w:rsidR="008537E8" w:rsidRDefault="008537E8" w:rsidP="0027056B">
      <w:pPr>
        <w:pStyle w:val="ListParagraph"/>
        <w:ind w:left="641" w:hanging="357"/>
      </w:pPr>
      <w:r>
        <w:t>A new Commonwealth-only probity plan was developed in September 2023, providing the principles and processes within which the Commonwealth (DISR and Finance) would manage probity matters.</w:t>
      </w:r>
    </w:p>
    <w:p w14:paraId="7CB30102" w14:textId="09B3B086" w:rsidR="008537E8" w:rsidRDefault="008537E8" w:rsidP="0027056B">
      <w:pPr>
        <w:pStyle w:val="ListParagraph"/>
        <w:ind w:left="641" w:hanging="357"/>
      </w:pPr>
      <w:r>
        <w:t>Probity Registers were developed by DISR and the probity advisor, documenting aspects of probity management such as conflict of interest and confidentiality declarations, as well as listing matters and outcomes where DISR consulted the probity advisor.</w:t>
      </w:r>
    </w:p>
    <w:p w14:paraId="7A3AA2BC" w14:textId="035945A1" w:rsidR="008537E8" w:rsidRDefault="008537E8" w:rsidP="0027056B">
      <w:pPr>
        <w:pStyle w:val="ListParagraph"/>
        <w:ind w:left="641" w:hanging="357"/>
      </w:pPr>
      <w:r>
        <w:lastRenderedPageBreak/>
        <w:t>Measures were put in place to separate the personnel involved in the Taskforce from those involved with ongoing quantum policy.</w:t>
      </w:r>
    </w:p>
    <w:p w14:paraId="3681EDA0" w14:textId="2B72291C" w:rsidR="008537E8" w:rsidRDefault="008537E8" w:rsidP="0027056B">
      <w:pPr>
        <w:pStyle w:val="ListParagraph"/>
        <w:ind w:left="641" w:hanging="357"/>
      </w:pPr>
      <w:r>
        <w:t>During market testing, the probity advisor was engaged at appropriate times, and the probity issues that required management during the process were documented in the evaluation report.</w:t>
      </w:r>
    </w:p>
    <w:p w14:paraId="3348F5BB" w14:textId="5ABECECB" w:rsidR="00F47A4F" w:rsidRDefault="008537E8" w:rsidP="0027056B">
      <w:pPr>
        <w:pStyle w:val="ListParagraph"/>
        <w:ind w:left="641" w:hanging="357"/>
      </w:pPr>
      <w:r>
        <w:t xml:space="preserve">During Stage 3 the probity advisor was involved with, amongst other things, briefing the Secretary’s office (with the Secretary being authorised by the </w:t>
      </w:r>
      <w:r w:rsidR="0019494B">
        <w:t>g</w:t>
      </w:r>
      <w:r>
        <w:t>overnment to manage this stage of negotiations), debriefing sessions for market testing participants, and providing advice on meeting protocols and information sharing between the public announcement of the investment in April and execution of the Deed in May.</w:t>
      </w:r>
    </w:p>
    <w:tbl>
      <w:tblPr>
        <w:tblStyle w:val="TableGrid"/>
        <w:tblW w:w="0" w:type="auto"/>
        <w:tblLook w:val="04A0" w:firstRow="1" w:lastRow="0" w:firstColumn="1" w:lastColumn="0" w:noHBand="0" w:noVBand="1"/>
      </w:tblPr>
      <w:tblGrid>
        <w:gridCol w:w="9016"/>
      </w:tblGrid>
      <w:tr w:rsidR="00414D24" w14:paraId="4C704FF6" w14:textId="77777777" w:rsidTr="00927CB2">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F2F2F2" w:themeFill="background1" w:themeFillShade="F2"/>
          </w:tcPr>
          <w:p w14:paraId="6B8445A2" w14:textId="7489FB0E" w:rsidR="00414D24" w:rsidRPr="00D5678A" w:rsidRDefault="009F2984" w:rsidP="001C34C5">
            <w:r>
              <w:t>3</w:t>
            </w:r>
            <w:r w:rsidR="00D5678A" w:rsidRPr="00D5678A">
              <w:t xml:space="preserve">. LESSON: </w:t>
            </w:r>
            <w:r w:rsidR="007D5A48" w:rsidRPr="007D5A48">
              <w:rPr>
                <w:b w:val="0"/>
                <w:bCs/>
              </w:rPr>
              <w:t>Early implementation and senior support of strong probity and confidentiality arrangements contributed to a well-managed process and reduced the risk of probity issues.</w:t>
            </w:r>
          </w:p>
        </w:tc>
      </w:tr>
    </w:tbl>
    <w:p w14:paraId="722ACCEF" w14:textId="7D72CF0D" w:rsidR="00F47A4F" w:rsidRDefault="00F47A4F" w:rsidP="001C34C5">
      <w:pPr>
        <w:pStyle w:val="Heading5"/>
      </w:pPr>
      <w:bookmarkStart w:id="20" w:name="_Toc203032179"/>
      <w:r>
        <w:t>4.3 Risk &amp; project planning</w:t>
      </w:r>
      <w:bookmarkEnd w:id="20"/>
    </w:p>
    <w:tbl>
      <w:tblPr>
        <w:tblStyle w:val="TableGrid"/>
        <w:tblW w:w="0" w:type="auto"/>
        <w:tblLook w:val="04A0" w:firstRow="1" w:lastRow="0" w:firstColumn="1" w:lastColumn="0" w:noHBand="0" w:noVBand="1"/>
      </w:tblPr>
      <w:tblGrid>
        <w:gridCol w:w="9016"/>
      </w:tblGrid>
      <w:tr w:rsidR="00D5678A" w:rsidRPr="0081655A" w14:paraId="040E3D02" w14:textId="77777777" w:rsidTr="00927CB2">
        <w:trPr>
          <w:cnfStyle w:val="100000000000" w:firstRow="1" w:lastRow="0" w:firstColumn="0" w:lastColumn="0" w:oddVBand="0" w:evenVBand="0" w:oddHBand="0" w:evenHBand="0" w:firstRowFirstColumn="0" w:firstRowLastColumn="0" w:lastRowFirstColumn="0" w:lastRowLastColumn="0"/>
        </w:trPr>
        <w:tc>
          <w:tcPr>
            <w:tcW w:w="9016" w:type="dxa"/>
            <w:tcBorders>
              <w:bottom w:val="single" w:sz="4" w:space="0" w:color="auto"/>
            </w:tcBorders>
            <w:shd w:val="clear" w:color="auto" w:fill="A2C2E2"/>
          </w:tcPr>
          <w:p w14:paraId="4B5E8482" w14:textId="1F4FAA57" w:rsidR="00D5678A" w:rsidRPr="0081655A" w:rsidRDefault="00B40219" w:rsidP="001C34C5">
            <w:r w:rsidRPr="0081655A">
              <w:rPr>
                <w:u w:val="single"/>
              </w:rPr>
              <w:t>Observation:</w:t>
            </w:r>
            <w:r w:rsidRPr="0081655A">
              <w:t xml:space="preserve"> </w:t>
            </w:r>
            <w:r w:rsidR="005E78BD" w:rsidRPr="000802B4">
              <w:rPr>
                <w:b w:val="0"/>
                <w:bCs/>
              </w:rPr>
              <w:t xml:space="preserve">From establishment of the Taskforce there was dedicated, documented project and risk plans, and clear monitoring of due diligence and negotiation matters. Prior to the Taskforce, while there was no dedicated, documented project or risk plan, DISR had adopted enterprise arrangements </w:t>
            </w:r>
            <w:r w:rsidR="004607A8" w:rsidRPr="000802B4">
              <w:rPr>
                <w:b w:val="0"/>
                <w:bCs/>
              </w:rPr>
              <w:t>with additional arrangements in the responsible Division, reflecting the early stage of the project</w:t>
            </w:r>
            <w:r w:rsidRPr="000802B4">
              <w:rPr>
                <w:b w:val="0"/>
                <w:bCs/>
              </w:rPr>
              <w:t>.</w:t>
            </w:r>
          </w:p>
        </w:tc>
      </w:tr>
    </w:tbl>
    <w:p w14:paraId="39539EB8" w14:textId="77777777" w:rsidR="00B36F0F" w:rsidRPr="0081655A" w:rsidRDefault="00B36F0F" w:rsidP="001C34C5">
      <w:r w:rsidRPr="0081655A">
        <w:t>During Stage 1, project planning was based on documentation provided to the Minister in December 2022:</w:t>
      </w:r>
    </w:p>
    <w:p w14:paraId="57FCDA66" w14:textId="143F9524" w:rsidR="00B36F0F" w:rsidRPr="0081655A" w:rsidRDefault="00B36F0F" w:rsidP="0027056B">
      <w:pPr>
        <w:pStyle w:val="ListParagraph"/>
        <w:ind w:left="641" w:hanging="357"/>
      </w:pPr>
      <w:r w:rsidRPr="0081655A">
        <w:t>A summary of the proposed assessment process (formal due diligence in conjunction with the QLD government, technical analysis, national security community engagement, and probity advice).</w:t>
      </w:r>
    </w:p>
    <w:p w14:paraId="1A5367EE" w14:textId="002EB351" w:rsidR="00B36F0F" w:rsidRPr="0081655A" w:rsidRDefault="00B36F0F" w:rsidP="0027056B">
      <w:pPr>
        <w:pStyle w:val="ListParagraph"/>
        <w:ind w:left="641" w:hanging="357"/>
      </w:pPr>
      <w:r w:rsidRPr="0081655A">
        <w:t>A timeline that was developed by QLD</w:t>
      </w:r>
      <w:r w:rsidR="009A2F80" w:rsidRPr="0081655A">
        <w:t xml:space="preserve"> </w:t>
      </w:r>
      <w:r w:rsidRPr="0081655A">
        <w:t>Treasury (</w:t>
      </w:r>
      <w:r w:rsidR="00B232BF" w:rsidRPr="0081655A">
        <w:t>the submission notes that meeting the timeframes indicated by QLD</w:t>
      </w:r>
      <w:r w:rsidR="006775EC" w:rsidRPr="0081655A">
        <w:t xml:space="preserve"> Treasury would be </w:t>
      </w:r>
      <w:r w:rsidR="00F40DA1" w:rsidRPr="0081655A">
        <w:t>subject to the Commonwealth and ministers conducting appropriate due diligence)</w:t>
      </w:r>
      <w:r w:rsidRPr="0081655A">
        <w:t xml:space="preserve">. These </w:t>
      </w:r>
      <w:r w:rsidR="001F75B3">
        <w:t xml:space="preserve">were </w:t>
      </w:r>
      <w:r w:rsidR="007F0626" w:rsidRPr="0081655A">
        <w:t xml:space="preserve">ultimately superseded </w:t>
      </w:r>
      <w:r w:rsidRPr="0081655A">
        <w:t>as DISR put in place processes to satisfy itself (and to inform the Minister) around value for money, risk and legality.</w:t>
      </w:r>
      <w:r w:rsidR="009A2F80" w:rsidRPr="0081655A">
        <w:t xml:space="preserve"> </w:t>
      </w:r>
    </w:p>
    <w:p w14:paraId="0CC6C605" w14:textId="743E4502" w:rsidR="00B36F0F" w:rsidRDefault="00B36F0F" w:rsidP="001C34C5">
      <w:r w:rsidRPr="0081655A">
        <w:t>Given the scale and this initial stage of consideration,</w:t>
      </w:r>
      <w:r w:rsidR="00746541" w:rsidRPr="00D9416A">
        <w:t xml:space="preserve"> particularly when compared to Stages 2 and 3,</w:t>
      </w:r>
      <w:r w:rsidRPr="0081655A">
        <w:t xml:space="preserve"> developing detailed project plans and risk registers</w:t>
      </w:r>
      <w:r w:rsidR="00D354DE" w:rsidRPr="00D9416A">
        <w:t xml:space="preserve"> </w:t>
      </w:r>
      <w:r w:rsidRPr="0081655A">
        <w:t xml:space="preserve">was not to be expected. However, the outcome of this assessment was to be reported to the Minister, and involved stakeholders including the Chief Scientist, and a probity advisor to support appropriate engagement with PQ. </w:t>
      </w:r>
      <w:r w:rsidR="00796D74">
        <w:t xml:space="preserve">While relying on enterprise risk planning </w:t>
      </w:r>
      <w:r w:rsidR="00AE2E72">
        <w:t>and additional arrangements in the responsible Division is appropriate at an early stage of a project, t</w:t>
      </w:r>
      <w:r w:rsidRPr="0081655A">
        <w:t>ailored, fit-for-purpose risk and project planning at this stage could have been developed</w:t>
      </w:r>
      <w:r w:rsidR="00796D74">
        <w:t>. This could have</w:t>
      </w:r>
      <w:r w:rsidRPr="0081655A">
        <w:t xml:space="preserve"> included, for example, a plan with a clear objective and outputs (essentially how each element of the proposed assessment process was to be delivered), key roles and responsibilities, timeframe, identification of external stakeholders (stakeholder engagement was tracked formally), reporting arrangements, and the identification of key risks.</w:t>
      </w:r>
    </w:p>
    <w:p w14:paraId="40A755E7" w14:textId="6EAD884B" w:rsidR="00B36F0F" w:rsidRDefault="00B36F0F" w:rsidP="001C34C5">
      <w:r>
        <w:lastRenderedPageBreak/>
        <w:t>Formal risk and project reporting was introduced at Stage 2. Deliberations of the Band 3 IDC and Band 2 Steering Committee were minuted, with actions recorded and tracked across meetings. The Band 2 Committee met regularly to track progress on key issues. In Stage 3, more formalised project status reporting was provided to the Committees tracking stakeholder engagement (including with PQ) and the status of the project workstreams.</w:t>
      </w:r>
    </w:p>
    <w:p w14:paraId="6E975F93" w14:textId="39ABB269" w:rsidR="00B36F0F" w:rsidRPr="00B36F0F" w:rsidRDefault="00B36F0F" w:rsidP="001C34C5">
      <w:r w:rsidRPr="00B36F0F">
        <w:t>Stage 2 &amp; 3 risk management</w:t>
      </w:r>
      <w:r w:rsidR="009A2F80">
        <w:t xml:space="preserve"> </w:t>
      </w:r>
    </w:p>
    <w:p w14:paraId="403A7061" w14:textId="3AB7F255" w:rsidR="00B36F0F" w:rsidRDefault="00B36F0F" w:rsidP="001C34C5">
      <w:r>
        <w:t xml:space="preserve">As per advice from APSC, taskforces should put in place appropriate risk management arrangements consistent with an agency’s risk management framework. The </w:t>
      </w:r>
      <w:r w:rsidR="004B29E8">
        <w:t>Taskforce</w:t>
      </w:r>
      <w:r>
        <w:t xml:space="preserve"> developed a project management risk register and treatment plan in August 2023, which was reviewed by the Deputy Head of the Taskforce in September 2023 (although a ‘clearance date’ field </w:t>
      </w:r>
      <w:r w:rsidR="00C84457">
        <w:t xml:space="preserve">covering </w:t>
      </w:r>
      <w:r>
        <w:t xml:space="preserve">the register </w:t>
      </w:r>
      <w:r w:rsidR="00C84457">
        <w:t>did not reflect this</w:t>
      </w:r>
      <w:r>
        <w:t>). In practice it is not clear how frequently the register was referred to, although updates to the register were observed (e.g. December 2023 and when the project transitioned into Stage 3</w:t>
      </w:r>
      <w:r w:rsidR="001C4E19">
        <w:t>)</w:t>
      </w:r>
      <w:r>
        <w:t>.</w:t>
      </w:r>
      <w:r w:rsidR="009A2F80">
        <w:t xml:space="preserve"> </w:t>
      </w:r>
      <w:r>
        <w:t>For both stages, the associated risk treatment plan captured all risks rated medium and above, although no specific treatments were adopted beyond "Accept the risk without additional controls".</w:t>
      </w:r>
      <w:r w:rsidR="009A2F80">
        <w:t xml:space="preserve"> </w:t>
      </w:r>
      <w:r>
        <w:t xml:space="preserve"> </w:t>
      </w:r>
    </w:p>
    <w:p w14:paraId="5A314A77" w14:textId="0D9C3019" w:rsidR="00F47A4F" w:rsidRDefault="00B36F0F" w:rsidP="001C34C5">
      <w:r>
        <w:t xml:space="preserve">The structure of the register </w:t>
      </w:r>
      <w:r w:rsidR="00D85117">
        <w:t xml:space="preserve">was </w:t>
      </w:r>
      <w:r>
        <w:t xml:space="preserve">consistent with good risk management practice: reasonable analysis was included for each risk, all risks had specific owner/s, shared risks with other government agencies </w:t>
      </w:r>
      <w:r w:rsidR="00D85117">
        <w:t>were</w:t>
      </w:r>
      <w:r>
        <w:t xml:space="preserve"> identified, and the register applie</w:t>
      </w:r>
      <w:r w:rsidR="00B71703">
        <w:t>d</w:t>
      </w:r>
      <w:r>
        <w:t xml:space="preserve"> DISR’s Risk Management Matrix and Tolerance levels.</w:t>
      </w:r>
    </w:p>
    <w:p w14:paraId="6E89C571" w14:textId="50C5F3C9" w:rsidR="00F47A4F" w:rsidRDefault="00F47A4F" w:rsidP="001C34C5">
      <w:pPr>
        <w:pStyle w:val="Heading5"/>
      </w:pPr>
      <w:bookmarkStart w:id="21" w:name="_Toc203032180"/>
      <w:r>
        <w:t>4.4 Records management</w:t>
      </w:r>
      <w:bookmarkEnd w:id="21"/>
    </w:p>
    <w:tbl>
      <w:tblPr>
        <w:tblStyle w:val="TableGrid"/>
        <w:tblW w:w="0" w:type="auto"/>
        <w:tblLook w:val="04A0" w:firstRow="1" w:lastRow="0" w:firstColumn="1" w:lastColumn="0" w:noHBand="0" w:noVBand="1"/>
      </w:tblPr>
      <w:tblGrid>
        <w:gridCol w:w="9016"/>
      </w:tblGrid>
      <w:tr w:rsidR="00B36F0F" w:rsidRPr="0081655A" w14:paraId="08088BCA" w14:textId="77777777" w:rsidTr="00927CB2">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A2C2E2"/>
          </w:tcPr>
          <w:p w14:paraId="50BD44E3" w14:textId="19D0F25D" w:rsidR="00B36F0F" w:rsidRPr="0081655A" w:rsidRDefault="00310521" w:rsidP="001C34C5">
            <w:r w:rsidRPr="0081655A">
              <w:rPr>
                <w:u w:val="single"/>
              </w:rPr>
              <w:t>Observation:</w:t>
            </w:r>
            <w:r w:rsidRPr="0081655A">
              <w:t xml:space="preserve"> </w:t>
            </w:r>
            <w:r w:rsidR="00EB76BF" w:rsidRPr="000802B4">
              <w:rPr>
                <w:b w:val="0"/>
                <w:bCs/>
              </w:rPr>
              <w:t>All required records were provided</w:t>
            </w:r>
            <w:r w:rsidRPr="000802B4">
              <w:rPr>
                <w:b w:val="0"/>
                <w:bCs/>
              </w:rPr>
              <w:t>. One area for improvement identified was accessing documentation from earlier in the project.</w:t>
            </w:r>
          </w:p>
        </w:tc>
      </w:tr>
    </w:tbl>
    <w:p w14:paraId="7323FB01" w14:textId="162AAC9C" w:rsidR="003F30A6" w:rsidRPr="0081655A" w:rsidRDefault="003F30A6" w:rsidP="001C34C5">
      <w:r w:rsidRPr="0081655A">
        <w:t xml:space="preserve">Public sector agencies need to maintain adequate records to evidence their activities and decision-making. Good recordkeeping practices should also standalone and not rely on personnel who were involved in a past activity. </w:t>
      </w:r>
    </w:p>
    <w:p w14:paraId="466139FE" w14:textId="7FEE9B0B" w:rsidR="003F30A6" w:rsidRPr="0081655A" w:rsidRDefault="007E7180" w:rsidP="001C34C5">
      <w:r w:rsidRPr="0081655A">
        <w:t>I</w:t>
      </w:r>
      <w:r w:rsidR="003F30A6" w:rsidRPr="0081655A">
        <w:t xml:space="preserve">nternal </w:t>
      </w:r>
      <w:r w:rsidRPr="0081655A">
        <w:t>A</w:t>
      </w:r>
      <w:r w:rsidR="003F30A6" w:rsidRPr="0081655A">
        <w:t xml:space="preserve">udit was provided with records in response to requests for information and other records DISR considered relevant. While </w:t>
      </w:r>
      <w:r w:rsidR="003F30A6" w:rsidRPr="0006749C">
        <w:t xml:space="preserve">there were </w:t>
      </w:r>
      <w:r w:rsidR="00105364" w:rsidRPr="0006749C">
        <w:t>fewer</w:t>
      </w:r>
      <w:r w:rsidR="003F30A6" w:rsidRPr="0006749C">
        <w:t xml:space="preserve"> </w:t>
      </w:r>
      <w:r w:rsidR="003F30A6" w:rsidRPr="0081655A">
        <w:t>records sought and provided for Stage 1, assistance from a DISR official involved in Stage 1 was required in order to provide probity related documentation</w:t>
      </w:r>
      <w:r w:rsidR="0081655A" w:rsidRPr="0081655A">
        <w:t>, and confirm the absen</w:t>
      </w:r>
      <w:r w:rsidR="0081655A" w:rsidRPr="0006749C">
        <w:t xml:space="preserve">ce of </w:t>
      </w:r>
      <w:r w:rsidR="00EB76BF">
        <w:t xml:space="preserve">dedicated, project-level </w:t>
      </w:r>
      <w:r w:rsidR="0081655A" w:rsidRPr="0006749C">
        <w:t>risk and project planning documentation.</w:t>
      </w:r>
      <w:r w:rsidR="00FC29A2" w:rsidRPr="0006749C">
        <w:t xml:space="preserve"> Provided </w:t>
      </w:r>
      <w:r w:rsidR="0081655A" w:rsidRPr="0006749C">
        <w:t xml:space="preserve">probity </w:t>
      </w:r>
      <w:r w:rsidR="00FC29A2" w:rsidRPr="0006749C">
        <w:t xml:space="preserve">documentation </w:t>
      </w:r>
      <w:r w:rsidR="00992E9A" w:rsidRPr="0006749C">
        <w:t xml:space="preserve">did not include a probity register, as DISR </w:t>
      </w:r>
      <w:r w:rsidR="003F30A6" w:rsidRPr="0081655A">
        <w:t>could not confirm whether a register for Stage 1 was created</w:t>
      </w:r>
      <w:r w:rsidR="0006749C">
        <w:t>.</w:t>
      </w:r>
      <w:r w:rsidR="009A2F80" w:rsidRPr="0081655A">
        <w:t xml:space="preserve"> </w:t>
      </w:r>
      <w:r w:rsidR="00BE7EA2" w:rsidRPr="0081655A">
        <w:t xml:space="preserve">Internal Audit did not identify </w:t>
      </w:r>
      <w:r w:rsidR="00C31892" w:rsidRPr="0081655A">
        <w:t xml:space="preserve">any significant concerns </w:t>
      </w:r>
      <w:r w:rsidR="00C7257A" w:rsidRPr="0081655A">
        <w:t>with records management f</w:t>
      </w:r>
      <w:r w:rsidR="003F30A6" w:rsidRPr="0081655A">
        <w:t>rom Stage 2 onward</w:t>
      </w:r>
      <w:r w:rsidR="00C7257A" w:rsidRPr="0081655A">
        <w:t xml:space="preserve">. </w:t>
      </w:r>
      <w:r w:rsidR="003F30A6" w:rsidRPr="0081655A">
        <w:t>Other minor observations included:</w:t>
      </w:r>
    </w:p>
    <w:p w14:paraId="1AFA9D04" w14:textId="19787A7C" w:rsidR="003F30A6" w:rsidRPr="0081655A" w:rsidRDefault="003F30A6" w:rsidP="0027056B">
      <w:pPr>
        <w:pStyle w:val="ListParagraph"/>
        <w:ind w:left="641" w:hanging="357"/>
      </w:pPr>
      <w:r w:rsidRPr="0081655A">
        <w:t xml:space="preserve">clarification was required around version control of a small number of documents given; and </w:t>
      </w:r>
    </w:p>
    <w:p w14:paraId="3B01A357" w14:textId="0A1A5E98" w:rsidR="00F47A4F" w:rsidRPr="0081655A" w:rsidRDefault="003F30A6" w:rsidP="001C34C5">
      <w:pPr>
        <w:pStyle w:val="ListBullet2"/>
      </w:pPr>
      <w:r w:rsidRPr="0081655A">
        <w:t xml:space="preserve">there was delay in </w:t>
      </w:r>
      <w:r w:rsidR="00EF685E" w:rsidRPr="0081655A">
        <w:t>I</w:t>
      </w:r>
      <w:r w:rsidRPr="0081655A">
        <w:t xml:space="preserve">nternal </w:t>
      </w:r>
      <w:r w:rsidR="00EF685E" w:rsidRPr="0081655A">
        <w:t>A</w:t>
      </w:r>
      <w:r w:rsidRPr="0081655A">
        <w:t xml:space="preserve">udit being provided a list of key decisions and associated approvals as the Taskforce ‘Decision Register’ required updating. </w:t>
      </w:r>
      <w:r w:rsidR="007E7180" w:rsidRPr="0081655A">
        <w:t>Internal A</w:t>
      </w:r>
      <w:r w:rsidRPr="0081655A">
        <w:t>udit notes that such a register assists officials to navigate records systems and efficiently respond to any questions around the process.</w:t>
      </w:r>
    </w:p>
    <w:tbl>
      <w:tblPr>
        <w:tblStyle w:val="TableGrid"/>
        <w:tblW w:w="0" w:type="auto"/>
        <w:tblLook w:val="04A0" w:firstRow="1" w:lastRow="0" w:firstColumn="1" w:lastColumn="0" w:noHBand="0" w:noVBand="1"/>
      </w:tblPr>
      <w:tblGrid>
        <w:gridCol w:w="9016"/>
      </w:tblGrid>
      <w:tr w:rsidR="003F30A6" w14:paraId="252A8DC6" w14:textId="77777777" w:rsidTr="00927CB2">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F2F2F2" w:themeFill="background1" w:themeFillShade="F2"/>
          </w:tcPr>
          <w:p w14:paraId="47FBE26F" w14:textId="24E22895" w:rsidR="003F30A6" w:rsidRDefault="009F2984" w:rsidP="001C34C5">
            <w:r>
              <w:lastRenderedPageBreak/>
              <w:t>4</w:t>
            </w:r>
            <w:r w:rsidR="007C4552" w:rsidRPr="0081655A">
              <w:t>. LESSON:</w:t>
            </w:r>
            <w:r w:rsidR="007C4552" w:rsidRPr="00427838">
              <w:t xml:space="preserve"> </w:t>
            </w:r>
            <w:r w:rsidR="00427838" w:rsidRPr="000802B4">
              <w:rPr>
                <w:b w:val="0"/>
                <w:bCs/>
              </w:rPr>
              <w:t>High-risk, high-profile initiatives can be expected to bring with it significant external scrutiny. Robust record keeping supports efficient and timely access to material, and transparency of departmental actions.</w:t>
            </w:r>
          </w:p>
        </w:tc>
      </w:tr>
    </w:tbl>
    <w:p w14:paraId="43A002FB" w14:textId="458DBD77" w:rsidR="00F47A4F" w:rsidRDefault="008418E2" w:rsidP="001C34C5">
      <w:pPr>
        <w:pStyle w:val="Heading4"/>
      </w:pPr>
      <w:bookmarkStart w:id="22" w:name="_Toc203032181"/>
      <w:r>
        <w:t>5. Additional observations</w:t>
      </w:r>
      <w:bookmarkEnd w:id="22"/>
    </w:p>
    <w:p w14:paraId="494BE1D4" w14:textId="051196EE" w:rsidR="008418E2" w:rsidRDefault="00D278B0" w:rsidP="001C34C5">
      <w:r w:rsidRPr="00D278B0">
        <w:t xml:space="preserve">These additional observations, while not assessed as part of the </w:t>
      </w:r>
      <w:r w:rsidR="00C662A4">
        <w:t xml:space="preserve">internal </w:t>
      </w:r>
      <w:r w:rsidRPr="00D278B0">
        <w:t>audit, highlight additional lessons that would apply to future comparable processes.</w:t>
      </w:r>
    </w:p>
    <w:p w14:paraId="0AF4ED52" w14:textId="6B0D5EE1" w:rsidR="008418E2" w:rsidRDefault="008418E2" w:rsidP="001C34C5">
      <w:pPr>
        <w:pStyle w:val="Heading5"/>
      </w:pPr>
      <w:bookmarkStart w:id="23" w:name="_Toc203032182"/>
      <w:r>
        <w:t>5.1 The DISR Initiative Support Model</w:t>
      </w:r>
      <w:bookmarkEnd w:id="23"/>
    </w:p>
    <w:p w14:paraId="04B9C92B" w14:textId="06D387E2" w:rsidR="00895A83" w:rsidRDefault="00895A83" w:rsidP="001C34C5">
      <w:r>
        <w:t xml:space="preserve">During </w:t>
      </w:r>
      <w:r w:rsidR="00C662A4">
        <w:t xml:space="preserve">internal </w:t>
      </w:r>
      <w:r>
        <w:t>audit consultations the ‘DISR Initiative Support Model’ was highlighted as a process that was being developed at the time DISR was considering the PQ proposal.</w:t>
      </w:r>
    </w:p>
    <w:p w14:paraId="666728D2" w14:textId="60D01E07" w:rsidR="00895A83" w:rsidRDefault="00895A83" w:rsidP="001C34C5">
      <w:r>
        <w:t>At a high-level, the Model is a framework to assist in assessing the complexity of an initiative (for example a new project, New Policy Proposal,</w:t>
      </w:r>
      <w:r w:rsidR="00677A82">
        <w:t xml:space="preserve"> or</w:t>
      </w:r>
      <w:r>
        <w:t xml:space="preserve"> establishment of a taskforce). </w:t>
      </w:r>
      <w:r w:rsidR="007150F1" w:rsidRPr="007150F1">
        <w:t xml:space="preserve">A level of complexity or risk will be automatically calculated based on responses to 11 questions covering topics such as alignment with government priorities and reputational risk, complex probity issues, and the need for cross-agency engagement. Appropriate support </w:t>
      </w:r>
      <w:r w:rsidR="0033295F">
        <w:t>is</w:t>
      </w:r>
      <w:r w:rsidR="007150F1" w:rsidRPr="007150F1">
        <w:t xml:space="preserve"> then provided based on the result</w:t>
      </w:r>
      <w:r w:rsidR="00A50319">
        <w:t>, with</w:t>
      </w:r>
      <w:r w:rsidR="007150F1">
        <w:t xml:space="preserve"> </w:t>
      </w:r>
      <w:r w:rsidR="00A50319">
        <w:t>h</w:t>
      </w:r>
      <w:r>
        <w:t>igher complex</w:t>
      </w:r>
      <w:r w:rsidR="007150F1">
        <w:t>ity</w:t>
      </w:r>
      <w:r>
        <w:t xml:space="preserve"> assessments </w:t>
      </w:r>
      <w:r w:rsidR="00A50319">
        <w:t>attracting</w:t>
      </w:r>
      <w:r>
        <w:t xml:space="preserve"> additional support.</w:t>
      </w:r>
    </w:p>
    <w:p w14:paraId="75C5947D" w14:textId="0DC87152" w:rsidR="008418E2" w:rsidRDefault="00895A83" w:rsidP="001C34C5">
      <w:r>
        <w:t>Though assessing the Model was not within scope of this</w:t>
      </w:r>
      <w:r w:rsidR="00C662A4">
        <w:t xml:space="preserve"> internal</w:t>
      </w:r>
      <w:r>
        <w:t xml:space="preserve"> audit, its application during management of the PQ proposal resulted in additional support being provided </w:t>
      </w:r>
      <w:r w:rsidR="00D91539">
        <w:t xml:space="preserve">internally by </w:t>
      </w:r>
      <w:r>
        <w:t xml:space="preserve">DISR for procurement and legal activities. Additionally, the Model would now </w:t>
      </w:r>
      <w:r w:rsidR="006C5B80">
        <w:t xml:space="preserve">support </w:t>
      </w:r>
      <w:r>
        <w:t>the need for tailored, formalised planning around risk and project management at the early stage of a similar project.</w:t>
      </w:r>
    </w:p>
    <w:tbl>
      <w:tblPr>
        <w:tblStyle w:val="TableGrid"/>
        <w:tblW w:w="0" w:type="auto"/>
        <w:tblLook w:val="04A0" w:firstRow="1" w:lastRow="0" w:firstColumn="1" w:lastColumn="0" w:noHBand="0" w:noVBand="1"/>
      </w:tblPr>
      <w:tblGrid>
        <w:gridCol w:w="9016"/>
      </w:tblGrid>
      <w:tr w:rsidR="00895A83" w14:paraId="69D4A781" w14:textId="77777777" w:rsidTr="00927CB2">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F2F2F2" w:themeFill="background1" w:themeFillShade="F2"/>
          </w:tcPr>
          <w:p w14:paraId="402F18BB" w14:textId="463A7A06" w:rsidR="00895A83" w:rsidRPr="00DB24AE" w:rsidRDefault="00901095" w:rsidP="001C34C5">
            <w:r>
              <w:t>5</w:t>
            </w:r>
            <w:r w:rsidR="00DB24AE" w:rsidRPr="00DB24AE">
              <w:t xml:space="preserve">. LESSON: </w:t>
            </w:r>
            <w:r w:rsidR="00DB24AE" w:rsidRPr="000802B4">
              <w:rPr>
                <w:b w:val="0"/>
                <w:bCs/>
              </w:rPr>
              <w:t>The DISR Initiative Support Model provides a good framework to assist DISR define and then support officials with complex initiatives.</w:t>
            </w:r>
          </w:p>
        </w:tc>
      </w:tr>
    </w:tbl>
    <w:p w14:paraId="6B76D6F0" w14:textId="29939577" w:rsidR="008418E2" w:rsidRDefault="008418E2" w:rsidP="001C34C5">
      <w:pPr>
        <w:pStyle w:val="Heading5"/>
      </w:pPr>
      <w:bookmarkStart w:id="24" w:name="_Toc203032183"/>
      <w:r>
        <w:t>5.2 Workforce and culture</w:t>
      </w:r>
      <w:bookmarkEnd w:id="24"/>
    </w:p>
    <w:p w14:paraId="4C93B02E" w14:textId="6953E9C3" w:rsidR="00A705A0" w:rsidRDefault="00154CB7" w:rsidP="001C34C5">
      <w:r w:rsidRPr="00154CB7">
        <w:t>Consultations for this internal audit covered officials ranging from Assistant Manager (EL1) to the Deputy Secretary level. Though not an explicit focus area of the internal audit, a consistent theme that arose from reflections was th</w:t>
      </w:r>
      <w:r w:rsidR="00BF3F43">
        <w:t xml:space="preserve">e </w:t>
      </w:r>
      <w:r w:rsidR="00BF3F43" w:rsidRPr="00154CB7">
        <w:t xml:space="preserve">critical </w:t>
      </w:r>
      <w:r w:rsidR="00BF3F43">
        <w:t>role that</w:t>
      </w:r>
      <w:r w:rsidRPr="00154CB7">
        <w:t xml:space="preserve"> </w:t>
      </w:r>
      <w:r w:rsidR="00BF3F43" w:rsidRPr="00154CB7">
        <w:t>the right expertise</w:t>
      </w:r>
      <w:r w:rsidR="00BF3F43">
        <w:t>,</w:t>
      </w:r>
      <w:r w:rsidR="00BF3F43" w:rsidRPr="00154CB7">
        <w:t xml:space="preserve"> </w:t>
      </w:r>
      <w:r w:rsidRPr="00154CB7">
        <w:t xml:space="preserve">culture and leadership </w:t>
      </w:r>
      <w:r w:rsidR="00BF3F43">
        <w:t>played in</w:t>
      </w:r>
      <w:r w:rsidRPr="00154CB7">
        <w:t xml:space="preserve"> successfully delivering the process. In an uncertain environment, creating a strong and resilient culture amongst officials, and building strong relationships with officials from other agencies, was seen as central to managing consideration of the proposal.</w:t>
      </w:r>
      <w:r w:rsidR="009A2F80">
        <w:t xml:space="preserve">  </w:t>
      </w:r>
    </w:p>
    <w:p w14:paraId="45C88E77" w14:textId="7EEFB22F" w:rsidR="008418E2" w:rsidRPr="00A705A0" w:rsidRDefault="00A705A0" w:rsidP="001C34C5">
      <w:r w:rsidRPr="008E09B3">
        <w:t>Successfully implementing complex initiatives requires a range of supporting capabilities that need to be identified early and underpinned by a culture that fosters collaboration and cooperation to respond to government requirements.</w:t>
      </w:r>
    </w:p>
    <w:tbl>
      <w:tblPr>
        <w:tblStyle w:val="TableGrid"/>
        <w:tblW w:w="0" w:type="auto"/>
        <w:tblLook w:val="04A0" w:firstRow="1" w:lastRow="0" w:firstColumn="1" w:lastColumn="0" w:noHBand="0" w:noVBand="1"/>
      </w:tblPr>
      <w:tblGrid>
        <w:gridCol w:w="9016"/>
      </w:tblGrid>
      <w:tr w:rsidR="00154CB7" w14:paraId="28BD4FA7" w14:textId="77777777" w:rsidTr="00927CB2">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F2F2F2" w:themeFill="background1" w:themeFillShade="F2"/>
          </w:tcPr>
          <w:p w14:paraId="0D7A528B" w14:textId="36E70047" w:rsidR="00154CB7" w:rsidRPr="0020283E" w:rsidRDefault="00901095" w:rsidP="001C34C5">
            <w:r>
              <w:t>6</w:t>
            </w:r>
            <w:r w:rsidR="0020283E" w:rsidRPr="0020283E">
              <w:t xml:space="preserve">. LESSON: </w:t>
            </w:r>
            <w:r w:rsidR="00A705A0">
              <w:rPr>
                <w:b w:val="0"/>
                <w:bCs/>
              </w:rPr>
              <w:t xml:space="preserve">Having </w:t>
            </w:r>
            <w:r w:rsidR="00A705A0" w:rsidRPr="001F3D69">
              <w:rPr>
                <w:b w:val="0"/>
                <w:bCs/>
              </w:rPr>
              <w:t xml:space="preserve">the right expertise, culture and leadership </w:t>
            </w:r>
            <w:r w:rsidR="00A705A0">
              <w:rPr>
                <w:b w:val="0"/>
                <w:bCs/>
              </w:rPr>
              <w:t>are critical to</w:t>
            </w:r>
            <w:r w:rsidR="00A705A0" w:rsidRPr="001F3D69">
              <w:rPr>
                <w:b w:val="0"/>
                <w:bCs/>
              </w:rPr>
              <w:t xml:space="preserve"> successfully delivering </w:t>
            </w:r>
            <w:r w:rsidR="00A705A0">
              <w:rPr>
                <w:b w:val="0"/>
                <w:bCs/>
              </w:rPr>
              <w:t>a complex initiative.</w:t>
            </w:r>
            <w:r w:rsidR="00A705A0" w:rsidRPr="001F3D69">
              <w:rPr>
                <w:b w:val="0"/>
                <w:bCs/>
              </w:rPr>
              <w:t xml:space="preserve"> </w:t>
            </w:r>
          </w:p>
        </w:tc>
      </w:tr>
    </w:tbl>
    <w:p w14:paraId="3EE9308C" w14:textId="77777777" w:rsidR="00154CB7" w:rsidRDefault="00154CB7" w:rsidP="001C34C5"/>
    <w:p w14:paraId="4F4EC2CA" w14:textId="1B93A37D" w:rsidR="008418E2" w:rsidRDefault="008418E2" w:rsidP="001C34C5">
      <w:r>
        <w:br w:type="page"/>
      </w:r>
    </w:p>
    <w:p w14:paraId="09F3BFAA" w14:textId="032A692D" w:rsidR="008418E2" w:rsidRDefault="008418E2" w:rsidP="001C34C5">
      <w:pPr>
        <w:pStyle w:val="Heading4"/>
      </w:pPr>
      <w:bookmarkStart w:id="25" w:name="_Toc203032184"/>
      <w:r>
        <w:lastRenderedPageBreak/>
        <w:t xml:space="preserve">Appendix A – Objective and scope of </w:t>
      </w:r>
      <w:r w:rsidR="00344652">
        <w:t xml:space="preserve">internal </w:t>
      </w:r>
      <w:r>
        <w:t>audit</w:t>
      </w:r>
      <w:bookmarkEnd w:id="25"/>
    </w:p>
    <w:p w14:paraId="6054C07A" w14:textId="1168FC9F" w:rsidR="00094977" w:rsidRDefault="00094977" w:rsidP="001C34C5">
      <w:r>
        <w:t xml:space="preserve">The objective of this internal audit was to review the approach and processes undertaken by the Department in its evaluation of PsiQuantum’s </w:t>
      </w:r>
      <w:r w:rsidR="7ADB271E">
        <w:t xml:space="preserve"> investment </w:t>
      </w:r>
      <w:r>
        <w:t xml:space="preserve">proposal and provision of advice to </w:t>
      </w:r>
      <w:r w:rsidR="0019494B">
        <w:t>g</w:t>
      </w:r>
      <w:r>
        <w:t xml:space="preserve">overnment. </w:t>
      </w:r>
    </w:p>
    <w:p w14:paraId="2E68FFFB" w14:textId="77777777" w:rsidR="00094977" w:rsidRPr="00094977" w:rsidRDefault="00094977" w:rsidP="001C34C5">
      <w:r w:rsidRPr="00094977">
        <w:t xml:space="preserve">Scope </w:t>
      </w:r>
    </w:p>
    <w:p w14:paraId="0D311D19" w14:textId="03B021A1" w:rsidR="00094977" w:rsidRDefault="00094977" w:rsidP="001C34C5">
      <w:r>
        <w:t>The objective was achieved by reviewing the following scope items through the period between receipt of the proposal until contractual close for the investment:</w:t>
      </w:r>
    </w:p>
    <w:p w14:paraId="3036048D" w14:textId="456FAB34" w:rsidR="00094977" w:rsidRDefault="00A02E8E" w:rsidP="001C34C5">
      <w:pPr>
        <w:pStyle w:val="ListNumber2"/>
      </w:pPr>
      <w:r>
        <w:t>Understanding</w:t>
      </w:r>
      <w:r w:rsidR="00094977">
        <w:t xml:space="preserve"> the project and timeline</w:t>
      </w:r>
      <w:r w:rsidR="007A0682">
        <w:t xml:space="preserve"> to provide</w:t>
      </w:r>
      <w:r w:rsidR="00094977">
        <w:t xml:space="preserve"> a holistic view of events that have occurred, decisions that were made and the evidence supporting those decisions.</w:t>
      </w:r>
    </w:p>
    <w:p w14:paraId="23595F1B" w14:textId="32626B9A" w:rsidR="00094977" w:rsidRDefault="00094977" w:rsidP="001C34C5">
      <w:pPr>
        <w:pStyle w:val="ListNumber2"/>
      </w:pPr>
      <w:r>
        <w:t>Assess</w:t>
      </w:r>
      <w:r w:rsidR="009176C3">
        <w:t>ing</w:t>
      </w:r>
      <w:r>
        <w:t xml:space="preserve"> the effectiveness of the decision-making frameworks, assessment approach and procurement practices applied by the Department.</w:t>
      </w:r>
    </w:p>
    <w:p w14:paraId="36A24608" w14:textId="09D506E7" w:rsidR="00094977" w:rsidRDefault="00094977" w:rsidP="001C34C5">
      <w:pPr>
        <w:pStyle w:val="ListNumber2"/>
      </w:pPr>
      <w:r>
        <w:t>Assess</w:t>
      </w:r>
      <w:r w:rsidR="009176C3">
        <w:t>ing</w:t>
      </w:r>
      <w:r>
        <w:t xml:space="preserve"> the effectiveness of the risk, governance and compliance frameworks applied to the project and record-keeping undertaken by the Department.</w:t>
      </w:r>
    </w:p>
    <w:p w14:paraId="0A6575BB" w14:textId="6081AF3E" w:rsidR="00094977" w:rsidRDefault="00094977" w:rsidP="001C34C5">
      <w:pPr>
        <w:pStyle w:val="ListNumber2"/>
      </w:pPr>
      <w:r>
        <w:t>Identify</w:t>
      </w:r>
      <w:r w:rsidR="009176C3">
        <w:t>ing</w:t>
      </w:r>
      <w:r>
        <w:t xml:space="preserve"> what worked well, lessons learned and opportunities for improvement to inform the ongoing management of the project, and for comparable processes that may need to be undertaken in future.</w:t>
      </w:r>
    </w:p>
    <w:p w14:paraId="71622BB8" w14:textId="0640D5D4" w:rsidR="00094977" w:rsidRDefault="00094977" w:rsidP="001C34C5">
      <w:r>
        <w:t xml:space="preserve">The following matters were out of scope of the </w:t>
      </w:r>
      <w:r w:rsidR="00344652">
        <w:t xml:space="preserve">internal </w:t>
      </w:r>
      <w:r>
        <w:t xml:space="preserve">audit: </w:t>
      </w:r>
    </w:p>
    <w:p w14:paraId="5E34392A" w14:textId="431D956B" w:rsidR="00094977" w:rsidRDefault="00094977" w:rsidP="0027056B">
      <w:pPr>
        <w:pStyle w:val="ListParagraph"/>
        <w:ind w:left="641" w:hanging="357"/>
      </w:pPr>
      <w:r>
        <w:t>Actions of the Department relating to the management of the signed contracts.</w:t>
      </w:r>
    </w:p>
    <w:p w14:paraId="1481DBE6" w14:textId="747B371F" w:rsidR="00094977" w:rsidRDefault="00094977" w:rsidP="0027056B">
      <w:pPr>
        <w:pStyle w:val="ListParagraph"/>
        <w:ind w:left="641" w:hanging="357"/>
      </w:pPr>
      <w:r>
        <w:t>Activities and decision-making of the Queensland Government.</w:t>
      </w:r>
    </w:p>
    <w:p w14:paraId="54DDBFA6" w14:textId="0084D344" w:rsidR="00094977" w:rsidRDefault="00094977" w:rsidP="0027056B">
      <w:pPr>
        <w:pStyle w:val="ListParagraph"/>
        <w:ind w:left="641" w:hanging="357"/>
      </w:pPr>
      <w:r>
        <w:t>Activities and decisions by other Commonwealth Government agencies (DISR’s actions taken in response to advice and decisions from other bodies remains within scope).</w:t>
      </w:r>
    </w:p>
    <w:p w14:paraId="376F24E3" w14:textId="4130A3C5" w:rsidR="00A2471C" w:rsidRDefault="00094977" w:rsidP="001C34C5">
      <w:pPr>
        <w:pStyle w:val="ListBullet2"/>
      </w:pPr>
      <w:r>
        <w:t xml:space="preserve">The </w:t>
      </w:r>
      <w:r w:rsidR="00344652">
        <w:t>Internal A</w:t>
      </w:r>
      <w:r>
        <w:t>udit team did not meet with individuals outside of the Department, nor seek records that are not held by the Department.</w:t>
      </w:r>
      <w:bookmarkEnd w:id="3"/>
      <w:bookmarkEnd w:id="4"/>
      <w:bookmarkEnd w:id="5"/>
      <w:bookmarkEnd w:id="6"/>
      <w:bookmarkEnd w:id="7"/>
    </w:p>
    <w:sectPr w:rsidR="00A2471C" w:rsidSect="009A5CBE">
      <w:footerReference w:type="default" r:id="rId13"/>
      <w:headerReference w:type="first" r:id="rId14"/>
      <w:footerReference w:type="first" r:id="rId15"/>
      <w:pgSz w:w="11906" w:h="16838"/>
      <w:pgMar w:top="687"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F7C1A" w14:textId="77777777" w:rsidR="00FB2617" w:rsidRDefault="00FB2617" w:rsidP="001C34C5">
      <w:r>
        <w:separator/>
      </w:r>
    </w:p>
  </w:endnote>
  <w:endnote w:type="continuationSeparator" w:id="0">
    <w:p w14:paraId="06641668" w14:textId="77777777" w:rsidR="00FB2617" w:rsidRDefault="00FB2617" w:rsidP="001C34C5">
      <w:r>
        <w:continuationSeparator/>
      </w:r>
    </w:p>
  </w:endnote>
  <w:endnote w:type="continuationNotice" w:id="1">
    <w:p w14:paraId="77C1DAC5" w14:textId="77777777" w:rsidR="00FB2617" w:rsidRDefault="00FB2617" w:rsidP="001C3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SemiBold">
    <w:altName w:val="Calibri"/>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17CA4" w14:textId="653B1A4A" w:rsidR="00D27B99" w:rsidRDefault="001F11DB" w:rsidP="001C34C5">
    <w:pPr>
      <w:pStyle w:val="Footer"/>
      <w:rPr>
        <w:noProof/>
      </w:rPr>
    </w:pPr>
    <w:r>
      <w:t>Post Implementation Review – PsiQuantum Project</w:t>
    </w:r>
    <w:r w:rsidR="00BD0F8A">
      <w:tab/>
    </w:r>
    <w:sdt>
      <w:sdtPr>
        <w:id w:val="-104490174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4E5181">
          <w:rPr>
            <w:noProof/>
          </w:rPr>
          <w:t>7</w:t>
        </w:r>
        <w:r w:rsidR="00BD0F8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4D9A" w14:textId="29863479" w:rsidR="004A7856" w:rsidRDefault="001F11DB" w:rsidP="001C34C5">
    <w:pPr>
      <w:pStyle w:val="Footer"/>
      <w:rPr>
        <w:noProof/>
      </w:rPr>
    </w:pPr>
    <w:r>
      <w:t>Post Implementation Review – PsiQuantum Project</w:t>
    </w:r>
    <w:r w:rsidR="004A7856">
      <w:tab/>
    </w:r>
    <w:sdt>
      <w:sdtPr>
        <w:id w:val="1655647692"/>
        <w:docPartObj>
          <w:docPartGallery w:val="Page Numbers (Bottom of Page)"/>
          <w:docPartUnique/>
        </w:docPartObj>
      </w:sdtPr>
      <w:sdtEndPr>
        <w:rPr>
          <w:noProof/>
        </w:rPr>
      </w:sdtEndPr>
      <w:sdtContent>
        <w:r w:rsidR="004A7856">
          <w:fldChar w:fldCharType="begin"/>
        </w:r>
        <w:r w:rsidR="004A7856">
          <w:instrText xml:space="preserve"> PAGE   \* MERGEFORMAT </w:instrText>
        </w:r>
        <w:r w:rsidR="004A7856">
          <w:fldChar w:fldCharType="separate"/>
        </w:r>
        <w:r w:rsidR="004A7856">
          <w:t>1</w:t>
        </w:r>
        <w:r w:rsidR="004A7856">
          <w:rPr>
            <w:noProof/>
          </w:rPr>
          <w:fldChar w:fldCharType="end"/>
        </w:r>
      </w:sdtContent>
    </w:sdt>
  </w:p>
  <w:p w14:paraId="3151A831" w14:textId="77777777" w:rsidR="00194586" w:rsidRDefault="00194586" w:rsidP="001C34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28E9E" w14:textId="77777777" w:rsidR="00FB2617" w:rsidRDefault="00FB2617" w:rsidP="001C34C5">
      <w:r>
        <w:separator/>
      </w:r>
    </w:p>
  </w:footnote>
  <w:footnote w:type="continuationSeparator" w:id="0">
    <w:p w14:paraId="06F0EA8C" w14:textId="77777777" w:rsidR="00FB2617" w:rsidRDefault="00FB2617" w:rsidP="001C34C5">
      <w:r>
        <w:continuationSeparator/>
      </w:r>
    </w:p>
  </w:footnote>
  <w:footnote w:type="continuationNotice" w:id="1">
    <w:p w14:paraId="5DC89141" w14:textId="77777777" w:rsidR="00FB2617" w:rsidRDefault="00FB2617" w:rsidP="001C34C5"/>
  </w:footnote>
  <w:footnote w:id="2">
    <w:p w14:paraId="3E294307" w14:textId="69E62A4C" w:rsidR="00D93A5C" w:rsidRPr="00D93A5C" w:rsidRDefault="00D93A5C" w:rsidP="001C34C5">
      <w:pPr>
        <w:pStyle w:val="FootnoteText"/>
        <w:rPr>
          <w:lang w:val="en-US"/>
        </w:rPr>
      </w:pPr>
      <w:r>
        <w:rPr>
          <w:rStyle w:val="FootnoteReference"/>
        </w:rPr>
        <w:footnoteRef/>
      </w:r>
      <w:r>
        <w:t xml:space="preserve"> </w:t>
      </w:r>
      <w:r w:rsidR="009402BE" w:rsidRPr="009402BE">
        <w:t>Growing Australia’s Quantum Technology Industry: Positioning Australia for a 4 billion-dollar opportunity, p. 32.</w:t>
      </w:r>
    </w:p>
  </w:footnote>
  <w:footnote w:id="3">
    <w:p w14:paraId="2BE4CDFC" w14:textId="6B4CC842" w:rsidR="00502EA7" w:rsidRDefault="00502EA7" w:rsidP="001C34C5">
      <w:pPr>
        <w:pStyle w:val="FootnoteText"/>
      </w:pPr>
      <w:r>
        <w:rPr>
          <w:rStyle w:val="FootnoteReference"/>
        </w:rPr>
        <w:footnoteRef/>
      </w:r>
      <w:r>
        <w:t xml:space="preserve"> </w:t>
      </w:r>
      <w:r w:rsidR="00BA09DF" w:rsidRPr="00BA09DF">
        <w:t xml:space="preserve">While not specifically including quantum technologies within its 2 streams, the </w:t>
      </w:r>
      <w:r w:rsidR="00BA09DF" w:rsidRPr="00BA09DF">
        <w:rPr>
          <w:i/>
          <w:iCs/>
        </w:rPr>
        <w:t>Future Made in Australia National Interest Framework</w:t>
      </w:r>
      <w:r w:rsidR="00BA09DF" w:rsidRPr="00BA09DF">
        <w:t xml:space="preserve"> (2024), includes the </w:t>
      </w:r>
      <w:r w:rsidR="00BA09DF" w:rsidRPr="00BA09DF">
        <w:rPr>
          <w:i/>
          <w:iCs/>
        </w:rPr>
        <w:t xml:space="preserve">Critical Technologies Statement </w:t>
      </w:r>
      <w:r w:rsidR="00BA09DF" w:rsidRPr="00BA09DF">
        <w:t xml:space="preserve">as a complementary framework, and notes the </w:t>
      </w:r>
      <w:r w:rsidR="0019494B">
        <w:t>g</w:t>
      </w:r>
      <w:r w:rsidR="00BA09DF" w:rsidRPr="00BA09DF">
        <w:t>overnment’s “recent investments in quantum computing are an example of this process in action”.</w:t>
      </w:r>
    </w:p>
    <w:p w14:paraId="3586BA36" w14:textId="1BE3589E" w:rsidR="009827F8" w:rsidRPr="00502EA7" w:rsidRDefault="007D0888" w:rsidP="001C34C5">
      <w:pPr>
        <w:pStyle w:val="FootnoteText"/>
        <w:rPr>
          <w:lang w:val="en-US"/>
        </w:rPr>
      </w:pPr>
      <w:r w:rsidRPr="007D0888">
        <w:rPr>
          <w:lang w:val="en-US"/>
        </w:rPr>
        <w:t>Related to the ‘Government’s Future Made in Australia’ agenda, Treasury has sought stakeholder feedback on establishing a new ‘Front Door’ “for investors with major, transformational proposals to make it simpler to invest in Australia and attract more global and domestic capital.”</w:t>
      </w:r>
    </w:p>
  </w:footnote>
  <w:footnote w:id="4">
    <w:p w14:paraId="11816265" w14:textId="2DE08012" w:rsidR="00BA09DF" w:rsidRPr="00BA09DF" w:rsidRDefault="00BA09DF" w:rsidP="001C34C5">
      <w:pPr>
        <w:pStyle w:val="FootnoteText"/>
        <w:rPr>
          <w:lang w:val="en-US"/>
        </w:rPr>
      </w:pPr>
      <w:r>
        <w:rPr>
          <w:rStyle w:val="FootnoteReference"/>
        </w:rPr>
        <w:footnoteRef/>
      </w:r>
      <w:r>
        <w:t xml:space="preserve"> </w:t>
      </w:r>
      <w:hyperlink r:id="rId1" w:history="1">
        <w:r w:rsidR="009827F8" w:rsidRPr="00163CD1">
          <w:rPr>
            <w:rStyle w:val="Hyperlink"/>
            <w:i/>
            <w:iCs/>
          </w:rPr>
          <w:t>National Quantum Strategy</w:t>
        </w:r>
      </w:hyperlink>
      <w:r w:rsidR="00F76D5A" w:rsidRPr="00163CD1">
        <w:rPr>
          <w:rStyle w:val="Hyperlink"/>
          <w:i/>
          <w:iCs/>
        </w:rPr>
        <w:t>,</w:t>
      </w:r>
      <w:r w:rsidR="009827F8" w:rsidRPr="00F3320A">
        <w:rPr>
          <w:sz w:val="16"/>
          <w:szCs w:val="16"/>
        </w:rPr>
        <w:t xml:space="preserve"> </w:t>
      </w:r>
      <w:r w:rsidR="009827F8" w:rsidRPr="009827F8">
        <w:t>pg. 28</w:t>
      </w:r>
    </w:p>
  </w:footnote>
  <w:footnote w:id="5">
    <w:p w14:paraId="6A3F0E6C" w14:textId="77777777" w:rsidR="004D62F0" w:rsidRPr="00B230DF" w:rsidRDefault="004D62F0" w:rsidP="001C34C5">
      <w:pPr>
        <w:pStyle w:val="FootnoteText"/>
        <w:rPr>
          <w:lang w:val="en-US"/>
        </w:rPr>
      </w:pPr>
      <w:r>
        <w:rPr>
          <w:rStyle w:val="FootnoteReference"/>
        </w:rPr>
        <w:footnoteRef/>
      </w:r>
      <w:r>
        <w:t xml:space="preserve"> </w:t>
      </w:r>
      <w:r w:rsidRPr="009D5331">
        <w:t>The assessment included technology, commercial, finance and economic analysis, supported by risk assessment and investment considerations (specifically ways to best protect the State and Commonwealth interests while ensuring a Quantum ecosystem could develop). Note this internal audit did not assess the adequacy or accuracy of accompanying analysis.</w:t>
      </w:r>
    </w:p>
  </w:footnote>
  <w:footnote w:id="6">
    <w:p w14:paraId="2D7094EB" w14:textId="1865FFD0" w:rsidR="00864B0C" w:rsidRPr="00864B0C" w:rsidRDefault="00864B0C" w:rsidP="001C34C5">
      <w:pPr>
        <w:pStyle w:val="FootnoteText"/>
        <w:rPr>
          <w:lang w:val="en-US"/>
        </w:rPr>
      </w:pPr>
      <w:r>
        <w:rPr>
          <w:rStyle w:val="FootnoteReference"/>
        </w:rPr>
        <w:footnoteRef/>
      </w:r>
      <w:r>
        <w:t xml:space="preserve"> </w:t>
      </w:r>
      <w:r w:rsidR="00A62344" w:rsidRPr="00A62344">
        <w:t>The first WoAG Working Group meeting was held in October 2022, prior to formal receipt of the unsolicited proposal. Representatives from QLD Treasury attended the March 2023 meeting.</w:t>
      </w:r>
    </w:p>
  </w:footnote>
  <w:footnote w:id="7">
    <w:p w14:paraId="28536626" w14:textId="5620B87C" w:rsidR="005B6C1D" w:rsidRPr="005B6C1D" w:rsidRDefault="005B6C1D" w:rsidP="001C34C5">
      <w:pPr>
        <w:pStyle w:val="FootnoteText"/>
        <w:rPr>
          <w:lang w:val="en-US"/>
        </w:rPr>
      </w:pPr>
      <w:r>
        <w:rPr>
          <w:rStyle w:val="FootnoteReference"/>
        </w:rPr>
        <w:footnoteRef/>
      </w:r>
      <w:r>
        <w:t xml:space="preserve"> </w:t>
      </w:r>
      <w:r w:rsidR="004C2A47" w:rsidRPr="004C2A47">
        <w:t>The scope of this</w:t>
      </w:r>
      <w:r w:rsidR="00344652">
        <w:t xml:space="preserve"> internal</w:t>
      </w:r>
      <w:r w:rsidR="004C2A47" w:rsidRPr="004C2A47">
        <w:t xml:space="preserve"> audit did not include assessing the respondents’ submissions.</w:t>
      </w:r>
    </w:p>
  </w:footnote>
  <w:footnote w:id="8">
    <w:p w14:paraId="6C7C49C0" w14:textId="3888301E" w:rsidR="004C2A47" w:rsidRPr="004C2A47" w:rsidRDefault="004C2A47" w:rsidP="001C34C5">
      <w:pPr>
        <w:pStyle w:val="FootnoteText"/>
        <w:rPr>
          <w:lang w:val="en-US"/>
        </w:rPr>
      </w:pPr>
      <w:r>
        <w:rPr>
          <w:rStyle w:val="FootnoteReference"/>
        </w:rPr>
        <w:footnoteRef/>
      </w:r>
      <w:r>
        <w:t xml:space="preserve"> </w:t>
      </w:r>
      <w:r w:rsidR="003A3971" w:rsidRPr="003A3971">
        <w:t>While including a scoring system is a clearer approach, it is not a requirement if categories are well defined.</w:t>
      </w:r>
    </w:p>
  </w:footnote>
  <w:footnote w:id="9">
    <w:p w14:paraId="744B37F4" w14:textId="23AF4F93" w:rsidR="00A36824" w:rsidRPr="00EF48CE" w:rsidRDefault="00A36824" w:rsidP="001C34C5">
      <w:pPr>
        <w:pStyle w:val="FootnoteText"/>
        <w:rPr>
          <w:szCs w:val="24"/>
          <w:lang w:val="en-US"/>
        </w:rPr>
      </w:pPr>
      <w:r>
        <w:rPr>
          <w:rStyle w:val="FootnoteReference"/>
        </w:rPr>
        <w:footnoteRef/>
      </w:r>
      <w:r>
        <w:t xml:space="preserve"> </w:t>
      </w:r>
      <w:r w:rsidR="0005449E" w:rsidRPr="00EF48CE">
        <w:t>This position was reflected in the probity protocols developed when DISR attended meetings with PQ.</w:t>
      </w:r>
    </w:p>
  </w:footnote>
  <w:footnote w:id="10">
    <w:p w14:paraId="1A4488E8" w14:textId="71B1762C" w:rsidR="00044E31" w:rsidRDefault="00044E31" w:rsidP="001C34C5">
      <w:pPr>
        <w:pStyle w:val="FootnoteText"/>
      </w:pPr>
      <w:r>
        <w:rPr>
          <w:rStyle w:val="FootnoteReference"/>
        </w:rPr>
        <w:footnoteRef/>
      </w:r>
      <w:r>
        <w:t xml:space="preserve"> These meetings were not minuted, </w:t>
      </w:r>
      <w:r w:rsidR="003F497B">
        <w:t>however Internal Audit validated the operation of this Group through consultation.</w:t>
      </w:r>
    </w:p>
  </w:footnote>
  <w:footnote w:id="11">
    <w:p w14:paraId="2E6DDDBB" w14:textId="17527684" w:rsidR="006A7F86" w:rsidRPr="006A7F86" w:rsidRDefault="006A7F86" w:rsidP="001C34C5">
      <w:pPr>
        <w:pStyle w:val="FootnoteText"/>
        <w:rPr>
          <w:lang w:val="en-US"/>
        </w:rPr>
      </w:pPr>
      <w:r>
        <w:rPr>
          <w:rStyle w:val="FootnoteReference"/>
        </w:rPr>
        <w:footnoteRef/>
      </w:r>
      <w:r>
        <w:t xml:space="preserve"> </w:t>
      </w:r>
      <w:hyperlink r:id="rId2" w:history="1">
        <w:r w:rsidR="00047F4F" w:rsidRPr="00704416">
          <w:rPr>
            <w:rStyle w:val="Hyperlink"/>
          </w:rPr>
          <w:t>https://www.apsc.gov.au/node/303</w:t>
        </w:r>
      </w:hyperlink>
      <w:r w:rsidR="00047F4F" w:rsidRPr="00704416">
        <w:rPr>
          <w:sz w:val="16"/>
          <w:szCs w:val="16"/>
        </w:rPr>
        <w:t xml:space="preserve"> </w:t>
      </w:r>
      <w:r w:rsidR="00047F4F" w:rsidRPr="00520710">
        <w:t>– Understand your authorising environment</w:t>
      </w:r>
    </w:p>
  </w:footnote>
  <w:footnote w:id="12">
    <w:p w14:paraId="1BEBBFF6" w14:textId="29A5668C" w:rsidR="00047F4F" w:rsidRPr="00047F4F" w:rsidRDefault="00047F4F" w:rsidP="001C34C5">
      <w:pPr>
        <w:pStyle w:val="FootnoteText"/>
        <w:rPr>
          <w:lang w:val="en-US"/>
        </w:rPr>
      </w:pPr>
      <w:r>
        <w:rPr>
          <w:rStyle w:val="FootnoteReference"/>
        </w:rPr>
        <w:footnoteRef/>
      </w:r>
      <w:r>
        <w:t xml:space="preserve"> </w:t>
      </w:r>
      <w:hyperlink r:id="rId3" w:history="1">
        <w:r w:rsidR="008F5D5E" w:rsidRPr="00704416">
          <w:rPr>
            <w:rStyle w:val="Hyperlink"/>
          </w:rPr>
          <w:t>https://www.apsc.gov.au/node/304</w:t>
        </w:r>
      </w:hyperlink>
      <w:r w:rsidR="008F5D5E" w:rsidRPr="00704416">
        <w:rPr>
          <w:sz w:val="16"/>
          <w:szCs w:val="16"/>
        </w:rPr>
        <w:t xml:space="preserve"> </w:t>
      </w:r>
      <w:r w:rsidR="008F5D5E" w:rsidRPr="00520710">
        <w:t>– Develop an effective governance structure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EA24" w14:textId="0A4E3B10" w:rsidR="00194586" w:rsidRDefault="009830D1" w:rsidP="001C34C5">
    <w:pPr>
      <w:pStyle w:val="Header"/>
    </w:pPr>
    <w:r w:rsidRPr="009830D1">
      <w:rPr>
        <w:noProof/>
      </w:rPr>
      <w:drawing>
        <wp:anchor distT="0" distB="0" distL="114300" distR="114300" simplePos="0" relativeHeight="251658241" behindDoc="1" locked="0" layoutInCell="1" allowOverlap="1" wp14:anchorId="6584FA00" wp14:editId="3977B2CF">
          <wp:simplePos x="0" y="0"/>
          <wp:positionH relativeFrom="page">
            <wp:posOffset>3669030</wp:posOffset>
          </wp:positionH>
          <wp:positionV relativeFrom="page">
            <wp:posOffset>0</wp:posOffset>
          </wp:positionV>
          <wp:extent cx="3891600" cy="1843200"/>
          <wp:effectExtent l="0" t="0" r="0" b="5080"/>
          <wp:wrapNone/>
          <wp:docPr id="440954494" name="Graphic 440954494">
            <a:extLst xmlns:a="http://schemas.openxmlformats.org/drawingml/2006/main">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263"/>
                  <a:stretch/>
                </pic:blipFill>
                <pic:spPr>
                  <a:xfrm>
                    <a:off x="0" y="0"/>
                    <a:ext cx="3891600" cy="1843200"/>
                  </a:xfrm>
                  <a:prstGeom prst="rect">
                    <a:avLst/>
                  </a:prstGeom>
                </pic:spPr>
              </pic:pic>
            </a:graphicData>
          </a:graphic>
          <wp14:sizeRelH relativeFrom="margin">
            <wp14:pctWidth>0</wp14:pctWidth>
          </wp14:sizeRelH>
          <wp14:sizeRelV relativeFrom="margin">
            <wp14:pctHeight>0</wp14:pctHeight>
          </wp14:sizeRelV>
        </wp:anchor>
      </w:drawing>
    </w:r>
    <w:r w:rsidRPr="009830D1">
      <w:rPr>
        <w:noProof/>
      </w:rPr>
      <mc:AlternateContent>
        <mc:Choice Requires="wps">
          <w:drawing>
            <wp:anchor distT="0" distB="0" distL="114300" distR="114300" simplePos="0" relativeHeight="251658240" behindDoc="0" locked="0" layoutInCell="1" allowOverlap="1" wp14:anchorId="40137CC0" wp14:editId="46A5AB84">
              <wp:simplePos x="0" y="0"/>
              <wp:positionH relativeFrom="page">
                <wp:posOffset>0</wp:posOffset>
              </wp:positionH>
              <wp:positionV relativeFrom="page">
                <wp:posOffset>0</wp:posOffset>
              </wp:positionV>
              <wp:extent cx="1962000" cy="284400"/>
              <wp:effectExtent l="0" t="0" r="635" b="190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000" cy="284400"/>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0259264" id="Rectangle 12" o:spid="_x0000_s1026" alt="&quot;&quot;" style="position:absolute;margin-left:0;margin-top:0;width:154.5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" path="m,l2332168,r-65527,196581l,336570,,xe" fillcolor="#0766a5 [3204]" stroked="f" strokeweight="1pt">
              <v:stroke joinstyle="miter"/>
              <v:path arrowok="t" o:connecttype="custom" o:connectlocs="0,0;1962000,0;1906874,166110;0,284400;0,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C3C275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3E0C1D8"/>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328CA66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DE63748"/>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2B84C7C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433D2A8F"/>
    <w:multiLevelType w:val="multilevel"/>
    <w:tmpl w:val="9D289274"/>
    <w:styleLink w:val="TableBullet"/>
    <w:lvl w:ilvl="0">
      <w:start w:val="1"/>
      <w:numFmt w:val="bullet"/>
      <w:pStyle w:val="TableBulletLevel1"/>
      <w:lvlText w:val=""/>
      <w:lvlJc w:val="left"/>
      <w:pPr>
        <w:ind w:left="357" w:hanging="357"/>
      </w:pPr>
      <w:rPr>
        <w:rFonts w:ascii="Wingdings" w:hAnsi="Wingdings" w:hint="default"/>
        <w:b w:val="0"/>
        <w:i w:val="0"/>
        <w:color w:val="auto"/>
      </w:rPr>
    </w:lvl>
    <w:lvl w:ilvl="1">
      <w:start w:val="1"/>
      <w:numFmt w:val="bullet"/>
      <w:pStyle w:val="TableBulletLevel2"/>
      <w:lvlText w:val="–"/>
      <w:lvlJc w:val="left"/>
      <w:pPr>
        <w:ind w:left="714" w:hanging="357"/>
      </w:pPr>
      <w:rPr>
        <w:rFonts w:ascii="Malgun Gothic" w:eastAsia="Malgun Gothic" w:hAnsi="Malgun Gothic" w:hint="eastAsia"/>
        <w:color w:val="auto"/>
      </w:rPr>
    </w:lvl>
    <w:lvl w:ilvl="2">
      <w:start w:val="1"/>
      <w:numFmt w:val="bullet"/>
      <w:pStyle w:val="TableBulletLevel3"/>
      <w:lvlText w:val="&gt;"/>
      <w:lvlJc w:val="left"/>
      <w:pPr>
        <w:ind w:left="1071" w:hanging="357"/>
      </w:pPr>
      <w:rPr>
        <w:rFonts w:ascii="Malgun Gothic" w:eastAsia="Malgun Gothic" w:hAnsi="Malgun Gothic" w:hint="eastAsia"/>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tabs>
          <w:tab w:val="num" w:pos="6237"/>
        </w:tabs>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5A083526"/>
    <w:multiLevelType w:val="multilevel"/>
    <w:tmpl w:val="CFEAC53A"/>
    <w:styleLink w:val="IndentBulet"/>
    <w:lvl w:ilvl="0">
      <w:start w:val="1"/>
      <w:numFmt w:val="bullet"/>
      <w:pStyle w:val="IndentBulletLevel1"/>
      <w:lvlText w:val=""/>
      <w:lvlJc w:val="left"/>
      <w:pPr>
        <w:ind w:left="1077" w:hanging="357"/>
      </w:pPr>
      <w:rPr>
        <w:rFonts w:ascii="Wingdings" w:hAnsi="Wingdings" w:hint="default"/>
        <w:color w:val="auto"/>
      </w:rPr>
    </w:lvl>
    <w:lvl w:ilvl="1">
      <w:start w:val="1"/>
      <w:numFmt w:val="bullet"/>
      <w:pStyle w:val="IndentBulletLevel2"/>
      <w:lvlText w:val="–"/>
      <w:lvlJc w:val="left"/>
      <w:pPr>
        <w:tabs>
          <w:tab w:val="num" w:pos="1077"/>
        </w:tabs>
        <w:ind w:left="1440" w:hanging="363"/>
      </w:pPr>
      <w:rPr>
        <w:rFonts w:ascii="Malgun Gothic" w:eastAsia="Malgun Gothic" w:hAnsi="Malgun Gothic" w:hint="eastAsia"/>
        <w:color w:val="auto"/>
      </w:rPr>
    </w:lvl>
    <w:lvl w:ilvl="2">
      <w:start w:val="1"/>
      <w:numFmt w:val="bullet"/>
      <w:pStyle w:val="IndentBulletLevel3"/>
      <w:lvlText w:val="&gt;"/>
      <w:lvlJc w:val="left"/>
      <w:pPr>
        <w:ind w:left="1792" w:hanging="358"/>
      </w:pPr>
      <w:rPr>
        <w:rFonts w:ascii="Malgun Gothic" w:eastAsia="Malgun Gothic" w:hAnsi="Malgun Gothic" w:hint="eastAsia"/>
        <w:color w:val="auto"/>
      </w:rPr>
    </w:lvl>
    <w:lvl w:ilvl="3">
      <w:start w:val="1"/>
      <w:numFmt w:val="decimal"/>
      <w:lvlText w:val="(%4)"/>
      <w:lvlJc w:val="left"/>
      <w:pPr>
        <w:ind w:left="1791" w:firstLine="0"/>
      </w:pPr>
      <w:rPr>
        <w:rFonts w:hint="default"/>
      </w:rPr>
    </w:lvl>
    <w:lvl w:ilvl="4">
      <w:start w:val="1"/>
      <w:numFmt w:val="lowerLetter"/>
      <w:lvlText w:val="(%5)"/>
      <w:lvlJc w:val="left"/>
      <w:pPr>
        <w:ind w:left="2148" w:firstLine="0"/>
      </w:pPr>
      <w:rPr>
        <w:rFonts w:hint="default"/>
      </w:rPr>
    </w:lvl>
    <w:lvl w:ilvl="5">
      <w:start w:val="1"/>
      <w:numFmt w:val="lowerRoman"/>
      <w:lvlText w:val="(%6)"/>
      <w:lvlJc w:val="left"/>
      <w:pPr>
        <w:ind w:left="2505" w:firstLine="0"/>
      </w:pPr>
      <w:rPr>
        <w:rFonts w:hint="default"/>
      </w:rPr>
    </w:lvl>
    <w:lvl w:ilvl="6">
      <w:start w:val="1"/>
      <w:numFmt w:val="decimal"/>
      <w:lvlText w:val="%7."/>
      <w:lvlJc w:val="left"/>
      <w:pPr>
        <w:ind w:left="2862" w:firstLine="0"/>
      </w:pPr>
      <w:rPr>
        <w:rFonts w:hint="default"/>
      </w:rPr>
    </w:lvl>
    <w:lvl w:ilvl="7">
      <w:start w:val="1"/>
      <w:numFmt w:val="lowerLetter"/>
      <w:lvlText w:val="%8."/>
      <w:lvlJc w:val="left"/>
      <w:pPr>
        <w:ind w:left="3219" w:firstLine="0"/>
      </w:pPr>
      <w:rPr>
        <w:rFonts w:hint="default"/>
      </w:rPr>
    </w:lvl>
    <w:lvl w:ilvl="8">
      <w:start w:val="1"/>
      <w:numFmt w:val="lowerRoman"/>
      <w:lvlText w:val="%9."/>
      <w:lvlJc w:val="left"/>
      <w:pPr>
        <w:ind w:left="3576" w:firstLine="0"/>
      </w:pPr>
      <w:rPr>
        <w:rFonts w:hint="default"/>
      </w:rPr>
    </w:lvl>
  </w:abstractNum>
  <w:num w:numId="1" w16cid:durableId="660547498">
    <w:abstractNumId w:val="5"/>
  </w:num>
  <w:num w:numId="2" w16cid:durableId="1405948882">
    <w:abstractNumId w:val="3"/>
  </w:num>
  <w:num w:numId="3" w16cid:durableId="1595897468">
    <w:abstractNumId w:val="7"/>
  </w:num>
  <w:num w:numId="4" w16cid:durableId="1442382979">
    <w:abstractNumId w:val="4"/>
  </w:num>
  <w:num w:numId="5" w16cid:durableId="909269371">
    <w:abstractNumId w:val="1"/>
  </w:num>
  <w:num w:numId="6" w16cid:durableId="308679752">
    <w:abstractNumId w:val="0"/>
  </w:num>
  <w:num w:numId="7" w16cid:durableId="822508197">
    <w:abstractNumId w:val="6"/>
  </w:num>
  <w:num w:numId="8" w16cid:durableId="283654461">
    <w:abstractNumId w:val="2"/>
  </w:num>
  <w:num w:numId="9" w16cid:durableId="1836339004">
    <w:abstractNumId w:val="4"/>
  </w:num>
  <w:num w:numId="10" w16cid:durableId="1717120789">
    <w:abstractNumId w:val="4"/>
  </w:num>
  <w:num w:numId="11" w16cid:durableId="1817838157">
    <w:abstractNumId w:val="4"/>
  </w:num>
  <w:num w:numId="12" w16cid:durableId="79876796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0A"/>
    <w:rsid w:val="00000DE6"/>
    <w:rsid w:val="00000EB0"/>
    <w:rsid w:val="00000EDD"/>
    <w:rsid w:val="0000125C"/>
    <w:rsid w:val="0000241C"/>
    <w:rsid w:val="00003766"/>
    <w:rsid w:val="00003813"/>
    <w:rsid w:val="00003CD8"/>
    <w:rsid w:val="00004D11"/>
    <w:rsid w:val="00004D7B"/>
    <w:rsid w:val="00006931"/>
    <w:rsid w:val="0000752A"/>
    <w:rsid w:val="000079ED"/>
    <w:rsid w:val="00007E00"/>
    <w:rsid w:val="00011FD6"/>
    <w:rsid w:val="000123DF"/>
    <w:rsid w:val="00012403"/>
    <w:rsid w:val="00012C8F"/>
    <w:rsid w:val="00012D82"/>
    <w:rsid w:val="000130A1"/>
    <w:rsid w:val="0001358C"/>
    <w:rsid w:val="0001380A"/>
    <w:rsid w:val="0002060E"/>
    <w:rsid w:val="000215C4"/>
    <w:rsid w:val="000215FB"/>
    <w:rsid w:val="00022978"/>
    <w:rsid w:val="00023889"/>
    <w:rsid w:val="00027A49"/>
    <w:rsid w:val="00027B71"/>
    <w:rsid w:val="00030145"/>
    <w:rsid w:val="00030430"/>
    <w:rsid w:val="00030817"/>
    <w:rsid w:val="000308F4"/>
    <w:rsid w:val="00030A03"/>
    <w:rsid w:val="00030E87"/>
    <w:rsid w:val="00032995"/>
    <w:rsid w:val="000346BA"/>
    <w:rsid w:val="00034867"/>
    <w:rsid w:val="00034E9C"/>
    <w:rsid w:val="00035035"/>
    <w:rsid w:val="000353B4"/>
    <w:rsid w:val="00035DCD"/>
    <w:rsid w:val="0003630D"/>
    <w:rsid w:val="00037071"/>
    <w:rsid w:val="00037BE5"/>
    <w:rsid w:val="00037D82"/>
    <w:rsid w:val="00037E0B"/>
    <w:rsid w:val="000407C6"/>
    <w:rsid w:val="00041021"/>
    <w:rsid w:val="0004149D"/>
    <w:rsid w:val="000423C5"/>
    <w:rsid w:val="00042E2B"/>
    <w:rsid w:val="00042E38"/>
    <w:rsid w:val="000433D4"/>
    <w:rsid w:val="00043CFB"/>
    <w:rsid w:val="00043F36"/>
    <w:rsid w:val="000444D2"/>
    <w:rsid w:val="00044E31"/>
    <w:rsid w:val="0004529E"/>
    <w:rsid w:val="000472FB"/>
    <w:rsid w:val="000479DE"/>
    <w:rsid w:val="00047F4F"/>
    <w:rsid w:val="00050402"/>
    <w:rsid w:val="00050D8B"/>
    <w:rsid w:val="00051A9C"/>
    <w:rsid w:val="0005226B"/>
    <w:rsid w:val="0005275F"/>
    <w:rsid w:val="00052947"/>
    <w:rsid w:val="0005301F"/>
    <w:rsid w:val="00053ACB"/>
    <w:rsid w:val="0005449E"/>
    <w:rsid w:val="00054E27"/>
    <w:rsid w:val="000552B3"/>
    <w:rsid w:val="00055360"/>
    <w:rsid w:val="000556FB"/>
    <w:rsid w:val="00055760"/>
    <w:rsid w:val="00055CDA"/>
    <w:rsid w:val="00056550"/>
    <w:rsid w:val="00057010"/>
    <w:rsid w:val="00057A9E"/>
    <w:rsid w:val="00057AB9"/>
    <w:rsid w:val="00057B92"/>
    <w:rsid w:val="00057CF2"/>
    <w:rsid w:val="00057E1A"/>
    <w:rsid w:val="000601E0"/>
    <w:rsid w:val="00060CC8"/>
    <w:rsid w:val="00061447"/>
    <w:rsid w:val="00062907"/>
    <w:rsid w:val="00062E66"/>
    <w:rsid w:val="0006343E"/>
    <w:rsid w:val="00063A71"/>
    <w:rsid w:val="000643F8"/>
    <w:rsid w:val="00064522"/>
    <w:rsid w:val="000646DE"/>
    <w:rsid w:val="0006484B"/>
    <w:rsid w:val="0006686A"/>
    <w:rsid w:val="00066A12"/>
    <w:rsid w:val="0006749C"/>
    <w:rsid w:val="00067999"/>
    <w:rsid w:val="00067D08"/>
    <w:rsid w:val="0007067B"/>
    <w:rsid w:val="00071124"/>
    <w:rsid w:val="000714FB"/>
    <w:rsid w:val="000716CC"/>
    <w:rsid w:val="000719A9"/>
    <w:rsid w:val="00071F48"/>
    <w:rsid w:val="00073A85"/>
    <w:rsid w:val="0007465C"/>
    <w:rsid w:val="000753D8"/>
    <w:rsid w:val="000753F5"/>
    <w:rsid w:val="00075BDD"/>
    <w:rsid w:val="00076261"/>
    <w:rsid w:val="000771DC"/>
    <w:rsid w:val="00077434"/>
    <w:rsid w:val="00077897"/>
    <w:rsid w:val="00077940"/>
    <w:rsid w:val="00077949"/>
    <w:rsid w:val="000779E4"/>
    <w:rsid w:val="00077DB7"/>
    <w:rsid w:val="00077F70"/>
    <w:rsid w:val="000802B4"/>
    <w:rsid w:val="00080612"/>
    <w:rsid w:val="000807A1"/>
    <w:rsid w:val="0008167B"/>
    <w:rsid w:val="00081D07"/>
    <w:rsid w:val="00081EE9"/>
    <w:rsid w:val="00082DD6"/>
    <w:rsid w:val="00082EA5"/>
    <w:rsid w:val="0008358A"/>
    <w:rsid w:val="000840E2"/>
    <w:rsid w:val="0008475A"/>
    <w:rsid w:val="000851D8"/>
    <w:rsid w:val="00085AB1"/>
    <w:rsid w:val="000866B4"/>
    <w:rsid w:val="00090CCE"/>
    <w:rsid w:val="00090DDB"/>
    <w:rsid w:val="000911C1"/>
    <w:rsid w:val="00091279"/>
    <w:rsid w:val="000916DE"/>
    <w:rsid w:val="00091C01"/>
    <w:rsid w:val="00091DFA"/>
    <w:rsid w:val="00092017"/>
    <w:rsid w:val="00092376"/>
    <w:rsid w:val="000930FD"/>
    <w:rsid w:val="0009327F"/>
    <w:rsid w:val="00093913"/>
    <w:rsid w:val="000939C5"/>
    <w:rsid w:val="00093B27"/>
    <w:rsid w:val="00094977"/>
    <w:rsid w:val="000951AE"/>
    <w:rsid w:val="0009531C"/>
    <w:rsid w:val="00095AB3"/>
    <w:rsid w:val="000960ED"/>
    <w:rsid w:val="000961E5"/>
    <w:rsid w:val="00096B4E"/>
    <w:rsid w:val="00096DC0"/>
    <w:rsid w:val="000971E0"/>
    <w:rsid w:val="000977B2"/>
    <w:rsid w:val="0009784A"/>
    <w:rsid w:val="000A0824"/>
    <w:rsid w:val="000A2453"/>
    <w:rsid w:val="000A33FD"/>
    <w:rsid w:val="000A3586"/>
    <w:rsid w:val="000A3879"/>
    <w:rsid w:val="000A3C11"/>
    <w:rsid w:val="000A4477"/>
    <w:rsid w:val="000A47FF"/>
    <w:rsid w:val="000A4CE2"/>
    <w:rsid w:val="000A75CB"/>
    <w:rsid w:val="000B0803"/>
    <w:rsid w:val="000B2BBB"/>
    <w:rsid w:val="000B2F2E"/>
    <w:rsid w:val="000B35CB"/>
    <w:rsid w:val="000B3B66"/>
    <w:rsid w:val="000B45CF"/>
    <w:rsid w:val="000B467E"/>
    <w:rsid w:val="000B471A"/>
    <w:rsid w:val="000B49AF"/>
    <w:rsid w:val="000B52C8"/>
    <w:rsid w:val="000B5555"/>
    <w:rsid w:val="000B5577"/>
    <w:rsid w:val="000B5F69"/>
    <w:rsid w:val="000B6C60"/>
    <w:rsid w:val="000B72A3"/>
    <w:rsid w:val="000C1372"/>
    <w:rsid w:val="000C19B8"/>
    <w:rsid w:val="000C1CCD"/>
    <w:rsid w:val="000C1EB9"/>
    <w:rsid w:val="000C2059"/>
    <w:rsid w:val="000C24DF"/>
    <w:rsid w:val="000C276D"/>
    <w:rsid w:val="000C3494"/>
    <w:rsid w:val="000C3A90"/>
    <w:rsid w:val="000C3FA5"/>
    <w:rsid w:val="000C449F"/>
    <w:rsid w:val="000C4D90"/>
    <w:rsid w:val="000C56B7"/>
    <w:rsid w:val="000C5FF6"/>
    <w:rsid w:val="000C6B89"/>
    <w:rsid w:val="000C7A8F"/>
    <w:rsid w:val="000D0CC9"/>
    <w:rsid w:val="000D0EB5"/>
    <w:rsid w:val="000D13AB"/>
    <w:rsid w:val="000D14A4"/>
    <w:rsid w:val="000D1BAC"/>
    <w:rsid w:val="000D20D5"/>
    <w:rsid w:val="000D241D"/>
    <w:rsid w:val="000D2BBF"/>
    <w:rsid w:val="000D2E52"/>
    <w:rsid w:val="000D38E4"/>
    <w:rsid w:val="000D483C"/>
    <w:rsid w:val="000D5643"/>
    <w:rsid w:val="000D617C"/>
    <w:rsid w:val="000D61E5"/>
    <w:rsid w:val="000D6ABB"/>
    <w:rsid w:val="000E0B5C"/>
    <w:rsid w:val="000E0C3B"/>
    <w:rsid w:val="000E0F53"/>
    <w:rsid w:val="000E1C7F"/>
    <w:rsid w:val="000E272C"/>
    <w:rsid w:val="000E3020"/>
    <w:rsid w:val="000E3FAC"/>
    <w:rsid w:val="000E5105"/>
    <w:rsid w:val="000E570E"/>
    <w:rsid w:val="000E5751"/>
    <w:rsid w:val="000E599A"/>
    <w:rsid w:val="000E5C60"/>
    <w:rsid w:val="000E6A18"/>
    <w:rsid w:val="000E6B96"/>
    <w:rsid w:val="000E709F"/>
    <w:rsid w:val="000E753A"/>
    <w:rsid w:val="000F1609"/>
    <w:rsid w:val="000F1D0E"/>
    <w:rsid w:val="000F2252"/>
    <w:rsid w:val="000F2564"/>
    <w:rsid w:val="000F27D8"/>
    <w:rsid w:val="000F2CCC"/>
    <w:rsid w:val="000F3610"/>
    <w:rsid w:val="000F3A81"/>
    <w:rsid w:val="000F3CFE"/>
    <w:rsid w:val="000F3D5F"/>
    <w:rsid w:val="000F4E98"/>
    <w:rsid w:val="000F5AE1"/>
    <w:rsid w:val="000F5F3A"/>
    <w:rsid w:val="000F6FE9"/>
    <w:rsid w:val="000F7817"/>
    <w:rsid w:val="000F7C19"/>
    <w:rsid w:val="00100800"/>
    <w:rsid w:val="0010088F"/>
    <w:rsid w:val="00100AAE"/>
    <w:rsid w:val="0010182D"/>
    <w:rsid w:val="00102A31"/>
    <w:rsid w:val="00103363"/>
    <w:rsid w:val="00103D45"/>
    <w:rsid w:val="00104219"/>
    <w:rsid w:val="00105364"/>
    <w:rsid w:val="001053E1"/>
    <w:rsid w:val="001059CA"/>
    <w:rsid w:val="001063F6"/>
    <w:rsid w:val="001066A8"/>
    <w:rsid w:val="0010713E"/>
    <w:rsid w:val="00107322"/>
    <w:rsid w:val="00110D00"/>
    <w:rsid w:val="00111013"/>
    <w:rsid w:val="0011235E"/>
    <w:rsid w:val="00112486"/>
    <w:rsid w:val="00112E58"/>
    <w:rsid w:val="00113ECD"/>
    <w:rsid w:val="0011417B"/>
    <w:rsid w:val="001155B3"/>
    <w:rsid w:val="00116685"/>
    <w:rsid w:val="00117FD9"/>
    <w:rsid w:val="001213E7"/>
    <w:rsid w:val="00121CD3"/>
    <w:rsid w:val="001222B5"/>
    <w:rsid w:val="001226E0"/>
    <w:rsid w:val="00122B79"/>
    <w:rsid w:val="001241C5"/>
    <w:rsid w:val="001247F7"/>
    <w:rsid w:val="00124BF2"/>
    <w:rsid w:val="00124ECE"/>
    <w:rsid w:val="001256C7"/>
    <w:rsid w:val="00125C73"/>
    <w:rsid w:val="00126789"/>
    <w:rsid w:val="001267D4"/>
    <w:rsid w:val="00126DD6"/>
    <w:rsid w:val="0012773C"/>
    <w:rsid w:val="00127AB0"/>
    <w:rsid w:val="001301C4"/>
    <w:rsid w:val="00130E55"/>
    <w:rsid w:val="00130E66"/>
    <w:rsid w:val="00130FCB"/>
    <w:rsid w:val="0013200A"/>
    <w:rsid w:val="00132F1F"/>
    <w:rsid w:val="00133D02"/>
    <w:rsid w:val="00134225"/>
    <w:rsid w:val="00135756"/>
    <w:rsid w:val="00135DF9"/>
    <w:rsid w:val="001366DD"/>
    <w:rsid w:val="00136D0D"/>
    <w:rsid w:val="00137CDD"/>
    <w:rsid w:val="00140220"/>
    <w:rsid w:val="00140AEF"/>
    <w:rsid w:val="001424A4"/>
    <w:rsid w:val="00142EB5"/>
    <w:rsid w:val="00142F85"/>
    <w:rsid w:val="001430D2"/>
    <w:rsid w:val="0014313A"/>
    <w:rsid w:val="0014344A"/>
    <w:rsid w:val="00143C3A"/>
    <w:rsid w:val="00143D19"/>
    <w:rsid w:val="00143F51"/>
    <w:rsid w:val="00144118"/>
    <w:rsid w:val="001449EF"/>
    <w:rsid w:val="00144C32"/>
    <w:rsid w:val="00144DF2"/>
    <w:rsid w:val="00145A1C"/>
    <w:rsid w:val="00145D0E"/>
    <w:rsid w:val="00146664"/>
    <w:rsid w:val="00147293"/>
    <w:rsid w:val="001477C2"/>
    <w:rsid w:val="00150117"/>
    <w:rsid w:val="00150BEA"/>
    <w:rsid w:val="00151DA6"/>
    <w:rsid w:val="001528D5"/>
    <w:rsid w:val="00152AEB"/>
    <w:rsid w:val="00153610"/>
    <w:rsid w:val="001536B3"/>
    <w:rsid w:val="0015379A"/>
    <w:rsid w:val="00153959"/>
    <w:rsid w:val="00153C15"/>
    <w:rsid w:val="00153D82"/>
    <w:rsid w:val="001547BE"/>
    <w:rsid w:val="00154CB7"/>
    <w:rsid w:val="00155544"/>
    <w:rsid w:val="00156242"/>
    <w:rsid w:val="00156A65"/>
    <w:rsid w:val="00156E3B"/>
    <w:rsid w:val="00157886"/>
    <w:rsid w:val="00157C02"/>
    <w:rsid w:val="00157D87"/>
    <w:rsid w:val="001601E8"/>
    <w:rsid w:val="001609C8"/>
    <w:rsid w:val="00161D3E"/>
    <w:rsid w:val="0016281C"/>
    <w:rsid w:val="00163364"/>
    <w:rsid w:val="00163B1A"/>
    <w:rsid w:val="00163CD1"/>
    <w:rsid w:val="00163E09"/>
    <w:rsid w:val="001643DF"/>
    <w:rsid w:val="00164817"/>
    <w:rsid w:val="00165A28"/>
    <w:rsid w:val="00166011"/>
    <w:rsid w:val="0016652E"/>
    <w:rsid w:val="0016690D"/>
    <w:rsid w:val="001670D8"/>
    <w:rsid w:val="001677B6"/>
    <w:rsid w:val="00167C39"/>
    <w:rsid w:val="00167D1C"/>
    <w:rsid w:val="00167E70"/>
    <w:rsid w:val="00171757"/>
    <w:rsid w:val="00171863"/>
    <w:rsid w:val="00172ACA"/>
    <w:rsid w:val="00172DB8"/>
    <w:rsid w:val="00173336"/>
    <w:rsid w:val="0017419F"/>
    <w:rsid w:val="00174325"/>
    <w:rsid w:val="001747B9"/>
    <w:rsid w:val="00175508"/>
    <w:rsid w:val="001758D7"/>
    <w:rsid w:val="00176B2C"/>
    <w:rsid w:val="00176E4A"/>
    <w:rsid w:val="001773D2"/>
    <w:rsid w:val="00177AC3"/>
    <w:rsid w:val="001801D0"/>
    <w:rsid w:val="00181BDA"/>
    <w:rsid w:val="00181CEA"/>
    <w:rsid w:val="00181EB6"/>
    <w:rsid w:val="00182981"/>
    <w:rsid w:val="00182B7D"/>
    <w:rsid w:val="00182F5E"/>
    <w:rsid w:val="0018308C"/>
    <w:rsid w:val="00183743"/>
    <w:rsid w:val="0018383F"/>
    <w:rsid w:val="00183911"/>
    <w:rsid w:val="0018412A"/>
    <w:rsid w:val="001848C4"/>
    <w:rsid w:val="00184C70"/>
    <w:rsid w:val="00185011"/>
    <w:rsid w:val="001859B5"/>
    <w:rsid w:val="0018674B"/>
    <w:rsid w:val="001867E3"/>
    <w:rsid w:val="0018753C"/>
    <w:rsid w:val="0018771B"/>
    <w:rsid w:val="00187B6B"/>
    <w:rsid w:val="00190DAF"/>
    <w:rsid w:val="00190F6D"/>
    <w:rsid w:val="001912CC"/>
    <w:rsid w:val="001918AE"/>
    <w:rsid w:val="00191FCA"/>
    <w:rsid w:val="001925C2"/>
    <w:rsid w:val="00192C38"/>
    <w:rsid w:val="001932A6"/>
    <w:rsid w:val="0019391C"/>
    <w:rsid w:val="00193C12"/>
    <w:rsid w:val="00193F92"/>
    <w:rsid w:val="001944B0"/>
    <w:rsid w:val="00194586"/>
    <w:rsid w:val="0019494B"/>
    <w:rsid w:val="00194D72"/>
    <w:rsid w:val="001950C1"/>
    <w:rsid w:val="001954DB"/>
    <w:rsid w:val="0019599E"/>
    <w:rsid w:val="00195CCF"/>
    <w:rsid w:val="001A0C2B"/>
    <w:rsid w:val="001A2577"/>
    <w:rsid w:val="001A277C"/>
    <w:rsid w:val="001A2BC0"/>
    <w:rsid w:val="001A2EE7"/>
    <w:rsid w:val="001A310E"/>
    <w:rsid w:val="001A37DC"/>
    <w:rsid w:val="001A38CC"/>
    <w:rsid w:val="001A43CC"/>
    <w:rsid w:val="001A4480"/>
    <w:rsid w:val="001A4DB8"/>
    <w:rsid w:val="001A5EC3"/>
    <w:rsid w:val="001A658D"/>
    <w:rsid w:val="001A6874"/>
    <w:rsid w:val="001A7C8D"/>
    <w:rsid w:val="001B0380"/>
    <w:rsid w:val="001B1836"/>
    <w:rsid w:val="001B314C"/>
    <w:rsid w:val="001B3542"/>
    <w:rsid w:val="001B3A51"/>
    <w:rsid w:val="001B581E"/>
    <w:rsid w:val="001B6252"/>
    <w:rsid w:val="001C03A2"/>
    <w:rsid w:val="001C0DE3"/>
    <w:rsid w:val="001C10C1"/>
    <w:rsid w:val="001C1139"/>
    <w:rsid w:val="001C12B4"/>
    <w:rsid w:val="001C1AE0"/>
    <w:rsid w:val="001C34C5"/>
    <w:rsid w:val="001C4077"/>
    <w:rsid w:val="001C4190"/>
    <w:rsid w:val="001C4E19"/>
    <w:rsid w:val="001C5A7C"/>
    <w:rsid w:val="001C5FDD"/>
    <w:rsid w:val="001C60C0"/>
    <w:rsid w:val="001C620C"/>
    <w:rsid w:val="001C7A45"/>
    <w:rsid w:val="001D0A6F"/>
    <w:rsid w:val="001D164F"/>
    <w:rsid w:val="001D216A"/>
    <w:rsid w:val="001D2D3C"/>
    <w:rsid w:val="001D2E82"/>
    <w:rsid w:val="001D3005"/>
    <w:rsid w:val="001D328E"/>
    <w:rsid w:val="001D37B2"/>
    <w:rsid w:val="001D51DA"/>
    <w:rsid w:val="001D66C1"/>
    <w:rsid w:val="001D75E2"/>
    <w:rsid w:val="001E1A16"/>
    <w:rsid w:val="001E2038"/>
    <w:rsid w:val="001E3141"/>
    <w:rsid w:val="001E3520"/>
    <w:rsid w:val="001E3556"/>
    <w:rsid w:val="001E3AB4"/>
    <w:rsid w:val="001E41D6"/>
    <w:rsid w:val="001E4BFC"/>
    <w:rsid w:val="001E523D"/>
    <w:rsid w:val="001E5D8D"/>
    <w:rsid w:val="001E5FCC"/>
    <w:rsid w:val="001E69CA"/>
    <w:rsid w:val="001E6D75"/>
    <w:rsid w:val="001E70DF"/>
    <w:rsid w:val="001E7530"/>
    <w:rsid w:val="001E7E51"/>
    <w:rsid w:val="001F1179"/>
    <w:rsid w:val="001F11DB"/>
    <w:rsid w:val="001F18BD"/>
    <w:rsid w:val="001F324B"/>
    <w:rsid w:val="001F3757"/>
    <w:rsid w:val="001F39A3"/>
    <w:rsid w:val="001F3C2B"/>
    <w:rsid w:val="001F3E71"/>
    <w:rsid w:val="001F5AB1"/>
    <w:rsid w:val="001F6B60"/>
    <w:rsid w:val="001F73CF"/>
    <w:rsid w:val="001F75B3"/>
    <w:rsid w:val="001F7882"/>
    <w:rsid w:val="001F7A1B"/>
    <w:rsid w:val="002013D7"/>
    <w:rsid w:val="00201558"/>
    <w:rsid w:val="00201A39"/>
    <w:rsid w:val="00201B75"/>
    <w:rsid w:val="0020283E"/>
    <w:rsid w:val="002033BD"/>
    <w:rsid w:val="00203806"/>
    <w:rsid w:val="00203B69"/>
    <w:rsid w:val="00203CD3"/>
    <w:rsid w:val="00204F3B"/>
    <w:rsid w:val="0020508E"/>
    <w:rsid w:val="00205DF3"/>
    <w:rsid w:val="00206604"/>
    <w:rsid w:val="00206C67"/>
    <w:rsid w:val="00207144"/>
    <w:rsid w:val="002071F8"/>
    <w:rsid w:val="00207CBE"/>
    <w:rsid w:val="00211908"/>
    <w:rsid w:val="00211A68"/>
    <w:rsid w:val="00211B40"/>
    <w:rsid w:val="002126F7"/>
    <w:rsid w:val="00212AD4"/>
    <w:rsid w:val="0021345F"/>
    <w:rsid w:val="00213C4F"/>
    <w:rsid w:val="00213EDE"/>
    <w:rsid w:val="002145AE"/>
    <w:rsid w:val="00214883"/>
    <w:rsid w:val="00214961"/>
    <w:rsid w:val="00215187"/>
    <w:rsid w:val="00215D98"/>
    <w:rsid w:val="00216291"/>
    <w:rsid w:val="0021659B"/>
    <w:rsid w:val="00217A52"/>
    <w:rsid w:val="0022083E"/>
    <w:rsid w:val="00220ABC"/>
    <w:rsid w:val="0022118E"/>
    <w:rsid w:val="0022155B"/>
    <w:rsid w:val="00221F3D"/>
    <w:rsid w:val="00222207"/>
    <w:rsid w:val="00222D0B"/>
    <w:rsid w:val="002231C6"/>
    <w:rsid w:val="00223303"/>
    <w:rsid w:val="002238BD"/>
    <w:rsid w:val="00224579"/>
    <w:rsid w:val="00224E58"/>
    <w:rsid w:val="002251F4"/>
    <w:rsid w:val="002259AD"/>
    <w:rsid w:val="00225B16"/>
    <w:rsid w:val="00226835"/>
    <w:rsid w:val="00226B66"/>
    <w:rsid w:val="00226D10"/>
    <w:rsid w:val="002271BC"/>
    <w:rsid w:val="00227589"/>
    <w:rsid w:val="00227EA4"/>
    <w:rsid w:val="002332D5"/>
    <w:rsid w:val="0023345F"/>
    <w:rsid w:val="002348AB"/>
    <w:rsid w:val="00235278"/>
    <w:rsid w:val="002353CA"/>
    <w:rsid w:val="00235488"/>
    <w:rsid w:val="0023576D"/>
    <w:rsid w:val="00236D5F"/>
    <w:rsid w:val="00236E37"/>
    <w:rsid w:val="002370FA"/>
    <w:rsid w:val="0023713D"/>
    <w:rsid w:val="00237EDC"/>
    <w:rsid w:val="00241D3D"/>
    <w:rsid w:val="00242B82"/>
    <w:rsid w:val="00242C11"/>
    <w:rsid w:val="00243027"/>
    <w:rsid w:val="0024363F"/>
    <w:rsid w:val="00243A80"/>
    <w:rsid w:val="00244653"/>
    <w:rsid w:val="002447A5"/>
    <w:rsid w:val="00245618"/>
    <w:rsid w:val="00245EF0"/>
    <w:rsid w:val="00246271"/>
    <w:rsid w:val="00246A1A"/>
    <w:rsid w:val="00246BEF"/>
    <w:rsid w:val="00250357"/>
    <w:rsid w:val="002508A3"/>
    <w:rsid w:val="0025266D"/>
    <w:rsid w:val="002530CC"/>
    <w:rsid w:val="002532EA"/>
    <w:rsid w:val="002541F0"/>
    <w:rsid w:val="00254DA8"/>
    <w:rsid w:val="00255B89"/>
    <w:rsid w:val="00255ED7"/>
    <w:rsid w:val="00255F61"/>
    <w:rsid w:val="002564C9"/>
    <w:rsid w:val="00256CA9"/>
    <w:rsid w:val="002570BC"/>
    <w:rsid w:val="00257600"/>
    <w:rsid w:val="002576CC"/>
    <w:rsid w:val="00257E98"/>
    <w:rsid w:val="00260CC7"/>
    <w:rsid w:val="00260F79"/>
    <w:rsid w:val="0026124F"/>
    <w:rsid w:val="00261261"/>
    <w:rsid w:val="00262245"/>
    <w:rsid w:val="0026281B"/>
    <w:rsid w:val="00262B62"/>
    <w:rsid w:val="002631F7"/>
    <w:rsid w:val="0026349D"/>
    <w:rsid w:val="0026471E"/>
    <w:rsid w:val="00265406"/>
    <w:rsid w:val="00265EAB"/>
    <w:rsid w:val="00266265"/>
    <w:rsid w:val="002666B9"/>
    <w:rsid w:val="00266833"/>
    <w:rsid w:val="00266F7C"/>
    <w:rsid w:val="0026748A"/>
    <w:rsid w:val="00267527"/>
    <w:rsid w:val="00267852"/>
    <w:rsid w:val="00267ABB"/>
    <w:rsid w:val="00270464"/>
    <w:rsid w:val="0027056B"/>
    <w:rsid w:val="00270B14"/>
    <w:rsid w:val="00271F2B"/>
    <w:rsid w:val="002720FA"/>
    <w:rsid w:val="002726CC"/>
    <w:rsid w:val="00272747"/>
    <w:rsid w:val="00272B04"/>
    <w:rsid w:val="00272CAB"/>
    <w:rsid w:val="00272D68"/>
    <w:rsid w:val="00273235"/>
    <w:rsid w:val="00274046"/>
    <w:rsid w:val="00274284"/>
    <w:rsid w:val="0027472F"/>
    <w:rsid w:val="00274C94"/>
    <w:rsid w:val="002751C5"/>
    <w:rsid w:val="0027694A"/>
    <w:rsid w:val="00276BEF"/>
    <w:rsid w:val="00276CA3"/>
    <w:rsid w:val="00277841"/>
    <w:rsid w:val="00280770"/>
    <w:rsid w:val="00280ADC"/>
    <w:rsid w:val="00281B85"/>
    <w:rsid w:val="00281FF8"/>
    <w:rsid w:val="00282ED3"/>
    <w:rsid w:val="00283B21"/>
    <w:rsid w:val="00284500"/>
    <w:rsid w:val="00284862"/>
    <w:rsid w:val="00284889"/>
    <w:rsid w:val="00284C9B"/>
    <w:rsid w:val="002864EE"/>
    <w:rsid w:val="0028703B"/>
    <w:rsid w:val="0028740A"/>
    <w:rsid w:val="002875F8"/>
    <w:rsid w:val="002879B6"/>
    <w:rsid w:val="00287CC6"/>
    <w:rsid w:val="00290CC1"/>
    <w:rsid w:val="002918B5"/>
    <w:rsid w:val="002919D5"/>
    <w:rsid w:val="00292141"/>
    <w:rsid w:val="00293657"/>
    <w:rsid w:val="00293C50"/>
    <w:rsid w:val="00294598"/>
    <w:rsid w:val="00294683"/>
    <w:rsid w:val="0029471B"/>
    <w:rsid w:val="00294EE1"/>
    <w:rsid w:val="002958BA"/>
    <w:rsid w:val="00296523"/>
    <w:rsid w:val="002A05F6"/>
    <w:rsid w:val="002A06E9"/>
    <w:rsid w:val="002A0A97"/>
    <w:rsid w:val="002A101F"/>
    <w:rsid w:val="002A1120"/>
    <w:rsid w:val="002A1B63"/>
    <w:rsid w:val="002A2124"/>
    <w:rsid w:val="002A27D7"/>
    <w:rsid w:val="002A2B9D"/>
    <w:rsid w:val="002A3172"/>
    <w:rsid w:val="002A3AC2"/>
    <w:rsid w:val="002A436E"/>
    <w:rsid w:val="002A4511"/>
    <w:rsid w:val="002A47D4"/>
    <w:rsid w:val="002A6961"/>
    <w:rsid w:val="002A6FBA"/>
    <w:rsid w:val="002B0E55"/>
    <w:rsid w:val="002B0E6D"/>
    <w:rsid w:val="002B10C7"/>
    <w:rsid w:val="002B2781"/>
    <w:rsid w:val="002B34CB"/>
    <w:rsid w:val="002B36CD"/>
    <w:rsid w:val="002B3A3A"/>
    <w:rsid w:val="002B48C3"/>
    <w:rsid w:val="002B4E7A"/>
    <w:rsid w:val="002B55B1"/>
    <w:rsid w:val="002B5C69"/>
    <w:rsid w:val="002B68BC"/>
    <w:rsid w:val="002B6965"/>
    <w:rsid w:val="002B6BBB"/>
    <w:rsid w:val="002B6CFB"/>
    <w:rsid w:val="002B73CC"/>
    <w:rsid w:val="002C07ED"/>
    <w:rsid w:val="002C1176"/>
    <w:rsid w:val="002C118D"/>
    <w:rsid w:val="002C1525"/>
    <w:rsid w:val="002C1BEA"/>
    <w:rsid w:val="002C2054"/>
    <w:rsid w:val="002C21FE"/>
    <w:rsid w:val="002C42A5"/>
    <w:rsid w:val="002C50C9"/>
    <w:rsid w:val="002C5F79"/>
    <w:rsid w:val="002C6A1D"/>
    <w:rsid w:val="002D04FF"/>
    <w:rsid w:val="002D12EA"/>
    <w:rsid w:val="002D21D0"/>
    <w:rsid w:val="002D230B"/>
    <w:rsid w:val="002D274B"/>
    <w:rsid w:val="002D31BB"/>
    <w:rsid w:val="002D390D"/>
    <w:rsid w:val="002D3C7F"/>
    <w:rsid w:val="002D4F48"/>
    <w:rsid w:val="002D4F54"/>
    <w:rsid w:val="002D56FF"/>
    <w:rsid w:val="002D5EF5"/>
    <w:rsid w:val="002D77D3"/>
    <w:rsid w:val="002E1AA8"/>
    <w:rsid w:val="002E23BC"/>
    <w:rsid w:val="002E37ED"/>
    <w:rsid w:val="002E393C"/>
    <w:rsid w:val="002E4348"/>
    <w:rsid w:val="002E471C"/>
    <w:rsid w:val="002E4E53"/>
    <w:rsid w:val="002E5097"/>
    <w:rsid w:val="002E5F4E"/>
    <w:rsid w:val="002E618A"/>
    <w:rsid w:val="002E79ED"/>
    <w:rsid w:val="002E7F2E"/>
    <w:rsid w:val="002F2E32"/>
    <w:rsid w:val="002F2ED3"/>
    <w:rsid w:val="002F422F"/>
    <w:rsid w:val="002F547B"/>
    <w:rsid w:val="002F5953"/>
    <w:rsid w:val="002F5FDA"/>
    <w:rsid w:val="002F60C0"/>
    <w:rsid w:val="002F6A5F"/>
    <w:rsid w:val="002F75FF"/>
    <w:rsid w:val="002F7DCE"/>
    <w:rsid w:val="0030004A"/>
    <w:rsid w:val="00300787"/>
    <w:rsid w:val="00300BD2"/>
    <w:rsid w:val="00300E32"/>
    <w:rsid w:val="00300EA1"/>
    <w:rsid w:val="00301617"/>
    <w:rsid w:val="00302559"/>
    <w:rsid w:val="00302810"/>
    <w:rsid w:val="003037E2"/>
    <w:rsid w:val="00304001"/>
    <w:rsid w:val="0030403E"/>
    <w:rsid w:val="003040AF"/>
    <w:rsid w:val="003042A8"/>
    <w:rsid w:val="00306E9A"/>
    <w:rsid w:val="00307F2B"/>
    <w:rsid w:val="0031048E"/>
    <w:rsid w:val="00310521"/>
    <w:rsid w:val="00310685"/>
    <w:rsid w:val="00311890"/>
    <w:rsid w:val="00311953"/>
    <w:rsid w:val="00311FA1"/>
    <w:rsid w:val="00312130"/>
    <w:rsid w:val="003122EC"/>
    <w:rsid w:val="003126BB"/>
    <w:rsid w:val="003146F3"/>
    <w:rsid w:val="0031520D"/>
    <w:rsid w:val="00315251"/>
    <w:rsid w:val="003158C1"/>
    <w:rsid w:val="003159FF"/>
    <w:rsid w:val="00315C17"/>
    <w:rsid w:val="00315DE7"/>
    <w:rsid w:val="0031615D"/>
    <w:rsid w:val="003163AC"/>
    <w:rsid w:val="0031654A"/>
    <w:rsid w:val="003166B2"/>
    <w:rsid w:val="003176B9"/>
    <w:rsid w:val="0032082B"/>
    <w:rsid w:val="003211A5"/>
    <w:rsid w:val="00321FE7"/>
    <w:rsid w:val="00321FF6"/>
    <w:rsid w:val="003225A7"/>
    <w:rsid w:val="00323241"/>
    <w:rsid w:val="00323AC8"/>
    <w:rsid w:val="00324384"/>
    <w:rsid w:val="00325ADC"/>
    <w:rsid w:val="00326D26"/>
    <w:rsid w:val="003271C0"/>
    <w:rsid w:val="003274D8"/>
    <w:rsid w:val="0033049D"/>
    <w:rsid w:val="00330C0B"/>
    <w:rsid w:val="0033295F"/>
    <w:rsid w:val="00333116"/>
    <w:rsid w:val="003331F8"/>
    <w:rsid w:val="003332B3"/>
    <w:rsid w:val="00335584"/>
    <w:rsid w:val="0033579B"/>
    <w:rsid w:val="003359F0"/>
    <w:rsid w:val="0033614A"/>
    <w:rsid w:val="0033661B"/>
    <w:rsid w:val="0033719B"/>
    <w:rsid w:val="003405E1"/>
    <w:rsid w:val="0034097B"/>
    <w:rsid w:val="003411D8"/>
    <w:rsid w:val="003412C2"/>
    <w:rsid w:val="00341B6B"/>
    <w:rsid w:val="00341FE6"/>
    <w:rsid w:val="00344652"/>
    <w:rsid w:val="003451BD"/>
    <w:rsid w:val="003453F5"/>
    <w:rsid w:val="003458FD"/>
    <w:rsid w:val="00345DD0"/>
    <w:rsid w:val="00346189"/>
    <w:rsid w:val="0034715E"/>
    <w:rsid w:val="00347591"/>
    <w:rsid w:val="00347615"/>
    <w:rsid w:val="00347FFE"/>
    <w:rsid w:val="0035098B"/>
    <w:rsid w:val="0035140F"/>
    <w:rsid w:val="00351C6F"/>
    <w:rsid w:val="00352118"/>
    <w:rsid w:val="003525CF"/>
    <w:rsid w:val="00353B13"/>
    <w:rsid w:val="00353D87"/>
    <w:rsid w:val="003545D1"/>
    <w:rsid w:val="0035560F"/>
    <w:rsid w:val="00356CBB"/>
    <w:rsid w:val="00357588"/>
    <w:rsid w:val="003579DB"/>
    <w:rsid w:val="00361621"/>
    <w:rsid w:val="00361F51"/>
    <w:rsid w:val="0036223B"/>
    <w:rsid w:val="00362A75"/>
    <w:rsid w:val="00363EB2"/>
    <w:rsid w:val="0036457A"/>
    <w:rsid w:val="00364D06"/>
    <w:rsid w:val="00366004"/>
    <w:rsid w:val="00366ED9"/>
    <w:rsid w:val="00370779"/>
    <w:rsid w:val="00370A18"/>
    <w:rsid w:val="00371109"/>
    <w:rsid w:val="00371A1E"/>
    <w:rsid w:val="00371C07"/>
    <w:rsid w:val="003720C7"/>
    <w:rsid w:val="00372E0C"/>
    <w:rsid w:val="00373059"/>
    <w:rsid w:val="003737E0"/>
    <w:rsid w:val="00373C1E"/>
    <w:rsid w:val="00373E95"/>
    <w:rsid w:val="00375A00"/>
    <w:rsid w:val="00375AC7"/>
    <w:rsid w:val="003769DA"/>
    <w:rsid w:val="00376C1C"/>
    <w:rsid w:val="00377DB9"/>
    <w:rsid w:val="00380C52"/>
    <w:rsid w:val="00381496"/>
    <w:rsid w:val="00381869"/>
    <w:rsid w:val="00382873"/>
    <w:rsid w:val="003828CB"/>
    <w:rsid w:val="00382EF6"/>
    <w:rsid w:val="00383C2A"/>
    <w:rsid w:val="003841F2"/>
    <w:rsid w:val="00384BCA"/>
    <w:rsid w:val="00384F21"/>
    <w:rsid w:val="00385910"/>
    <w:rsid w:val="00386223"/>
    <w:rsid w:val="003874EA"/>
    <w:rsid w:val="00387A9D"/>
    <w:rsid w:val="00390493"/>
    <w:rsid w:val="00390ADC"/>
    <w:rsid w:val="00390C66"/>
    <w:rsid w:val="003914F6"/>
    <w:rsid w:val="00392837"/>
    <w:rsid w:val="00392999"/>
    <w:rsid w:val="003935EB"/>
    <w:rsid w:val="00393784"/>
    <w:rsid w:val="00393FCE"/>
    <w:rsid w:val="00394A2C"/>
    <w:rsid w:val="00394C67"/>
    <w:rsid w:val="00395131"/>
    <w:rsid w:val="00395FDC"/>
    <w:rsid w:val="00396669"/>
    <w:rsid w:val="003A0E7F"/>
    <w:rsid w:val="003A1064"/>
    <w:rsid w:val="003A1BBC"/>
    <w:rsid w:val="003A2094"/>
    <w:rsid w:val="003A30EB"/>
    <w:rsid w:val="003A3971"/>
    <w:rsid w:val="003A4659"/>
    <w:rsid w:val="003A4F87"/>
    <w:rsid w:val="003A568B"/>
    <w:rsid w:val="003A5743"/>
    <w:rsid w:val="003A5FE7"/>
    <w:rsid w:val="003A7132"/>
    <w:rsid w:val="003A77BC"/>
    <w:rsid w:val="003A7822"/>
    <w:rsid w:val="003A7AA6"/>
    <w:rsid w:val="003A7D2C"/>
    <w:rsid w:val="003B0FCE"/>
    <w:rsid w:val="003B2C9C"/>
    <w:rsid w:val="003B371D"/>
    <w:rsid w:val="003B3C9B"/>
    <w:rsid w:val="003B4E04"/>
    <w:rsid w:val="003B52F4"/>
    <w:rsid w:val="003B5586"/>
    <w:rsid w:val="003B5BD7"/>
    <w:rsid w:val="003B64FE"/>
    <w:rsid w:val="003B6F7A"/>
    <w:rsid w:val="003B7825"/>
    <w:rsid w:val="003B7952"/>
    <w:rsid w:val="003C0562"/>
    <w:rsid w:val="003C1598"/>
    <w:rsid w:val="003C1AD4"/>
    <w:rsid w:val="003C1D5A"/>
    <w:rsid w:val="003C34B8"/>
    <w:rsid w:val="003C3859"/>
    <w:rsid w:val="003C39FB"/>
    <w:rsid w:val="003C3A7B"/>
    <w:rsid w:val="003C401F"/>
    <w:rsid w:val="003C42DD"/>
    <w:rsid w:val="003C4387"/>
    <w:rsid w:val="003C4C5D"/>
    <w:rsid w:val="003C5AEC"/>
    <w:rsid w:val="003C6227"/>
    <w:rsid w:val="003C6882"/>
    <w:rsid w:val="003C7B07"/>
    <w:rsid w:val="003C7BC0"/>
    <w:rsid w:val="003C7BC2"/>
    <w:rsid w:val="003D0861"/>
    <w:rsid w:val="003D129A"/>
    <w:rsid w:val="003D1641"/>
    <w:rsid w:val="003D171E"/>
    <w:rsid w:val="003D21A7"/>
    <w:rsid w:val="003D23C3"/>
    <w:rsid w:val="003D27C2"/>
    <w:rsid w:val="003D3644"/>
    <w:rsid w:val="003D38ED"/>
    <w:rsid w:val="003D3B0D"/>
    <w:rsid w:val="003D424B"/>
    <w:rsid w:val="003D4863"/>
    <w:rsid w:val="003D54F6"/>
    <w:rsid w:val="003D5530"/>
    <w:rsid w:val="003D5678"/>
    <w:rsid w:val="003D6101"/>
    <w:rsid w:val="003D61EC"/>
    <w:rsid w:val="003D6383"/>
    <w:rsid w:val="003D67C0"/>
    <w:rsid w:val="003D747D"/>
    <w:rsid w:val="003E08F1"/>
    <w:rsid w:val="003E31D6"/>
    <w:rsid w:val="003E38C1"/>
    <w:rsid w:val="003E3F9A"/>
    <w:rsid w:val="003E441E"/>
    <w:rsid w:val="003E497D"/>
    <w:rsid w:val="003E5187"/>
    <w:rsid w:val="003E5E5C"/>
    <w:rsid w:val="003E7338"/>
    <w:rsid w:val="003E7882"/>
    <w:rsid w:val="003E7BCE"/>
    <w:rsid w:val="003F095E"/>
    <w:rsid w:val="003F0E70"/>
    <w:rsid w:val="003F0F17"/>
    <w:rsid w:val="003F14A1"/>
    <w:rsid w:val="003F1C30"/>
    <w:rsid w:val="003F284C"/>
    <w:rsid w:val="003F3020"/>
    <w:rsid w:val="003F30A6"/>
    <w:rsid w:val="003F30FB"/>
    <w:rsid w:val="003F43DC"/>
    <w:rsid w:val="003F459B"/>
    <w:rsid w:val="003F497B"/>
    <w:rsid w:val="003F4D8B"/>
    <w:rsid w:val="003F555D"/>
    <w:rsid w:val="003F6B2D"/>
    <w:rsid w:val="003F7879"/>
    <w:rsid w:val="003F78B1"/>
    <w:rsid w:val="003F7EB4"/>
    <w:rsid w:val="00400467"/>
    <w:rsid w:val="0040058C"/>
    <w:rsid w:val="00400B7F"/>
    <w:rsid w:val="004026F6"/>
    <w:rsid w:val="004029D3"/>
    <w:rsid w:val="004029D6"/>
    <w:rsid w:val="00402C18"/>
    <w:rsid w:val="0040380E"/>
    <w:rsid w:val="0040414C"/>
    <w:rsid w:val="00404D11"/>
    <w:rsid w:val="00404F03"/>
    <w:rsid w:val="004052B5"/>
    <w:rsid w:val="00405CA5"/>
    <w:rsid w:val="00405E59"/>
    <w:rsid w:val="00406032"/>
    <w:rsid w:val="004060DD"/>
    <w:rsid w:val="004072CB"/>
    <w:rsid w:val="00410A28"/>
    <w:rsid w:val="00411A70"/>
    <w:rsid w:val="00412075"/>
    <w:rsid w:val="00412C14"/>
    <w:rsid w:val="00412E33"/>
    <w:rsid w:val="00414D24"/>
    <w:rsid w:val="0041515D"/>
    <w:rsid w:val="00415828"/>
    <w:rsid w:val="00415951"/>
    <w:rsid w:val="00415D61"/>
    <w:rsid w:val="00416D41"/>
    <w:rsid w:val="00417BCF"/>
    <w:rsid w:val="00420444"/>
    <w:rsid w:val="004217A7"/>
    <w:rsid w:val="00421E9C"/>
    <w:rsid w:val="0042272E"/>
    <w:rsid w:val="0042290B"/>
    <w:rsid w:val="00422BCD"/>
    <w:rsid w:val="00422D2A"/>
    <w:rsid w:val="004231EE"/>
    <w:rsid w:val="004232F3"/>
    <w:rsid w:val="004236B3"/>
    <w:rsid w:val="00423B2E"/>
    <w:rsid w:val="00423BD6"/>
    <w:rsid w:val="00423D13"/>
    <w:rsid w:val="00423FAC"/>
    <w:rsid w:val="0042466F"/>
    <w:rsid w:val="00426702"/>
    <w:rsid w:val="00426945"/>
    <w:rsid w:val="00427838"/>
    <w:rsid w:val="00427D11"/>
    <w:rsid w:val="004310BD"/>
    <w:rsid w:val="004318A9"/>
    <w:rsid w:val="00434098"/>
    <w:rsid w:val="0043520F"/>
    <w:rsid w:val="00436F99"/>
    <w:rsid w:val="0043720A"/>
    <w:rsid w:val="004374A0"/>
    <w:rsid w:val="00437FDD"/>
    <w:rsid w:val="004407B8"/>
    <w:rsid w:val="00440A4D"/>
    <w:rsid w:val="00440B05"/>
    <w:rsid w:val="00441067"/>
    <w:rsid w:val="00443218"/>
    <w:rsid w:val="0044403B"/>
    <w:rsid w:val="0044429C"/>
    <w:rsid w:val="00446068"/>
    <w:rsid w:val="004469B1"/>
    <w:rsid w:val="00446DEE"/>
    <w:rsid w:val="00446DFE"/>
    <w:rsid w:val="00447445"/>
    <w:rsid w:val="00447885"/>
    <w:rsid w:val="0044794B"/>
    <w:rsid w:val="00450788"/>
    <w:rsid w:val="00450A54"/>
    <w:rsid w:val="00450B24"/>
    <w:rsid w:val="004510EE"/>
    <w:rsid w:val="00451BD1"/>
    <w:rsid w:val="00451F5C"/>
    <w:rsid w:val="0045400B"/>
    <w:rsid w:val="004547E0"/>
    <w:rsid w:val="004558D8"/>
    <w:rsid w:val="004559BD"/>
    <w:rsid w:val="00455A01"/>
    <w:rsid w:val="0045640C"/>
    <w:rsid w:val="00456900"/>
    <w:rsid w:val="004573CB"/>
    <w:rsid w:val="00457731"/>
    <w:rsid w:val="004607A8"/>
    <w:rsid w:val="00460AAB"/>
    <w:rsid w:val="004615BF"/>
    <w:rsid w:val="00461795"/>
    <w:rsid w:val="004619E1"/>
    <w:rsid w:val="004623EA"/>
    <w:rsid w:val="004628EE"/>
    <w:rsid w:val="00462C58"/>
    <w:rsid w:val="004630D0"/>
    <w:rsid w:val="00463193"/>
    <w:rsid w:val="004632E9"/>
    <w:rsid w:val="004633E1"/>
    <w:rsid w:val="004637A8"/>
    <w:rsid w:val="00463E54"/>
    <w:rsid w:val="00465FB4"/>
    <w:rsid w:val="00466568"/>
    <w:rsid w:val="0046678C"/>
    <w:rsid w:val="0047029B"/>
    <w:rsid w:val="0047043F"/>
    <w:rsid w:val="00470785"/>
    <w:rsid w:val="00470B4B"/>
    <w:rsid w:val="00470CE3"/>
    <w:rsid w:val="00471CBD"/>
    <w:rsid w:val="00471E39"/>
    <w:rsid w:val="00474596"/>
    <w:rsid w:val="00474A75"/>
    <w:rsid w:val="00475678"/>
    <w:rsid w:val="004762C9"/>
    <w:rsid w:val="00476FB5"/>
    <w:rsid w:val="00481352"/>
    <w:rsid w:val="004816A2"/>
    <w:rsid w:val="00481871"/>
    <w:rsid w:val="0048236F"/>
    <w:rsid w:val="0048291B"/>
    <w:rsid w:val="00482E16"/>
    <w:rsid w:val="00482F08"/>
    <w:rsid w:val="0048308E"/>
    <w:rsid w:val="0048346C"/>
    <w:rsid w:val="00484EFF"/>
    <w:rsid w:val="00485576"/>
    <w:rsid w:val="00485BD7"/>
    <w:rsid w:val="0048697C"/>
    <w:rsid w:val="00487067"/>
    <w:rsid w:val="004870B2"/>
    <w:rsid w:val="00487D92"/>
    <w:rsid w:val="0049020D"/>
    <w:rsid w:val="004908EB"/>
    <w:rsid w:val="00490935"/>
    <w:rsid w:val="004918FD"/>
    <w:rsid w:val="00491BD0"/>
    <w:rsid w:val="00492E1D"/>
    <w:rsid w:val="00493778"/>
    <w:rsid w:val="00493A7C"/>
    <w:rsid w:val="004940DB"/>
    <w:rsid w:val="0049433F"/>
    <w:rsid w:val="00494483"/>
    <w:rsid w:val="0049452E"/>
    <w:rsid w:val="004946FE"/>
    <w:rsid w:val="00495437"/>
    <w:rsid w:val="00495578"/>
    <w:rsid w:val="00495A51"/>
    <w:rsid w:val="00496B16"/>
    <w:rsid w:val="00497320"/>
    <w:rsid w:val="00497742"/>
    <w:rsid w:val="00497B17"/>
    <w:rsid w:val="004A0376"/>
    <w:rsid w:val="004A0738"/>
    <w:rsid w:val="004A1411"/>
    <w:rsid w:val="004A1FFC"/>
    <w:rsid w:val="004A249D"/>
    <w:rsid w:val="004A25D3"/>
    <w:rsid w:val="004A2AD3"/>
    <w:rsid w:val="004A3753"/>
    <w:rsid w:val="004A37AC"/>
    <w:rsid w:val="004A3CA4"/>
    <w:rsid w:val="004A43F4"/>
    <w:rsid w:val="004A539A"/>
    <w:rsid w:val="004A6349"/>
    <w:rsid w:val="004A70E9"/>
    <w:rsid w:val="004A7856"/>
    <w:rsid w:val="004B021F"/>
    <w:rsid w:val="004B071F"/>
    <w:rsid w:val="004B0EA2"/>
    <w:rsid w:val="004B1434"/>
    <w:rsid w:val="004B165B"/>
    <w:rsid w:val="004B1B3E"/>
    <w:rsid w:val="004B29E8"/>
    <w:rsid w:val="004B2D37"/>
    <w:rsid w:val="004B3419"/>
    <w:rsid w:val="004B3B27"/>
    <w:rsid w:val="004B4044"/>
    <w:rsid w:val="004B4254"/>
    <w:rsid w:val="004B4A5C"/>
    <w:rsid w:val="004B535C"/>
    <w:rsid w:val="004B54E3"/>
    <w:rsid w:val="004B56DF"/>
    <w:rsid w:val="004B5858"/>
    <w:rsid w:val="004B6552"/>
    <w:rsid w:val="004B6BEB"/>
    <w:rsid w:val="004B6EE3"/>
    <w:rsid w:val="004B7154"/>
    <w:rsid w:val="004B74BF"/>
    <w:rsid w:val="004B7737"/>
    <w:rsid w:val="004C08BB"/>
    <w:rsid w:val="004C13F5"/>
    <w:rsid w:val="004C1E93"/>
    <w:rsid w:val="004C2789"/>
    <w:rsid w:val="004C287E"/>
    <w:rsid w:val="004C2A47"/>
    <w:rsid w:val="004C39E6"/>
    <w:rsid w:val="004C3F97"/>
    <w:rsid w:val="004C3FAA"/>
    <w:rsid w:val="004C4181"/>
    <w:rsid w:val="004C5325"/>
    <w:rsid w:val="004C53DC"/>
    <w:rsid w:val="004C55E4"/>
    <w:rsid w:val="004C5EF7"/>
    <w:rsid w:val="004C5FE2"/>
    <w:rsid w:val="004C6B23"/>
    <w:rsid w:val="004C6BEC"/>
    <w:rsid w:val="004C7367"/>
    <w:rsid w:val="004C7839"/>
    <w:rsid w:val="004D081F"/>
    <w:rsid w:val="004D09A6"/>
    <w:rsid w:val="004D0B47"/>
    <w:rsid w:val="004D21CD"/>
    <w:rsid w:val="004D2757"/>
    <w:rsid w:val="004D28CE"/>
    <w:rsid w:val="004D292D"/>
    <w:rsid w:val="004D355A"/>
    <w:rsid w:val="004D3668"/>
    <w:rsid w:val="004D3B0F"/>
    <w:rsid w:val="004D4287"/>
    <w:rsid w:val="004D46F2"/>
    <w:rsid w:val="004D519B"/>
    <w:rsid w:val="004D566E"/>
    <w:rsid w:val="004D60C3"/>
    <w:rsid w:val="004D62F0"/>
    <w:rsid w:val="004D6B40"/>
    <w:rsid w:val="004D6DD4"/>
    <w:rsid w:val="004D7169"/>
    <w:rsid w:val="004D7FD6"/>
    <w:rsid w:val="004E00E2"/>
    <w:rsid w:val="004E044C"/>
    <w:rsid w:val="004E1B59"/>
    <w:rsid w:val="004E2049"/>
    <w:rsid w:val="004E23A9"/>
    <w:rsid w:val="004E30D3"/>
    <w:rsid w:val="004E321B"/>
    <w:rsid w:val="004E3978"/>
    <w:rsid w:val="004E421B"/>
    <w:rsid w:val="004E5181"/>
    <w:rsid w:val="004E5336"/>
    <w:rsid w:val="004E5DCF"/>
    <w:rsid w:val="004E601F"/>
    <w:rsid w:val="004E6B29"/>
    <w:rsid w:val="004E6DA0"/>
    <w:rsid w:val="004E7481"/>
    <w:rsid w:val="004E75D2"/>
    <w:rsid w:val="004E7D4E"/>
    <w:rsid w:val="004F0FD5"/>
    <w:rsid w:val="004F12A1"/>
    <w:rsid w:val="004F15F8"/>
    <w:rsid w:val="004F161B"/>
    <w:rsid w:val="004F1874"/>
    <w:rsid w:val="004F23EB"/>
    <w:rsid w:val="004F2A09"/>
    <w:rsid w:val="004F2F29"/>
    <w:rsid w:val="004F47EC"/>
    <w:rsid w:val="004F484A"/>
    <w:rsid w:val="004F525C"/>
    <w:rsid w:val="004F5BB1"/>
    <w:rsid w:val="004F5D34"/>
    <w:rsid w:val="005002D4"/>
    <w:rsid w:val="00500C6B"/>
    <w:rsid w:val="005011A4"/>
    <w:rsid w:val="0050231E"/>
    <w:rsid w:val="00502EA7"/>
    <w:rsid w:val="005039E4"/>
    <w:rsid w:val="005049CD"/>
    <w:rsid w:val="00504C38"/>
    <w:rsid w:val="00505C87"/>
    <w:rsid w:val="00506CF2"/>
    <w:rsid w:val="00507082"/>
    <w:rsid w:val="00507E2D"/>
    <w:rsid w:val="00510312"/>
    <w:rsid w:val="00510CCA"/>
    <w:rsid w:val="00510DCD"/>
    <w:rsid w:val="005118C0"/>
    <w:rsid w:val="00512647"/>
    <w:rsid w:val="00513744"/>
    <w:rsid w:val="005138BA"/>
    <w:rsid w:val="00513E2F"/>
    <w:rsid w:val="00513FEA"/>
    <w:rsid w:val="005141A5"/>
    <w:rsid w:val="00514472"/>
    <w:rsid w:val="00514E83"/>
    <w:rsid w:val="005163CD"/>
    <w:rsid w:val="00516801"/>
    <w:rsid w:val="00516B0E"/>
    <w:rsid w:val="00516CD7"/>
    <w:rsid w:val="00516EBD"/>
    <w:rsid w:val="0051758D"/>
    <w:rsid w:val="00517CD0"/>
    <w:rsid w:val="005205DE"/>
    <w:rsid w:val="00520710"/>
    <w:rsid w:val="00520BCF"/>
    <w:rsid w:val="00520C39"/>
    <w:rsid w:val="005220D0"/>
    <w:rsid w:val="0052242E"/>
    <w:rsid w:val="00522D2A"/>
    <w:rsid w:val="00523479"/>
    <w:rsid w:val="00524374"/>
    <w:rsid w:val="00524AC2"/>
    <w:rsid w:val="0052556A"/>
    <w:rsid w:val="005258C2"/>
    <w:rsid w:val="00526636"/>
    <w:rsid w:val="00526642"/>
    <w:rsid w:val="00527381"/>
    <w:rsid w:val="00527644"/>
    <w:rsid w:val="00531611"/>
    <w:rsid w:val="00531689"/>
    <w:rsid w:val="00531F01"/>
    <w:rsid w:val="0053219A"/>
    <w:rsid w:val="00532312"/>
    <w:rsid w:val="00532382"/>
    <w:rsid w:val="00532F61"/>
    <w:rsid w:val="005335A1"/>
    <w:rsid w:val="00533AFA"/>
    <w:rsid w:val="00533F7B"/>
    <w:rsid w:val="005348D5"/>
    <w:rsid w:val="00535233"/>
    <w:rsid w:val="00535751"/>
    <w:rsid w:val="00535B78"/>
    <w:rsid w:val="0053616B"/>
    <w:rsid w:val="00537099"/>
    <w:rsid w:val="00537AAA"/>
    <w:rsid w:val="00537D4D"/>
    <w:rsid w:val="00537F8B"/>
    <w:rsid w:val="00540907"/>
    <w:rsid w:val="00540927"/>
    <w:rsid w:val="005412D0"/>
    <w:rsid w:val="005412F0"/>
    <w:rsid w:val="005419C2"/>
    <w:rsid w:val="00541AB5"/>
    <w:rsid w:val="00541AC0"/>
    <w:rsid w:val="00542093"/>
    <w:rsid w:val="005422D7"/>
    <w:rsid w:val="00542471"/>
    <w:rsid w:val="0054255E"/>
    <w:rsid w:val="005440ED"/>
    <w:rsid w:val="005451E2"/>
    <w:rsid w:val="005452CA"/>
    <w:rsid w:val="00547130"/>
    <w:rsid w:val="005479B1"/>
    <w:rsid w:val="0055023E"/>
    <w:rsid w:val="00551132"/>
    <w:rsid w:val="00552149"/>
    <w:rsid w:val="00552ED6"/>
    <w:rsid w:val="00553281"/>
    <w:rsid w:val="00553B79"/>
    <w:rsid w:val="00553D24"/>
    <w:rsid w:val="0055419E"/>
    <w:rsid w:val="005545EF"/>
    <w:rsid w:val="00554802"/>
    <w:rsid w:val="005549A2"/>
    <w:rsid w:val="005549C9"/>
    <w:rsid w:val="00554E51"/>
    <w:rsid w:val="00557D47"/>
    <w:rsid w:val="005608B0"/>
    <w:rsid w:val="00560BAB"/>
    <w:rsid w:val="0056121A"/>
    <w:rsid w:val="00561A12"/>
    <w:rsid w:val="00562073"/>
    <w:rsid w:val="005630FE"/>
    <w:rsid w:val="0056362E"/>
    <w:rsid w:val="00563CC9"/>
    <w:rsid w:val="005642B4"/>
    <w:rsid w:val="005648D2"/>
    <w:rsid w:val="0056512B"/>
    <w:rsid w:val="005662BA"/>
    <w:rsid w:val="0056642E"/>
    <w:rsid w:val="0056663D"/>
    <w:rsid w:val="00566DA3"/>
    <w:rsid w:val="00567957"/>
    <w:rsid w:val="00567BFE"/>
    <w:rsid w:val="005702C2"/>
    <w:rsid w:val="005706FD"/>
    <w:rsid w:val="00570C5B"/>
    <w:rsid w:val="00571C9A"/>
    <w:rsid w:val="00571CCA"/>
    <w:rsid w:val="005720AA"/>
    <w:rsid w:val="0057228C"/>
    <w:rsid w:val="00572521"/>
    <w:rsid w:val="0057271F"/>
    <w:rsid w:val="00572E7D"/>
    <w:rsid w:val="0057325B"/>
    <w:rsid w:val="005748FD"/>
    <w:rsid w:val="00574F57"/>
    <w:rsid w:val="00574FDD"/>
    <w:rsid w:val="0057515C"/>
    <w:rsid w:val="005751A8"/>
    <w:rsid w:val="0057648F"/>
    <w:rsid w:val="0057732B"/>
    <w:rsid w:val="005777A8"/>
    <w:rsid w:val="005777BC"/>
    <w:rsid w:val="00577A2D"/>
    <w:rsid w:val="005804FA"/>
    <w:rsid w:val="00580984"/>
    <w:rsid w:val="00580B27"/>
    <w:rsid w:val="005813DC"/>
    <w:rsid w:val="005814EE"/>
    <w:rsid w:val="00581F21"/>
    <w:rsid w:val="005820BD"/>
    <w:rsid w:val="0058265B"/>
    <w:rsid w:val="0058314C"/>
    <w:rsid w:val="00583403"/>
    <w:rsid w:val="0058374F"/>
    <w:rsid w:val="00583EF9"/>
    <w:rsid w:val="00584951"/>
    <w:rsid w:val="00584B74"/>
    <w:rsid w:val="00584C71"/>
    <w:rsid w:val="005856BF"/>
    <w:rsid w:val="00585DB8"/>
    <w:rsid w:val="00586B97"/>
    <w:rsid w:val="0058716A"/>
    <w:rsid w:val="00587D0D"/>
    <w:rsid w:val="00587DCE"/>
    <w:rsid w:val="005902AC"/>
    <w:rsid w:val="005908FE"/>
    <w:rsid w:val="00590DB3"/>
    <w:rsid w:val="0059231A"/>
    <w:rsid w:val="00592FE5"/>
    <w:rsid w:val="005939C4"/>
    <w:rsid w:val="0059411D"/>
    <w:rsid w:val="00595037"/>
    <w:rsid w:val="005950AE"/>
    <w:rsid w:val="00595128"/>
    <w:rsid w:val="005965C0"/>
    <w:rsid w:val="0059760A"/>
    <w:rsid w:val="005A028A"/>
    <w:rsid w:val="005A1B5C"/>
    <w:rsid w:val="005A229D"/>
    <w:rsid w:val="005A262A"/>
    <w:rsid w:val="005A3FE1"/>
    <w:rsid w:val="005A40FE"/>
    <w:rsid w:val="005A44D8"/>
    <w:rsid w:val="005A4A71"/>
    <w:rsid w:val="005A4E45"/>
    <w:rsid w:val="005A594E"/>
    <w:rsid w:val="005A5DD3"/>
    <w:rsid w:val="005A6C80"/>
    <w:rsid w:val="005B0B82"/>
    <w:rsid w:val="005B0E2D"/>
    <w:rsid w:val="005B1C22"/>
    <w:rsid w:val="005B2231"/>
    <w:rsid w:val="005B2238"/>
    <w:rsid w:val="005B2850"/>
    <w:rsid w:val="005B2C10"/>
    <w:rsid w:val="005B57C7"/>
    <w:rsid w:val="005B5831"/>
    <w:rsid w:val="005B5A3C"/>
    <w:rsid w:val="005B5EB5"/>
    <w:rsid w:val="005B6432"/>
    <w:rsid w:val="005B6C1D"/>
    <w:rsid w:val="005B7DFC"/>
    <w:rsid w:val="005B7FB2"/>
    <w:rsid w:val="005C0365"/>
    <w:rsid w:val="005C081C"/>
    <w:rsid w:val="005C0B3D"/>
    <w:rsid w:val="005C36F9"/>
    <w:rsid w:val="005C3B06"/>
    <w:rsid w:val="005C3F87"/>
    <w:rsid w:val="005C411C"/>
    <w:rsid w:val="005C450E"/>
    <w:rsid w:val="005C5F7D"/>
    <w:rsid w:val="005C60FB"/>
    <w:rsid w:val="005C6279"/>
    <w:rsid w:val="005C79B7"/>
    <w:rsid w:val="005C7D48"/>
    <w:rsid w:val="005D1BBD"/>
    <w:rsid w:val="005D1FDF"/>
    <w:rsid w:val="005D27F7"/>
    <w:rsid w:val="005D2A4C"/>
    <w:rsid w:val="005D3349"/>
    <w:rsid w:val="005D352D"/>
    <w:rsid w:val="005D3B2C"/>
    <w:rsid w:val="005D411B"/>
    <w:rsid w:val="005D4E74"/>
    <w:rsid w:val="005D528D"/>
    <w:rsid w:val="005D5ADF"/>
    <w:rsid w:val="005D6009"/>
    <w:rsid w:val="005E0091"/>
    <w:rsid w:val="005E00AC"/>
    <w:rsid w:val="005E02DB"/>
    <w:rsid w:val="005E1430"/>
    <w:rsid w:val="005E150F"/>
    <w:rsid w:val="005E17C6"/>
    <w:rsid w:val="005E1B26"/>
    <w:rsid w:val="005E27D6"/>
    <w:rsid w:val="005E33EB"/>
    <w:rsid w:val="005E3785"/>
    <w:rsid w:val="005E3EBF"/>
    <w:rsid w:val="005E423D"/>
    <w:rsid w:val="005E4DB3"/>
    <w:rsid w:val="005E52D9"/>
    <w:rsid w:val="005E5335"/>
    <w:rsid w:val="005E5C75"/>
    <w:rsid w:val="005E5F5F"/>
    <w:rsid w:val="005E6262"/>
    <w:rsid w:val="005E660F"/>
    <w:rsid w:val="005E6746"/>
    <w:rsid w:val="005E78BD"/>
    <w:rsid w:val="005E7DF4"/>
    <w:rsid w:val="005F0534"/>
    <w:rsid w:val="005F1C8E"/>
    <w:rsid w:val="005F29AB"/>
    <w:rsid w:val="005F2FC8"/>
    <w:rsid w:val="005F371F"/>
    <w:rsid w:val="005F4522"/>
    <w:rsid w:val="005F4708"/>
    <w:rsid w:val="005F4919"/>
    <w:rsid w:val="005F4F3A"/>
    <w:rsid w:val="005F56E6"/>
    <w:rsid w:val="005F56F1"/>
    <w:rsid w:val="005F5DCE"/>
    <w:rsid w:val="00600760"/>
    <w:rsid w:val="00601C2F"/>
    <w:rsid w:val="00601C47"/>
    <w:rsid w:val="00601CCC"/>
    <w:rsid w:val="00602268"/>
    <w:rsid w:val="00602FC7"/>
    <w:rsid w:val="006034B8"/>
    <w:rsid w:val="00603789"/>
    <w:rsid w:val="006039BA"/>
    <w:rsid w:val="00603DDF"/>
    <w:rsid w:val="006051FD"/>
    <w:rsid w:val="006055FE"/>
    <w:rsid w:val="00606146"/>
    <w:rsid w:val="00606599"/>
    <w:rsid w:val="00606699"/>
    <w:rsid w:val="00606DE0"/>
    <w:rsid w:val="00607188"/>
    <w:rsid w:val="00607243"/>
    <w:rsid w:val="0061064F"/>
    <w:rsid w:val="00610724"/>
    <w:rsid w:val="00611435"/>
    <w:rsid w:val="0061780B"/>
    <w:rsid w:val="00617F1D"/>
    <w:rsid w:val="0062031D"/>
    <w:rsid w:val="00620861"/>
    <w:rsid w:val="00621302"/>
    <w:rsid w:val="006217EC"/>
    <w:rsid w:val="00621802"/>
    <w:rsid w:val="00621C13"/>
    <w:rsid w:val="00621E2D"/>
    <w:rsid w:val="00621E64"/>
    <w:rsid w:val="00623C0D"/>
    <w:rsid w:val="006244C1"/>
    <w:rsid w:val="00625F0B"/>
    <w:rsid w:val="0062649E"/>
    <w:rsid w:val="00626E94"/>
    <w:rsid w:val="0062720F"/>
    <w:rsid w:val="0062795D"/>
    <w:rsid w:val="00627BC7"/>
    <w:rsid w:val="00630083"/>
    <w:rsid w:val="0063062F"/>
    <w:rsid w:val="0063228D"/>
    <w:rsid w:val="00633591"/>
    <w:rsid w:val="006337C7"/>
    <w:rsid w:val="006338FD"/>
    <w:rsid w:val="00633923"/>
    <w:rsid w:val="00633CE4"/>
    <w:rsid w:val="006340F6"/>
    <w:rsid w:val="0063719B"/>
    <w:rsid w:val="006401C2"/>
    <w:rsid w:val="006406F6"/>
    <w:rsid w:val="00640F5A"/>
    <w:rsid w:val="006417A7"/>
    <w:rsid w:val="0064233E"/>
    <w:rsid w:val="00644C09"/>
    <w:rsid w:val="00645245"/>
    <w:rsid w:val="0064528E"/>
    <w:rsid w:val="006452B1"/>
    <w:rsid w:val="00645DAB"/>
    <w:rsid w:val="00646556"/>
    <w:rsid w:val="00647119"/>
    <w:rsid w:val="00647434"/>
    <w:rsid w:val="00650080"/>
    <w:rsid w:val="006506FF"/>
    <w:rsid w:val="00650A3A"/>
    <w:rsid w:val="0065177E"/>
    <w:rsid w:val="00652B9D"/>
    <w:rsid w:val="00653581"/>
    <w:rsid w:val="00653974"/>
    <w:rsid w:val="00653992"/>
    <w:rsid w:val="00653A43"/>
    <w:rsid w:val="006540FF"/>
    <w:rsid w:val="00655042"/>
    <w:rsid w:val="00655345"/>
    <w:rsid w:val="006558FE"/>
    <w:rsid w:val="00655A4D"/>
    <w:rsid w:val="00656BCD"/>
    <w:rsid w:val="00656BF0"/>
    <w:rsid w:val="0066076C"/>
    <w:rsid w:val="006609B5"/>
    <w:rsid w:val="0066186F"/>
    <w:rsid w:val="00661A52"/>
    <w:rsid w:val="00661A7B"/>
    <w:rsid w:val="00661CDE"/>
    <w:rsid w:val="00661EF1"/>
    <w:rsid w:val="0066301E"/>
    <w:rsid w:val="006632FF"/>
    <w:rsid w:val="0066374A"/>
    <w:rsid w:val="00664EB3"/>
    <w:rsid w:val="006654A8"/>
    <w:rsid w:val="0066654E"/>
    <w:rsid w:val="00666F04"/>
    <w:rsid w:val="00667762"/>
    <w:rsid w:val="00667C5E"/>
    <w:rsid w:val="00670BEA"/>
    <w:rsid w:val="00670DA9"/>
    <w:rsid w:val="00670E7C"/>
    <w:rsid w:val="00670E8F"/>
    <w:rsid w:val="00671697"/>
    <w:rsid w:val="006718D4"/>
    <w:rsid w:val="0067194A"/>
    <w:rsid w:val="00671D1D"/>
    <w:rsid w:val="00671FC8"/>
    <w:rsid w:val="00673215"/>
    <w:rsid w:val="00673B7F"/>
    <w:rsid w:val="00674371"/>
    <w:rsid w:val="00674CFD"/>
    <w:rsid w:val="00675101"/>
    <w:rsid w:val="006763CB"/>
    <w:rsid w:val="0067649B"/>
    <w:rsid w:val="00676AAC"/>
    <w:rsid w:val="00676B89"/>
    <w:rsid w:val="00677022"/>
    <w:rsid w:val="006775EC"/>
    <w:rsid w:val="00677826"/>
    <w:rsid w:val="00677A82"/>
    <w:rsid w:val="00677FFC"/>
    <w:rsid w:val="006803B8"/>
    <w:rsid w:val="00680A81"/>
    <w:rsid w:val="0068106B"/>
    <w:rsid w:val="006812FE"/>
    <w:rsid w:val="00681467"/>
    <w:rsid w:val="00681BB9"/>
    <w:rsid w:val="00681FD5"/>
    <w:rsid w:val="00682812"/>
    <w:rsid w:val="0068286F"/>
    <w:rsid w:val="0068365E"/>
    <w:rsid w:val="006838CC"/>
    <w:rsid w:val="00683AFE"/>
    <w:rsid w:val="00684507"/>
    <w:rsid w:val="00684C20"/>
    <w:rsid w:val="00684F99"/>
    <w:rsid w:val="006854A2"/>
    <w:rsid w:val="0068569E"/>
    <w:rsid w:val="00685B87"/>
    <w:rsid w:val="00686B17"/>
    <w:rsid w:val="00690893"/>
    <w:rsid w:val="00690BB6"/>
    <w:rsid w:val="00690F9E"/>
    <w:rsid w:val="006921F1"/>
    <w:rsid w:val="00693369"/>
    <w:rsid w:val="00694EA3"/>
    <w:rsid w:val="006952FD"/>
    <w:rsid w:val="00695AD9"/>
    <w:rsid w:val="00695B12"/>
    <w:rsid w:val="00695C50"/>
    <w:rsid w:val="00695C8A"/>
    <w:rsid w:val="00697180"/>
    <w:rsid w:val="0069744C"/>
    <w:rsid w:val="00697567"/>
    <w:rsid w:val="00697A4F"/>
    <w:rsid w:val="00697C73"/>
    <w:rsid w:val="006A02A1"/>
    <w:rsid w:val="006A030C"/>
    <w:rsid w:val="006A1331"/>
    <w:rsid w:val="006A1CF4"/>
    <w:rsid w:val="006A2B0E"/>
    <w:rsid w:val="006A2DA6"/>
    <w:rsid w:val="006A319C"/>
    <w:rsid w:val="006A32AE"/>
    <w:rsid w:val="006A3A93"/>
    <w:rsid w:val="006A42B6"/>
    <w:rsid w:val="006A4B79"/>
    <w:rsid w:val="006A5D25"/>
    <w:rsid w:val="006A5E8B"/>
    <w:rsid w:val="006A676D"/>
    <w:rsid w:val="006A7F86"/>
    <w:rsid w:val="006B0F90"/>
    <w:rsid w:val="006B1DF8"/>
    <w:rsid w:val="006B21A9"/>
    <w:rsid w:val="006B26E8"/>
    <w:rsid w:val="006B2B32"/>
    <w:rsid w:val="006B2D8D"/>
    <w:rsid w:val="006B2FB5"/>
    <w:rsid w:val="006B3696"/>
    <w:rsid w:val="006B374C"/>
    <w:rsid w:val="006B4037"/>
    <w:rsid w:val="006B4109"/>
    <w:rsid w:val="006B51A6"/>
    <w:rsid w:val="006B58B6"/>
    <w:rsid w:val="006B753B"/>
    <w:rsid w:val="006B7A4A"/>
    <w:rsid w:val="006B7E02"/>
    <w:rsid w:val="006C0072"/>
    <w:rsid w:val="006C06D3"/>
    <w:rsid w:val="006C07E3"/>
    <w:rsid w:val="006C117E"/>
    <w:rsid w:val="006C1273"/>
    <w:rsid w:val="006C14C4"/>
    <w:rsid w:val="006C1879"/>
    <w:rsid w:val="006C19BB"/>
    <w:rsid w:val="006C1D74"/>
    <w:rsid w:val="006C1FB6"/>
    <w:rsid w:val="006C2FE5"/>
    <w:rsid w:val="006C455E"/>
    <w:rsid w:val="006C4C9C"/>
    <w:rsid w:val="006C59C9"/>
    <w:rsid w:val="006C5B80"/>
    <w:rsid w:val="006C5F5F"/>
    <w:rsid w:val="006C614F"/>
    <w:rsid w:val="006C65B2"/>
    <w:rsid w:val="006D0301"/>
    <w:rsid w:val="006D0772"/>
    <w:rsid w:val="006D1639"/>
    <w:rsid w:val="006D1D96"/>
    <w:rsid w:val="006D1F97"/>
    <w:rsid w:val="006D2221"/>
    <w:rsid w:val="006D2BD4"/>
    <w:rsid w:val="006D2F10"/>
    <w:rsid w:val="006D2FEF"/>
    <w:rsid w:val="006D3AF2"/>
    <w:rsid w:val="006D3E3E"/>
    <w:rsid w:val="006D54E0"/>
    <w:rsid w:val="006D5DDE"/>
    <w:rsid w:val="006D68CE"/>
    <w:rsid w:val="006D6B3F"/>
    <w:rsid w:val="006D7182"/>
    <w:rsid w:val="006D748B"/>
    <w:rsid w:val="006D7863"/>
    <w:rsid w:val="006D79B7"/>
    <w:rsid w:val="006E0964"/>
    <w:rsid w:val="006E1036"/>
    <w:rsid w:val="006E1636"/>
    <w:rsid w:val="006E1E6A"/>
    <w:rsid w:val="006E304C"/>
    <w:rsid w:val="006E3330"/>
    <w:rsid w:val="006E35C4"/>
    <w:rsid w:val="006E4001"/>
    <w:rsid w:val="006E48BA"/>
    <w:rsid w:val="006E49F5"/>
    <w:rsid w:val="006E56FB"/>
    <w:rsid w:val="006E576E"/>
    <w:rsid w:val="006E5778"/>
    <w:rsid w:val="006E5CFA"/>
    <w:rsid w:val="006E5EC7"/>
    <w:rsid w:val="006E6460"/>
    <w:rsid w:val="006E64F9"/>
    <w:rsid w:val="006E6C6C"/>
    <w:rsid w:val="006E7508"/>
    <w:rsid w:val="006E7B6A"/>
    <w:rsid w:val="006E7FBD"/>
    <w:rsid w:val="006F0981"/>
    <w:rsid w:val="006F28A0"/>
    <w:rsid w:val="006F3F87"/>
    <w:rsid w:val="006F56E6"/>
    <w:rsid w:val="006F5877"/>
    <w:rsid w:val="006F58A5"/>
    <w:rsid w:val="006F594B"/>
    <w:rsid w:val="006F60D8"/>
    <w:rsid w:val="006F6416"/>
    <w:rsid w:val="006F6F16"/>
    <w:rsid w:val="006F7777"/>
    <w:rsid w:val="006F7A7D"/>
    <w:rsid w:val="00700856"/>
    <w:rsid w:val="00700A27"/>
    <w:rsid w:val="00701658"/>
    <w:rsid w:val="007021C3"/>
    <w:rsid w:val="007022B1"/>
    <w:rsid w:val="00702863"/>
    <w:rsid w:val="00703142"/>
    <w:rsid w:val="00703734"/>
    <w:rsid w:val="00703AD6"/>
    <w:rsid w:val="00703CCA"/>
    <w:rsid w:val="00704B8C"/>
    <w:rsid w:val="007054D2"/>
    <w:rsid w:val="007056EE"/>
    <w:rsid w:val="00705800"/>
    <w:rsid w:val="00705D30"/>
    <w:rsid w:val="00705E57"/>
    <w:rsid w:val="0070621D"/>
    <w:rsid w:val="00706D28"/>
    <w:rsid w:val="007074EA"/>
    <w:rsid w:val="00711349"/>
    <w:rsid w:val="00711B8D"/>
    <w:rsid w:val="00712301"/>
    <w:rsid w:val="00712907"/>
    <w:rsid w:val="00712C9A"/>
    <w:rsid w:val="007134E1"/>
    <w:rsid w:val="00713D62"/>
    <w:rsid w:val="007146AC"/>
    <w:rsid w:val="007150F1"/>
    <w:rsid w:val="00716042"/>
    <w:rsid w:val="00716070"/>
    <w:rsid w:val="007162CE"/>
    <w:rsid w:val="00717F6C"/>
    <w:rsid w:val="00720186"/>
    <w:rsid w:val="00720529"/>
    <w:rsid w:val="00721AC6"/>
    <w:rsid w:val="007222B5"/>
    <w:rsid w:val="007227A6"/>
    <w:rsid w:val="00723421"/>
    <w:rsid w:val="007239C1"/>
    <w:rsid w:val="00723C5D"/>
    <w:rsid w:val="00724150"/>
    <w:rsid w:val="00724B9F"/>
    <w:rsid w:val="007251CD"/>
    <w:rsid w:val="00725221"/>
    <w:rsid w:val="0072575C"/>
    <w:rsid w:val="007257AF"/>
    <w:rsid w:val="007261B2"/>
    <w:rsid w:val="0072667D"/>
    <w:rsid w:val="007266E4"/>
    <w:rsid w:val="00726D47"/>
    <w:rsid w:val="007271B9"/>
    <w:rsid w:val="007274D9"/>
    <w:rsid w:val="007276A4"/>
    <w:rsid w:val="00727D0B"/>
    <w:rsid w:val="00732699"/>
    <w:rsid w:val="0073292C"/>
    <w:rsid w:val="00732937"/>
    <w:rsid w:val="00732D58"/>
    <w:rsid w:val="0073362E"/>
    <w:rsid w:val="00733AF2"/>
    <w:rsid w:val="007345FA"/>
    <w:rsid w:val="00734C54"/>
    <w:rsid w:val="007358E1"/>
    <w:rsid w:val="007378A3"/>
    <w:rsid w:val="00737BBB"/>
    <w:rsid w:val="00737DEE"/>
    <w:rsid w:val="007415CD"/>
    <w:rsid w:val="007419C1"/>
    <w:rsid w:val="00741DE5"/>
    <w:rsid w:val="007430FF"/>
    <w:rsid w:val="00744341"/>
    <w:rsid w:val="0074495D"/>
    <w:rsid w:val="0074508E"/>
    <w:rsid w:val="00745BEC"/>
    <w:rsid w:val="00746541"/>
    <w:rsid w:val="00746ACA"/>
    <w:rsid w:val="00750001"/>
    <w:rsid w:val="00750183"/>
    <w:rsid w:val="007501CD"/>
    <w:rsid w:val="00750A75"/>
    <w:rsid w:val="00750EE3"/>
    <w:rsid w:val="007513D4"/>
    <w:rsid w:val="0075170F"/>
    <w:rsid w:val="00751E38"/>
    <w:rsid w:val="00752D1D"/>
    <w:rsid w:val="007532B5"/>
    <w:rsid w:val="00754682"/>
    <w:rsid w:val="00754F18"/>
    <w:rsid w:val="007554E2"/>
    <w:rsid w:val="0075578E"/>
    <w:rsid w:val="00756145"/>
    <w:rsid w:val="007561D4"/>
    <w:rsid w:val="007566B8"/>
    <w:rsid w:val="0075691D"/>
    <w:rsid w:val="00757F02"/>
    <w:rsid w:val="00760168"/>
    <w:rsid w:val="00760AE7"/>
    <w:rsid w:val="00760DD5"/>
    <w:rsid w:val="00761140"/>
    <w:rsid w:val="0076166A"/>
    <w:rsid w:val="00761D42"/>
    <w:rsid w:val="00762D72"/>
    <w:rsid w:val="00763130"/>
    <w:rsid w:val="00763ED5"/>
    <w:rsid w:val="0076567B"/>
    <w:rsid w:val="00765869"/>
    <w:rsid w:val="00766BF7"/>
    <w:rsid w:val="0076715A"/>
    <w:rsid w:val="0076723F"/>
    <w:rsid w:val="00767E63"/>
    <w:rsid w:val="00770604"/>
    <w:rsid w:val="007709E5"/>
    <w:rsid w:val="00771801"/>
    <w:rsid w:val="00772035"/>
    <w:rsid w:val="00772EAB"/>
    <w:rsid w:val="0077311D"/>
    <w:rsid w:val="00773CF4"/>
    <w:rsid w:val="007743EE"/>
    <w:rsid w:val="007750A7"/>
    <w:rsid w:val="007763DC"/>
    <w:rsid w:val="00776C39"/>
    <w:rsid w:val="00777432"/>
    <w:rsid w:val="00777E78"/>
    <w:rsid w:val="00780CA9"/>
    <w:rsid w:val="007814B5"/>
    <w:rsid w:val="007814DF"/>
    <w:rsid w:val="00781CED"/>
    <w:rsid w:val="00781ED7"/>
    <w:rsid w:val="0078204F"/>
    <w:rsid w:val="00782291"/>
    <w:rsid w:val="007822F4"/>
    <w:rsid w:val="00782D05"/>
    <w:rsid w:val="00782DB9"/>
    <w:rsid w:val="007830D5"/>
    <w:rsid w:val="007833EE"/>
    <w:rsid w:val="007839C1"/>
    <w:rsid w:val="007839D6"/>
    <w:rsid w:val="00783BDA"/>
    <w:rsid w:val="00785884"/>
    <w:rsid w:val="00786719"/>
    <w:rsid w:val="0078777D"/>
    <w:rsid w:val="00790135"/>
    <w:rsid w:val="00790AA9"/>
    <w:rsid w:val="00790FC1"/>
    <w:rsid w:val="007918DB"/>
    <w:rsid w:val="0079288B"/>
    <w:rsid w:val="00792B5E"/>
    <w:rsid w:val="00792CB7"/>
    <w:rsid w:val="00793419"/>
    <w:rsid w:val="007941F3"/>
    <w:rsid w:val="00794435"/>
    <w:rsid w:val="0079492C"/>
    <w:rsid w:val="00794F1A"/>
    <w:rsid w:val="007952CF"/>
    <w:rsid w:val="007966FC"/>
    <w:rsid w:val="00796D74"/>
    <w:rsid w:val="0079709D"/>
    <w:rsid w:val="0079750E"/>
    <w:rsid w:val="007A0011"/>
    <w:rsid w:val="007A03BF"/>
    <w:rsid w:val="007A0682"/>
    <w:rsid w:val="007A23E2"/>
    <w:rsid w:val="007A3BE8"/>
    <w:rsid w:val="007A4453"/>
    <w:rsid w:val="007A4C6D"/>
    <w:rsid w:val="007A4CB8"/>
    <w:rsid w:val="007A662E"/>
    <w:rsid w:val="007A6BFD"/>
    <w:rsid w:val="007A764E"/>
    <w:rsid w:val="007B011F"/>
    <w:rsid w:val="007B0D08"/>
    <w:rsid w:val="007B140B"/>
    <w:rsid w:val="007B21CE"/>
    <w:rsid w:val="007B316D"/>
    <w:rsid w:val="007B362F"/>
    <w:rsid w:val="007B380A"/>
    <w:rsid w:val="007B416B"/>
    <w:rsid w:val="007B438F"/>
    <w:rsid w:val="007B5435"/>
    <w:rsid w:val="007B553F"/>
    <w:rsid w:val="007B5C40"/>
    <w:rsid w:val="007B5D99"/>
    <w:rsid w:val="007B674E"/>
    <w:rsid w:val="007B6C77"/>
    <w:rsid w:val="007B794F"/>
    <w:rsid w:val="007B7A58"/>
    <w:rsid w:val="007B7B45"/>
    <w:rsid w:val="007C045B"/>
    <w:rsid w:val="007C0656"/>
    <w:rsid w:val="007C0CEA"/>
    <w:rsid w:val="007C12B1"/>
    <w:rsid w:val="007C14EE"/>
    <w:rsid w:val="007C1538"/>
    <w:rsid w:val="007C182B"/>
    <w:rsid w:val="007C2003"/>
    <w:rsid w:val="007C251A"/>
    <w:rsid w:val="007C3623"/>
    <w:rsid w:val="007C3AD8"/>
    <w:rsid w:val="007C421A"/>
    <w:rsid w:val="007C436B"/>
    <w:rsid w:val="007C4552"/>
    <w:rsid w:val="007C48BF"/>
    <w:rsid w:val="007C4ADC"/>
    <w:rsid w:val="007C5467"/>
    <w:rsid w:val="007C549F"/>
    <w:rsid w:val="007C54AA"/>
    <w:rsid w:val="007C6A32"/>
    <w:rsid w:val="007D0069"/>
    <w:rsid w:val="007D0888"/>
    <w:rsid w:val="007D1C67"/>
    <w:rsid w:val="007D1FCF"/>
    <w:rsid w:val="007D2534"/>
    <w:rsid w:val="007D28F2"/>
    <w:rsid w:val="007D3E93"/>
    <w:rsid w:val="007D53CB"/>
    <w:rsid w:val="007D55C4"/>
    <w:rsid w:val="007D5A48"/>
    <w:rsid w:val="007D66B9"/>
    <w:rsid w:val="007D684C"/>
    <w:rsid w:val="007D6970"/>
    <w:rsid w:val="007D76E6"/>
    <w:rsid w:val="007E168C"/>
    <w:rsid w:val="007E22C2"/>
    <w:rsid w:val="007E37E6"/>
    <w:rsid w:val="007E4B2D"/>
    <w:rsid w:val="007E4E92"/>
    <w:rsid w:val="007E4F5D"/>
    <w:rsid w:val="007E6665"/>
    <w:rsid w:val="007E709F"/>
    <w:rsid w:val="007E7180"/>
    <w:rsid w:val="007E7D06"/>
    <w:rsid w:val="007E7E4E"/>
    <w:rsid w:val="007F0626"/>
    <w:rsid w:val="007F0646"/>
    <w:rsid w:val="007F0E00"/>
    <w:rsid w:val="007F1978"/>
    <w:rsid w:val="007F2141"/>
    <w:rsid w:val="007F234A"/>
    <w:rsid w:val="007F4718"/>
    <w:rsid w:val="007F57C4"/>
    <w:rsid w:val="007F6936"/>
    <w:rsid w:val="007F74C0"/>
    <w:rsid w:val="007F7521"/>
    <w:rsid w:val="00800D91"/>
    <w:rsid w:val="008019B3"/>
    <w:rsid w:val="00801DB7"/>
    <w:rsid w:val="0080242D"/>
    <w:rsid w:val="0080332F"/>
    <w:rsid w:val="008036C0"/>
    <w:rsid w:val="008038EB"/>
    <w:rsid w:val="00803C14"/>
    <w:rsid w:val="00805453"/>
    <w:rsid w:val="00805477"/>
    <w:rsid w:val="00805D7C"/>
    <w:rsid w:val="00806473"/>
    <w:rsid w:val="0080668D"/>
    <w:rsid w:val="00806E6B"/>
    <w:rsid w:val="00810418"/>
    <w:rsid w:val="0081048A"/>
    <w:rsid w:val="0081093A"/>
    <w:rsid w:val="00811400"/>
    <w:rsid w:val="00811D1B"/>
    <w:rsid w:val="00811D3B"/>
    <w:rsid w:val="008129D8"/>
    <w:rsid w:val="00812A38"/>
    <w:rsid w:val="00812E1C"/>
    <w:rsid w:val="00813154"/>
    <w:rsid w:val="008156F8"/>
    <w:rsid w:val="00815FCD"/>
    <w:rsid w:val="0081655A"/>
    <w:rsid w:val="00816A25"/>
    <w:rsid w:val="00816E4A"/>
    <w:rsid w:val="00817E81"/>
    <w:rsid w:val="00817EC6"/>
    <w:rsid w:val="008206C1"/>
    <w:rsid w:val="008209E8"/>
    <w:rsid w:val="008212AF"/>
    <w:rsid w:val="00821429"/>
    <w:rsid w:val="00821518"/>
    <w:rsid w:val="00821E69"/>
    <w:rsid w:val="008229B2"/>
    <w:rsid w:val="00823450"/>
    <w:rsid w:val="00823A7D"/>
    <w:rsid w:val="00823B22"/>
    <w:rsid w:val="00823B80"/>
    <w:rsid w:val="00823D1A"/>
    <w:rsid w:val="00823EA7"/>
    <w:rsid w:val="008240DA"/>
    <w:rsid w:val="008242E8"/>
    <w:rsid w:val="00824AC0"/>
    <w:rsid w:val="00824AEF"/>
    <w:rsid w:val="00825B8B"/>
    <w:rsid w:val="00826293"/>
    <w:rsid w:val="00827028"/>
    <w:rsid w:val="00827624"/>
    <w:rsid w:val="008277CB"/>
    <w:rsid w:val="008301DC"/>
    <w:rsid w:val="0083087A"/>
    <w:rsid w:val="0083089D"/>
    <w:rsid w:val="00830C7A"/>
    <w:rsid w:val="00830D02"/>
    <w:rsid w:val="00831BCE"/>
    <w:rsid w:val="00831C68"/>
    <w:rsid w:val="00832063"/>
    <w:rsid w:val="008321AE"/>
    <w:rsid w:val="0083243D"/>
    <w:rsid w:val="00832B0C"/>
    <w:rsid w:val="00833026"/>
    <w:rsid w:val="00833BBC"/>
    <w:rsid w:val="008349C8"/>
    <w:rsid w:val="00834EAC"/>
    <w:rsid w:val="0083521D"/>
    <w:rsid w:val="00835530"/>
    <w:rsid w:val="008355DF"/>
    <w:rsid w:val="00836293"/>
    <w:rsid w:val="00836D46"/>
    <w:rsid w:val="00836E25"/>
    <w:rsid w:val="0084181E"/>
    <w:rsid w:val="008418E2"/>
    <w:rsid w:val="00841A4F"/>
    <w:rsid w:val="00841CDB"/>
    <w:rsid w:val="00842315"/>
    <w:rsid w:val="00842CC2"/>
    <w:rsid w:val="00843254"/>
    <w:rsid w:val="008438C2"/>
    <w:rsid w:val="00844494"/>
    <w:rsid w:val="008449A0"/>
    <w:rsid w:val="008449C6"/>
    <w:rsid w:val="008460E2"/>
    <w:rsid w:val="00846FA9"/>
    <w:rsid w:val="00847F68"/>
    <w:rsid w:val="00850B8E"/>
    <w:rsid w:val="008521EA"/>
    <w:rsid w:val="00852F3B"/>
    <w:rsid w:val="00853532"/>
    <w:rsid w:val="008535F6"/>
    <w:rsid w:val="00853704"/>
    <w:rsid w:val="008537E8"/>
    <w:rsid w:val="00853A7A"/>
    <w:rsid w:val="00854466"/>
    <w:rsid w:val="008610CE"/>
    <w:rsid w:val="00861CFE"/>
    <w:rsid w:val="008621F8"/>
    <w:rsid w:val="00864749"/>
    <w:rsid w:val="00864B0C"/>
    <w:rsid w:val="00864BDD"/>
    <w:rsid w:val="00864C67"/>
    <w:rsid w:val="0086510D"/>
    <w:rsid w:val="008653E9"/>
    <w:rsid w:val="008662A1"/>
    <w:rsid w:val="00866627"/>
    <w:rsid w:val="00867ABF"/>
    <w:rsid w:val="008706A6"/>
    <w:rsid w:val="00870C87"/>
    <w:rsid w:val="008711DF"/>
    <w:rsid w:val="00871D9D"/>
    <w:rsid w:val="008724F0"/>
    <w:rsid w:val="008726EA"/>
    <w:rsid w:val="00872DFF"/>
    <w:rsid w:val="00873AB4"/>
    <w:rsid w:val="00873EFF"/>
    <w:rsid w:val="0087582D"/>
    <w:rsid w:val="00876027"/>
    <w:rsid w:val="00880329"/>
    <w:rsid w:val="00880FCF"/>
    <w:rsid w:val="008817A8"/>
    <w:rsid w:val="00882156"/>
    <w:rsid w:val="008827CD"/>
    <w:rsid w:val="00882ACC"/>
    <w:rsid w:val="00882B2F"/>
    <w:rsid w:val="00882EE1"/>
    <w:rsid w:val="00883104"/>
    <w:rsid w:val="00885C2D"/>
    <w:rsid w:val="0088600B"/>
    <w:rsid w:val="0088654E"/>
    <w:rsid w:val="00886A82"/>
    <w:rsid w:val="00886F31"/>
    <w:rsid w:val="008875A3"/>
    <w:rsid w:val="00887D63"/>
    <w:rsid w:val="0089000A"/>
    <w:rsid w:val="00890325"/>
    <w:rsid w:val="00891078"/>
    <w:rsid w:val="00891127"/>
    <w:rsid w:val="00891505"/>
    <w:rsid w:val="008925CD"/>
    <w:rsid w:val="00892B6E"/>
    <w:rsid w:val="008930E3"/>
    <w:rsid w:val="00894675"/>
    <w:rsid w:val="00894982"/>
    <w:rsid w:val="00894C73"/>
    <w:rsid w:val="00895A83"/>
    <w:rsid w:val="008965A3"/>
    <w:rsid w:val="00896616"/>
    <w:rsid w:val="00896ADD"/>
    <w:rsid w:val="00896DD5"/>
    <w:rsid w:val="00897F00"/>
    <w:rsid w:val="008A0216"/>
    <w:rsid w:val="008A02ED"/>
    <w:rsid w:val="008A0AD3"/>
    <w:rsid w:val="008A1101"/>
    <w:rsid w:val="008A160B"/>
    <w:rsid w:val="008A1727"/>
    <w:rsid w:val="008A19A0"/>
    <w:rsid w:val="008A202D"/>
    <w:rsid w:val="008A304A"/>
    <w:rsid w:val="008A31E1"/>
    <w:rsid w:val="008A3774"/>
    <w:rsid w:val="008A385F"/>
    <w:rsid w:val="008A3A0A"/>
    <w:rsid w:val="008A3A8E"/>
    <w:rsid w:val="008A652D"/>
    <w:rsid w:val="008A735C"/>
    <w:rsid w:val="008B031B"/>
    <w:rsid w:val="008B056C"/>
    <w:rsid w:val="008B0F31"/>
    <w:rsid w:val="008B1134"/>
    <w:rsid w:val="008B11B5"/>
    <w:rsid w:val="008B1547"/>
    <w:rsid w:val="008B2351"/>
    <w:rsid w:val="008B3425"/>
    <w:rsid w:val="008B3AAF"/>
    <w:rsid w:val="008B3B3E"/>
    <w:rsid w:val="008B4F3B"/>
    <w:rsid w:val="008B50A6"/>
    <w:rsid w:val="008B5C6B"/>
    <w:rsid w:val="008B61D3"/>
    <w:rsid w:val="008B7921"/>
    <w:rsid w:val="008B7B1E"/>
    <w:rsid w:val="008B7D7C"/>
    <w:rsid w:val="008C0BD4"/>
    <w:rsid w:val="008C1056"/>
    <w:rsid w:val="008C11CF"/>
    <w:rsid w:val="008C145C"/>
    <w:rsid w:val="008C1979"/>
    <w:rsid w:val="008C1E1F"/>
    <w:rsid w:val="008C2718"/>
    <w:rsid w:val="008C2B53"/>
    <w:rsid w:val="008C2B5D"/>
    <w:rsid w:val="008C3037"/>
    <w:rsid w:val="008C32B4"/>
    <w:rsid w:val="008C3B21"/>
    <w:rsid w:val="008C501C"/>
    <w:rsid w:val="008C562D"/>
    <w:rsid w:val="008C5789"/>
    <w:rsid w:val="008C5D76"/>
    <w:rsid w:val="008C6DA2"/>
    <w:rsid w:val="008C7472"/>
    <w:rsid w:val="008C7CB1"/>
    <w:rsid w:val="008C7FD7"/>
    <w:rsid w:val="008D1090"/>
    <w:rsid w:val="008D1914"/>
    <w:rsid w:val="008D244C"/>
    <w:rsid w:val="008D24A7"/>
    <w:rsid w:val="008D30CE"/>
    <w:rsid w:val="008D36DB"/>
    <w:rsid w:val="008D38B8"/>
    <w:rsid w:val="008D502B"/>
    <w:rsid w:val="008D7367"/>
    <w:rsid w:val="008D7D98"/>
    <w:rsid w:val="008E00DA"/>
    <w:rsid w:val="008E01A8"/>
    <w:rsid w:val="008E01D4"/>
    <w:rsid w:val="008E09B3"/>
    <w:rsid w:val="008E145E"/>
    <w:rsid w:val="008E1A16"/>
    <w:rsid w:val="008E1DA0"/>
    <w:rsid w:val="008E1EFE"/>
    <w:rsid w:val="008E3C31"/>
    <w:rsid w:val="008E3D1F"/>
    <w:rsid w:val="008E48BE"/>
    <w:rsid w:val="008E4BA0"/>
    <w:rsid w:val="008E58EA"/>
    <w:rsid w:val="008E59C0"/>
    <w:rsid w:val="008E5E4B"/>
    <w:rsid w:val="008E62E0"/>
    <w:rsid w:val="008E6C85"/>
    <w:rsid w:val="008E6F8A"/>
    <w:rsid w:val="008E71B9"/>
    <w:rsid w:val="008E775B"/>
    <w:rsid w:val="008E782C"/>
    <w:rsid w:val="008E7B66"/>
    <w:rsid w:val="008F07DE"/>
    <w:rsid w:val="008F0B7D"/>
    <w:rsid w:val="008F1248"/>
    <w:rsid w:val="008F1562"/>
    <w:rsid w:val="008F1753"/>
    <w:rsid w:val="008F1C5A"/>
    <w:rsid w:val="008F24CE"/>
    <w:rsid w:val="008F28BA"/>
    <w:rsid w:val="008F2A79"/>
    <w:rsid w:val="008F3864"/>
    <w:rsid w:val="008F3DA0"/>
    <w:rsid w:val="008F4527"/>
    <w:rsid w:val="008F469C"/>
    <w:rsid w:val="008F53F1"/>
    <w:rsid w:val="008F5D5E"/>
    <w:rsid w:val="008F7795"/>
    <w:rsid w:val="0090085F"/>
    <w:rsid w:val="00900E48"/>
    <w:rsid w:val="00901095"/>
    <w:rsid w:val="009010A6"/>
    <w:rsid w:val="00901F7C"/>
    <w:rsid w:val="00902263"/>
    <w:rsid w:val="00902470"/>
    <w:rsid w:val="00902B26"/>
    <w:rsid w:val="0090466B"/>
    <w:rsid w:val="00904692"/>
    <w:rsid w:val="009046E3"/>
    <w:rsid w:val="00904A5E"/>
    <w:rsid w:val="00904B67"/>
    <w:rsid w:val="009059E9"/>
    <w:rsid w:val="00906078"/>
    <w:rsid w:val="0090762A"/>
    <w:rsid w:val="00907E4E"/>
    <w:rsid w:val="00910622"/>
    <w:rsid w:val="009107F8"/>
    <w:rsid w:val="00910D41"/>
    <w:rsid w:val="00910F1F"/>
    <w:rsid w:val="00911182"/>
    <w:rsid w:val="00911760"/>
    <w:rsid w:val="00912311"/>
    <w:rsid w:val="009123C1"/>
    <w:rsid w:val="00912E48"/>
    <w:rsid w:val="0091327E"/>
    <w:rsid w:val="00914302"/>
    <w:rsid w:val="009148D8"/>
    <w:rsid w:val="00914980"/>
    <w:rsid w:val="0091556D"/>
    <w:rsid w:val="00915D6E"/>
    <w:rsid w:val="00916957"/>
    <w:rsid w:val="00916C83"/>
    <w:rsid w:val="00917329"/>
    <w:rsid w:val="009176C3"/>
    <w:rsid w:val="0092017D"/>
    <w:rsid w:val="00920308"/>
    <w:rsid w:val="00920790"/>
    <w:rsid w:val="009214F5"/>
    <w:rsid w:val="009236F5"/>
    <w:rsid w:val="00924586"/>
    <w:rsid w:val="0092490D"/>
    <w:rsid w:val="00924C49"/>
    <w:rsid w:val="00924D5F"/>
    <w:rsid w:val="00924E47"/>
    <w:rsid w:val="00925075"/>
    <w:rsid w:val="009255E9"/>
    <w:rsid w:val="00925FB8"/>
    <w:rsid w:val="00926512"/>
    <w:rsid w:val="0092672D"/>
    <w:rsid w:val="00926770"/>
    <w:rsid w:val="0092688E"/>
    <w:rsid w:val="00927543"/>
    <w:rsid w:val="00927CB2"/>
    <w:rsid w:val="00930283"/>
    <w:rsid w:val="009303F4"/>
    <w:rsid w:val="009309E8"/>
    <w:rsid w:val="00930AC2"/>
    <w:rsid w:val="00930C73"/>
    <w:rsid w:val="00930DC3"/>
    <w:rsid w:val="009312F3"/>
    <w:rsid w:val="00931333"/>
    <w:rsid w:val="009318DC"/>
    <w:rsid w:val="009319C0"/>
    <w:rsid w:val="00932597"/>
    <w:rsid w:val="009329BF"/>
    <w:rsid w:val="0093321E"/>
    <w:rsid w:val="00933272"/>
    <w:rsid w:val="009346E5"/>
    <w:rsid w:val="00935AB1"/>
    <w:rsid w:val="00935DD8"/>
    <w:rsid w:val="00935F96"/>
    <w:rsid w:val="0093662B"/>
    <w:rsid w:val="00937C9C"/>
    <w:rsid w:val="00937EE8"/>
    <w:rsid w:val="009402BE"/>
    <w:rsid w:val="00940309"/>
    <w:rsid w:val="00940B8A"/>
    <w:rsid w:val="00941201"/>
    <w:rsid w:val="00941331"/>
    <w:rsid w:val="009419F7"/>
    <w:rsid w:val="00942423"/>
    <w:rsid w:val="00943A2A"/>
    <w:rsid w:val="00943D1A"/>
    <w:rsid w:val="0094414F"/>
    <w:rsid w:val="00945029"/>
    <w:rsid w:val="0094514B"/>
    <w:rsid w:val="009459B5"/>
    <w:rsid w:val="00945F94"/>
    <w:rsid w:val="009460DC"/>
    <w:rsid w:val="009469C2"/>
    <w:rsid w:val="00946E44"/>
    <w:rsid w:val="009478A6"/>
    <w:rsid w:val="00947A76"/>
    <w:rsid w:val="0095033A"/>
    <w:rsid w:val="0095056A"/>
    <w:rsid w:val="00950B19"/>
    <w:rsid w:val="00950E0E"/>
    <w:rsid w:val="009521ED"/>
    <w:rsid w:val="009524B5"/>
    <w:rsid w:val="009535C7"/>
    <w:rsid w:val="0095379D"/>
    <w:rsid w:val="00953EA7"/>
    <w:rsid w:val="00954CE1"/>
    <w:rsid w:val="009552D7"/>
    <w:rsid w:val="00955825"/>
    <w:rsid w:val="00955950"/>
    <w:rsid w:val="00955BFA"/>
    <w:rsid w:val="009560B6"/>
    <w:rsid w:val="009569D7"/>
    <w:rsid w:val="00956E17"/>
    <w:rsid w:val="00960D98"/>
    <w:rsid w:val="009612AE"/>
    <w:rsid w:val="00961CDC"/>
    <w:rsid w:val="00961E9E"/>
    <w:rsid w:val="00962AF9"/>
    <w:rsid w:val="00962B84"/>
    <w:rsid w:val="00963206"/>
    <w:rsid w:val="0096356D"/>
    <w:rsid w:val="00963BFF"/>
    <w:rsid w:val="009668F1"/>
    <w:rsid w:val="00966991"/>
    <w:rsid w:val="00966AD7"/>
    <w:rsid w:val="009674A9"/>
    <w:rsid w:val="0096753A"/>
    <w:rsid w:val="009704E8"/>
    <w:rsid w:val="009713A4"/>
    <w:rsid w:val="009713F6"/>
    <w:rsid w:val="009718AF"/>
    <w:rsid w:val="00971F24"/>
    <w:rsid w:val="0097273E"/>
    <w:rsid w:val="00972B7D"/>
    <w:rsid w:val="0097352A"/>
    <w:rsid w:val="00973617"/>
    <w:rsid w:val="0097374F"/>
    <w:rsid w:val="00973843"/>
    <w:rsid w:val="009738B2"/>
    <w:rsid w:val="00973909"/>
    <w:rsid w:val="009740A9"/>
    <w:rsid w:val="009742FA"/>
    <w:rsid w:val="00974E0F"/>
    <w:rsid w:val="00974E9C"/>
    <w:rsid w:val="0097595E"/>
    <w:rsid w:val="00975C5A"/>
    <w:rsid w:val="00975CEE"/>
    <w:rsid w:val="00975EA2"/>
    <w:rsid w:val="00975ED6"/>
    <w:rsid w:val="00976949"/>
    <w:rsid w:val="00976BF8"/>
    <w:rsid w:val="00976CD5"/>
    <w:rsid w:val="00976D4E"/>
    <w:rsid w:val="00976EE4"/>
    <w:rsid w:val="00977650"/>
    <w:rsid w:val="009805CD"/>
    <w:rsid w:val="009805DB"/>
    <w:rsid w:val="00981ABD"/>
    <w:rsid w:val="00981D3F"/>
    <w:rsid w:val="00981E53"/>
    <w:rsid w:val="00981F91"/>
    <w:rsid w:val="009827F8"/>
    <w:rsid w:val="0098305F"/>
    <w:rsid w:val="009830D1"/>
    <w:rsid w:val="00983307"/>
    <w:rsid w:val="00983526"/>
    <w:rsid w:val="0098490A"/>
    <w:rsid w:val="00985956"/>
    <w:rsid w:val="00987F18"/>
    <w:rsid w:val="00991048"/>
    <w:rsid w:val="009928AF"/>
    <w:rsid w:val="00992E9A"/>
    <w:rsid w:val="00992FF2"/>
    <w:rsid w:val="00993023"/>
    <w:rsid w:val="00993529"/>
    <w:rsid w:val="00994078"/>
    <w:rsid w:val="0099549E"/>
    <w:rsid w:val="00997356"/>
    <w:rsid w:val="00997643"/>
    <w:rsid w:val="009978AC"/>
    <w:rsid w:val="00997A7C"/>
    <w:rsid w:val="00997EE2"/>
    <w:rsid w:val="00997F33"/>
    <w:rsid w:val="009A0273"/>
    <w:rsid w:val="009A0372"/>
    <w:rsid w:val="009A099F"/>
    <w:rsid w:val="009A0D8A"/>
    <w:rsid w:val="009A2638"/>
    <w:rsid w:val="009A2920"/>
    <w:rsid w:val="009A2F80"/>
    <w:rsid w:val="009A493E"/>
    <w:rsid w:val="009A4D46"/>
    <w:rsid w:val="009A549D"/>
    <w:rsid w:val="009A5CBE"/>
    <w:rsid w:val="009A64AF"/>
    <w:rsid w:val="009A67BE"/>
    <w:rsid w:val="009A69E8"/>
    <w:rsid w:val="009A71DA"/>
    <w:rsid w:val="009A72B1"/>
    <w:rsid w:val="009A7DDA"/>
    <w:rsid w:val="009B02E1"/>
    <w:rsid w:val="009B064F"/>
    <w:rsid w:val="009B0757"/>
    <w:rsid w:val="009B11B5"/>
    <w:rsid w:val="009B1E8A"/>
    <w:rsid w:val="009B2A82"/>
    <w:rsid w:val="009B3524"/>
    <w:rsid w:val="009B41AF"/>
    <w:rsid w:val="009B49B0"/>
    <w:rsid w:val="009B4A1F"/>
    <w:rsid w:val="009B4DEC"/>
    <w:rsid w:val="009B55A1"/>
    <w:rsid w:val="009B58A7"/>
    <w:rsid w:val="009B5EAB"/>
    <w:rsid w:val="009B69A7"/>
    <w:rsid w:val="009B6CDE"/>
    <w:rsid w:val="009B74FE"/>
    <w:rsid w:val="009B77D0"/>
    <w:rsid w:val="009C0147"/>
    <w:rsid w:val="009C0820"/>
    <w:rsid w:val="009C1256"/>
    <w:rsid w:val="009C17F3"/>
    <w:rsid w:val="009C1B8D"/>
    <w:rsid w:val="009C1C83"/>
    <w:rsid w:val="009C246D"/>
    <w:rsid w:val="009C3333"/>
    <w:rsid w:val="009C4134"/>
    <w:rsid w:val="009C4B22"/>
    <w:rsid w:val="009C5088"/>
    <w:rsid w:val="009C5795"/>
    <w:rsid w:val="009C5835"/>
    <w:rsid w:val="009C60B9"/>
    <w:rsid w:val="009C71D9"/>
    <w:rsid w:val="009D0F43"/>
    <w:rsid w:val="009D2F2E"/>
    <w:rsid w:val="009D311C"/>
    <w:rsid w:val="009D37BE"/>
    <w:rsid w:val="009D5331"/>
    <w:rsid w:val="009D560F"/>
    <w:rsid w:val="009D5E06"/>
    <w:rsid w:val="009D63FB"/>
    <w:rsid w:val="009D6918"/>
    <w:rsid w:val="009E035D"/>
    <w:rsid w:val="009E0F95"/>
    <w:rsid w:val="009E2A52"/>
    <w:rsid w:val="009E39E6"/>
    <w:rsid w:val="009E3CF7"/>
    <w:rsid w:val="009E4072"/>
    <w:rsid w:val="009E4204"/>
    <w:rsid w:val="009E5B67"/>
    <w:rsid w:val="009E5FC7"/>
    <w:rsid w:val="009E7217"/>
    <w:rsid w:val="009E75FF"/>
    <w:rsid w:val="009E7D22"/>
    <w:rsid w:val="009E7F02"/>
    <w:rsid w:val="009F002A"/>
    <w:rsid w:val="009F0041"/>
    <w:rsid w:val="009F0245"/>
    <w:rsid w:val="009F03C0"/>
    <w:rsid w:val="009F2602"/>
    <w:rsid w:val="009F2984"/>
    <w:rsid w:val="009F2FA3"/>
    <w:rsid w:val="009F3651"/>
    <w:rsid w:val="009F3794"/>
    <w:rsid w:val="009F3B30"/>
    <w:rsid w:val="009F445E"/>
    <w:rsid w:val="009F4990"/>
    <w:rsid w:val="009F5307"/>
    <w:rsid w:val="009F534D"/>
    <w:rsid w:val="009F5EF2"/>
    <w:rsid w:val="009F6644"/>
    <w:rsid w:val="009F748A"/>
    <w:rsid w:val="009F797C"/>
    <w:rsid w:val="00A005BD"/>
    <w:rsid w:val="00A007BC"/>
    <w:rsid w:val="00A0140F"/>
    <w:rsid w:val="00A02C53"/>
    <w:rsid w:val="00A02DE6"/>
    <w:rsid w:val="00A02E8E"/>
    <w:rsid w:val="00A036BF"/>
    <w:rsid w:val="00A03DD4"/>
    <w:rsid w:val="00A041C5"/>
    <w:rsid w:val="00A04F63"/>
    <w:rsid w:val="00A0506B"/>
    <w:rsid w:val="00A058E5"/>
    <w:rsid w:val="00A06168"/>
    <w:rsid w:val="00A0732C"/>
    <w:rsid w:val="00A074DF"/>
    <w:rsid w:val="00A07C43"/>
    <w:rsid w:val="00A07D6D"/>
    <w:rsid w:val="00A110E6"/>
    <w:rsid w:val="00A11577"/>
    <w:rsid w:val="00A1393B"/>
    <w:rsid w:val="00A1398D"/>
    <w:rsid w:val="00A148D5"/>
    <w:rsid w:val="00A14C8B"/>
    <w:rsid w:val="00A1570E"/>
    <w:rsid w:val="00A15BFE"/>
    <w:rsid w:val="00A16B3F"/>
    <w:rsid w:val="00A1748C"/>
    <w:rsid w:val="00A17EBC"/>
    <w:rsid w:val="00A20608"/>
    <w:rsid w:val="00A20AED"/>
    <w:rsid w:val="00A21412"/>
    <w:rsid w:val="00A214EB"/>
    <w:rsid w:val="00A21FC2"/>
    <w:rsid w:val="00A22616"/>
    <w:rsid w:val="00A239F9"/>
    <w:rsid w:val="00A23AEA"/>
    <w:rsid w:val="00A2471C"/>
    <w:rsid w:val="00A24D80"/>
    <w:rsid w:val="00A24DA0"/>
    <w:rsid w:val="00A2574F"/>
    <w:rsid w:val="00A265C2"/>
    <w:rsid w:val="00A27014"/>
    <w:rsid w:val="00A27706"/>
    <w:rsid w:val="00A2780F"/>
    <w:rsid w:val="00A279F0"/>
    <w:rsid w:val="00A27EFB"/>
    <w:rsid w:val="00A30562"/>
    <w:rsid w:val="00A30D2B"/>
    <w:rsid w:val="00A31485"/>
    <w:rsid w:val="00A32689"/>
    <w:rsid w:val="00A327AE"/>
    <w:rsid w:val="00A329E5"/>
    <w:rsid w:val="00A32D66"/>
    <w:rsid w:val="00A331E2"/>
    <w:rsid w:val="00A34A1E"/>
    <w:rsid w:val="00A34F8F"/>
    <w:rsid w:val="00A35409"/>
    <w:rsid w:val="00A367BD"/>
    <w:rsid w:val="00A36824"/>
    <w:rsid w:val="00A36B82"/>
    <w:rsid w:val="00A37352"/>
    <w:rsid w:val="00A37A58"/>
    <w:rsid w:val="00A37D87"/>
    <w:rsid w:val="00A37F8F"/>
    <w:rsid w:val="00A40CB2"/>
    <w:rsid w:val="00A40EB1"/>
    <w:rsid w:val="00A41C76"/>
    <w:rsid w:val="00A41E63"/>
    <w:rsid w:val="00A41EB2"/>
    <w:rsid w:val="00A42020"/>
    <w:rsid w:val="00A42412"/>
    <w:rsid w:val="00A42E9C"/>
    <w:rsid w:val="00A42F38"/>
    <w:rsid w:val="00A44698"/>
    <w:rsid w:val="00A46608"/>
    <w:rsid w:val="00A46CE9"/>
    <w:rsid w:val="00A4725D"/>
    <w:rsid w:val="00A473CE"/>
    <w:rsid w:val="00A475C2"/>
    <w:rsid w:val="00A50319"/>
    <w:rsid w:val="00A51409"/>
    <w:rsid w:val="00A516AF"/>
    <w:rsid w:val="00A51B8E"/>
    <w:rsid w:val="00A51C95"/>
    <w:rsid w:val="00A51C97"/>
    <w:rsid w:val="00A52F3D"/>
    <w:rsid w:val="00A52F6F"/>
    <w:rsid w:val="00A534D8"/>
    <w:rsid w:val="00A542B9"/>
    <w:rsid w:val="00A54906"/>
    <w:rsid w:val="00A54B8A"/>
    <w:rsid w:val="00A54E2F"/>
    <w:rsid w:val="00A55523"/>
    <w:rsid w:val="00A55C46"/>
    <w:rsid w:val="00A564F5"/>
    <w:rsid w:val="00A56BA5"/>
    <w:rsid w:val="00A57633"/>
    <w:rsid w:val="00A57B4D"/>
    <w:rsid w:val="00A601CD"/>
    <w:rsid w:val="00A60B9F"/>
    <w:rsid w:val="00A61077"/>
    <w:rsid w:val="00A614B8"/>
    <w:rsid w:val="00A61699"/>
    <w:rsid w:val="00A62344"/>
    <w:rsid w:val="00A623D9"/>
    <w:rsid w:val="00A6365B"/>
    <w:rsid w:val="00A64714"/>
    <w:rsid w:val="00A65BFB"/>
    <w:rsid w:val="00A65D9F"/>
    <w:rsid w:val="00A65F61"/>
    <w:rsid w:val="00A65F8D"/>
    <w:rsid w:val="00A665ED"/>
    <w:rsid w:val="00A6677F"/>
    <w:rsid w:val="00A6692E"/>
    <w:rsid w:val="00A67CC4"/>
    <w:rsid w:val="00A705A0"/>
    <w:rsid w:val="00A70E21"/>
    <w:rsid w:val="00A70ECE"/>
    <w:rsid w:val="00A71FDF"/>
    <w:rsid w:val="00A72609"/>
    <w:rsid w:val="00A729E9"/>
    <w:rsid w:val="00A72E39"/>
    <w:rsid w:val="00A731BB"/>
    <w:rsid w:val="00A7533D"/>
    <w:rsid w:val="00A75E43"/>
    <w:rsid w:val="00A76356"/>
    <w:rsid w:val="00A80286"/>
    <w:rsid w:val="00A809F1"/>
    <w:rsid w:val="00A80DE4"/>
    <w:rsid w:val="00A810D4"/>
    <w:rsid w:val="00A812C4"/>
    <w:rsid w:val="00A814AF"/>
    <w:rsid w:val="00A815E5"/>
    <w:rsid w:val="00A8234B"/>
    <w:rsid w:val="00A82468"/>
    <w:rsid w:val="00A826FF"/>
    <w:rsid w:val="00A83283"/>
    <w:rsid w:val="00A83D46"/>
    <w:rsid w:val="00A83E1F"/>
    <w:rsid w:val="00A84193"/>
    <w:rsid w:val="00A860D4"/>
    <w:rsid w:val="00A866A7"/>
    <w:rsid w:val="00A8684E"/>
    <w:rsid w:val="00A86BD7"/>
    <w:rsid w:val="00A871BB"/>
    <w:rsid w:val="00A87315"/>
    <w:rsid w:val="00A902EA"/>
    <w:rsid w:val="00A90617"/>
    <w:rsid w:val="00A90F4D"/>
    <w:rsid w:val="00A915CC"/>
    <w:rsid w:val="00A92658"/>
    <w:rsid w:val="00A9334A"/>
    <w:rsid w:val="00A9439B"/>
    <w:rsid w:val="00A94821"/>
    <w:rsid w:val="00A94D71"/>
    <w:rsid w:val="00A96DF9"/>
    <w:rsid w:val="00AA0D04"/>
    <w:rsid w:val="00AA0E53"/>
    <w:rsid w:val="00AA1A07"/>
    <w:rsid w:val="00AA2A42"/>
    <w:rsid w:val="00AA2AF6"/>
    <w:rsid w:val="00AA36E4"/>
    <w:rsid w:val="00AA423C"/>
    <w:rsid w:val="00AA444A"/>
    <w:rsid w:val="00AA495A"/>
    <w:rsid w:val="00AA4A18"/>
    <w:rsid w:val="00AA4B48"/>
    <w:rsid w:val="00AA4D17"/>
    <w:rsid w:val="00AA5A25"/>
    <w:rsid w:val="00AA630E"/>
    <w:rsid w:val="00AA6AFF"/>
    <w:rsid w:val="00AA6F3C"/>
    <w:rsid w:val="00AA740C"/>
    <w:rsid w:val="00AA7673"/>
    <w:rsid w:val="00AB0BBC"/>
    <w:rsid w:val="00AB120C"/>
    <w:rsid w:val="00AB1504"/>
    <w:rsid w:val="00AB2446"/>
    <w:rsid w:val="00AB3C54"/>
    <w:rsid w:val="00AB46B3"/>
    <w:rsid w:val="00AB46DF"/>
    <w:rsid w:val="00AB5366"/>
    <w:rsid w:val="00AB59E3"/>
    <w:rsid w:val="00AB5D54"/>
    <w:rsid w:val="00AB6DE3"/>
    <w:rsid w:val="00AB7995"/>
    <w:rsid w:val="00AB7A63"/>
    <w:rsid w:val="00AC0587"/>
    <w:rsid w:val="00AC12B2"/>
    <w:rsid w:val="00AC15EC"/>
    <w:rsid w:val="00AC34EF"/>
    <w:rsid w:val="00AC3EA4"/>
    <w:rsid w:val="00AC544C"/>
    <w:rsid w:val="00AC5698"/>
    <w:rsid w:val="00AC63CF"/>
    <w:rsid w:val="00AC6E8D"/>
    <w:rsid w:val="00AC7140"/>
    <w:rsid w:val="00AC71E1"/>
    <w:rsid w:val="00AC7384"/>
    <w:rsid w:val="00AC78A7"/>
    <w:rsid w:val="00AC796C"/>
    <w:rsid w:val="00AD0F7A"/>
    <w:rsid w:val="00AD1648"/>
    <w:rsid w:val="00AD22BA"/>
    <w:rsid w:val="00AD26A5"/>
    <w:rsid w:val="00AD2A82"/>
    <w:rsid w:val="00AD3E66"/>
    <w:rsid w:val="00AD4C03"/>
    <w:rsid w:val="00AD5461"/>
    <w:rsid w:val="00AD5D5B"/>
    <w:rsid w:val="00AD6B87"/>
    <w:rsid w:val="00AD7188"/>
    <w:rsid w:val="00AD78E3"/>
    <w:rsid w:val="00AE09D1"/>
    <w:rsid w:val="00AE0D40"/>
    <w:rsid w:val="00AE0F32"/>
    <w:rsid w:val="00AE11DC"/>
    <w:rsid w:val="00AE1853"/>
    <w:rsid w:val="00AE1A2D"/>
    <w:rsid w:val="00AE2042"/>
    <w:rsid w:val="00AE26CD"/>
    <w:rsid w:val="00AE2E72"/>
    <w:rsid w:val="00AE3220"/>
    <w:rsid w:val="00AE443A"/>
    <w:rsid w:val="00AE459E"/>
    <w:rsid w:val="00AE5AF6"/>
    <w:rsid w:val="00AE5F03"/>
    <w:rsid w:val="00AE66D6"/>
    <w:rsid w:val="00AE6F53"/>
    <w:rsid w:val="00AE7C13"/>
    <w:rsid w:val="00AE7D18"/>
    <w:rsid w:val="00AF0D8A"/>
    <w:rsid w:val="00AF1005"/>
    <w:rsid w:val="00AF113D"/>
    <w:rsid w:val="00AF136A"/>
    <w:rsid w:val="00AF1F62"/>
    <w:rsid w:val="00AF2A5D"/>
    <w:rsid w:val="00AF398B"/>
    <w:rsid w:val="00AF5085"/>
    <w:rsid w:val="00AF544B"/>
    <w:rsid w:val="00AF5D5E"/>
    <w:rsid w:val="00AF5E68"/>
    <w:rsid w:val="00AF64C5"/>
    <w:rsid w:val="00AF664C"/>
    <w:rsid w:val="00AF681D"/>
    <w:rsid w:val="00AF6E5E"/>
    <w:rsid w:val="00B0015E"/>
    <w:rsid w:val="00B00969"/>
    <w:rsid w:val="00B00B6B"/>
    <w:rsid w:val="00B02498"/>
    <w:rsid w:val="00B03255"/>
    <w:rsid w:val="00B037B0"/>
    <w:rsid w:val="00B042A8"/>
    <w:rsid w:val="00B0468B"/>
    <w:rsid w:val="00B05A04"/>
    <w:rsid w:val="00B05CBC"/>
    <w:rsid w:val="00B060A4"/>
    <w:rsid w:val="00B06167"/>
    <w:rsid w:val="00B07339"/>
    <w:rsid w:val="00B0762E"/>
    <w:rsid w:val="00B0763C"/>
    <w:rsid w:val="00B07D9D"/>
    <w:rsid w:val="00B1006D"/>
    <w:rsid w:val="00B10D42"/>
    <w:rsid w:val="00B11181"/>
    <w:rsid w:val="00B116CD"/>
    <w:rsid w:val="00B118D0"/>
    <w:rsid w:val="00B122C7"/>
    <w:rsid w:val="00B12ED4"/>
    <w:rsid w:val="00B15B2D"/>
    <w:rsid w:val="00B15C01"/>
    <w:rsid w:val="00B16449"/>
    <w:rsid w:val="00B16A97"/>
    <w:rsid w:val="00B17549"/>
    <w:rsid w:val="00B17B99"/>
    <w:rsid w:val="00B17D8A"/>
    <w:rsid w:val="00B2127A"/>
    <w:rsid w:val="00B21C33"/>
    <w:rsid w:val="00B21C4E"/>
    <w:rsid w:val="00B222B5"/>
    <w:rsid w:val="00B223E1"/>
    <w:rsid w:val="00B22F20"/>
    <w:rsid w:val="00B230DF"/>
    <w:rsid w:val="00B2326A"/>
    <w:rsid w:val="00B232BF"/>
    <w:rsid w:val="00B2346B"/>
    <w:rsid w:val="00B2487E"/>
    <w:rsid w:val="00B251DB"/>
    <w:rsid w:val="00B259DE"/>
    <w:rsid w:val="00B26C25"/>
    <w:rsid w:val="00B31105"/>
    <w:rsid w:val="00B315B9"/>
    <w:rsid w:val="00B32529"/>
    <w:rsid w:val="00B325B3"/>
    <w:rsid w:val="00B32771"/>
    <w:rsid w:val="00B32D35"/>
    <w:rsid w:val="00B331CA"/>
    <w:rsid w:val="00B332C0"/>
    <w:rsid w:val="00B347BE"/>
    <w:rsid w:val="00B349E4"/>
    <w:rsid w:val="00B352E5"/>
    <w:rsid w:val="00B358A6"/>
    <w:rsid w:val="00B35979"/>
    <w:rsid w:val="00B35C0C"/>
    <w:rsid w:val="00B35CB7"/>
    <w:rsid w:val="00B35EFD"/>
    <w:rsid w:val="00B35FAB"/>
    <w:rsid w:val="00B3607F"/>
    <w:rsid w:val="00B361D0"/>
    <w:rsid w:val="00B36F0F"/>
    <w:rsid w:val="00B373F2"/>
    <w:rsid w:val="00B378A5"/>
    <w:rsid w:val="00B4001C"/>
    <w:rsid w:val="00B40219"/>
    <w:rsid w:val="00B40A60"/>
    <w:rsid w:val="00B40BC5"/>
    <w:rsid w:val="00B423DC"/>
    <w:rsid w:val="00B43186"/>
    <w:rsid w:val="00B43B21"/>
    <w:rsid w:val="00B442D6"/>
    <w:rsid w:val="00B443E1"/>
    <w:rsid w:val="00B45B98"/>
    <w:rsid w:val="00B4645C"/>
    <w:rsid w:val="00B46766"/>
    <w:rsid w:val="00B4694B"/>
    <w:rsid w:val="00B52ACF"/>
    <w:rsid w:val="00B53B41"/>
    <w:rsid w:val="00B5495D"/>
    <w:rsid w:val="00B54CB5"/>
    <w:rsid w:val="00B54E3C"/>
    <w:rsid w:val="00B55B45"/>
    <w:rsid w:val="00B56401"/>
    <w:rsid w:val="00B56BBB"/>
    <w:rsid w:val="00B5769F"/>
    <w:rsid w:val="00B57909"/>
    <w:rsid w:val="00B57CEC"/>
    <w:rsid w:val="00B60AB8"/>
    <w:rsid w:val="00B60B9D"/>
    <w:rsid w:val="00B60BB1"/>
    <w:rsid w:val="00B6124B"/>
    <w:rsid w:val="00B61331"/>
    <w:rsid w:val="00B61494"/>
    <w:rsid w:val="00B614EA"/>
    <w:rsid w:val="00B61D6B"/>
    <w:rsid w:val="00B638B0"/>
    <w:rsid w:val="00B640D8"/>
    <w:rsid w:val="00B6429A"/>
    <w:rsid w:val="00B654D9"/>
    <w:rsid w:val="00B65E65"/>
    <w:rsid w:val="00B67539"/>
    <w:rsid w:val="00B67A9D"/>
    <w:rsid w:val="00B705C2"/>
    <w:rsid w:val="00B70E22"/>
    <w:rsid w:val="00B71703"/>
    <w:rsid w:val="00B718E6"/>
    <w:rsid w:val="00B72196"/>
    <w:rsid w:val="00B72C78"/>
    <w:rsid w:val="00B730B1"/>
    <w:rsid w:val="00B73D34"/>
    <w:rsid w:val="00B744AC"/>
    <w:rsid w:val="00B744B3"/>
    <w:rsid w:val="00B748CE"/>
    <w:rsid w:val="00B75820"/>
    <w:rsid w:val="00B75CF1"/>
    <w:rsid w:val="00B7610D"/>
    <w:rsid w:val="00B77176"/>
    <w:rsid w:val="00B801DC"/>
    <w:rsid w:val="00B80338"/>
    <w:rsid w:val="00B807DD"/>
    <w:rsid w:val="00B81C05"/>
    <w:rsid w:val="00B8201C"/>
    <w:rsid w:val="00B83113"/>
    <w:rsid w:val="00B848E8"/>
    <w:rsid w:val="00B86E3C"/>
    <w:rsid w:val="00B874ED"/>
    <w:rsid w:val="00B87CE7"/>
    <w:rsid w:val="00B92203"/>
    <w:rsid w:val="00B9298F"/>
    <w:rsid w:val="00B94643"/>
    <w:rsid w:val="00B962F8"/>
    <w:rsid w:val="00B97350"/>
    <w:rsid w:val="00B979FE"/>
    <w:rsid w:val="00B97EED"/>
    <w:rsid w:val="00BA063A"/>
    <w:rsid w:val="00BA09DF"/>
    <w:rsid w:val="00BA1011"/>
    <w:rsid w:val="00BA20C4"/>
    <w:rsid w:val="00BA28AD"/>
    <w:rsid w:val="00BA38F2"/>
    <w:rsid w:val="00BA3956"/>
    <w:rsid w:val="00BA3B90"/>
    <w:rsid w:val="00BA45CC"/>
    <w:rsid w:val="00BA6154"/>
    <w:rsid w:val="00BA652B"/>
    <w:rsid w:val="00BA681B"/>
    <w:rsid w:val="00BA6912"/>
    <w:rsid w:val="00BA7388"/>
    <w:rsid w:val="00BA76D4"/>
    <w:rsid w:val="00BA78E1"/>
    <w:rsid w:val="00BB072B"/>
    <w:rsid w:val="00BB350F"/>
    <w:rsid w:val="00BB465B"/>
    <w:rsid w:val="00BB4B72"/>
    <w:rsid w:val="00BB5538"/>
    <w:rsid w:val="00BB5DC3"/>
    <w:rsid w:val="00BB60B7"/>
    <w:rsid w:val="00BB6630"/>
    <w:rsid w:val="00BB6AED"/>
    <w:rsid w:val="00BB6B41"/>
    <w:rsid w:val="00BB7388"/>
    <w:rsid w:val="00BB7B15"/>
    <w:rsid w:val="00BC2783"/>
    <w:rsid w:val="00BC28F8"/>
    <w:rsid w:val="00BC3250"/>
    <w:rsid w:val="00BC3DA3"/>
    <w:rsid w:val="00BC3E84"/>
    <w:rsid w:val="00BC4031"/>
    <w:rsid w:val="00BC49F5"/>
    <w:rsid w:val="00BC4FA9"/>
    <w:rsid w:val="00BC5A97"/>
    <w:rsid w:val="00BC6562"/>
    <w:rsid w:val="00BD0156"/>
    <w:rsid w:val="00BD0370"/>
    <w:rsid w:val="00BD080D"/>
    <w:rsid w:val="00BD0BB9"/>
    <w:rsid w:val="00BD0E8D"/>
    <w:rsid w:val="00BD0F8A"/>
    <w:rsid w:val="00BD25F1"/>
    <w:rsid w:val="00BD299C"/>
    <w:rsid w:val="00BD4411"/>
    <w:rsid w:val="00BD5103"/>
    <w:rsid w:val="00BD5D1F"/>
    <w:rsid w:val="00BD610B"/>
    <w:rsid w:val="00BD68B1"/>
    <w:rsid w:val="00BD7349"/>
    <w:rsid w:val="00BD75F1"/>
    <w:rsid w:val="00BD7E5C"/>
    <w:rsid w:val="00BE1015"/>
    <w:rsid w:val="00BE10E5"/>
    <w:rsid w:val="00BE1CB4"/>
    <w:rsid w:val="00BE1F3C"/>
    <w:rsid w:val="00BE25A2"/>
    <w:rsid w:val="00BE2C18"/>
    <w:rsid w:val="00BE3145"/>
    <w:rsid w:val="00BE367C"/>
    <w:rsid w:val="00BE3C07"/>
    <w:rsid w:val="00BE41D5"/>
    <w:rsid w:val="00BE433A"/>
    <w:rsid w:val="00BE53C7"/>
    <w:rsid w:val="00BE5933"/>
    <w:rsid w:val="00BE62A5"/>
    <w:rsid w:val="00BE67C8"/>
    <w:rsid w:val="00BE6EEA"/>
    <w:rsid w:val="00BE7109"/>
    <w:rsid w:val="00BE7184"/>
    <w:rsid w:val="00BE7AA8"/>
    <w:rsid w:val="00BE7EA2"/>
    <w:rsid w:val="00BF08FB"/>
    <w:rsid w:val="00BF0FC2"/>
    <w:rsid w:val="00BF1EDF"/>
    <w:rsid w:val="00BF1F68"/>
    <w:rsid w:val="00BF3BDD"/>
    <w:rsid w:val="00BF3F43"/>
    <w:rsid w:val="00BF4CEE"/>
    <w:rsid w:val="00BF583B"/>
    <w:rsid w:val="00BF594D"/>
    <w:rsid w:val="00BF6258"/>
    <w:rsid w:val="00BF6930"/>
    <w:rsid w:val="00C008E1"/>
    <w:rsid w:val="00C00DD2"/>
    <w:rsid w:val="00C00ECF"/>
    <w:rsid w:val="00C0113F"/>
    <w:rsid w:val="00C02D72"/>
    <w:rsid w:val="00C03B44"/>
    <w:rsid w:val="00C04297"/>
    <w:rsid w:val="00C053D8"/>
    <w:rsid w:val="00C06EC5"/>
    <w:rsid w:val="00C0711A"/>
    <w:rsid w:val="00C07A78"/>
    <w:rsid w:val="00C07C27"/>
    <w:rsid w:val="00C1112C"/>
    <w:rsid w:val="00C125C3"/>
    <w:rsid w:val="00C12668"/>
    <w:rsid w:val="00C13C6E"/>
    <w:rsid w:val="00C140AA"/>
    <w:rsid w:val="00C1466F"/>
    <w:rsid w:val="00C14C61"/>
    <w:rsid w:val="00C152E2"/>
    <w:rsid w:val="00C15694"/>
    <w:rsid w:val="00C15819"/>
    <w:rsid w:val="00C1619C"/>
    <w:rsid w:val="00C167BE"/>
    <w:rsid w:val="00C172D1"/>
    <w:rsid w:val="00C17F4A"/>
    <w:rsid w:val="00C2198E"/>
    <w:rsid w:val="00C22AEE"/>
    <w:rsid w:val="00C22B97"/>
    <w:rsid w:val="00C2380B"/>
    <w:rsid w:val="00C23C49"/>
    <w:rsid w:val="00C24B59"/>
    <w:rsid w:val="00C24E50"/>
    <w:rsid w:val="00C258BE"/>
    <w:rsid w:val="00C26383"/>
    <w:rsid w:val="00C264C3"/>
    <w:rsid w:val="00C27161"/>
    <w:rsid w:val="00C274BF"/>
    <w:rsid w:val="00C279C4"/>
    <w:rsid w:val="00C27CB3"/>
    <w:rsid w:val="00C3058E"/>
    <w:rsid w:val="00C31884"/>
    <w:rsid w:val="00C31892"/>
    <w:rsid w:val="00C320C8"/>
    <w:rsid w:val="00C321D2"/>
    <w:rsid w:val="00C324C4"/>
    <w:rsid w:val="00C33325"/>
    <w:rsid w:val="00C333C6"/>
    <w:rsid w:val="00C335AF"/>
    <w:rsid w:val="00C33729"/>
    <w:rsid w:val="00C33A47"/>
    <w:rsid w:val="00C33A67"/>
    <w:rsid w:val="00C33FA2"/>
    <w:rsid w:val="00C34240"/>
    <w:rsid w:val="00C3448E"/>
    <w:rsid w:val="00C35247"/>
    <w:rsid w:val="00C35293"/>
    <w:rsid w:val="00C35EF2"/>
    <w:rsid w:val="00C36181"/>
    <w:rsid w:val="00C36E82"/>
    <w:rsid w:val="00C36EFB"/>
    <w:rsid w:val="00C36FD6"/>
    <w:rsid w:val="00C378D3"/>
    <w:rsid w:val="00C37FCA"/>
    <w:rsid w:val="00C41DF2"/>
    <w:rsid w:val="00C42016"/>
    <w:rsid w:val="00C428F1"/>
    <w:rsid w:val="00C42F09"/>
    <w:rsid w:val="00C43D48"/>
    <w:rsid w:val="00C44949"/>
    <w:rsid w:val="00C456E6"/>
    <w:rsid w:val="00C45915"/>
    <w:rsid w:val="00C46CD1"/>
    <w:rsid w:val="00C4768A"/>
    <w:rsid w:val="00C4775D"/>
    <w:rsid w:val="00C47C56"/>
    <w:rsid w:val="00C47D77"/>
    <w:rsid w:val="00C50A9A"/>
    <w:rsid w:val="00C51624"/>
    <w:rsid w:val="00C51EAD"/>
    <w:rsid w:val="00C5227D"/>
    <w:rsid w:val="00C5294C"/>
    <w:rsid w:val="00C529B3"/>
    <w:rsid w:val="00C530BB"/>
    <w:rsid w:val="00C5378F"/>
    <w:rsid w:val="00C53824"/>
    <w:rsid w:val="00C55674"/>
    <w:rsid w:val="00C55C15"/>
    <w:rsid w:val="00C55F4B"/>
    <w:rsid w:val="00C566B7"/>
    <w:rsid w:val="00C56BE2"/>
    <w:rsid w:val="00C57D72"/>
    <w:rsid w:val="00C6084F"/>
    <w:rsid w:val="00C61CA3"/>
    <w:rsid w:val="00C62B6D"/>
    <w:rsid w:val="00C631B9"/>
    <w:rsid w:val="00C632FA"/>
    <w:rsid w:val="00C63498"/>
    <w:rsid w:val="00C6385A"/>
    <w:rsid w:val="00C63DA5"/>
    <w:rsid w:val="00C64333"/>
    <w:rsid w:val="00C64D36"/>
    <w:rsid w:val="00C65E4E"/>
    <w:rsid w:val="00C65FD9"/>
    <w:rsid w:val="00C662A4"/>
    <w:rsid w:val="00C6636B"/>
    <w:rsid w:val="00C6662E"/>
    <w:rsid w:val="00C669DF"/>
    <w:rsid w:val="00C66F96"/>
    <w:rsid w:val="00C678CB"/>
    <w:rsid w:val="00C67E6A"/>
    <w:rsid w:val="00C702BE"/>
    <w:rsid w:val="00C705EC"/>
    <w:rsid w:val="00C70893"/>
    <w:rsid w:val="00C71966"/>
    <w:rsid w:val="00C72540"/>
    <w:rsid w:val="00C7257A"/>
    <w:rsid w:val="00C73D2E"/>
    <w:rsid w:val="00C740AC"/>
    <w:rsid w:val="00C757DA"/>
    <w:rsid w:val="00C76036"/>
    <w:rsid w:val="00C760D8"/>
    <w:rsid w:val="00C769C5"/>
    <w:rsid w:val="00C76CEC"/>
    <w:rsid w:val="00C7742C"/>
    <w:rsid w:val="00C777B7"/>
    <w:rsid w:val="00C77970"/>
    <w:rsid w:val="00C77BA4"/>
    <w:rsid w:val="00C800EF"/>
    <w:rsid w:val="00C80301"/>
    <w:rsid w:val="00C80A02"/>
    <w:rsid w:val="00C8195F"/>
    <w:rsid w:val="00C81AAF"/>
    <w:rsid w:val="00C8285A"/>
    <w:rsid w:val="00C83ADA"/>
    <w:rsid w:val="00C84457"/>
    <w:rsid w:val="00C8470B"/>
    <w:rsid w:val="00C84772"/>
    <w:rsid w:val="00C84A16"/>
    <w:rsid w:val="00C85CED"/>
    <w:rsid w:val="00C862C8"/>
    <w:rsid w:val="00C862CA"/>
    <w:rsid w:val="00C8638F"/>
    <w:rsid w:val="00C86FE1"/>
    <w:rsid w:val="00C87673"/>
    <w:rsid w:val="00C87E3A"/>
    <w:rsid w:val="00C90628"/>
    <w:rsid w:val="00C90E1B"/>
    <w:rsid w:val="00C919B4"/>
    <w:rsid w:val="00C93327"/>
    <w:rsid w:val="00C93F90"/>
    <w:rsid w:val="00C9498E"/>
    <w:rsid w:val="00C955CF"/>
    <w:rsid w:val="00C96598"/>
    <w:rsid w:val="00C965D5"/>
    <w:rsid w:val="00C97696"/>
    <w:rsid w:val="00C978FF"/>
    <w:rsid w:val="00CA017A"/>
    <w:rsid w:val="00CA08D3"/>
    <w:rsid w:val="00CA114F"/>
    <w:rsid w:val="00CA13FA"/>
    <w:rsid w:val="00CA1511"/>
    <w:rsid w:val="00CA2171"/>
    <w:rsid w:val="00CA265D"/>
    <w:rsid w:val="00CA3501"/>
    <w:rsid w:val="00CA3973"/>
    <w:rsid w:val="00CA404E"/>
    <w:rsid w:val="00CA5272"/>
    <w:rsid w:val="00CA5543"/>
    <w:rsid w:val="00CA57AC"/>
    <w:rsid w:val="00CA59BD"/>
    <w:rsid w:val="00CA5D32"/>
    <w:rsid w:val="00CA69B9"/>
    <w:rsid w:val="00CB0226"/>
    <w:rsid w:val="00CB1B3E"/>
    <w:rsid w:val="00CB1F7F"/>
    <w:rsid w:val="00CB2830"/>
    <w:rsid w:val="00CB2B71"/>
    <w:rsid w:val="00CB2DE1"/>
    <w:rsid w:val="00CB2F6A"/>
    <w:rsid w:val="00CB5EB8"/>
    <w:rsid w:val="00CB7499"/>
    <w:rsid w:val="00CB7C1A"/>
    <w:rsid w:val="00CC0061"/>
    <w:rsid w:val="00CC0A84"/>
    <w:rsid w:val="00CC0CC5"/>
    <w:rsid w:val="00CC166B"/>
    <w:rsid w:val="00CC1B34"/>
    <w:rsid w:val="00CC2361"/>
    <w:rsid w:val="00CC356C"/>
    <w:rsid w:val="00CC3900"/>
    <w:rsid w:val="00CC3AA6"/>
    <w:rsid w:val="00CC58F3"/>
    <w:rsid w:val="00CC58F7"/>
    <w:rsid w:val="00CC5BCB"/>
    <w:rsid w:val="00CC60DF"/>
    <w:rsid w:val="00CC6363"/>
    <w:rsid w:val="00CC66FE"/>
    <w:rsid w:val="00CC6C02"/>
    <w:rsid w:val="00CD09EE"/>
    <w:rsid w:val="00CD0A26"/>
    <w:rsid w:val="00CD1DA1"/>
    <w:rsid w:val="00CD356F"/>
    <w:rsid w:val="00CD38E2"/>
    <w:rsid w:val="00CD3A03"/>
    <w:rsid w:val="00CD5332"/>
    <w:rsid w:val="00CD5EDC"/>
    <w:rsid w:val="00CD60EE"/>
    <w:rsid w:val="00CD617C"/>
    <w:rsid w:val="00CD67B1"/>
    <w:rsid w:val="00CD6C17"/>
    <w:rsid w:val="00CD6DBF"/>
    <w:rsid w:val="00CE0EB8"/>
    <w:rsid w:val="00CE0F0F"/>
    <w:rsid w:val="00CE1440"/>
    <w:rsid w:val="00CE2BEE"/>
    <w:rsid w:val="00CE35E5"/>
    <w:rsid w:val="00CE36C7"/>
    <w:rsid w:val="00CE3F16"/>
    <w:rsid w:val="00CE4355"/>
    <w:rsid w:val="00CE4789"/>
    <w:rsid w:val="00CE4BD9"/>
    <w:rsid w:val="00CE50B3"/>
    <w:rsid w:val="00CE54EF"/>
    <w:rsid w:val="00CE58C5"/>
    <w:rsid w:val="00CE5995"/>
    <w:rsid w:val="00CE5DB6"/>
    <w:rsid w:val="00CE5DBC"/>
    <w:rsid w:val="00CE6874"/>
    <w:rsid w:val="00CE6BBD"/>
    <w:rsid w:val="00CE7125"/>
    <w:rsid w:val="00CE7F17"/>
    <w:rsid w:val="00CF020E"/>
    <w:rsid w:val="00CF259A"/>
    <w:rsid w:val="00CF353B"/>
    <w:rsid w:val="00CF3597"/>
    <w:rsid w:val="00CF3A8E"/>
    <w:rsid w:val="00CF4260"/>
    <w:rsid w:val="00CF42B6"/>
    <w:rsid w:val="00CF50A4"/>
    <w:rsid w:val="00CF552C"/>
    <w:rsid w:val="00CF55E4"/>
    <w:rsid w:val="00CF6193"/>
    <w:rsid w:val="00CF640E"/>
    <w:rsid w:val="00CF77AE"/>
    <w:rsid w:val="00D00A92"/>
    <w:rsid w:val="00D01631"/>
    <w:rsid w:val="00D01E0F"/>
    <w:rsid w:val="00D027D1"/>
    <w:rsid w:val="00D02C3D"/>
    <w:rsid w:val="00D02E32"/>
    <w:rsid w:val="00D02F17"/>
    <w:rsid w:val="00D04122"/>
    <w:rsid w:val="00D071F1"/>
    <w:rsid w:val="00D0726F"/>
    <w:rsid w:val="00D07FD6"/>
    <w:rsid w:val="00D10043"/>
    <w:rsid w:val="00D107AE"/>
    <w:rsid w:val="00D117E4"/>
    <w:rsid w:val="00D126AA"/>
    <w:rsid w:val="00D127BB"/>
    <w:rsid w:val="00D12FA7"/>
    <w:rsid w:val="00D1348D"/>
    <w:rsid w:val="00D135A7"/>
    <w:rsid w:val="00D137FF"/>
    <w:rsid w:val="00D13B1A"/>
    <w:rsid w:val="00D142EA"/>
    <w:rsid w:val="00D14D4C"/>
    <w:rsid w:val="00D15491"/>
    <w:rsid w:val="00D16108"/>
    <w:rsid w:val="00D16F4D"/>
    <w:rsid w:val="00D17729"/>
    <w:rsid w:val="00D20134"/>
    <w:rsid w:val="00D203E8"/>
    <w:rsid w:val="00D20989"/>
    <w:rsid w:val="00D20F04"/>
    <w:rsid w:val="00D2126A"/>
    <w:rsid w:val="00D21596"/>
    <w:rsid w:val="00D21F0B"/>
    <w:rsid w:val="00D220CF"/>
    <w:rsid w:val="00D22D7E"/>
    <w:rsid w:val="00D23205"/>
    <w:rsid w:val="00D233EA"/>
    <w:rsid w:val="00D23E12"/>
    <w:rsid w:val="00D24087"/>
    <w:rsid w:val="00D2504C"/>
    <w:rsid w:val="00D25AEB"/>
    <w:rsid w:val="00D26DD4"/>
    <w:rsid w:val="00D27639"/>
    <w:rsid w:val="00D278B0"/>
    <w:rsid w:val="00D27A23"/>
    <w:rsid w:val="00D27B99"/>
    <w:rsid w:val="00D30608"/>
    <w:rsid w:val="00D30C80"/>
    <w:rsid w:val="00D3137D"/>
    <w:rsid w:val="00D31BD2"/>
    <w:rsid w:val="00D31CAA"/>
    <w:rsid w:val="00D33934"/>
    <w:rsid w:val="00D33E51"/>
    <w:rsid w:val="00D354DE"/>
    <w:rsid w:val="00D357D8"/>
    <w:rsid w:val="00D35906"/>
    <w:rsid w:val="00D3639C"/>
    <w:rsid w:val="00D363FD"/>
    <w:rsid w:val="00D366CC"/>
    <w:rsid w:val="00D37182"/>
    <w:rsid w:val="00D3754E"/>
    <w:rsid w:val="00D3783E"/>
    <w:rsid w:val="00D37867"/>
    <w:rsid w:val="00D37A2A"/>
    <w:rsid w:val="00D400CE"/>
    <w:rsid w:val="00D40352"/>
    <w:rsid w:val="00D405DE"/>
    <w:rsid w:val="00D40F92"/>
    <w:rsid w:val="00D41081"/>
    <w:rsid w:val="00D4110A"/>
    <w:rsid w:val="00D43157"/>
    <w:rsid w:val="00D445A7"/>
    <w:rsid w:val="00D454B4"/>
    <w:rsid w:val="00D466B9"/>
    <w:rsid w:val="00D46E93"/>
    <w:rsid w:val="00D50A6F"/>
    <w:rsid w:val="00D50DF9"/>
    <w:rsid w:val="00D513FB"/>
    <w:rsid w:val="00D51487"/>
    <w:rsid w:val="00D51671"/>
    <w:rsid w:val="00D5247B"/>
    <w:rsid w:val="00D524BD"/>
    <w:rsid w:val="00D52BEE"/>
    <w:rsid w:val="00D52CA0"/>
    <w:rsid w:val="00D5351F"/>
    <w:rsid w:val="00D536F5"/>
    <w:rsid w:val="00D53C2C"/>
    <w:rsid w:val="00D5482A"/>
    <w:rsid w:val="00D55317"/>
    <w:rsid w:val="00D55D4F"/>
    <w:rsid w:val="00D5651D"/>
    <w:rsid w:val="00D5678A"/>
    <w:rsid w:val="00D60CD1"/>
    <w:rsid w:val="00D61BD0"/>
    <w:rsid w:val="00D62E99"/>
    <w:rsid w:val="00D63B6C"/>
    <w:rsid w:val="00D648BC"/>
    <w:rsid w:val="00D64A7C"/>
    <w:rsid w:val="00D64BFA"/>
    <w:rsid w:val="00D64F45"/>
    <w:rsid w:val="00D65FFA"/>
    <w:rsid w:val="00D6635F"/>
    <w:rsid w:val="00D6681C"/>
    <w:rsid w:val="00D66989"/>
    <w:rsid w:val="00D66A8D"/>
    <w:rsid w:val="00D66DD7"/>
    <w:rsid w:val="00D67AC2"/>
    <w:rsid w:val="00D70098"/>
    <w:rsid w:val="00D70490"/>
    <w:rsid w:val="00D710F5"/>
    <w:rsid w:val="00D71623"/>
    <w:rsid w:val="00D720D5"/>
    <w:rsid w:val="00D72785"/>
    <w:rsid w:val="00D727E4"/>
    <w:rsid w:val="00D7303E"/>
    <w:rsid w:val="00D734FA"/>
    <w:rsid w:val="00D7453D"/>
    <w:rsid w:val="00D74815"/>
    <w:rsid w:val="00D750BD"/>
    <w:rsid w:val="00D75542"/>
    <w:rsid w:val="00D75B21"/>
    <w:rsid w:val="00D75E17"/>
    <w:rsid w:val="00D76354"/>
    <w:rsid w:val="00D77D37"/>
    <w:rsid w:val="00D80078"/>
    <w:rsid w:val="00D800B5"/>
    <w:rsid w:val="00D8096A"/>
    <w:rsid w:val="00D80A54"/>
    <w:rsid w:val="00D80D44"/>
    <w:rsid w:val="00D813B2"/>
    <w:rsid w:val="00D81A42"/>
    <w:rsid w:val="00D82227"/>
    <w:rsid w:val="00D8235B"/>
    <w:rsid w:val="00D829C9"/>
    <w:rsid w:val="00D82EDD"/>
    <w:rsid w:val="00D83371"/>
    <w:rsid w:val="00D83C87"/>
    <w:rsid w:val="00D83E46"/>
    <w:rsid w:val="00D841E9"/>
    <w:rsid w:val="00D84A35"/>
    <w:rsid w:val="00D85117"/>
    <w:rsid w:val="00D8675E"/>
    <w:rsid w:val="00D86BD1"/>
    <w:rsid w:val="00D86FB5"/>
    <w:rsid w:val="00D872A5"/>
    <w:rsid w:val="00D87664"/>
    <w:rsid w:val="00D87E56"/>
    <w:rsid w:val="00D87EE7"/>
    <w:rsid w:val="00D900D9"/>
    <w:rsid w:val="00D903A0"/>
    <w:rsid w:val="00D9049B"/>
    <w:rsid w:val="00D90BC1"/>
    <w:rsid w:val="00D9122B"/>
    <w:rsid w:val="00D91539"/>
    <w:rsid w:val="00D919A4"/>
    <w:rsid w:val="00D92167"/>
    <w:rsid w:val="00D936E5"/>
    <w:rsid w:val="00D93A5C"/>
    <w:rsid w:val="00D93E7C"/>
    <w:rsid w:val="00D9416A"/>
    <w:rsid w:val="00D94FD7"/>
    <w:rsid w:val="00D95D0A"/>
    <w:rsid w:val="00D97730"/>
    <w:rsid w:val="00D97A96"/>
    <w:rsid w:val="00D97B0E"/>
    <w:rsid w:val="00DA0D06"/>
    <w:rsid w:val="00DA104A"/>
    <w:rsid w:val="00DA108F"/>
    <w:rsid w:val="00DA1F69"/>
    <w:rsid w:val="00DA2006"/>
    <w:rsid w:val="00DA263E"/>
    <w:rsid w:val="00DA2ABD"/>
    <w:rsid w:val="00DA3670"/>
    <w:rsid w:val="00DA3C8E"/>
    <w:rsid w:val="00DA4107"/>
    <w:rsid w:val="00DA48A3"/>
    <w:rsid w:val="00DA62B5"/>
    <w:rsid w:val="00DA7870"/>
    <w:rsid w:val="00DA7A90"/>
    <w:rsid w:val="00DB1FA5"/>
    <w:rsid w:val="00DB24AE"/>
    <w:rsid w:val="00DB2696"/>
    <w:rsid w:val="00DB26E1"/>
    <w:rsid w:val="00DB2E6F"/>
    <w:rsid w:val="00DB3470"/>
    <w:rsid w:val="00DB3860"/>
    <w:rsid w:val="00DB38C1"/>
    <w:rsid w:val="00DB42CC"/>
    <w:rsid w:val="00DB45E4"/>
    <w:rsid w:val="00DB4A53"/>
    <w:rsid w:val="00DB5C2D"/>
    <w:rsid w:val="00DB679E"/>
    <w:rsid w:val="00DB68E3"/>
    <w:rsid w:val="00DB701C"/>
    <w:rsid w:val="00DB72CD"/>
    <w:rsid w:val="00DB776B"/>
    <w:rsid w:val="00DC0CBF"/>
    <w:rsid w:val="00DC144C"/>
    <w:rsid w:val="00DC1F94"/>
    <w:rsid w:val="00DC24C8"/>
    <w:rsid w:val="00DC2848"/>
    <w:rsid w:val="00DC469B"/>
    <w:rsid w:val="00DC4FB5"/>
    <w:rsid w:val="00DC52E8"/>
    <w:rsid w:val="00DC5A52"/>
    <w:rsid w:val="00DC5F74"/>
    <w:rsid w:val="00DC6AFC"/>
    <w:rsid w:val="00DC6D0D"/>
    <w:rsid w:val="00DC6FE0"/>
    <w:rsid w:val="00DC76D4"/>
    <w:rsid w:val="00DC7AF6"/>
    <w:rsid w:val="00DD19F1"/>
    <w:rsid w:val="00DD27A7"/>
    <w:rsid w:val="00DD29FE"/>
    <w:rsid w:val="00DD2E9D"/>
    <w:rsid w:val="00DD39FC"/>
    <w:rsid w:val="00DD4477"/>
    <w:rsid w:val="00DD4B54"/>
    <w:rsid w:val="00DD57A5"/>
    <w:rsid w:val="00DD5A14"/>
    <w:rsid w:val="00DD67BB"/>
    <w:rsid w:val="00DD6935"/>
    <w:rsid w:val="00DD7222"/>
    <w:rsid w:val="00DD7A94"/>
    <w:rsid w:val="00DE00DC"/>
    <w:rsid w:val="00DE04A8"/>
    <w:rsid w:val="00DE07AE"/>
    <w:rsid w:val="00DE103B"/>
    <w:rsid w:val="00DE1060"/>
    <w:rsid w:val="00DE2507"/>
    <w:rsid w:val="00DE377F"/>
    <w:rsid w:val="00DE4C16"/>
    <w:rsid w:val="00DE51FE"/>
    <w:rsid w:val="00DE56FB"/>
    <w:rsid w:val="00DE57AA"/>
    <w:rsid w:val="00DE5AE6"/>
    <w:rsid w:val="00DE5CF7"/>
    <w:rsid w:val="00DE6342"/>
    <w:rsid w:val="00DE6A15"/>
    <w:rsid w:val="00DE751E"/>
    <w:rsid w:val="00DF03F3"/>
    <w:rsid w:val="00DF0518"/>
    <w:rsid w:val="00DF12F3"/>
    <w:rsid w:val="00DF1F55"/>
    <w:rsid w:val="00DF2110"/>
    <w:rsid w:val="00DF2518"/>
    <w:rsid w:val="00DF310F"/>
    <w:rsid w:val="00DF352C"/>
    <w:rsid w:val="00DF4E02"/>
    <w:rsid w:val="00DF5AB3"/>
    <w:rsid w:val="00DF5E0B"/>
    <w:rsid w:val="00DF6A17"/>
    <w:rsid w:val="00DF7978"/>
    <w:rsid w:val="00E002F5"/>
    <w:rsid w:val="00E01AAD"/>
    <w:rsid w:val="00E01B46"/>
    <w:rsid w:val="00E01D7D"/>
    <w:rsid w:val="00E01DE1"/>
    <w:rsid w:val="00E021D9"/>
    <w:rsid w:val="00E02611"/>
    <w:rsid w:val="00E027CA"/>
    <w:rsid w:val="00E02E5D"/>
    <w:rsid w:val="00E03033"/>
    <w:rsid w:val="00E04DA0"/>
    <w:rsid w:val="00E06B00"/>
    <w:rsid w:val="00E0742E"/>
    <w:rsid w:val="00E0BFA9"/>
    <w:rsid w:val="00E101B7"/>
    <w:rsid w:val="00E10546"/>
    <w:rsid w:val="00E10C32"/>
    <w:rsid w:val="00E11B00"/>
    <w:rsid w:val="00E11C21"/>
    <w:rsid w:val="00E1322A"/>
    <w:rsid w:val="00E13985"/>
    <w:rsid w:val="00E13D4B"/>
    <w:rsid w:val="00E13E54"/>
    <w:rsid w:val="00E14061"/>
    <w:rsid w:val="00E14BB9"/>
    <w:rsid w:val="00E14C76"/>
    <w:rsid w:val="00E14CD9"/>
    <w:rsid w:val="00E15363"/>
    <w:rsid w:val="00E15B16"/>
    <w:rsid w:val="00E16436"/>
    <w:rsid w:val="00E17523"/>
    <w:rsid w:val="00E2012B"/>
    <w:rsid w:val="00E20B75"/>
    <w:rsid w:val="00E2206C"/>
    <w:rsid w:val="00E22291"/>
    <w:rsid w:val="00E22B22"/>
    <w:rsid w:val="00E236EE"/>
    <w:rsid w:val="00E23C84"/>
    <w:rsid w:val="00E24450"/>
    <w:rsid w:val="00E245EB"/>
    <w:rsid w:val="00E24F7F"/>
    <w:rsid w:val="00E25664"/>
    <w:rsid w:val="00E25AF1"/>
    <w:rsid w:val="00E25C1C"/>
    <w:rsid w:val="00E26F7E"/>
    <w:rsid w:val="00E27538"/>
    <w:rsid w:val="00E3027E"/>
    <w:rsid w:val="00E3112E"/>
    <w:rsid w:val="00E31BE1"/>
    <w:rsid w:val="00E320DC"/>
    <w:rsid w:val="00E3255E"/>
    <w:rsid w:val="00E339B9"/>
    <w:rsid w:val="00E33E58"/>
    <w:rsid w:val="00E34937"/>
    <w:rsid w:val="00E349FC"/>
    <w:rsid w:val="00E34D79"/>
    <w:rsid w:val="00E3532C"/>
    <w:rsid w:val="00E354AB"/>
    <w:rsid w:val="00E35C1D"/>
    <w:rsid w:val="00E35D1E"/>
    <w:rsid w:val="00E37443"/>
    <w:rsid w:val="00E37955"/>
    <w:rsid w:val="00E4061E"/>
    <w:rsid w:val="00E40A3B"/>
    <w:rsid w:val="00E42414"/>
    <w:rsid w:val="00E43210"/>
    <w:rsid w:val="00E44AC0"/>
    <w:rsid w:val="00E46838"/>
    <w:rsid w:val="00E46BD5"/>
    <w:rsid w:val="00E50287"/>
    <w:rsid w:val="00E5038C"/>
    <w:rsid w:val="00E50872"/>
    <w:rsid w:val="00E50A93"/>
    <w:rsid w:val="00E5142D"/>
    <w:rsid w:val="00E51601"/>
    <w:rsid w:val="00E51888"/>
    <w:rsid w:val="00E51EC5"/>
    <w:rsid w:val="00E521FE"/>
    <w:rsid w:val="00E53E8C"/>
    <w:rsid w:val="00E54BF4"/>
    <w:rsid w:val="00E54C4B"/>
    <w:rsid w:val="00E56787"/>
    <w:rsid w:val="00E600AA"/>
    <w:rsid w:val="00E60156"/>
    <w:rsid w:val="00E6026D"/>
    <w:rsid w:val="00E61877"/>
    <w:rsid w:val="00E61EB1"/>
    <w:rsid w:val="00E623E8"/>
    <w:rsid w:val="00E627F8"/>
    <w:rsid w:val="00E62A6D"/>
    <w:rsid w:val="00E62D54"/>
    <w:rsid w:val="00E6321D"/>
    <w:rsid w:val="00E636BB"/>
    <w:rsid w:val="00E63A1B"/>
    <w:rsid w:val="00E63F5E"/>
    <w:rsid w:val="00E6509E"/>
    <w:rsid w:val="00E656ED"/>
    <w:rsid w:val="00E669F1"/>
    <w:rsid w:val="00E66EAB"/>
    <w:rsid w:val="00E674D9"/>
    <w:rsid w:val="00E7034A"/>
    <w:rsid w:val="00E709A7"/>
    <w:rsid w:val="00E70CF3"/>
    <w:rsid w:val="00E710B6"/>
    <w:rsid w:val="00E71524"/>
    <w:rsid w:val="00E725A1"/>
    <w:rsid w:val="00E72E1A"/>
    <w:rsid w:val="00E73316"/>
    <w:rsid w:val="00E73384"/>
    <w:rsid w:val="00E73D2D"/>
    <w:rsid w:val="00E73EE5"/>
    <w:rsid w:val="00E75193"/>
    <w:rsid w:val="00E76831"/>
    <w:rsid w:val="00E76BA1"/>
    <w:rsid w:val="00E76D17"/>
    <w:rsid w:val="00E76DB9"/>
    <w:rsid w:val="00E77454"/>
    <w:rsid w:val="00E776CC"/>
    <w:rsid w:val="00E778ED"/>
    <w:rsid w:val="00E80964"/>
    <w:rsid w:val="00E80CCC"/>
    <w:rsid w:val="00E81352"/>
    <w:rsid w:val="00E81A80"/>
    <w:rsid w:val="00E81E87"/>
    <w:rsid w:val="00E83A0F"/>
    <w:rsid w:val="00E855BF"/>
    <w:rsid w:val="00E906DC"/>
    <w:rsid w:val="00E906DE"/>
    <w:rsid w:val="00E90E2F"/>
    <w:rsid w:val="00E90EEA"/>
    <w:rsid w:val="00E90FA4"/>
    <w:rsid w:val="00E9270F"/>
    <w:rsid w:val="00E9330C"/>
    <w:rsid w:val="00E937A4"/>
    <w:rsid w:val="00E94558"/>
    <w:rsid w:val="00E95372"/>
    <w:rsid w:val="00E95577"/>
    <w:rsid w:val="00E95A28"/>
    <w:rsid w:val="00E95B44"/>
    <w:rsid w:val="00E9727A"/>
    <w:rsid w:val="00E97956"/>
    <w:rsid w:val="00E97C3B"/>
    <w:rsid w:val="00EA0739"/>
    <w:rsid w:val="00EA117C"/>
    <w:rsid w:val="00EA1F5B"/>
    <w:rsid w:val="00EA256A"/>
    <w:rsid w:val="00EA290C"/>
    <w:rsid w:val="00EA42B2"/>
    <w:rsid w:val="00EA47AD"/>
    <w:rsid w:val="00EA5011"/>
    <w:rsid w:val="00EA5613"/>
    <w:rsid w:val="00EA6278"/>
    <w:rsid w:val="00EA6841"/>
    <w:rsid w:val="00EA6B61"/>
    <w:rsid w:val="00EA7324"/>
    <w:rsid w:val="00EA7BA4"/>
    <w:rsid w:val="00EB01A6"/>
    <w:rsid w:val="00EB04A3"/>
    <w:rsid w:val="00EB20A4"/>
    <w:rsid w:val="00EB2124"/>
    <w:rsid w:val="00EB24F6"/>
    <w:rsid w:val="00EB26E0"/>
    <w:rsid w:val="00EB2A69"/>
    <w:rsid w:val="00EB353A"/>
    <w:rsid w:val="00EB3617"/>
    <w:rsid w:val="00EB364B"/>
    <w:rsid w:val="00EB49BD"/>
    <w:rsid w:val="00EB4A80"/>
    <w:rsid w:val="00EB5097"/>
    <w:rsid w:val="00EB5CE1"/>
    <w:rsid w:val="00EB5DB5"/>
    <w:rsid w:val="00EB6120"/>
    <w:rsid w:val="00EB62B3"/>
    <w:rsid w:val="00EB6623"/>
    <w:rsid w:val="00EB68C0"/>
    <w:rsid w:val="00EB6FD1"/>
    <w:rsid w:val="00EB7021"/>
    <w:rsid w:val="00EB7574"/>
    <w:rsid w:val="00EB76BF"/>
    <w:rsid w:val="00EC1E67"/>
    <w:rsid w:val="00EC35B6"/>
    <w:rsid w:val="00EC418B"/>
    <w:rsid w:val="00EC4373"/>
    <w:rsid w:val="00EC4626"/>
    <w:rsid w:val="00EC4E01"/>
    <w:rsid w:val="00EC4FC9"/>
    <w:rsid w:val="00EC6502"/>
    <w:rsid w:val="00EC65F0"/>
    <w:rsid w:val="00EC6D67"/>
    <w:rsid w:val="00EC6F7B"/>
    <w:rsid w:val="00EC7A0D"/>
    <w:rsid w:val="00EC7DEA"/>
    <w:rsid w:val="00ED03F1"/>
    <w:rsid w:val="00ED0EAF"/>
    <w:rsid w:val="00ED0EB3"/>
    <w:rsid w:val="00ED1086"/>
    <w:rsid w:val="00ED173E"/>
    <w:rsid w:val="00ED1F7B"/>
    <w:rsid w:val="00ED1FF1"/>
    <w:rsid w:val="00ED20AE"/>
    <w:rsid w:val="00ED2F68"/>
    <w:rsid w:val="00ED4F70"/>
    <w:rsid w:val="00ED507D"/>
    <w:rsid w:val="00ED5A21"/>
    <w:rsid w:val="00ED6363"/>
    <w:rsid w:val="00ED6445"/>
    <w:rsid w:val="00ED7808"/>
    <w:rsid w:val="00ED7989"/>
    <w:rsid w:val="00EE09E7"/>
    <w:rsid w:val="00EE0CE7"/>
    <w:rsid w:val="00EE137D"/>
    <w:rsid w:val="00EE1E24"/>
    <w:rsid w:val="00EE1F4B"/>
    <w:rsid w:val="00EE30B1"/>
    <w:rsid w:val="00EE3E56"/>
    <w:rsid w:val="00EE488C"/>
    <w:rsid w:val="00EE4FC8"/>
    <w:rsid w:val="00EE6CE1"/>
    <w:rsid w:val="00EE7199"/>
    <w:rsid w:val="00EE7691"/>
    <w:rsid w:val="00EE7B02"/>
    <w:rsid w:val="00EF0295"/>
    <w:rsid w:val="00EF050A"/>
    <w:rsid w:val="00EF1152"/>
    <w:rsid w:val="00EF1E00"/>
    <w:rsid w:val="00EF26C2"/>
    <w:rsid w:val="00EF28E2"/>
    <w:rsid w:val="00EF35BA"/>
    <w:rsid w:val="00EF36DC"/>
    <w:rsid w:val="00EF3EFC"/>
    <w:rsid w:val="00EF42A6"/>
    <w:rsid w:val="00EF4452"/>
    <w:rsid w:val="00EF48CE"/>
    <w:rsid w:val="00EF52F2"/>
    <w:rsid w:val="00EF5516"/>
    <w:rsid w:val="00EF55C7"/>
    <w:rsid w:val="00EF5B10"/>
    <w:rsid w:val="00EF685E"/>
    <w:rsid w:val="00EF6B14"/>
    <w:rsid w:val="00EF6FBF"/>
    <w:rsid w:val="00EF7D10"/>
    <w:rsid w:val="00F00AC6"/>
    <w:rsid w:val="00F011B9"/>
    <w:rsid w:val="00F01715"/>
    <w:rsid w:val="00F0254F"/>
    <w:rsid w:val="00F02F51"/>
    <w:rsid w:val="00F032AF"/>
    <w:rsid w:val="00F033C2"/>
    <w:rsid w:val="00F03C1C"/>
    <w:rsid w:val="00F043F7"/>
    <w:rsid w:val="00F0492D"/>
    <w:rsid w:val="00F0659A"/>
    <w:rsid w:val="00F068A5"/>
    <w:rsid w:val="00F10AB6"/>
    <w:rsid w:val="00F10EBF"/>
    <w:rsid w:val="00F1160E"/>
    <w:rsid w:val="00F116F8"/>
    <w:rsid w:val="00F1381B"/>
    <w:rsid w:val="00F138C3"/>
    <w:rsid w:val="00F142A2"/>
    <w:rsid w:val="00F1441E"/>
    <w:rsid w:val="00F14B00"/>
    <w:rsid w:val="00F1580A"/>
    <w:rsid w:val="00F15B0E"/>
    <w:rsid w:val="00F16038"/>
    <w:rsid w:val="00F16A6D"/>
    <w:rsid w:val="00F16E3E"/>
    <w:rsid w:val="00F16FE0"/>
    <w:rsid w:val="00F20A66"/>
    <w:rsid w:val="00F20BE1"/>
    <w:rsid w:val="00F21D02"/>
    <w:rsid w:val="00F220B5"/>
    <w:rsid w:val="00F22BB9"/>
    <w:rsid w:val="00F23A13"/>
    <w:rsid w:val="00F23D75"/>
    <w:rsid w:val="00F24409"/>
    <w:rsid w:val="00F24A4F"/>
    <w:rsid w:val="00F24E47"/>
    <w:rsid w:val="00F25D6F"/>
    <w:rsid w:val="00F264E8"/>
    <w:rsid w:val="00F26DDD"/>
    <w:rsid w:val="00F275EB"/>
    <w:rsid w:val="00F304A7"/>
    <w:rsid w:val="00F3062D"/>
    <w:rsid w:val="00F32270"/>
    <w:rsid w:val="00F32757"/>
    <w:rsid w:val="00F332C0"/>
    <w:rsid w:val="00F33FCC"/>
    <w:rsid w:val="00F3409A"/>
    <w:rsid w:val="00F34AE4"/>
    <w:rsid w:val="00F35078"/>
    <w:rsid w:val="00F35516"/>
    <w:rsid w:val="00F360A8"/>
    <w:rsid w:val="00F360B1"/>
    <w:rsid w:val="00F3775A"/>
    <w:rsid w:val="00F37CBC"/>
    <w:rsid w:val="00F37F8A"/>
    <w:rsid w:val="00F40092"/>
    <w:rsid w:val="00F40DA1"/>
    <w:rsid w:val="00F41089"/>
    <w:rsid w:val="00F41246"/>
    <w:rsid w:val="00F41A5C"/>
    <w:rsid w:val="00F41DE6"/>
    <w:rsid w:val="00F41E3B"/>
    <w:rsid w:val="00F42564"/>
    <w:rsid w:val="00F429A9"/>
    <w:rsid w:val="00F42D49"/>
    <w:rsid w:val="00F4430F"/>
    <w:rsid w:val="00F446F7"/>
    <w:rsid w:val="00F4481D"/>
    <w:rsid w:val="00F44C7D"/>
    <w:rsid w:val="00F474B0"/>
    <w:rsid w:val="00F47A4F"/>
    <w:rsid w:val="00F50FA6"/>
    <w:rsid w:val="00F533BF"/>
    <w:rsid w:val="00F5403D"/>
    <w:rsid w:val="00F54717"/>
    <w:rsid w:val="00F5520E"/>
    <w:rsid w:val="00F55826"/>
    <w:rsid w:val="00F55AD2"/>
    <w:rsid w:val="00F56241"/>
    <w:rsid w:val="00F569AE"/>
    <w:rsid w:val="00F57EE3"/>
    <w:rsid w:val="00F61037"/>
    <w:rsid w:val="00F611ED"/>
    <w:rsid w:val="00F62788"/>
    <w:rsid w:val="00F62AED"/>
    <w:rsid w:val="00F62B4E"/>
    <w:rsid w:val="00F6328B"/>
    <w:rsid w:val="00F6351A"/>
    <w:rsid w:val="00F638AA"/>
    <w:rsid w:val="00F643B7"/>
    <w:rsid w:val="00F65124"/>
    <w:rsid w:val="00F6628E"/>
    <w:rsid w:val="00F66807"/>
    <w:rsid w:val="00F669E4"/>
    <w:rsid w:val="00F66A4B"/>
    <w:rsid w:val="00F670F3"/>
    <w:rsid w:val="00F67557"/>
    <w:rsid w:val="00F678CA"/>
    <w:rsid w:val="00F70039"/>
    <w:rsid w:val="00F7009A"/>
    <w:rsid w:val="00F72223"/>
    <w:rsid w:val="00F724B7"/>
    <w:rsid w:val="00F7339C"/>
    <w:rsid w:val="00F73BDF"/>
    <w:rsid w:val="00F73FA4"/>
    <w:rsid w:val="00F74DCA"/>
    <w:rsid w:val="00F753F8"/>
    <w:rsid w:val="00F755F0"/>
    <w:rsid w:val="00F75D42"/>
    <w:rsid w:val="00F7605A"/>
    <w:rsid w:val="00F761EA"/>
    <w:rsid w:val="00F763B9"/>
    <w:rsid w:val="00F766AF"/>
    <w:rsid w:val="00F76D5A"/>
    <w:rsid w:val="00F77D85"/>
    <w:rsid w:val="00F80EFD"/>
    <w:rsid w:val="00F81888"/>
    <w:rsid w:val="00F81989"/>
    <w:rsid w:val="00F82863"/>
    <w:rsid w:val="00F84F00"/>
    <w:rsid w:val="00F87316"/>
    <w:rsid w:val="00F901E8"/>
    <w:rsid w:val="00F915CB"/>
    <w:rsid w:val="00F91CBD"/>
    <w:rsid w:val="00F927B7"/>
    <w:rsid w:val="00F9371D"/>
    <w:rsid w:val="00F93AEE"/>
    <w:rsid w:val="00F942D0"/>
    <w:rsid w:val="00F94BBB"/>
    <w:rsid w:val="00F94EB7"/>
    <w:rsid w:val="00F95429"/>
    <w:rsid w:val="00F9661A"/>
    <w:rsid w:val="00F96694"/>
    <w:rsid w:val="00F9755D"/>
    <w:rsid w:val="00F9772D"/>
    <w:rsid w:val="00F97B60"/>
    <w:rsid w:val="00F97F0F"/>
    <w:rsid w:val="00FA0A7B"/>
    <w:rsid w:val="00FA0B2E"/>
    <w:rsid w:val="00FA106F"/>
    <w:rsid w:val="00FA1F87"/>
    <w:rsid w:val="00FA2434"/>
    <w:rsid w:val="00FA27C3"/>
    <w:rsid w:val="00FA27DB"/>
    <w:rsid w:val="00FA3F75"/>
    <w:rsid w:val="00FA3FBA"/>
    <w:rsid w:val="00FA497B"/>
    <w:rsid w:val="00FA4AB0"/>
    <w:rsid w:val="00FA58DC"/>
    <w:rsid w:val="00FA5F87"/>
    <w:rsid w:val="00FA64D5"/>
    <w:rsid w:val="00FA6BC7"/>
    <w:rsid w:val="00FA734B"/>
    <w:rsid w:val="00FA7E63"/>
    <w:rsid w:val="00FB00F1"/>
    <w:rsid w:val="00FB024A"/>
    <w:rsid w:val="00FB0330"/>
    <w:rsid w:val="00FB04EE"/>
    <w:rsid w:val="00FB1655"/>
    <w:rsid w:val="00FB2617"/>
    <w:rsid w:val="00FB2B5E"/>
    <w:rsid w:val="00FB2EB7"/>
    <w:rsid w:val="00FB5A50"/>
    <w:rsid w:val="00FB63F2"/>
    <w:rsid w:val="00FB6A6F"/>
    <w:rsid w:val="00FB6AD8"/>
    <w:rsid w:val="00FB72F3"/>
    <w:rsid w:val="00FB7749"/>
    <w:rsid w:val="00FB78BE"/>
    <w:rsid w:val="00FB7976"/>
    <w:rsid w:val="00FB7ED5"/>
    <w:rsid w:val="00FC0193"/>
    <w:rsid w:val="00FC0B5E"/>
    <w:rsid w:val="00FC1665"/>
    <w:rsid w:val="00FC1F68"/>
    <w:rsid w:val="00FC2911"/>
    <w:rsid w:val="00FC29A2"/>
    <w:rsid w:val="00FC30AD"/>
    <w:rsid w:val="00FC348D"/>
    <w:rsid w:val="00FC5A7B"/>
    <w:rsid w:val="00FC5C24"/>
    <w:rsid w:val="00FC5F97"/>
    <w:rsid w:val="00FC67B4"/>
    <w:rsid w:val="00FC78A7"/>
    <w:rsid w:val="00FD00B8"/>
    <w:rsid w:val="00FD0A10"/>
    <w:rsid w:val="00FD19B3"/>
    <w:rsid w:val="00FD20D3"/>
    <w:rsid w:val="00FD3C48"/>
    <w:rsid w:val="00FD3D2A"/>
    <w:rsid w:val="00FD4869"/>
    <w:rsid w:val="00FD5320"/>
    <w:rsid w:val="00FD5F6F"/>
    <w:rsid w:val="00FD6413"/>
    <w:rsid w:val="00FD6F7C"/>
    <w:rsid w:val="00FD7285"/>
    <w:rsid w:val="00FD73C6"/>
    <w:rsid w:val="00FD74D5"/>
    <w:rsid w:val="00FE0707"/>
    <w:rsid w:val="00FE08FE"/>
    <w:rsid w:val="00FE10FD"/>
    <w:rsid w:val="00FE1558"/>
    <w:rsid w:val="00FE2ADB"/>
    <w:rsid w:val="00FE3DEC"/>
    <w:rsid w:val="00FE4569"/>
    <w:rsid w:val="00FE4D6B"/>
    <w:rsid w:val="00FE4EE2"/>
    <w:rsid w:val="00FE5523"/>
    <w:rsid w:val="00FE5F90"/>
    <w:rsid w:val="00FE6060"/>
    <w:rsid w:val="00FE620D"/>
    <w:rsid w:val="00FE6B8E"/>
    <w:rsid w:val="00FE6BAD"/>
    <w:rsid w:val="00FE70DD"/>
    <w:rsid w:val="00FE7CD0"/>
    <w:rsid w:val="00FE7CD7"/>
    <w:rsid w:val="00FE7DB2"/>
    <w:rsid w:val="00FF15FF"/>
    <w:rsid w:val="00FF1F12"/>
    <w:rsid w:val="00FF21D3"/>
    <w:rsid w:val="00FF2212"/>
    <w:rsid w:val="00FF232F"/>
    <w:rsid w:val="00FF248E"/>
    <w:rsid w:val="00FF3C3F"/>
    <w:rsid w:val="00FF3D60"/>
    <w:rsid w:val="00FF4193"/>
    <w:rsid w:val="00FF448C"/>
    <w:rsid w:val="00FF7BB7"/>
    <w:rsid w:val="03A4D4B5"/>
    <w:rsid w:val="0435B6AC"/>
    <w:rsid w:val="07B42618"/>
    <w:rsid w:val="0828EAF6"/>
    <w:rsid w:val="087456DD"/>
    <w:rsid w:val="08872415"/>
    <w:rsid w:val="08A483A4"/>
    <w:rsid w:val="08D020C1"/>
    <w:rsid w:val="0A244C96"/>
    <w:rsid w:val="0BFD2CC7"/>
    <w:rsid w:val="0C7F9696"/>
    <w:rsid w:val="0CCED887"/>
    <w:rsid w:val="0D38F274"/>
    <w:rsid w:val="0E5ECE56"/>
    <w:rsid w:val="103BEEC4"/>
    <w:rsid w:val="11D11BDF"/>
    <w:rsid w:val="1216A5E8"/>
    <w:rsid w:val="1226E714"/>
    <w:rsid w:val="12FE951F"/>
    <w:rsid w:val="1417DEBE"/>
    <w:rsid w:val="151B4298"/>
    <w:rsid w:val="15411991"/>
    <w:rsid w:val="156CC843"/>
    <w:rsid w:val="1698C730"/>
    <w:rsid w:val="172EEACB"/>
    <w:rsid w:val="177F462E"/>
    <w:rsid w:val="186CAF2A"/>
    <w:rsid w:val="1D68E628"/>
    <w:rsid w:val="1D8518D5"/>
    <w:rsid w:val="1D96AAB7"/>
    <w:rsid w:val="1F475027"/>
    <w:rsid w:val="201347B1"/>
    <w:rsid w:val="23C4C4F8"/>
    <w:rsid w:val="24E8CCCF"/>
    <w:rsid w:val="267EF528"/>
    <w:rsid w:val="26A5365C"/>
    <w:rsid w:val="28160866"/>
    <w:rsid w:val="28CDBA1E"/>
    <w:rsid w:val="29BE34CF"/>
    <w:rsid w:val="2A1E2F95"/>
    <w:rsid w:val="2A49BF63"/>
    <w:rsid w:val="2AB0587C"/>
    <w:rsid w:val="2B1659A6"/>
    <w:rsid w:val="2DDFFAF7"/>
    <w:rsid w:val="2E70B2E1"/>
    <w:rsid w:val="2E8CA843"/>
    <w:rsid w:val="2F560D75"/>
    <w:rsid w:val="30B2D924"/>
    <w:rsid w:val="30E9ECC7"/>
    <w:rsid w:val="324910DF"/>
    <w:rsid w:val="357D8D14"/>
    <w:rsid w:val="35C42579"/>
    <w:rsid w:val="36EA22AA"/>
    <w:rsid w:val="3955C82C"/>
    <w:rsid w:val="3AFD9C59"/>
    <w:rsid w:val="3B348AFE"/>
    <w:rsid w:val="3F237044"/>
    <w:rsid w:val="402AC808"/>
    <w:rsid w:val="40988AE5"/>
    <w:rsid w:val="4142961E"/>
    <w:rsid w:val="41DDB787"/>
    <w:rsid w:val="42229A9F"/>
    <w:rsid w:val="42C305BB"/>
    <w:rsid w:val="43BB69D6"/>
    <w:rsid w:val="43C6F44C"/>
    <w:rsid w:val="4599B501"/>
    <w:rsid w:val="45FCBDC6"/>
    <w:rsid w:val="46529D23"/>
    <w:rsid w:val="46F446FF"/>
    <w:rsid w:val="479E4BED"/>
    <w:rsid w:val="47F8A2E4"/>
    <w:rsid w:val="48F965EB"/>
    <w:rsid w:val="49029465"/>
    <w:rsid w:val="498686E5"/>
    <w:rsid w:val="4A6B3922"/>
    <w:rsid w:val="4E9F78B8"/>
    <w:rsid w:val="4FA05A3E"/>
    <w:rsid w:val="50919424"/>
    <w:rsid w:val="520B9B95"/>
    <w:rsid w:val="542B7A0C"/>
    <w:rsid w:val="56D94614"/>
    <w:rsid w:val="56DE2244"/>
    <w:rsid w:val="574B4254"/>
    <w:rsid w:val="5774B328"/>
    <w:rsid w:val="583B7461"/>
    <w:rsid w:val="592EF884"/>
    <w:rsid w:val="5A30D63C"/>
    <w:rsid w:val="5E1C5D0A"/>
    <w:rsid w:val="5E7A63F4"/>
    <w:rsid w:val="5E83745D"/>
    <w:rsid w:val="5F6FAAD9"/>
    <w:rsid w:val="5F79EB1E"/>
    <w:rsid w:val="5FCB207A"/>
    <w:rsid w:val="618946A0"/>
    <w:rsid w:val="61BBF2B7"/>
    <w:rsid w:val="63432290"/>
    <w:rsid w:val="63BD0C6A"/>
    <w:rsid w:val="64100E7C"/>
    <w:rsid w:val="64292EC8"/>
    <w:rsid w:val="6470AA36"/>
    <w:rsid w:val="65E447D2"/>
    <w:rsid w:val="6668F111"/>
    <w:rsid w:val="6892F00B"/>
    <w:rsid w:val="6BB8BD1E"/>
    <w:rsid w:val="6C376015"/>
    <w:rsid w:val="6D0D4AFB"/>
    <w:rsid w:val="6F4D0D09"/>
    <w:rsid w:val="6FF7D1E1"/>
    <w:rsid w:val="72DBA057"/>
    <w:rsid w:val="72FD3B1D"/>
    <w:rsid w:val="7368BAEF"/>
    <w:rsid w:val="742D8E3F"/>
    <w:rsid w:val="7643B5AD"/>
    <w:rsid w:val="76C8B4D3"/>
    <w:rsid w:val="77A07632"/>
    <w:rsid w:val="7838B939"/>
    <w:rsid w:val="7A50E5CC"/>
    <w:rsid w:val="7ABC76EB"/>
    <w:rsid w:val="7ADB271E"/>
    <w:rsid w:val="7B1EE2E4"/>
    <w:rsid w:val="7C052D14"/>
    <w:rsid w:val="7DF94BF3"/>
    <w:rsid w:val="7ED66840"/>
    <w:rsid w:val="7F6BF2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03D59"/>
  <w15:chartTrackingRefBased/>
  <w15:docId w15:val="{2EAD8976-90E7-47A4-AD45-E9A6A147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4C5"/>
    <w:pPr>
      <w:spacing w:before="120" w:after="120" w:line="240" w:lineRule="auto"/>
    </w:pPr>
    <w:rPr>
      <w:sz w:val="24"/>
      <w:szCs w:val="24"/>
    </w:rPr>
  </w:style>
  <w:style w:type="paragraph" w:styleId="Heading1">
    <w:name w:val="heading 1"/>
    <w:basedOn w:val="Normal"/>
    <w:next w:val="Normal"/>
    <w:link w:val="Heading1Char"/>
    <w:uiPriority w:val="9"/>
    <w:qFormat/>
    <w:rsid w:val="00917329"/>
    <w:pPr>
      <w:keepNext/>
      <w:keepLines/>
      <w:contextualSpacing/>
      <w:outlineLvl w:val="0"/>
    </w:pPr>
    <w:rPr>
      <w:rFonts w:asciiTheme="majorHAnsi" w:eastAsiaTheme="majorEastAsia" w:hAnsiTheme="majorHAnsi" w:cstheme="majorBidi"/>
      <w:color w:val="0766A5" w:themeColor="accent1"/>
      <w:sz w:val="72"/>
      <w:szCs w:val="32"/>
    </w:rPr>
  </w:style>
  <w:style w:type="paragraph" w:styleId="Heading2">
    <w:name w:val="heading 2"/>
    <w:basedOn w:val="Normal"/>
    <w:next w:val="Normal"/>
    <w:link w:val="Heading2Char"/>
    <w:uiPriority w:val="9"/>
    <w:unhideWhenUsed/>
    <w:qFormat/>
    <w:rsid w:val="00BF6930"/>
    <w:pPr>
      <w:keepNext/>
      <w:keepLines/>
      <w:spacing w:before="360"/>
      <w:outlineLvl w:val="1"/>
    </w:pPr>
    <w:rPr>
      <w:rFonts w:asciiTheme="majorHAnsi" w:eastAsiaTheme="majorEastAsia" w:hAnsiTheme="majorHAnsi" w:cstheme="majorBidi"/>
      <w:color w:val="0766A5" w:themeColor="accent1"/>
      <w:sz w:val="48"/>
      <w:szCs w:val="48"/>
    </w:rPr>
  </w:style>
  <w:style w:type="paragraph" w:styleId="Heading3">
    <w:name w:val="heading 3"/>
    <w:basedOn w:val="Normal"/>
    <w:next w:val="Normal"/>
    <w:link w:val="Heading3Char"/>
    <w:uiPriority w:val="9"/>
    <w:unhideWhenUsed/>
    <w:qFormat/>
    <w:rsid w:val="00BF6930"/>
    <w:pPr>
      <w:keepNext/>
      <w:keepLines/>
      <w:spacing w:before="240"/>
      <w:outlineLvl w:val="2"/>
    </w:pPr>
    <w:rPr>
      <w:rFonts w:asciiTheme="majorHAnsi" w:eastAsiaTheme="majorEastAsia" w:hAnsiTheme="majorHAnsi" w:cstheme="majorBidi"/>
      <w:color w:val="0766A5" w:themeColor="accent1"/>
      <w:sz w:val="40"/>
      <w:szCs w:val="40"/>
    </w:rPr>
  </w:style>
  <w:style w:type="paragraph" w:styleId="Heading4">
    <w:name w:val="heading 4"/>
    <w:basedOn w:val="Normal"/>
    <w:next w:val="Normal"/>
    <w:link w:val="Heading4Char"/>
    <w:uiPriority w:val="9"/>
    <w:unhideWhenUsed/>
    <w:qFormat/>
    <w:rsid w:val="00BF6930"/>
    <w:pPr>
      <w:keepNext/>
      <w:keepLines/>
      <w:spacing w:before="240"/>
      <w:outlineLvl w:val="3"/>
    </w:pPr>
    <w:rPr>
      <w:rFonts w:asciiTheme="majorHAnsi" w:eastAsiaTheme="majorEastAsia" w:hAnsiTheme="majorHAnsi" w:cstheme="majorBidi"/>
      <w:iCs/>
      <w:color w:val="0766A5" w:themeColor="accent1"/>
      <w:sz w:val="32"/>
      <w:szCs w:val="28"/>
    </w:rPr>
  </w:style>
  <w:style w:type="paragraph" w:styleId="Heading5">
    <w:name w:val="heading 5"/>
    <w:basedOn w:val="Normal"/>
    <w:next w:val="Normal"/>
    <w:link w:val="Heading5Char"/>
    <w:uiPriority w:val="9"/>
    <w:unhideWhenUsed/>
    <w:qFormat/>
    <w:rsid w:val="00900E48"/>
    <w:pPr>
      <w:keepNext/>
      <w:keepLines/>
      <w:spacing w:before="240"/>
      <w:outlineLvl w:val="4"/>
    </w:pPr>
    <w:rPr>
      <w:rFonts w:asciiTheme="majorHAnsi" w:eastAsiaTheme="majorEastAsia" w:hAnsiTheme="majorHAnsi" w:cstheme="majorBidi"/>
      <w:color w:val="0766A5" w:themeColor="accent1"/>
      <w:sz w:val="26"/>
      <w:szCs w:val="26"/>
    </w:rPr>
  </w:style>
  <w:style w:type="paragraph" w:styleId="Heading6">
    <w:name w:val="heading 6"/>
    <w:basedOn w:val="Normal"/>
    <w:next w:val="Normal"/>
    <w:link w:val="Heading6Char"/>
    <w:uiPriority w:val="9"/>
    <w:unhideWhenUsed/>
    <w:qFormat/>
    <w:rsid w:val="00C50A9A"/>
    <w:pPr>
      <w:keepNext/>
      <w:keepLines/>
      <w:spacing w:before="2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qFormat/>
    <w:rsid w:val="00C50A9A"/>
    <w:pPr>
      <w:keepNext/>
      <w:keepLines/>
      <w:spacing w:before="240"/>
      <w:outlineLvl w:val="6"/>
    </w:pPr>
    <w:rPr>
      <w:rFonts w:asciiTheme="majorHAnsi" w:eastAsiaTheme="majorEastAsia" w:hAnsiTheme="majorHAnsi" w:cstheme="majorBidi"/>
      <w:b/>
      <w:iCs/>
      <w:color w:val="0766A5" w:themeColor="accent1"/>
    </w:rPr>
  </w:style>
  <w:style w:type="paragraph" w:styleId="Heading8">
    <w:name w:val="heading 8"/>
    <w:basedOn w:val="Normal"/>
    <w:next w:val="Normal"/>
    <w:link w:val="Heading8Char"/>
    <w:uiPriority w:val="9"/>
    <w:unhideWhenUsed/>
    <w:qFormat/>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917329"/>
    <w:rPr>
      <w:rFonts w:asciiTheme="majorHAnsi" w:eastAsiaTheme="majorEastAsia" w:hAnsiTheme="majorHAnsi" w:cstheme="majorBidi"/>
      <w:color w:val="0766A5" w:themeColor="accent1"/>
      <w:sz w:val="72"/>
      <w:szCs w:val="32"/>
    </w:rPr>
  </w:style>
  <w:style w:type="table" w:customStyle="1" w:styleId="Verticaltable">
    <w:name w:val="Vertical table"/>
    <w:basedOn w:val="TableNormal"/>
    <w:uiPriority w:val="99"/>
    <w:rsid w:val="00BF6930"/>
    <w:pPr>
      <w:spacing w:after="0" w:line="240" w:lineRule="auto"/>
    </w:pPr>
    <w:tblPr>
      <w:tblBorders>
        <w:top w:val="single" w:sz="4" w:space="0" w:color="001B35" w:themeColor="background2"/>
        <w:left w:val="single" w:sz="4" w:space="0" w:color="001B35" w:themeColor="background2"/>
        <w:bottom w:val="single" w:sz="4" w:space="0" w:color="001B35" w:themeColor="background2"/>
        <w:right w:val="single" w:sz="4" w:space="0" w:color="001B35" w:themeColor="background2"/>
        <w:insideH w:val="single" w:sz="4" w:space="0" w:color="001B35" w:themeColor="background2"/>
        <w:insideV w:val="single" w:sz="4" w:space="0" w:color="001B35" w:themeColor="background2"/>
      </w:tblBorders>
    </w:tblPr>
    <w:tblStylePr w:type="lastRow">
      <w:rPr>
        <w:b w:val="0"/>
      </w:rPr>
    </w:tblStylePr>
    <w:tblStylePr w:type="firstCol">
      <w:rPr>
        <w:b/>
        <w:color w:val="FFFFFF" w:themeColor="background1"/>
      </w:rPr>
      <w:tblPr/>
      <w:tcPr>
        <w:shd w:val="clear" w:color="auto" w:fill="0766A5" w:themeFill="accent1"/>
      </w:tcPr>
    </w:tblStylePr>
  </w:style>
  <w:style w:type="character" w:styleId="FollowedHyperlink">
    <w:name w:val="FollowedHyperlink"/>
    <w:basedOn w:val="DefaultParagraphFont"/>
    <w:uiPriority w:val="99"/>
    <w:semiHidden/>
    <w:unhideWhenUsed/>
    <w:rsid w:val="00872DFF"/>
    <w:rPr>
      <w:color w:val="001B35" w:themeColor="followedHyperlink"/>
      <w:u w:val="single"/>
    </w:rPr>
  </w:style>
  <w:style w:type="paragraph" w:styleId="Subtitle">
    <w:name w:val="Subtitle"/>
    <w:basedOn w:val="Normal"/>
    <w:next w:val="Normal"/>
    <w:link w:val="SubtitleChar"/>
    <w:uiPriority w:val="11"/>
    <w:qFormat/>
    <w:rsid w:val="00BF6930"/>
    <w:pPr>
      <w:numPr>
        <w:ilvl w:val="1"/>
      </w:numPr>
    </w:pPr>
    <w:rPr>
      <w:rFonts w:eastAsiaTheme="minorEastAsia"/>
      <w:color w:val="001B35" w:themeColor="background2"/>
      <w:sz w:val="40"/>
    </w:rPr>
  </w:style>
  <w:style w:type="character" w:customStyle="1" w:styleId="SubtitleChar">
    <w:name w:val="Subtitle Char"/>
    <w:basedOn w:val="DefaultParagraphFont"/>
    <w:link w:val="Subtitle"/>
    <w:uiPriority w:val="11"/>
    <w:rsid w:val="00BF6930"/>
    <w:rPr>
      <w:rFonts w:eastAsiaTheme="minorEastAsia"/>
      <w:color w:val="001B35" w:themeColor="background2"/>
      <w:sz w:val="40"/>
    </w:rPr>
  </w:style>
  <w:style w:type="character" w:customStyle="1" w:styleId="Heading2Char">
    <w:name w:val="Heading 2 Char"/>
    <w:basedOn w:val="DefaultParagraphFont"/>
    <w:link w:val="Heading2"/>
    <w:uiPriority w:val="9"/>
    <w:rsid w:val="00BF6930"/>
    <w:rPr>
      <w:rFonts w:asciiTheme="majorHAnsi" w:eastAsiaTheme="majorEastAsia" w:hAnsiTheme="majorHAnsi" w:cstheme="majorBidi"/>
      <w:color w:val="0766A5" w:themeColor="accent1"/>
      <w:sz w:val="48"/>
      <w:szCs w:val="48"/>
    </w:rPr>
  </w:style>
  <w:style w:type="character" w:customStyle="1" w:styleId="Heading3Char">
    <w:name w:val="Heading 3 Char"/>
    <w:basedOn w:val="DefaultParagraphFont"/>
    <w:link w:val="Heading3"/>
    <w:uiPriority w:val="9"/>
    <w:rsid w:val="00BF6930"/>
    <w:rPr>
      <w:rFonts w:asciiTheme="majorHAnsi" w:eastAsiaTheme="majorEastAsia" w:hAnsiTheme="majorHAnsi" w:cstheme="majorBidi"/>
      <w:color w:val="0766A5" w:themeColor="accent1"/>
      <w:sz w:val="40"/>
      <w:szCs w:val="40"/>
    </w:rPr>
  </w:style>
  <w:style w:type="character" w:customStyle="1" w:styleId="Heading4Char">
    <w:name w:val="Heading 4 Char"/>
    <w:basedOn w:val="DefaultParagraphFont"/>
    <w:link w:val="Heading4"/>
    <w:uiPriority w:val="9"/>
    <w:rsid w:val="00BF6930"/>
    <w:rPr>
      <w:rFonts w:asciiTheme="majorHAnsi" w:eastAsiaTheme="majorEastAsia" w:hAnsiTheme="majorHAnsi" w:cstheme="majorBidi"/>
      <w:iCs/>
      <w:color w:val="0766A5" w:themeColor="accent1"/>
      <w:sz w:val="32"/>
      <w:szCs w:val="28"/>
    </w:rPr>
  </w:style>
  <w:style w:type="character" w:customStyle="1" w:styleId="Heading5Char">
    <w:name w:val="Heading 5 Char"/>
    <w:basedOn w:val="DefaultParagraphFont"/>
    <w:link w:val="Heading5"/>
    <w:uiPriority w:val="9"/>
    <w:rsid w:val="00900E48"/>
    <w:rPr>
      <w:rFonts w:asciiTheme="majorHAnsi" w:eastAsiaTheme="majorEastAsia" w:hAnsiTheme="majorHAnsi" w:cstheme="majorBidi"/>
      <w:color w:val="0766A5" w:themeColor="accent1"/>
      <w:sz w:val="26"/>
      <w:szCs w:val="26"/>
    </w:rPr>
  </w:style>
  <w:style w:type="paragraph" w:styleId="Quote">
    <w:name w:val="Quote"/>
    <w:basedOn w:val="Normal"/>
    <w:next w:val="Normal"/>
    <w:link w:val="QuoteChar"/>
    <w:uiPriority w:val="29"/>
    <w:qFormat/>
    <w:rsid w:val="00BF6930"/>
    <w:pPr>
      <w:pBdr>
        <w:top w:val="single" w:sz="4" w:space="6" w:color="0766A5" w:themeColor="accent1"/>
        <w:bottom w:val="single" w:sz="4" w:space="6" w:color="0766A5" w:themeColor="accent1"/>
      </w:pBdr>
      <w:spacing w:before="240" w:after="240"/>
      <w:ind w:right="2835"/>
    </w:pPr>
    <w:rPr>
      <w:iCs/>
      <w:color w:val="000000" w:themeColor="text1"/>
    </w:rPr>
  </w:style>
  <w:style w:type="character" w:customStyle="1" w:styleId="QuoteChar">
    <w:name w:val="Quote Char"/>
    <w:basedOn w:val="DefaultParagraphFont"/>
    <w:link w:val="Quote"/>
    <w:uiPriority w:val="29"/>
    <w:rsid w:val="00BF6930"/>
    <w:rPr>
      <w:iCs/>
      <w:color w:val="000000" w:themeColor="text1"/>
      <w:sz w:val="24"/>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ListBullet2"/>
    <w:uiPriority w:val="34"/>
    <w:qFormat/>
    <w:rsid w:val="0027056B"/>
    <w:pPr>
      <w:contextualSpacing w:val="0"/>
    </w:pPr>
  </w:style>
  <w:style w:type="character" w:styleId="Hyperlink">
    <w:name w:val="Hyperlink"/>
    <w:basedOn w:val="DefaultParagraphFont"/>
    <w:uiPriority w:val="99"/>
    <w:unhideWhenUsed/>
    <w:rsid w:val="00BF6930"/>
    <w:rPr>
      <w:color w:val="0766A5" w:themeColor="accent1"/>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D357D8"/>
    <w:pPr>
      <w:tabs>
        <w:tab w:val="right" w:leader="dot" w:pos="9016"/>
      </w:tabs>
      <w:spacing w:after="100"/>
    </w:pPr>
    <w:rPr>
      <w:b/>
      <w:bCs/>
      <w:noProof/>
    </w:r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60000" w:themeColor="accent2"/>
        <w:left w:val="single" w:sz="4" w:space="0" w:color="960000" w:themeColor="accent2"/>
        <w:bottom w:val="single" w:sz="4" w:space="0" w:color="960000" w:themeColor="accent2"/>
        <w:right w:val="single" w:sz="4" w:space="0" w:color="960000" w:themeColor="accent2"/>
      </w:tblBorders>
    </w:tblPr>
    <w:tblStylePr w:type="firstRow">
      <w:rPr>
        <w:b/>
        <w:bCs/>
        <w:color w:val="FFFFFF" w:themeColor="background1"/>
      </w:rPr>
      <w:tblPr/>
      <w:tcPr>
        <w:shd w:val="clear" w:color="auto" w:fill="960000" w:themeFill="accent2"/>
      </w:tcPr>
    </w:tblStylePr>
    <w:tblStylePr w:type="lastRow">
      <w:rPr>
        <w:b/>
        <w:bCs/>
      </w:rPr>
      <w:tblPr/>
      <w:tcPr>
        <w:tcBorders>
          <w:top w:val="double" w:sz="4" w:space="0" w:color="96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0000" w:themeColor="accent2"/>
          <w:right w:val="single" w:sz="4" w:space="0" w:color="960000" w:themeColor="accent2"/>
        </w:tcBorders>
      </w:tcPr>
    </w:tblStylePr>
    <w:tblStylePr w:type="band1Horz">
      <w:tblPr/>
      <w:tcPr>
        <w:tcBorders>
          <w:top w:val="single" w:sz="4" w:space="0" w:color="960000" w:themeColor="accent2"/>
          <w:bottom w:val="single" w:sz="4" w:space="0" w:color="96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0000" w:themeColor="accent2"/>
          <w:left w:val="nil"/>
        </w:tcBorders>
      </w:tcPr>
    </w:tblStylePr>
    <w:tblStylePr w:type="swCell">
      <w:tblPr/>
      <w:tcPr>
        <w:tcBorders>
          <w:top w:val="double" w:sz="4" w:space="0" w:color="960000"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4999E1" w:themeColor="accent3"/>
        <w:left w:val="single" w:sz="4" w:space="0" w:color="4999E1" w:themeColor="accent3"/>
        <w:bottom w:val="single" w:sz="4" w:space="0" w:color="4999E1" w:themeColor="accent3"/>
        <w:right w:val="single" w:sz="4" w:space="0" w:color="4999E1" w:themeColor="accent3"/>
      </w:tblBorders>
    </w:tblPr>
    <w:tblStylePr w:type="firstRow">
      <w:rPr>
        <w:b/>
        <w:bCs/>
        <w:color w:val="FFFFFF" w:themeColor="background1"/>
      </w:rPr>
      <w:tblPr/>
      <w:tcPr>
        <w:shd w:val="clear" w:color="auto" w:fill="4999E1" w:themeFill="accent3"/>
      </w:tcPr>
    </w:tblStylePr>
    <w:tblStylePr w:type="lastRow">
      <w:rPr>
        <w:b/>
        <w:bCs/>
      </w:rPr>
      <w:tblPr/>
      <w:tcPr>
        <w:tcBorders>
          <w:top w:val="double" w:sz="4" w:space="0" w:color="4999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99E1" w:themeColor="accent3"/>
          <w:right w:val="single" w:sz="4" w:space="0" w:color="4999E1" w:themeColor="accent3"/>
        </w:tcBorders>
      </w:tcPr>
    </w:tblStylePr>
    <w:tblStylePr w:type="band1Horz">
      <w:tblPr/>
      <w:tcPr>
        <w:tcBorders>
          <w:top w:val="single" w:sz="4" w:space="0" w:color="4999E1" w:themeColor="accent3"/>
          <w:bottom w:val="single" w:sz="4" w:space="0" w:color="4999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99E1" w:themeColor="accent3"/>
          <w:left w:val="nil"/>
        </w:tcBorders>
      </w:tcPr>
    </w:tblStylePr>
    <w:tblStylePr w:type="swCell">
      <w:tblPr/>
      <w:tcPr>
        <w:tcBorders>
          <w:top w:val="double" w:sz="4" w:space="0" w:color="4999E1" w:themeColor="accent3"/>
          <w:right w:val="nil"/>
        </w:tcBorders>
      </w:tcPr>
    </w:tblStylePr>
  </w:style>
  <w:style w:type="paragraph" w:styleId="IntenseQuote">
    <w:name w:val="Intense Quote"/>
    <w:basedOn w:val="Normal"/>
    <w:next w:val="Normal"/>
    <w:link w:val="IntenseQuoteChar"/>
    <w:uiPriority w:val="30"/>
    <w:qFormat/>
    <w:rsid w:val="00BF6930"/>
    <w:pPr>
      <w:pBdr>
        <w:top w:val="single" w:sz="4" w:space="6" w:color="0766A5" w:themeColor="accent1"/>
        <w:bottom w:val="single" w:sz="4" w:space="6" w:color="0766A5" w:themeColor="accent1"/>
      </w:pBdr>
      <w:spacing w:before="360" w:after="360"/>
      <w:ind w:right="2835"/>
      <w:jc w:val="center"/>
    </w:pPr>
    <w:rPr>
      <w:b/>
      <w:iCs/>
    </w:rPr>
  </w:style>
  <w:style w:type="character" w:customStyle="1" w:styleId="IntenseQuoteChar">
    <w:name w:val="Intense Quote Char"/>
    <w:basedOn w:val="DefaultParagraphFont"/>
    <w:link w:val="IntenseQuote"/>
    <w:uiPriority w:val="30"/>
    <w:rsid w:val="00BF6930"/>
    <w:rPr>
      <w:b/>
      <w:iCs/>
      <w:sz w:val="24"/>
      <w:szCs w:val="24"/>
    </w:rPr>
  </w:style>
  <w:style w:type="paragraph" w:customStyle="1" w:styleId="Calloutbox">
    <w:name w:val="Call out box"/>
    <w:basedOn w:val="Normal"/>
    <w:qFormat/>
    <w:rsid w:val="00BF6930"/>
    <w:pPr>
      <w:pBdr>
        <w:top w:val="single" w:sz="4" w:space="6" w:color="E2E1E1" w:themeColor="accent5" w:themeTint="33"/>
        <w:left w:val="single" w:sz="4" w:space="4" w:color="E2E1E1" w:themeColor="accent5" w:themeTint="33"/>
        <w:bottom w:val="single" w:sz="4" w:space="6" w:color="E2E1E1" w:themeColor="accent5" w:themeTint="33"/>
        <w:right w:val="single" w:sz="4" w:space="4" w:color="E2E1E1" w:themeColor="accent5" w:themeTint="33"/>
      </w:pBdr>
      <w:shd w:val="clear" w:color="auto" w:fill="E2E1E1" w:themeFill="accent5" w:themeFillTint="33"/>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szCs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FF2727" w:themeColor="accent2" w:themeTint="99"/>
        <w:left w:val="single" w:sz="4" w:space="0" w:color="FF2727" w:themeColor="accent2" w:themeTint="99"/>
        <w:bottom w:val="single" w:sz="4" w:space="0" w:color="FF2727" w:themeColor="accent2" w:themeTint="99"/>
        <w:right w:val="single" w:sz="4" w:space="0" w:color="FF2727" w:themeColor="accent2" w:themeTint="99"/>
        <w:insideH w:val="single" w:sz="4" w:space="0" w:color="FF2727" w:themeColor="accent2" w:themeTint="99"/>
        <w:insideV w:val="single" w:sz="4" w:space="0" w:color="FF2727" w:themeColor="accent2" w:themeTint="99"/>
      </w:tblBorders>
    </w:tblPr>
    <w:tblStylePr w:type="firstRow">
      <w:rPr>
        <w:b/>
        <w:bCs/>
        <w:color w:val="FFFFFF" w:themeColor="background1"/>
      </w:rPr>
      <w:tblPr/>
      <w:tcPr>
        <w:tcBorders>
          <w:top w:val="single" w:sz="4" w:space="0" w:color="960000" w:themeColor="accent2"/>
          <w:left w:val="single" w:sz="4" w:space="0" w:color="960000" w:themeColor="accent2"/>
          <w:bottom w:val="single" w:sz="4" w:space="0" w:color="960000" w:themeColor="accent2"/>
          <w:right w:val="single" w:sz="4" w:space="0" w:color="960000" w:themeColor="accent2"/>
          <w:insideH w:val="nil"/>
          <w:insideV w:val="nil"/>
        </w:tcBorders>
        <w:shd w:val="clear" w:color="auto" w:fill="960000" w:themeFill="accent2"/>
      </w:tcPr>
    </w:tblStylePr>
    <w:tblStylePr w:type="lastRow">
      <w:rPr>
        <w:b/>
        <w:bCs/>
      </w:rPr>
      <w:tblPr/>
      <w:tcPr>
        <w:tcBorders>
          <w:top w:val="double" w:sz="4" w:space="0" w:color="960000" w:themeColor="accent2"/>
        </w:tcBorders>
      </w:tcPr>
    </w:tblStylePr>
    <w:tblStylePr w:type="firstCol">
      <w:rPr>
        <w:b/>
        <w:bCs/>
      </w:rPr>
    </w:tblStylePr>
    <w:tblStylePr w:type="lastCol">
      <w:rPr>
        <w:b/>
        <w:bCs/>
      </w:rPr>
    </w:tblStylePr>
    <w:tblStylePr w:type="band1Vert">
      <w:tblPr/>
      <w:tcPr>
        <w:shd w:val="clear" w:color="auto" w:fill="FFB7B7" w:themeFill="accent2" w:themeFillTint="33"/>
      </w:tcPr>
    </w:tblStylePr>
    <w:tblStylePr w:type="band1Horz">
      <w:tblPr/>
      <w:tcPr>
        <w:shd w:val="clear" w:color="auto" w:fill="FFB7B7"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FF6F6F" w:themeColor="accent2" w:themeTint="66"/>
        <w:left w:val="single" w:sz="4" w:space="0" w:color="FF6F6F" w:themeColor="accent2" w:themeTint="66"/>
        <w:bottom w:val="single" w:sz="4" w:space="0" w:color="FF6F6F" w:themeColor="accent2" w:themeTint="66"/>
        <w:right w:val="single" w:sz="4" w:space="0" w:color="FF6F6F" w:themeColor="accent2" w:themeTint="66"/>
        <w:insideH w:val="single" w:sz="4" w:space="0" w:color="FF6F6F" w:themeColor="accent2" w:themeTint="66"/>
        <w:insideV w:val="single" w:sz="4" w:space="0" w:color="FF6F6F" w:themeColor="accent2" w:themeTint="66"/>
      </w:tblBorders>
    </w:tblPr>
    <w:tblStylePr w:type="firstRow">
      <w:rPr>
        <w:b/>
        <w:bCs/>
      </w:rPr>
      <w:tblPr/>
      <w:tcPr>
        <w:tcBorders>
          <w:bottom w:val="single" w:sz="12" w:space="0" w:color="FF2727" w:themeColor="accent2" w:themeTint="99"/>
        </w:tcBorders>
      </w:tcPr>
    </w:tblStylePr>
    <w:tblStylePr w:type="lastRow">
      <w:rPr>
        <w:b/>
        <w:bCs/>
      </w:rPr>
      <w:tblPr/>
      <w:tcPr>
        <w:tcBorders>
          <w:top w:val="double" w:sz="2" w:space="0" w:color="FF2727"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3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66A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66A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66A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66A5" w:themeFill="accent1"/>
      </w:tcPr>
    </w:tblStylePr>
    <w:tblStylePr w:type="band1Vert">
      <w:tblPr/>
      <w:tcPr>
        <w:shd w:val="clear" w:color="auto" w:fill="7DC7F9" w:themeFill="accent1" w:themeFillTint="66"/>
      </w:tcPr>
    </w:tblStylePr>
    <w:tblStylePr w:type="band1Horz">
      <w:tblPr/>
      <w:tcPr>
        <w:shd w:val="clear" w:color="auto" w:fill="7DC7F9"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3CACF6" w:themeColor="accent1" w:themeTint="99"/>
        <w:left w:val="single" w:sz="4" w:space="0" w:color="3CACF6" w:themeColor="accent1" w:themeTint="99"/>
        <w:bottom w:val="single" w:sz="4" w:space="0" w:color="3CACF6" w:themeColor="accent1" w:themeTint="99"/>
        <w:right w:val="single" w:sz="4" w:space="0" w:color="3CACF6" w:themeColor="accent1" w:themeTint="99"/>
        <w:insideH w:val="single" w:sz="4" w:space="0" w:color="3CACF6" w:themeColor="accent1" w:themeTint="99"/>
        <w:insideV w:val="single" w:sz="4" w:space="0" w:color="3CACF6" w:themeColor="accent1" w:themeTint="99"/>
      </w:tblBorders>
    </w:tblPr>
    <w:tblStylePr w:type="firstRow">
      <w:rPr>
        <w:b/>
        <w:bCs/>
        <w:color w:val="FFFFFF" w:themeColor="background1"/>
      </w:rPr>
      <w:tblPr/>
      <w:tcPr>
        <w:shd w:val="clear" w:color="auto" w:fill="054C7B" w:themeFill="accent1" w:themeFillShade="BF"/>
      </w:tcPr>
    </w:tblStylePr>
    <w:tblStylePr w:type="lastRow">
      <w:rPr>
        <w:b/>
        <w:bCs/>
      </w:rPr>
      <w:tblPr/>
      <w:tcPr>
        <w:tcBorders>
          <w:top w:val="double" w:sz="4" w:space="0" w:color="0766A5" w:themeColor="accent1"/>
        </w:tcBorders>
      </w:tcPr>
    </w:tblStylePr>
    <w:tblStylePr w:type="firstCol">
      <w:rPr>
        <w:b/>
        <w:bCs/>
      </w:rPr>
    </w:tblStylePr>
    <w:tblStylePr w:type="lastCol">
      <w:rPr>
        <w:b/>
        <w:bCs/>
      </w:rPr>
    </w:tblStylePr>
    <w:tblStylePr w:type="band1Vert">
      <w:tblPr/>
      <w:tcPr>
        <w:shd w:val="clear" w:color="auto" w:fill="BEE3FC" w:themeFill="accent1" w:themeFillTint="33"/>
      </w:tcPr>
    </w:tblStylePr>
    <w:tblStylePr w:type="band1Horz">
      <w:tblPr/>
      <w:tcPr>
        <w:shd w:val="clear" w:color="auto" w:fill="BEE3FC"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A9A7A7" w:themeColor="accent5" w:themeTint="99"/>
        <w:left w:val="single" w:sz="4" w:space="0" w:color="A9A7A7" w:themeColor="accent5" w:themeTint="99"/>
        <w:bottom w:val="single" w:sz="4" w:space="0" w:color="A9A7A7" w:themeColor="accent5" w:themeTint="99"/>
        <w:right w:val="single" w:sz="4" w:space="0" w:color="A9A7A7" w:themeColor="accent5" w:themeTint="99"/>
        <w:insideH w:val="single" w:sz="4" w:space="0" w:color="A9A7A7" w:themeColor="accent5" w:themeTint="99"/>
        <w:insideV w:val="single" w:sz="4" w:space="0" w:color="A9A7A7" w:themeColor="accent5" w:themeTint="99"/>
      </w:tblBorders>
    </w:tblPr>
    <w:tblStylePr w:type="firstRow">
      <w:rPr>
        <w:b/>
        <w:bCs/>
        <w:color w:val="FFFFFF" w:themeColor="background1"/>
      </w:rPr>
      <w:tblPr/>
      <w:tcPr>
        <w:tcBorders>
          <w:top w:val="single" w:sz="4" w:space="0" w:color="706E6E" w:themeColor="accent5"/>
          <w:left w:val="single" w:sz="4" w:space="0" w:color="706E6E" w:themeColor="accent5"/>
          <w:bottom w:val="single" w:sz="4" w:space="0" w:color="706E6E" w:themeColor="accent5"/>
          <w:right w:val="single" w:sz="4" w:space="0" w:color="706E6E" w:themeColor="accent5"/>
          <w:insideH w:val="nil"/>
          <w:insideV w:val="nil"/>
        </w:tcBorders>
        <w:shd w:val="clear" w:color="auto" w:fill="706E6E" w:themeFill="accent5"/>
      </w:tcPr>
    </w:tblStylePr>
    <w:tblStylePr w:type="lastRow">
      <w:rPr>
        <w:b/>
        <w:bCs/>
      </w:rPr>
      <w:tblPr/>
      <w:tcPr>
        <w:tcBorders>
          <w:top w:val="double" w:sz="4" w:space="0" w:color="706E6E" w:themeColor="accent5"/>
        </w:tcBorders>
      </w:tcPr>
    </w:tblStylePr>
    <w:tblStylePr w:type="firstCol">
      <w:rPr>
        <w:b/>
        <w:bCs/>
      </w:rPr>
    </w:tblStylePr>
    <w:tblStylePr w:type="lastCol">
      <w:rPr>
        <w:b/>
        <w:bCs/>
      </w:rPr>
    </w:tblStylePr>
    <w:tblStylePr w:type="band1Vert">
      <w:tblPr/>
      <w:tcPr>
        <w:shd w:val="clear" w:color="auto" w:fill="E2E1E1" w:themeFill="accent5" w:themeFillTint="33"/>
      </w:tcPr>
    </w:tblStylePr>
    <w:tblStylePr w:type="band1Horz">
      <w:tblPr/>
      <w:tcPr>
        <w:shd w:val="clear" w:color="auto" w:fill="E2E1E1" w:themeFill="accent5" w:themeFillTint="33"/>
      </w:tcPr>
    </w:tblStylePr>
  </w:style>
  <w:style w:type="table" w:styleId="GridTable4-Accent4">
    <w:name w:val="Grid Table 4 Accent 4"/>
    <w:aliases w:val="DISR banded - Table 2"/>
    <w:basedOn w:val="TableNormal"/>
    <w:uiPriority w:val="49"/>
    <w:rsid w:val="00BF6930"/>
    <w:pPr>
      <w:spacing w:after="0" w:line="240" w:lineRule="auto"/>
    </w:pPr>
    <w:tblPr>
      <w:tblStyleRowBandSize w:val="1"/>
      <w:tblStyleColBandSize w:val="1"/>
      <w:tblBorders>
        <w:top w:val="single" w:sz="4" w:space="0" w:color="0766A5" w:themeColor="accent1"/>
        <w:left w:val="single" w:sz="4" w:space="0" w:color="0766A5" w:themeColor="accent1"/>
        <w:bottom w:val="single" w:sz="4" w:space="0" w:color="0766A5" w:themeColor="accent1"/>
        <w:right w:val="single" w:sz="4" w:space="0" w:color="0766A5" w:themeColor="accent1"/>
        <w:insideH w:val="single" w:sz="4" w:space="0" w:color="0766A5" w:themeColor="accent1"/>
        <w:insideV w:val="single" w:sz="4" w:space="0" w:color="0766A5" w:themeColor="accent1"/>
      </w:tblBorders>
    </w:tblPr>
    <w:tblStylePr w:type="firstRow">
      <w:rPr>
        <w:b/>
        <w:bCs/>
        <w:color w:val="FFFFFF" w:themeColor="background1"/>
      </w:rPr>
      <w:tblPr/>
      <w:tcPr>
        <w:shd w:val="clear" w:color="auto" w:fill="0766A5" w:themeFill="accent1"/>
      </w:tcPr>
    </w:tblStylePr>
    <w:tblStylePr w:type="lastRow">
      <w:rPr>
        <w:b/>
        <w:bCs/>
      </w:rPr>
      <w:tblPr/>
      <w:tcPr>
        <w:tcBorders>
          <w:top w:val="single" w:sz="18" w:space="0" w:color="0B474D" w:themeColor="accent4"/>
        </w:tcBorders>
      </w:tcPr>
    </w:tblStylePr>
    <w:tblStylePr w:type="firstCol">
      <w:rPr>
        <w:b/>
        <w:bCs/>
      </w:rPr>
    </w:tblStylePr>
    <w:tblStylePr w:type="lastCol">
      <w:rPr>
        <w:b/>
        <w:bCs/>
      </w:rPr>
    </w:tblStylePr>
    <w:tblStylePr w:type="band1Vert">
      <w:tblPr/>
      <w:tcPr>
        <w:shd w:val="clear" w:color="auto" w:fill="B4EEF4" w:themeFill="accent4" w:themeFillTint="33"/>
      </w:tcPr>
    </w:tblStylePr>
    <w:tblStylePr w:type="band1Horz">
      <w:tblPr/>
      <w:tcPr>
        <w:shd w:val="clear" w:color="auto" w:fill="E2E1E1" w:themeFill="accent5"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91C1ED" w:themeColor="accent3" w:themeTint="99"/>
        <w:left w:val="single" w:sz="4" w:space="0" w:color="91C1ED" w:themeColor="accent3" w:themeTint="99"/>
        <w:bottom w:val="single" w:sz="4" w:space="0" w:color="91C1ED" w:themeColor="accent3" w:themeTint="99"/>
        <w:right w:val="single" w:sz="4" w:space="0" w:color="91C1ED" w:themeColor="accent3" w:themeTint="99"/>
        <w:insideH w:val="single" w:sz="4" w:space="0" w:color="91C1ED" w:themeColor="accent3" w:themeTint="99"/>
        <w:insideV w:val="single" w:sz="4" w:space="0" w:color="91C1ED" w:themeColor="accent3" w:themeTint="99"/>
      </w:tblBorders>
    </w:tblPr>
    <w:tblStylePr w:type="firstRow">
      <w:rPr>
        <w:b/>
        <w:bCs/>
        <w:color w:val="FFFFFF" w:themeColor="background1"/>
      </w:rPr>
      <w:tblPr/>
      <w:tcPr>
        <w:tcBorders>
          <w:top w:val="single" w:sz="4" w:space="0" w:color="4999E1" w:themeColor="accent3"/>
          <w:left w:val="single" w:sz="4" w:space="0" w:color="4999E1" w:themeColor="accent3"/>
          <w:bottom w:val="single" w:sz="4" w:space="0" w:color="4999E1" w:themeColor="accent3"/>
          <w:right w:val="single" w:sz="4" w:space="0" w:color="4999E1" w:themeColor="accent3"/>
          <w:insideH w:val="nil"/>
          <w:insideV w:val="nil"/>
        </w:tcBorders>
        <w:shd w:val="clear" w:color="auto" w:fill="4999E1" w:themeFill="accent3"/>
      </w:tcPr>
    </w:tblStylePr>
    <w:tblStylePr w:type="lastRow">
      <w:rPr>
        <w:b/>
        <w:bCs/>
      </w:rPr>
      <w:tblPr/>
      <w:tcPr>
        <w:tcBorders>
          <w:top w:val="double" w:sz="4" w:space="0" w:color="4999E1" w:themeColor="accent3"/>
        </w:tcBorders>
      </w:tcPr>
    </w:tblStylePr>
    <w:tblStylePr w:type="firstCol">
      <w:rPr>
        <w:b/>
        <w:bCs/>
      </w:rPr>
    </w:tblStylePr>
    <w:tblStylePr w:type="lastCol">
      <w:rPr>
        <w:b/>
        <w:bCs/>
      </w:rPr>
    </w:tblStylePr>
    <w:tblStylePr w:type="band1Vert">
      <w:tblPr/>
      <w:tcPr>
        <w:shd w:val="clear" w:color="auto" w:fill="DAEAF9" w:themeFill="accent3" w:themeFillTint="33"/>
      </w:tcPr>
    </w:tblStylePr>
    <w:tblStylePr w:type="band1Horz">
      <w:tblPr/>
      <w:tcPr>
        <w:shd w:val="clear" w:color="auto" w:fill="DAEAF9"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001B35"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766A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0B474D" w:themeColor="accent4"/>
        <w:left w:val="single" w:sz="4" w:space="0" w:color="0B474D" w:themeColor="accent4"/>
        <w:bottom w:val="single" w:sz="4" w:space="0" w:color="0B474D" w:themeColor="accent4"/>
        <w:right w:val="single" w:sz="4" w:space="0" w:color="0B474D" w:themeColor="accent4"/>
      </w:tblBorders>
    </w:tblPr>
    <w:tblStylePr w:type="firstRow">
      <w:rPr>
        <w:b/>
        <w:bCs/>
        <w:color w:val="FFFFFF" w:themeColor="background1"/>
      </w:rPr>
      <w:tblPr/>
      <w:tcPr>
        <w:shd w:val="clear" w:color="auto" w:fill="0B474D" w:themeFill="accent4"/>
      </w:tcPr>
    </w:tblStylePr>
    <w:tblStylePr w:type="lastRow">
      <w:rPr>
        <w:b/>
        <w:bCs/>
      </w:rPr>
      <w:tblPr/>
      <w:tcPr>
        <w:tcBorders>
          <w:top w:val="double" w:sz="4" w:space="0" w:color="0B47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474D" w:themeColor="accent4"/>
          <w:right w:val="single" w:sz="4" w:space="0" w:color="0B474D" w:themeColor="accent4"/>
        </w:tcBorders>
      </w:tcPr>
    </w:tblStylePr>
    <w:tblStylePr w:type="band1Horz">
      <w:tblPr/>
      <w:tcPr>
        <w:tcBorders>
          <w:top w:val="single" w:sz="4" w:space="0" w:color="0B474D" w:themeColor="accent4"/>
          <w:bottom w:val="single" w:sz="4" w:space="0" w:color="0B47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474D" w:themeColor="accent4"/>
          <w:left w:val="nil"/>
        </w:tcBorders>
      </w:tcPr>
    </w:tblStylePr>
    <w:tblStylePr w:type="swCell">
      <w:tblPr/>
      <w:tcPr>
        <w:tcBorders>
          <w:top w:val="double" w:sz="4" w:space="0" w:color="0B474D"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1"/>
      </w:numPr>
      <w:ind w:left="567" w:hanging="567"/>
      <w:contextualSpacing/>
    </w:pPr>
  </w:style>
  <w:style w:type="paragraph" w:styleId="ListBullet2">
    <w:name w:val="List Bullet 2"/>
    <w:basedOn w:val="Normal"/>
    <w:uiPriority w:val="99"/>
    <w:unhideWhenUsed/>
    <w:rsid w:val="00703734"/>
    <w:pPr>
      <w:numPr>
        <w:numId w:val="2"/>
      </w:numPr>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table" w:styleId="ListTable3-Accent1">
    <w:name w:val="List Table 3 Accent 1"/>
    <w:basedOn w:val="TableNormal"/>
    <w:uiPriority w:val="48"/>
    <w:rsid w:val="00BF6930"/>
    <w:pPr>
      <w:spacing w:after="0" w:line="240" w:lineRule="auto"/>
    </w:pPr>
    <w:tblPr>
      <w:tblStyleRowBandSize w:val="1"/>
      <w:tblStyleColBandSize w:val="1"/>
      <w:tblBorders>
        <w:top w:val="single" w:sz="4" w:space="0" w:color="0766A5" w:themeColor="accent1"/>
        <w:left w:val="single" w:sz="4" w:space="0" w:color="0766A5" w:themeColor="accent1"/>
        <w:bottom w:val="single" w:sz="4" w:space="0" w:color="0766A5" w:themeColor="accent1"/>
        <w:right w:val="single" w:sz="4" w:space="0" w:color="0766A5" w:themeColor="accent1"/>
      </w:tblBorders>
    </w:tblPr>
    <w:tblStylePr w:type="firstRow">
      <w:rPr>
        <w:b/>
        <w:bCs/>
        <w:color w:val="FFFFFF" w:themeColor="background1"/>
      </w:rPr>
      <w:tblPr/>
      <w:tcPr>
        <w:shd w:val="clear" w:color="auto" w:fill="0766A5" w:themeFill="accent1"/>
      </w:tcPr>
    </w:tblStylePr>
    <w:tblStylePr w:type="lastRow">
      <w:rPr>
        <w:b/>
        <w:bCs/>
      </w:rPr>
      <w:tblPr/>
      <w:tcPr>
        <w:tcBorders>
          <w:top w:val="double" w:sz="4" w:space="0" w:color="0766A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66A5" w:themeColor="accent1"/>
          <w:right w:val="single" w:sz="4" w:space="0" w:color="0766A5" w:themeColor="accent1"/>
        </w:tcBorders>
      </w:tcPr>
    </w:tblStylePr>
    <w:tblStylePr w:type="band1Horz">
      <w:tblPr/>
      <w:tcPr>
        <w:tcBorders>
          <w:top w:val="single" w:sz="4" w:space="0" w:color="0766A5" w:themeColor="accent1"/>
          <w:bottom w:val="single" w:sz="4" w:space="0" w:color="0766A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66A5" w:themeColor="accent1"/>
          <w:left w:val="nil"/>
        </w:tcBorders>
      </w:tcPr>
    </w:tblStylePr>
    <w:tblStylePr w:type="swCell">
      <w:tblPr/>
      <w:tcPr>
        <w:tcBorders>
          <w:top w:val="double" w:sz="4" w:space="0" w:color="0766A5" w:themeColor="accent1"/>
          <w:right w:val="nil"/>
        </w:tcBorders>
      </w:tcPr>
    </w:tblStylePr>
  </w:style>
  <w:style w:type="paragraph" w:styleId="NormalWeb">
    <w:name w:val="Normal (Web)"/>
    <w:basedOn w:val="Normal"/>
    <w:uiPriority w:val="99"/>
    <w:semiHidden/>
    <w:unhideWhenUsed/>
    <w:rsid w:val="00FA2434"/>
    <w:pPr>
      <w:spacing w:before="100" w:beforeAutospacing="1" w:after="100" w:afterAutospacing="1"/>
    </w:pPr>
    <w:rPr>
      <w:rFonts w:ascii="Times New Roman" w:eastAsia="Times New Roman" w:hAnsi="Times New Roman" w:cs="Times New Roman"/>
      <w:lang w:eastAsia="en-AU"/>
    </w:rPr>
  </w:style>
  <w:style w:type="paragraph" w:customStyle="1" w:styleId="IndentBulletLevel1">
    <w:name w:val="Indent Bullet Level 1"/>
    <w:basedOn w:val="Normal"/>
    <w:uiPriority w:val="20"/>
    <w:rsid w:val="003176B9"/>
    <w:pPr>
      <w:numPr>
        <w:numId w:val="3"/>
      </w:numPr>
      <w:spacing w:after="0" w:line="192" w:lineRule="auto"/>
    </w:pPr>
    <w:rPr>
      <w:rFonts w:ascii="Malgun Gothic" w:eastAsia="Times New Roman" w:hAnsi="Malgun Gothic" w:cs="Times New Roman"/>
      <w:sz w:val="18"/>
      <w:szCs w:val="18"/>
    </w:rPr>
  </w:style>
  <w:style w:type="paragraph" w:customStyle="1" w:styleId="IndentBulletLevel2">
    <w:name w:val="Indent Bullet Level 2"/>
    <w:basedOn w:val="IndentBulletLevel1"/>
    <w:uiPriority w:val="20"/>
    <w:rsid w:val="003176B9"/>
    <w:pPr>
      <w:numPr>
        <w:ilvl w:val="1"/>
      </w:numPr>
    </w:pPr>
  </w:style>
  <w:style w:type="paragraph" w:customStyle="1" w:styleId="IndentBulletLevel3">
    <w:name w:val="Indent Bullet Level 3"/>
    <w:basedOn w:val="IndentBulletLevel2"/>
    <w:uiPriority w:val="20"/>
    <w:rsid w:val="003176B9"/>
    <w:pPr>
      <w:numPr>
        <w:ilvl w:val="2"/>
      </w:numPr>
    </w:pPr>
  </w:style>
  <w:style w:type="numbering" w:customStyle="1" w:styleId="IndentBulet">
    <w:name w:val="IndentBulet"/>
    <w:basedOn w:val="NoList"/>
    <w:uiPriority w:val="99"/>
    <w:rsid w:val="003176B9"/>
    <w:pPr>
      <w:numPr>
        <w:numId w:val="3"/>
      </w:numPr>
    </w:pPr>
  </w:style>
  <w:style w:type="paragraph" w:styleId="ListNumber">
    <w:name w:val="List Number"/>
    <w:basedOn w:val="Normal"/>
    <w:uiPriority w:val="99"/>
    <w:unhideWhenUsed/>
    <w:rsid w:val="002B34CB"/>
    <w:pPr>
      <w:numPr>
        <w:numId w:val="4"/>
      </w:numPr>
      <w:contextualSpacing/>
    </w:pPr>
  </w:style>
  <w:style w:type="paragraph" w:styleId="ListNumber2">
    <w:name w:val="List Number 2"/>
    <w:basedOn w:val="Normal"/>
    <w:uiPriority w:val="99"/>
    <w:unhideWhenUsed/>
    <w:rsid w:val="00961E9E"/>
    <w:pPr>
      <w:numPr>
        <w:numId w:val="5"/>
      </w:numPr>
      <w:contextualSpacing/>
    </w:pPr>
  </w:style>
  <w:style w:type="paragraph" w:styleId="FootnoteText">
    <w:name w:val="footnote text"/>
    <w:basedOn w:val="Normal"/>
    <w:link w:val="FootnoteTextChar"/>
    <w:uiPriority w:val="99"/>
    <w:unhideWhenUsed/>
    <w:rsid w:val="00D93A5C"/>
    <w:pPr>
      <w:spacing w:before="0" w:after="0"/>
    </w:pPr>
    <w:rPr>
      <w:szCs w:val="20"/>
    </w:rPr>
  </w:style>
  <w:style w:type="character" w:customStyle="1" w:styleId="FootnoteTextChar">
    <w:name w:val="Footnote Text Char"/>
    <w:basedOn w:val="DefaultParagraphFont"/>
    <w:link w:val="FootnoteText"/>
    <w:uiPriority w:val="99"/>
    <w:rsid w:val="00D93A5C"/>
    <w:rPr>
      <w:sz w:val="20"/>
      <w:szCs w:val="20"/>
    </w:rPr>
  </w:style>
  <w:style w:type="character" w:styleId="FootnoteReference">
    <w:name w:val="footnote reference"/>
    <w:basedOn w:val="DefaultParagraphFont"/>
    <w:uiPriority w:val="99"/>
    <w:unhideWhenUsed/>
    <w:rsid w:val="00D93A5C"/>
    <w:rPr>
      <w:vertAlign w:val="superscript"/>
    </w:rPr>
  </w:style>
  <w:style w:type="paragraph" w:styleId="ListNumber3">
    <w:name w:val="List Number 3"/>
    <w:basedOn w:val="Normal"/>
    <w:uiPriority w:val="99"/>
    <w:unhideWhenUsed/>
    <w:rsid w:val="005B6C1D"/>
    <w:pPr>
      <w:numPr>
        <w:numId w:val="6"/>
      </w:numPr>
      <w:contextualSpacing/>
    </w:pPr>
  </w:style>
  <w:style w:type="paragraph" w:styleId="TableofFigures">
    <w:name w:val="table of figures"/>
    <w:basedOn w:val="Normal"/>
    <w:next w:val="Normal"/>
    <w:uiPriority w:val="99"/>
    <w:unhideWhenUsed/>
    <w:rsid w:val="00422D2A"/>
    <w:pPr>
      <w:spacing w:after="0"/>
    </w:pPr>
  </w:style>
  <w:style w:type="paragraph" w:customStyle="1" w:styleId="TableBulletLevel1">
    <w:name w:val="Table Bullet Level 1"/>
    <w:basedOn w:val="BodyText"/>
    <w:uiPriority w:val="29"/>
    <w:qFormat/>
    <w:rsid w:val="00D93E7C"/>
    <w:pPr>
      <w:numPr>
        <w:numId w:val="7"/>
      </w:numPr>
      <w:spacing w:before="0" w:after="0" w:line="192" w:lineRule="auto"/>
      <w:ind w:left="1077"/>
    </w:pPr>
    <w:rPr>
      <w:rFonts w:ascii="Malgun Gothic" w:eastAsia="Malgun Gothic" w:hAnsi="Malgun Gothic" w:cs="Calibri"/>
      <w:sz w:val="16"/>
    </w:rPr>
  </w:style>
  <w:style w:type="paragraph" w:customStyle="1" w:styleId="TableBulletLevel2">
    <w:name w:val="Table Bullet Level 2"/>
    <w:basedOn w:val="TableBulletLevel1"/>
    <w:uiPriority w:val="29"/>
    <w:rsid w:val="00D93E7C"/>
    <w:pPr>
      <w:numPr>
        <w:ilvl w:val="1"/>
      </w:numPr>
      <w:tabs>
        <w:tab w:val="num" w:pos="1077"/>
      </w:tabs>
      <w:ind w:left="1440" w:hanging="363"/>
    </w:pPr>
  </w:style>
  <w:style w:type="paragraph" w:customStyle="1" w:styleId="TableBulletLevel3">
    <w:name w:val="Table Bullet Level 3"/>
    <w:basedOn w:val="TableBulletLevel2"/>
    <w:uiPriority w:val="29"/>
    <w:rsid w:val="00D93E7C"/>
    <w:pPr>
      <w:numPr>
        <w:ilvl w:val="2"/>
      </w:numPr>
      <w:ind w:left="1792" w:hanging="358"/>
    </w:pPr>
  </w:style>
  <w:style w:type="numbering" w:customStyle="1" w:styleId="TableBullet">
    <w:name w:val="TableBullet"/>
    <w:basedOn w:val="NoList"/>
    <w:uiPriority w:val="99"/>
    <w:rsid w:val="00D93E7C"/>
    <w:pPr>
      <w:numPr>
        <w:numId w:val="7"/>
      </w:numPr>
    </w:pPr>
  </w:style>
  <w:style w:type="paragraph" w:styleId="BodyText">
    <w:name w:val="Body Text"/>
    <w:basedOn w:val="Normal"/>
    <w:link w:val="BodyTextChar"/>
    <w:uiPriority w:val="99"/>
    <w:semiHidden/>
    <w:unhideWhenUsed/>
    <w:rsid w:val="00D93E7C"/>
  </w:style>
  <w:style w:type="character" w:customStyle="1" w:styleId="BodyTextChar">
    <w:name w:val="Body Text Char"/>
    <w:basedOn w:val="DefaultParagraphFont"/>
    <w:link w:val="BodyText"/>
    <w:uiPriority w:val="99"/>
    <w:semiHidden/>
    <w:rsid w:val="00D93E7C"/>
    <w:rPr>
      <w:sz w:val="20"/>
    </w:rPr>
  </w:style>
  <w:style w:type="paragraph" w:styleId="ListBullet3">
    <w:name w:val="List Bullet 3"/>
    <w:basedOn w:val="Normal"/>
    <w:uiPriority w:val="99"/>
    <w:unhideWhenUsed/>
    <w:rsid w:val="000B72A3"/>
    <w:pPr>
      <w:numPr>
        <w:numId w:val="8"/>
      </w:numPr>
      <w:contextualSpacing/>
    </w:pPr>
  </w:style>
  <w:style w:type="paragraph" w:styleId="TOC9">
    <w:name w:val="toc 9"/>
    <w:basedOn w:val="Normal"/>
    <w:next w:val="Normal"/>
    <w:autoRedefine/>
    <w:uiPriority w:val="39"/>
    <w:semiHidden/>
    <w:unhideWhenUsed/>
    <w:rsid w:val="00765869"/>
    <w:pPr>
      <w:spacing w:after="100"/>
      <w:ind w:left="1600"/>
    </w:pPr>
  </w:style>
  <w:style w:type="paragraph" w:styleId="Revision">
    <w:name w:val="Revision"/>
    <w:hidden/>
    <w:uiPriority w:val="99"/>
    <w:semiHidden/>
    <w:rsid w:val="00D800B5"/>
    <w:pPr>
      <w:spacing w:after="0" w:line="240" w:lineRule="auto"/>
    </w:pPr>
    <w:rPr>
      <w:sz w:val="20"/>
    </w:rPr>
  </w:style>
  <w:style w:type="character" w:styleId="Mention">
    <w:name w:val="Mention"/>
    <w:basedOn w:val="DefaultParagraphFont"/>
    <w:uiPriority w:val="99"/>
    <w:unhideWhenUsed/>
    <w:rsid w:val="00CC16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6953951">
      <w:bodyDiv w:val="1"/>
      <w:marLeft w:val="0"/>
      <w:marRight w:val="0"/>
      <w:marTop w:val="0"/>
      <w:marBottom w:val="0"/>
      <w:divBdr>
        <w:top w:val="none" w:sz="0" w:space="0" w:color="auto"/>
        <w:left w:val="none" w:sz="0" w:space="0" w:color="auto"/>
        <w:bottom w:val="none" w:sz="0" w:space="0" w:color="auto"/>
        <w:right w:val="none" w:sz="0" w:space="0" w:color="auto"/>
      </w:divBdr>
    </w:div>
    <w:div w:id="129977626">
      <w:bodyDiv w:val="1"/>
      <w:marLeft w:val="0"/>
      <w:marRight w:val="0"/>
      <w:marTop w:val="0"/>
      <w:marBottom w:val="0"/>
      <w:divBdr>
        <w:top w:val="none" w:sz="0" w:space="0" w:color="auto"/>
        <w:left w:val="none" w:sz="0" w:space="0" w:color="auto"/>
        <w:bottom w:val="none" w:sz="0" w:space="0" w:color="auto"/>
        <w:right w:val="none" w:sz="0" w:space="0" w:color="auto"/>
      </w:divBdr>
    </w:div>
    <w:div w:id="146671932">
      <w:bodyDiv w:val="1"/>
      <w:marLeft w:val="0"/>
      <w:marRight w:val="0"/>
      <w:marTop w:val="0"/>
      <w:marBottom w:val="0"/>
      <w:divBdr>
        <w:top w:val="none" w:sz="0" w:space="0" w:color="auto"/>
        <w:left w:val="none" w:sz="0" w:space="0" w:color="auto"/>
        <w:bottom w:val="none" w:sz="0" w:space="0" w:color="auto"/>
        <w:right w:val="none" w:sz="0" w:space="0" w:color="auto"/>
      </w:divBdr>
    </w:div>
    <w:div w:id="182593347">
      <w:bodyDiv w:val="1"/>
      <w:marLeft w:val="0"/>
      <w:marRight w:val="0"/>
      <w:marTop w:val="0"/>
      <w:marBottom w:val="0"/>
      <w:divBdr>
        <w:top w:val="none" w:sz="0" w:space="0" w:color="auto"/>
        <w:left w:val="none" w:sz="0" w:space="0" w:color="auto"/>
        <w:bottom w:val="none" w:sz="0" w:space="0" w:color="auto"/>
        <w:right w:val="none" w:sz="0" w:space="0" w:color="auto"/>
      </w:divBdr>
    </w:div>
    <w:div w:id="241333136">
      <w:bodyDiv w:val="1"/>
      <w:marLeft w:val="0"/>
      <w:marRight w:val="0"/>
      <w:marTop w:val="0"/>
      <w:marBottom w:val="0"/>
      <w:divBdr>
        <w:top w:val="none" w:sz="0" w:space="0" w:color="auto"/>
        <w:left w:val="none" w:sz="0" w:space="0" w:color="auto"/>
        <w:bottom w:val="none" w:sz="0" w:space="0" w:color="auto"/>
        <w:right w:val="none" w:sz="0" w:space="0" w:color="auto"/>
      </w:divBdr>
    </w:div>
    <w:div w:id="278414761">
      <w:bodyDiv w:val="1"/>
      <w:marLeft w:val="0"/>
      <w:marRight w:val="0"/>
      <w:marTop w:val="0"/>
      <w:marBottom w:val="0"/>
      <w:divBdr>
        <w:top w:val="none" w:sz="0" w:space="0" w:color="auto"/>
        <w:left w:val="none" w:sz="0" w:space="0" w:color="auto"/>
        <w:bottom w:val="none" w:sz="0" w:space="0" w:color="auto"/>
        <w:right w:val="none" w:sz="0" w:space="0" w:color="auto"/>
      </w:divBdr>
    </w:div>
    <w:div w:id="365302300">
      <w:bodyDiv w:val="1"/>
      <w:marLeft w:val="0"/>
      <w:marRight w:val="0"/>
      <w:marTop w:val="0"/>
      <w:marBottom w:val="0"/>
      <w:divBdr>
        <w:top w:val="none" w:sz="0" w:space="0" w:color="auto"/>
        <w:left w:val="none" w:sz="0" w:space="0" w:color="auto"/>
        <w:bottom w:val="none" w:sz="0" w:space="0" w:color="auto"/>
        <w:right w:val="none" w:sz="0" w:space="0" w:color="auto"/>
      </w:divBdr>
    </w:div>
    <w:div w:id="399600072">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510416490">
      <w:bodyDiv w:val="1"/>
      <w:marLeft w:val="0"/>
      <w:marRight w:val="0"/>
      <w:marTop w:val="0"/>
      <w:marBottom w:val="0"/>
      <w:divBdr>
        <w:top w:val="none" w:sz="0" w:space="0" w:color="auto"/>
        <w:left w:val="none" w:sz="0" w:space="0" w:color="auto"/>
        <w:bottom w:val="none" w:sz="0" w:space="0" w:color="auto"/>
        <w:right w:val="none" w:sz="0" w:space="0" w:color="auto"/>
      </w:divBdr>
      <w:divsChild>
        <w:div w:id="1850831111">
          <w:marLeft w:val="360"/>
          <w:marRight w:val="0"/>
          <w:marTop w:val="120"/>
          <w:marBottom w:val="120"/>
          <w:divBdr>
            <w:top w:val="none" w:sz="0" w:space="0" w:color="auto"/>
            <w:left w:val="none" w:sz="0" w:space="0" w:color="auto"/>
            <w:bottom w:val="none" w:sz="0" w:space="0" w:color="auto"/>
            <w:right w:val="none" w:sz="0" w:space="0" w:color="auto"/>
          </w:divBdr>
        </w:div>
        <w:div w:id="2002272641">
          <w:marLeft w:val="360"/>
          <w:marRight w:val="0"/>
          <w:marTop w:val="120"/>
          <w:marBottom w:val="120"/>
          <w:divBdr>
            <w:top w:val="none" w:sz="0" w:space="0" w:color="auto"/>
            <w:left w:val="none" w:sz="0" w:space="0" w:color="auto"/>
            <w:bottom w:val="none" w:sz="0" w:space="0" w:color="auto"/>
            <w:right w:val="none" w:sz="0" w:space="0" w:color="auto"/>
          </w:divBdr>
        </w:div>
      </w:divsChild>
    </w:div>
    <w:div w:id="540437952">
      <w:bodyDiv w:val="1"/>
      <w:marLeft w:val="0"/>
      <w:marRight w:val="0"/>
      <w:marTop w:val="0"/>
      <w:marBottom w:val="0"/>
      <w:divBdr>
        <w:top w:val="none" w:sz="0" w:space="0" w:color="auto"/>
        <w:left w:val="none" w:sz="0" w:space="0" w:color="auto"/>
        <w:bottom w:val="none" w:sz="0" w:space="0" w:color="auto"/>
        <w:right w:val="none" w:sz="0" w:space="0" w:color="auto"/>
      </w:divBdr>
    </w:div>
    <w:div w:id="694619287">
      <w:bodyDiv w:val="1"/>
      <w:marLeft w:val="0"/>
      <w:marRight w:val="0"/>
      <w:marTop w:val="0"/>
      <w:marBottom w:val="0"/>
      <w:divBdr>
        <w:top w:val="none" w:sz="0" w:space="0" w:color="auto"/>
        <w:left w:val="none" w:sz="0" w:space="0" w:color="auto"/>
        <w:bottom w:val="none" w:sz="0" w:space="0" w:color="auto"/>
        <w:right w:val="none" w:sz="0" w:space="0" w:color="auto"/>
      </w:divBdr>
      <w:divsChild>
        <w:div w:id="241917156">
          <w:marLeft w:val="360"/>
          <w:marRight w:val="0"/>
          <w:marTop w:val="120"/>
          <w:marBottom w:val="120"/>
          <w:divBdr>
            <w:top w:val="none" w:sz="0" w:space="0" w:color="auto"/>
            <w:left w:val="none" w:sz="0" w:space="0" w:color="auto"/>
            <w:bottom w:val="none" w:sz="0" w:space="0" w:color="auto"/>
            <w:right w:val="none" w:sz="0" w:space="0" w:color="auto"/>
          </w:divBdr>
        </w:div>
        <w:div w:id="468596983">
          <w:marLeft w:val="360"/>
          <w:marRight w:val="0"/>
          <w:marTop w:val="120"/>
          <w:marBottom w:val="120"/>
          <w:divBdr>
            <w:top w:val="none" w:sz="0" w:space="0" w:color="auto"/>
            <w:left w:val="none" w:sz="0" w:space="0" w:color="auto"/>
            <w:bottom w:val="none" w:sz="0" w:space="0" w:color="auto"/>
            <w:right w:val="none" w:sz="0" w:space="0" w:color="auto"/>
          </w:divBdr>
        </w:div>
        <w:div w:id="1459378534">
          <w:marLeft w:val="360"/>
          <w:marRight w:val="0"/>
          <w:marTop w:val="120"/>
          <w:marBottom w:val="120"/>
          <w:divBdr>
            <w:top w:val="none" w:sz="0" w:space="0" w:color="auto"/>
            <w:left w:val="none" w:sz="0" w:space="0" w:color="auto"/>
            <w:bottom w:val="none" w:sz="0" w:space="0" w:color="auto"/>
            <w:right w:val="none" w:sz="0" w:space="0" w:color="auto"/>
          </w:divBdr>
        </w:div>
      </w:divsChild>
    </w:div>
    <w:div w:id="803547821">
      <w:bodyDiv w:val="1"/>
      <w:marLeft w:val="0"/>
      <w:marRight w:val="0"/>
      <w:marTop w:val="0"/>
      <w:marBottom w:val="0"/>
      <w:divBdr>
        <w:top w:val="none" w:sz="0" w:space="0" w:color="auto"/>
        <w:left w:val="none" w:sz="0" w:space="0" w:color="auto"/>
        <w:bottom w:val="none" w:sz="0" w:space="0" w:color="auto"/>
        <w:right w:val="none" w:sz="0" w:space="0" w:color="auto"/>
      </w:divBdr>
    </w:div>
    <w:div w:id="863327493">
      <w:bodyDiv w:val="1"/>
      <w:marLeft w:val="0"/>
      <w:marRight w:val="0"/>
      <w:marTop w:val="0"/>
      <w:marBottom w:val="0"/>
      <w:divBdr>
        <w:top w:val="none" w:sz="0" w:space="0" w:color="auto"/>
        <w:left w:val="none" w:sz="0" w:space="0" w:color="auto"/>
        <w:bottom w:val="none" w:sz="0" w:space="0" w:color="auto"/>
        <w:right w:val="none" w:sz="0" w:space="0" w:color="auto"/>
      </w:divBdr>
    </w:div>
    <w:div w:id="892231286">
      <w:bodyDiv w:val="1"/>
      <w:marLeft w:val="0"/>
      <w:marRight w:val="0"/>
      <w:marTop w:val="0"/>
      <w:marBottom w:val="0"/>
      <w:divBdr>
        <w:top w:val="none" w:sz="0" w:space="0" w:color="auto"/>
        <w:left w:val="none" w:sz="0" w:space="0" w:color="auto"/>
        <w:bottom w:val="none" w:sz="0" w:space="0" w:color="auto"/>
        <w:right w:val="none" w:sz="0" w:space="0" w:color="auto"/>
      </w:divBdr>
    </w:div>
    <w:div w:id="917523489">
      <w:bodyDiv w:val="1"/>
      <w:marLeft w:val="0"/>
      <w:marRight w:val="0"/>
      <w:marTop w:val="0"/>
      <w:marBottom w:val="0"/>
      <w:divBdr>
        <w:top w:val="none" w:sz="0" w:space="0" w:color="auto"/>
        <w:left w:val="none" w:sz="0" w:space="0" w:color="auto"/>
        <w:bottom w:val="none" w:sz="0" w:space="0" w:color="auto"/>
        <w:right w:val="none" w:sz="0" w:space="0" w:color="auto"/>
      </w:divBdr>
    </w:div>
    <w:div w:id="937370373">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36027059">
      <w:bodyDiv w:val="1"/>
      <w:marLeft w:val="0"/>
      <w:marRight w:val="0"/>
      <w:marTop w:val="0"/>
      <w:marBottom w:val="0"/>
      <w:divBdr>
        <w:top w:val="none" w:sz="0" w:space="0" w:color="auto"/>
        <w:left w:val="none" w:sz="0" w:space="0" w:color="auto"/>
        <w:bottom w:val="none" w:sz="0" w:space="0" w:color="auto"/>
        <w:right w:val="none" w:sz="0" w:space="0" w:color="auto"/>
      </w:divBdr>
    </w:div>
    <w:div w:id="1422603160">
      <w:bodyDiv w:val="1"/>
      <w:marLeft w:val="0"/>
      <w:marRight w:val="0"/>
      <w:marTop w:val="0"/>
      <w:marBottom w:val="0"/>
      <w:divBdr>
        <w:top w:val="none" w:sz="0" w:space="0" w:color="auto"/>
        <w:left w:val="none" w:sz="0" w:space="0" w:color="auto"/>
        <w:bottom w:val="none" w:sz="0" w:space="0" w:color="auto"/>
        <w:right w:val="none" w:sz="0" w:space="0" w:color="auto"/>
      </w:divBdr>
    </w:div>
    <w:div w:id="1439063441">
      <w:bodyDiv w:val="1"/>
      <w:marLeft w:val="0"/>
      <w:marRight w:val="0"/>
      <w:marTop w:val="0"/>
      <w:marBottom w:val="0"/>
      <w:divBdr>
        <w:top w:val="none" w:sz="0" w:space="0" w:color="auto"/>
        <w:left w:val="none" w:sz="0" w:space="0" w:color="auto"/>
        <w:bottom w:val="none" w:sz="0" w:space="0" w:color="auto"/>
        <w:right w:val="none" w:sz="0" w:space="0" w:color="auto"/>
      </w:divBdr>
    </w:div>
    <w:div w:id="1461534661">
      <w:bodyDiv w:val="1"/>
      <w:marLeft w:val="0"/>
      <w:marRight w:val="0"/>
      <w:marTop w:val="0"/>
      <w:marBottom w:val="0"/>
      <w:divBdr>
        <w:top w:val="none" w:sz="0" w:space="0" w:color="auto"/>
        <w:left w:val="none" w:sz="0" w:space="0" w:color="auto"/>
        <w:bottom w:val="none" w:sz="0" w:space="0" w:color="auto"/>
        <w:right w:val="none" w:sz="0" w:space="0" w:color="auto"/>
      </w:divBdr>
    </w:div>
    <w:div w:id="1501189896">
      <w:bodyDiv w:val="1"/>
      <w:marLeft w:val="0"/>
      <w:marRight w:val="0"/>
      <w:marTop w:val="0"/>
      <w:marBottom w:val="0"/>
      <w:divBdr>
        <w:top w:val="none" w:sz="0" w:space="0" w:color="auto"/>
        <w:left w:val="none" w:sz="0" w:space="0" w:color="auto"/>
        <w:bottom w:val="none" w:sz="0" w:space="0" w:color="auto"/>
        <w:right w:val="none" w:sz="0" w:space="0" w:color="auto"/>
      </w:divBdr>
    </w:div>
    <w:div w:id="1611426220">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01072375">
      <w:bodyDiv w:val="1"/>
      <w:marLeft w:val="0"/>
      <w:marRight w:val="0"/>
      <w:marTop w:val="0"/>
      <w:marBottom w:val="0"/>
      <w:divBdr>
        <w:top w:val="none" w:sz="0" w:space="0" w:color="auto"/>
        <w:left w:val="none" w:sz="0" w:space="0" w:color="auto"/>
        <w:bottom w:val="none" w:sz="0" w:space="0" w:color="auto"/>
        <w:right w:val="none" w:sz="0" w:space="0" w:color="auto"/>
      </w:divBdr>
    </w:div>
    <w:div w:id="1836529095">
      <w:bodyDiv w:val="1"/>
      <w:marLeft w:val="0"/>
      <w:marRight w:val="0"/>
      <w:marTop w:val="0"/>
      <w:marBottom w:val="0"/>
      <w:divBdr>
        <w:top w:val="none" w:sz="0" w:space="0" w:color="auto"/>
        <w:left w:val="none" w:sz="0" w:space="0" w:color="auto"/>
        <w:bottom w:val="none" w:sz="0" w:space="0" w:color="auto"/>
        <w:right w:val="none" w:sz="0" w:space="0" w:color="auto"/>
      </w:divBdr>
    </w:div>
    <w:div w:id="1899054828">
      <w:bodyDiv w:val="1"/>
      <w:marLeft w:val="0"/>
      <w:marRight w:val="0"/>
      <w:marTop w:val="0"/>
      <w:marBottom w:val="0"/>
      <w:divBdr>
        <w:top w:val="none" w:sz="0" w:space="0" w:color="auto"/>
        <w:left w:val="none" w:sz="0" w:space="0" w:color="auto"/>
        <w:bottom w:val="none" w:sz="0" w:space="0" w:color="auto"/>
        <w:right w:val="none" w:sz="0" w:space="0" w:color="auto"/>
      </w:divBdr>
    </w:div>
    <w:div w:id="1982692475">
      <w:bodyDiv w:val="1"/>
      <w:marLeft w:val="0"/>
      <w:marRight w:val="0"/>
      <w:marTop w:val="0"/>
      <w:marBottom w:val="0"/>
      <w:divBdr>
        <w:top w:val="none" w:sz="0" w:space="0" w:color="auto"/>
        <w:left w:val="none" w:sz="0" w:space="0" w:color="auto"/>
        <w:bottom w:val="none" w:sz="0" w:space="0" w:color="auto"/>
        <w:right w:val="none" w:sz="0" w:space="0" w:color="auto"/>
      </w:divBdr>
    </w:div>
    <w:div w:id="2001813306">
      <w:bodyDiv w:val="1"/>
      <w:marLeft w:val="0"/>
      <w:marRight w:val="0"/>
      <w:marTop w:val="0"/>
      <w:marBottom w:val="0"/>
      <w:divBdr>
        <w:top w:val="none" w:sz="0" w:space="0" w:color="auto"/>
        <w:left w:val="none" w:sz="0" w:space="0" w:color="auto"/>
        <w:bottom w:val="none" w:sz="0" w:space="0" w:color="auto"/>
        <w:right w:val="none" w:sz="0" w:space="0" w:color="auto"/>
      </w:divBdr>
    </w:div>
    <w:div w:id="2030183697">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psc.gov.au/node/304" TargetMode="External"/><Relationship Id="rId2" Type="http://schemas.openxmlformats.org/officeDocument/2006/relationships/hyperlink" Target="https://www.apsc.gov.au/node/303" TargetMode="External"/><Relationship Id="rId1" Type="http://schemas.openxmlformats.org/officeDocument/2006/relationships/hyperlink" Target="https://www.industry.gov.au/sites/default/files/2023-05/national-quantum-strategy.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61769746F64F7ABEAB398BFFC8C29F"/>
        <w:category>
          <w:name w:val="General"/>
          <w:gallery w:val="placeholder"/>
        </w:category>
        <w:types>
          <w:type w:val="bbPlcHdr"/>
        </w:types>
        <w:behaviors>
          <w:behavior w:val="content"/>
        </w:behaviors>
        <w:guid w:val="{0759CAED-10B8-4992-8FE3-77E547BB93D9}"/>
      </w:docPartPr>
      <w:docPartBody>
        <w:p w:rsidR="00476FB5" w:rsidRDefault="00476FB5">
          <w:pPr>
            <w:pStyle w:val="F461769746F64F7ABEAB398BFFC8C29F"/>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SemiBold">
    <w:altName w:val="Calibri"/>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B5"/>
    <w:rsid w:val="0006484B"/>
    <w:rsid w:val="0007728F"/>
    <w:rsid w:val="000C19B8"/>
    <w:rsid w:val="000E570E"/>
    <w:rsid w:val="00110D00"/>
    <w:rsid w:val="00130E66"/>
    <w:rsid w:val="0014344A"/>
    <w:rsid w:val="001E41D6"/>
    <w:rsid w:val="001F5F15"/>
    <w:rsid w:val="00265EAB"/>
    <w:rsid w:val="0028740A"/>
    <w:rsid w:val="00287CC6"/>
    <w:rsid w:val="0029471B"/>
    <w:rsid w:val="002A0DD2"/>
    <w:rsid w:val="002C5B44"/>
    <w:rsid w:val="00370779"/>
    <w:rsid w:val="00387158"/>
    <w:rsid w:val="003C202B"/>
    <w:rsid w:val="00402139"/>
    <w:rsid w:val="00415951"/>
    <w:rsid w:val="00423BD6"/>
    <w:rsid w:val="00476FB5"/>
    <w:rsid w:val="004B65CE"/>
    <w:rsid w:val="004C70AE"/>
    <w:rsid w:val="004F3CD0"/>
    <w:rsid w:val="00516AA0"/>
    <w:rsid w:val="005365C2"/>
    <w:rsid w:val="0057271F"/>
    <w:rsid w:val="005B2A19"/>
    <w:rsid w:val="005D6841"/>
    <w:rsid w:val="005E02DB"/>
    <w:rsid w:val="005E17C6"/>
    <w:rsid w:val="00600F95"/>
    <w:rsid w:val="00604493"/>
    <w:rsid w:val="006055FE"/>
    <w:rsid w:val="006340F6"/>
    <w:rsid w:val="00653581"/>
    <w:rsid w:val="00685B87"/>
    <w:rsid w:val="006A4B79"/>
    <w:rsid w:val="006B58B6"/>
    <w:rsid w:val="00704AB7"/>
    <w:rsid w:val="00707CD0"/>
    <w:rsid w:val="00717631"/>
    <w:rsid w:val="00720529"/>
    <w:rsid w:val="007709E5"/>
    <w:rsid w:val="007723EF"/>
    <w:rsid w:val="0077311D"/>
    <w:rsid w:val="007839D6"/>
    <w:rsid w:val="0079288B"/>
    <w:rsid w:val="007C0CEA"/>
    <w:rsid w:val="007D53CB"/>
    <w:rsid w:val="0080242D"/>
    <w:rsid w:val="00824AEF"/>
    <w:rsid w:val="00902B26"/>
    <w:rsid w:val="0095033A"/>
    <w:rsid w:val="0095210E"/>
    <w:rsid w:val="009543C5"/>
    <w:rsid w:val="00954CE1"/>
    <w:rsid w:val="009560B6"/>
    <w:rsid w:val="00975C5A"/>
    <w:rsid w:val="00975ED6"/>
    <w:rsid w:val="00980084"/>
    <w:rsid w:val="009B1E8A"/>
    <w:rsid w:val="009C5795"/>
    <w:rsid w:val="009D0E1B"/>
    <w:rsid w:val="009F03C0"/>
    <w:rsid w:val="00A0506B"/>
    <w:rsid w:val="00A67897"/>
    <w:rsid w:val="00A81FB2"/>
    <w:rsid w:val="00A86BD7"/>
    <w:rsid w:val="00AA4A18"/>
    <w:rsid w:val="00B46766"/>
    <w:rsid w:val="00B66D5C"/>
    <w:rsid w:val="00B744AC"/>
    <w:rsid w:val="00B75820"/>
    <w:rsid w:val="00B92B5A"/>
    <w:rsid w:val="00BA45CC"/>
    <w:rsid w:val="00C036BE"/>
    <w:rsid w:val="00C3058E"/>
    <w:rsid w:val="00C632FA"/>
    <w:rsid w:val="00C64333"/>
    <w:rsid w:val="00C769C5"/>
    <w:rsid w:val="00CA13FA"/>
    <w:rsid w:val="00CA345E"/>
    <w:rsid w:val="00D22D7E"/>
    <w:rsid w:val="00D5247B"/>
    <w:rsid w:val="00D936E5"/>
    <w:rsid w:val="00DB6602"/>
    <w:rsid w:val="00DC24C8"/>
    <w:rsid w:val="00DE4EC1"/>
    <w:rsid w:val="00E373DC"/>
    <w:rsid w:val="00E7359C"/>
    <w:rsid w:val="00E90EE6"/>
    <w:rsid w:val="00ED40CE"/>
    <w:rsid w:val="00F332C0"/>
    <w:rsid w:val="00FA1869"/>
    <w:rsid w:val="00FB5A50"/>
    <w:rsid w:val="00FF6C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461769746F64F7ABEAB398BFFC8C29F">
    <w:name w:val="F461769746F64F7ABEAB398BFFC8C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ISR Charting">
      <a:dk1>
        <a:sysClr val="windowText" lastClr="000000"/>
      </a:dk1>
      <a:lt1>
        <a:sysClr val="window" lastClr="FFFFFF"/>
      </a:lt1>
      <a:dk2>
        <a:srgbClr val="CE5958"/>
      </a:dk2>
      <a:lt2>
        <a:srgbClr val="001B35"/>
      </a:lt2>
      <a:accent1>
        <a:srgbClr val="0766A5"/>
      </a:accent1>
      <a:accent2>
        <a:srgbClr val="960000"/>
      </a:accent2>
      <a:accent3>
        <a:srgbClr val="4999E1"/>
      </a:accent3>
      <a:accent4>
        <a:srgbClr val="0B474D"/>
      </a:accent4>
      <a:accent5>
        <a:srgbClr val="706E6E"/>
      </a:accent5>
      <a:accent6>
        <a:srgbClr val="61008E"/>
      </a:accent6>
      <a:hlink>
        <a:srgbClr val="0766A5"/>
      </a:hlink>
      <a:folHlink>
        <a:srgbClr val="001B35"/>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818192CE8A642AEAFC762B601CC35" ma:contentTypeVersion="18" ma:contentTypeDescription="Create a new document." ma:contentTypeScope="" ma:versionID="fbe832b8428552d5b254a3c897118a2e">
  <xsd:schema xmlns:xsd="http://www.w3.org/2001/XMLSchema" xmlns:xs="http://www.w3.org/2001/XMLSchema" xmlns:p="http://schemas.microsoft.com/office/2006/metadata/properties" xmlns:ns1="http://schemas.microsoft.com/sharepoint/v3" xmlns:ns2="a45c3ea4-9cfc-4d48-aa71-aeaee108196b" xmlns:ns3="ad618b0d-0314-423a-a7c2-af18385f3cf2" targetNamespace="http://schemas.microsoft.com/office/2006/metadata/properties" ma:root="true" ma:fieldsID="758ba5bda084c94e3f36408b26e01e00" ns1:_="" ns2:_="" ns3:_="">
    <xsd:import namespace="http://schemas.microsoft.com/sharepoint/v3"/>
    <xsd:import namespace="a45c3ea4-9cfc-4d48-aa71-aeaee108196b"/>
    <xsd:import namespace="ad618b0d-0314-423a-a7c2-af18385f3cf2"/>
    <xsd:element name="properties">
      <xsd:complexType>
        <xsd:sequence>
          <xsd:element name="documentManagement">
            <xsd:complexType>
              <xsd:all>
                <xsd:element ref="ns2:a6bf06c7a8bf478e9f4bcfbb09f21538" minOccurs="0"/>
                <xsd:element ref="ns2:TaxCatchAll" minOccurs="0"/>
                <xsd:element ref="ns2:d9ef3ab7ddea451a8b47933061591c36" minOccurs="0"/>
                <xsd:element ref="ns2:cb91e83f9355480d972a6ccec1e3f258" minOccurs="0"/>
                <xsd:element ref="ns2:b425fef5ada14da685dcceef3358c7b4" minOccurs="0"/>
                <xsd:element ref="ns1:Comments" minOccurs="0"/>
                <xsd:element ref="ns2:gd1cf662391445fb81e5d0500f4f85b9" minOccurs="0"/>
                <xsd:element ref="ns2:j9095b68a1e7431291f71d233f344b48"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c3ea4-9cfc-4d48-aa71-aeaee108196b" elementFormDefault="qualified">
    <xsd:import namespace="http://schemas.microsoft.com/office/2006/documentManagement/types"/>
    <xsd:import namespace="http://schemas.microsoft.com/office/infopath/2007/PartnerControls"/>
    <xsd:element name="a6bf06c7a8bf478e9f4bcfbb09f21538" ma:index="9" ma:taxonomy="true" ma:internalName="a6bf06c7a8bf478e9f4bcfbb09f21538" ma:taxonomyFieldName="Stratus_DocumentType" ma:displayName="Document Type" ma:fieldId="{a6bf06c7-a8bf-478e-9f4b-cfbb09f21538}"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e60b2df-c2d4-41ed-9812-295600ad4e89}" ma:internalName="TaxCatchAll" ma:showField="CatchAllData" ma:web="a45c3ea4-9cfc-4d48-aa71-aeaee108196b">
      <xsd:complexType>
        <xsd:complexContent>
          <xsd:extension base="dms:MultiChoiceLookup">
            <xsd:sequence>
              <xsd:element name="Value" type="dms:Lookup" maxOccurs="unbounded" minOccurs="0" nillable="true"/>
            </xsd:sequence>
          </xsd:extension>
        </xsd:complexContent>
      </xsd:complexType>
    </xsd:element>
    <xsd:element name="d9ef3ab7ddea451a8b47933061591c36" ma:index="12" nillable="true" ma:taxonomy="true" ma:internalName="d9ef3ab7ddea451a8b47933061591c36" ma:taxonomyFieldName="Stratus_WorkActivity" ma:displayName="Work Activity" ma:fieldId="{d9ef3ab7-ddea-451a-8b47-933061591c36}"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cb91e83f9355480d972a6ccec1e3f258" ma:index="14" ma:taxonomy="true" ma:internalName="cb91e83f9355480d972a6ccec1e3f258" ma:taxonomyFieldName="Stratus_SecurityClassification" ma:displayName="Security Classification" ma:fieldId="{cb91e83f-9355-480d-972a-6ccec1e3f258}"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b425fef5ada14da685dcceef3358c7b4" ma:index="16" nillable="true" ma:taxonomy="true" ma:internalName="b425fef5ada14da685dcceef3358c7b4" ma:taxonomyFieldName="Stratus_Year" ma:displayName="Year" ma:fieldId="{b425fef5-ada1-4da6-85dc-ceef3358c7b4}"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gd1cf662391445fb81e5d0500f4f85b9" ma:index="19" nillable="true" ma:taxonomy="true" ma:internalName="gd1cf662391445fb81e5d0500f4f85b9" ma:taxonomyFieldName="Stratus_AuditName" ma:displayName="Audit Name" ma:default="" ma:fieldId="{0d1cf662-3914-45fb-81e5-d0500f4f85b9}" ma:sspId="b6206a2c-5ee7-4d50-b3ee-2668e744af9d" ma:termSetId="c21d73ce-82e2-4634-8112-94a56cf44aa4" ma:anchorId="00000000-0000-0000-0000-000000000000" ma:open="false" ma:isKeyword="false">
      <xsd:complexType>
        <xsd:sequence>
          <xsd:element ref="pc:Terms" minOccurs="0" maxOccurs="1"/>
        </xsd:sequence>
      </xsd:complexType>
    </xsd:element>
    <xsd:element name="j9095b68a1e7431291f71d233f344b48" ma:index="21" nillable="true" ma:taxonomy="true" ma:internalName="j9095b68a1e7431291f71d233f344b48" ma:taxonomyFieldName="Stratus_AuditStage" ma:displayName="Audit Stage" ma:default="" ma:fieldId="{39095b68-a1e7-4312-91f7-1d233f344b48}" ma:sspId="b6206a2c-5ee7-4d50-b3ee-2668e744af9d" ma:termSetId="0305afff-8d4e-4579-90bd-d6012a113e5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618b0d-0314-423a-a7c2-af18385f3cf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d1cf662391445fb81e5d0500f4f85b9 xmlns="a45c3ea4-9cfc-4d48-aa71-aeaee108196b">
      <Terms xmlns="http://schemas.microsoft.com/office/infopath/2007/PartnerControls"/>
    </gd1cf662391445fb81e5d0500f4f85b9>
    <a6bf06c7a8bf478e9f4bcfbb09f21538 xmlns="a45c3ea4-9cfc-4d48-aa71-aeaee108196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48effc76-1fc0-4a04-a22f-09c13f277e05</TermId>
        </TermInfo>
      </Terms>
    </a6bf06c7a8bf478e9f4bcfbb09f21538>
    <d9ef3ab7ddea451a8b47933061591c36 xmlns="a45c3ea4-9cfc-4d48-aa71-aeaee108196b">
      <Terms xmlns="http://schemas.microsoft.com/office/infopath/2007/PartnerControls"/>
    </d9ef3ab7ddea451a8b47933061591c36>
    <TaxCatchAll xmlns="a45c3ea4-9cfc-4d48-aa71-aeaee108196b">
      <Value>70</Value>
      <Value>3</Value>
    </TaxCatchAll>
    <j9095b68a1e7431291f71d233f344b48 xmlns="a45c3ea4-9cfc-4d48-aa71-aeaee108196b">
      <Terms xmlns="http://schemas.microsoft.com/office/infopath/2007/PartnerControls"/>
    </j9095b68a1e7431291f71d233f344b48>
    <b425fef5ada14da685dcceef3358c7b4 xmlns="a45c3ea4-9cfc-4d48-aa71-aeaee108196b">
      <Terms xmlns="http://schemas.microsoft.com/office/infopath/2007/PartnerControls"/>
    </b425fef5ada14da685dcceef3358c7b4>
    <cb91e83f9355480d972a6ccec1e3f258 xmlns="a45c3ea4-9cfc-4d48-aa71-aeaee108196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cb91e83f9355480d972a6ccec1e3f258>
    <Comments xmlns="http://schemas.microsoft.com/sharepoint/v3" xsi:nil="true"/>
  </documentManagement>
</p:properties>
</file>

<file path=customXml/itemProps1.xml><?xml version="1.0" encoding="utf-8"?>
<ds:datastoreItem xmlns:ds="http://schemas.openxmlformats.org/officeDocument/2006/customXml" ds:itemID="{9A1738E8-246D-47B0-85C1-EBA4A5159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c3ea4-9cfc-4d48-aa71-aeaee108196b"/>
    <ds:schemaRef ds:uri="ad618b0d-0314-423a-a7c2-af18385f3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3.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4.xml><?xml version="1.0" encoding="utf-8"?>
<ds:datastoreItem xmlns:ds="http://schemas.openxmlformats.org/officeDocument/2006/customXml" ds:itemID="{297BCF5D-ECED-40B9-848C-61973DAC72C5}">
  <ds:schemaRefs>
    <ds:schemaRef ds:uri="http://schemas.microsoft.com/office/2006/metadata/properties"/>
    <ds:schemaRef ds:uri="http://schemas.microsoft.com/office/infopath/2007/PartnerControls"/>
    <ds:schemaRef ds:uri="a45c3ea4-9cfc-4d48-aa71-aeaee108196b"/>
    <ds:schemaRef ds:uri="http://schemas.microsoft.com/sharepoint/v3"/>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6200</Words>
  <Characters>37764</Characters>
  <Application>Microsoft Office Word</Application>
  <DocSecurity>0</DocSecurity>
  <Lines>674</Lines>
  <Paragraphs>242</Paragraphs>
  <ScaleCrop>false</ScaleCrop>
  <HeadingPairs>
    <vt:vector size="2" baseType="variant">
      <vt:variant>
        <vt:lpstr>Title</vt:lpstr>
      </vt:variant>
      <vt:variant>
        <vt:i4>1</vt:i4>
      </vt:variant>
    </vt:vector>
  </HeadingPairs>
  <TitlesOfParts>
    <vt:vector size="1" baseType="lpstr">
      <vt:lpstr>Department of Industry, Science and Resources</vt:lpstr>
    </vt:vector>
  </TitlesOfParts>
  <Manager/>
  <Company/>
  <LinksUpToDate>false</LinksUpToDate>
  <CharactersWithSpaces>43722</CharactersWithSpaces>
  <SharedDoc>false</SharedDoc>
  <HLinks>
    <vt:vector size="126" baseType="variant">
      <vt:variant>
        <vt:i4>1900595</vt:i4>
      </vt:variant>
      <vt:variant>
        <vt:i4>104</vt:i4>
      </vt:variant>
      <vt:variant>
        <vt:i4>0</vt:i4>
      </vt:variant>
      <vt:variant>
        <vt:i4>5</vt:i4>
      </vt:variant>
      <vt:variant>
        <vt:lpwstr/>
      </vt:variant>
      <vt:variant>
        <vt:lpwstr>_Toc203032184</vt:lpwstr>
      </vt:variant>
      <vt:variant>
        <vt:i4>1900595</vt:i4>
      </vt:variant>
      <vt:variant>
        <vt:i4>98</vt:i4>
      </vt:variant>
      <vt:variant>
        <vt:i4>0</vt:i4>
      </vt:variant>
      <vt:variant>
        <vt:i4>5</vt:i4>
      </vt:variant>
      <vt:variant>
        <vt:lpwstr/>
      </vt:variant>
      <vt:variant>
        <vt:lpwstr>_Toc203032183</vt:lpwstr>
      </vt:variant>
      <vt:variant>
        <vt:i4>1900595</vt:i4>
      </vt:variant>
      <vt:variant>
        <vt:i4>92</vt:i4>
      </vt:variant>
      <vt:variant>
        <vt:i4>0</vt:i4>
      </vt:variant>
      <vt:variant>
        <vt:i4>5</vt:i4>
      </vt:variant>
      <vt:variant>
        <vt:lpwstr/>
      </vt:variant>
      <vt:variant>
        <vt:lpwstr>_Toc203032182</vt:lpwstr>
      </vt:variant>
      <vt:variant>
        <vt:i4>1900595</vt:i4>
      </vt:variant>
      <vt:variant>
        <vt:i4>86</vt:i4>
      </vt:variant>
      <vt:variant>
        <vt:i4>0</vt:i4>
      </vt:variant>
      <vt:variant>
        <vt:i4>5</vt:i4>
      </vt:variant>
      <vt:variant>
        <vt:lpwstr/>
      </vt:variant>
      <vt:variant>
        <vt:lpwstr>_Toc203032181</vt:lpwstr>
      </vt:variant>
      <vt:variant>
        <vt:i4>1900595</vt:i4>
      </vt:variant>
      <vt:variant>
        <vt:i4>80</vt:i4>
      </vt:variant>
      <vt:variant>
        <vt:i4>0</vt:i4>
      </vt:variant>
      <vt:variant>
        <vt:i4>5</vt:i4>
      </vt:variant>
      <vt:variant>
        <vt:lpwstr/>
      </vt:variant>
      <vt:variant>
        <vt:lpwstr>_Toc203032180</vt:lpwstr>
      </vt:variant>
      <vt:variant>
        <vt:i4>1179699</vt:i4>
      </vt:variant>
      <vt:variant>
        <vt:i4>74</vt:i4>
      </vt:variant>
      <vt:variant>
        <vt:i4>0</vt:i4>
      </vt:variant>
      <vt:variant>
        <vt:i4>5</vt:i4>
      </vt:variant>
      <vt:variant>
        <vt:lpwstr/>
      </vt:variant>
      <vt:variant>
        <vt:lpwstr>_Toc203032179</vt:lpwstr>
      </vt:variant>
      <vt:variant>
        <vt:i4>1179699</vt:i4>
      </vt:variant>
      <vt:variant>
        <vt:i4>68</vt:i4>
      </vt:variant>
      <vt:variant>
        <vt:i4>0</vt:i4>
      </vt:variant>
      <vt:variant>
        <vt:i4>5</vt:i4>
      </vt:variant>
      <vt:variant>
        <vt:lpwstr/>
      </vt:variant>
      <vt:variant>
        <vt:lpwstr>_Toc203032178</vt:lpwstr>
      </vt:variant>
      <vt:variant>
        <vt:i4>1179699</vt:i4>
      </vt:variant>
      <vt:variant>
        <vt:i4>62</vt:i4>
      </vt:variant>
      <vt:variant>
        <vt:i4>0</vt:i4>
      </vt:variant>
      <vt:variant>
        <vt:i4>5</vt:i4>
      </vt:variant>
      <vt:variant>
        <vt:lpwstr/>
      </vt:variant>
      <vt:variant>
        <vt:lpwstr>_Toc203032177</vt:lpwstr>
      </vt:variant>
      <vt:variant>
        <vt:i4>1179699</vt:i4>
      </vt:variant>
      <vt:variant>
        <vt:i4>56</vt:i4>
      </vt:variant>
      <vt:variant>
        <vt:i4>0</vt:i4>
      </vt:variant>
      <vt:variant>
        <vt:i4>5</vt:i4>
      </vt:variant>
      <vt:variant>
        <vt:lpwstr/>
      </vt:variant>
      <vt:variant>
        <vt:lpwstr>_Toc203032176</vt:lpwstr>
      </vt:variant>
      <vt:variant>
        <vt:i4>1179699</vt:i4>
      </vt:variant>
      <vt:variant>
        <vt:i4>50</vt:i4>
      </vt:variant>
      <vt:variant>
        <vt:i4>0</vt:i4>
      </vt:variant>
      <vt:variant>
        <vt:i4>5</vt:i4>
      </vt:variant>
      <vt:variant>
        <vt:lpwstr/>
      </vt:variant>
      <vt:variant>
        <vt:lpwstr>_Toc203032175</vt:lpwstr>
      </vt:variant>
      <vt:variant>
        <vt:i4>1179699</vt:i4>
      </vt:variant>
      <vt:variant>
        <vt:i4>44</vt:i4>
      </vt:variant>
      <vt:variant>
        <vt:i4>0</vt:i4>
      </vt:variant>
      <vt:variant>
        <vt:i4>5</vt:i4>
      </vt:variant>
      <vt:variant>
        <vt:lpwstr/>
      </vt:variant>
      <vt:variant>
        <vt:lpwstr>_Toc203032174</vt:lpwstr>
      </vt:variant>
      <vt:variant>
        <vt:i4>1179699</vt:i4>
      </vt:variant>
      <vt:variant>
        <vt:i4>38</vt:i4>
      </vt:variant>
      <vt:variant>
        <vt:i4>0</vt:i4>
      </vt:variant>
      <vt:variant>
        <vt:i4>5</vt:i4>
      </vt:variant>
      <vt:variant>
        <vt:lpwstr/>
      </vt:variant>
      <vt:variant>
        <vt:lpwstr>_Toc203032173</vt:lpwstr>
      </vt:variant>
      <vt:variant>
        <vt:i4>1179699</vt:i4>
      </vt:variant>
      <vt:variant>
        <vt:i4>32</vt:i4>
      </vt:variant>
      <vt:variant>
        <vt:i4>0</vt:i4>
      </vt:variant>
      <vt:variant>
        <vt:i4>5</vt:i4>
      </vt:variant>
      <vt:variant>
        <vt:lpwstr/>
      </vt:variant>
      <vt:variant>
        <vt:lpwstr>_Toc203032172</vt:lpwstr>
      </vt:variant>
      <vt:variant>
        <vt:i4>1179699</vt:i4>
      </vt:variant>
      <vt:variant>
        <vt:i4>26</vt:i4>
      </vt:variant>
      <vt:variant>
        <vt:i4>0</vt:i4>
      </vt:variant>
      <vt:variant>
        <vt:i4>5</vt:i4>
      </vt:variant>
      <vt:variant>
        <vt:lpwstr/>
      </vt:variant>
      <vt:variant>
        <vt:lpwstr>_Toc203032171</vt:lpwstr>
      </vt:variant>
      <vt:variant>
        <vt:i4>1179699</vt:i4>
      </vt:variant>
      <vt:variant>
        <vt:i4>20</vt:i4>
      </vt:variant>
      <vt:variant>
        <vt:i4>0</vt:i4>
      </vt:variant>
      <vt:variant>
        <vt:i4>5</vt:i4>
      </vt:variant>
      <vt:variant>
        <vt:lpwstr/>
      </vt:variant>
      <vt:variant>
        <vt:lpwstr>_Toc203032170</vt:lpwstr>
      </vt:variant>
      <vt:variant>
        <vt:i4>1245235</vt:i4>
      </vt:variant>
      <vt:variant>
        <vt:i4>14</vt:i4>
      </vt:variant>
      <vt:variant>
        <vt:i4>0</vt:i4>
      </vt:variant>
      <vt:variant>
        <vt:i4>5</vt:i4>
      </vt:variant>
      <vt:variant>
        <vt:lpwstr/>
      </vt:variant>
      <vt:variant>
        <vt:lpwstr>_Toc203032169</vt:lpwstr>
      </vt:variant>
      <vt:variant>
        <vt:i4>1245235</vt:i4>
      </vt:variant>
      <vt:variant>
        <vt:i4>8</vt:i4>
      </vt:variant>
      <vt:variant>
        <vt:i4>0</vt:i4>
      </vt:variant>
      <vt:variant>
        <vt:i4>5</vt:i4>
      </vt:variant>
      <vt:variant>
        <vt:lpwstr/>
      </vt:variant>
      <vt:variant>
        <vt:lpwstr>_Toc203032168</vt:lpwstr>
      </vt:variant>
      <vt:variant>
        <vt:i4>1245235</vt:i4>
      </vt:variant>
      <vt:variant>
        <vt:i4>2</vt:i4>
      </vt:variant>
      <vt:variant>
        <vt:i4>0</vt:i4>
      </vt:variant>
      <vt:variant>
        <vt:i4>5</vt:i4>
      </vt:variant>
      <vt:variant>
        <vt:lpwstr/>
      </vt:variant>
      <vt:variant>
        <vt:lpwstr>_Toc203032167</vt:lpwstr>
      </vt:variant>
      <vt:variant>
        <vt:i4>589917</vt:i4>
      </vt:variant>
      <vt:variant>
        <vt:i4>6</vt:i4>
      </vt:variant>
      <vt:variant>
        <vt:i4>0</vt:i4>
      </vt:variant>
      <vt:variant>
        <vt:i4>5</vt:i4>
      </vt:variant>
      <vt:variant>
        <vt:lpwstr>https://www.apsc.gov.au/node/304</vt:lpwstr>
      </vt:variant>
      <vt:variant>
        <vt:lpwstr/>
      </vt:variant>
      <vt:variant>
        <vt:i4>917597</vt:i4>
      </vt:variant>
      <vt:variant>
        <vt:i4>3</vt:i4>
      </vt:variant>
      <vt:variant>
        <vt:i4>0</vt:i4>
      </vt:variant>
      <vt:variant>
        <vt:i4>5</vt:i4>
      </vt:variant>
      <vt:variant>
        <vt:lpwstr>https://www.apsc.gov.au/node/303</vt:lpwstr>
      </vt:variant>
      <vt:variant>
        <vt:lpwstr/>
      </vt:variant>
      <vt:variant>
        <vt:i4>65603</vt:i4>
      </vt:variant>
      <vt:variant>
        <vt:i4>0</vt:i4>
      </vt:variant>
      <vt:variant>
        <vt:i4>0</vt:i4>
      </vt:variant>
      <vt:variant>
        <vt:i4>5</vt:i4>
      </vt:variant>
      <vt:variant>
        <vt:lpwstr>https://www.industry.gov.au/sites/default/files/2023-05/national-quantum-strategy.pdf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Industry, Science and Resources</dc:title>
  <dc:subject/>
  <cp:keywords/>
  <dc:description/>
  <cp:lastModifiedBy>George-Allen, Sam</cp:lastModifiedBy>
  <cp:revision>5</cp:revision>
  <cp:lastPrinted>2025-08-04T02:08:00Z</cp:lastPrinted>
  <dcterms:created xsi:type="dcterms:W3CDTF">2025-09-19T02:29:00Z</dcterms:created>
  <dcterms:modified xsi:type="dcterms:W3CDTF">2025-09-19T03:02:00Z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0x0101001EA818192CE8A642AEAFC762B601CC35</vt:lpwstr>
  </property>
  <property fmtid="{D5CDD505-2E9C-101B-9397-08002B2CF9AE}" pid="3" name="MediaServiceImageTags">
    <vt:lpwstr/>
  </property>
  <property fmtid="{D5CDD505-2E9C-101B-9397-08002B2CF9AE}" pid="4" name="MSIP_Label_ba9605fb-563a-471b-87b8-c305b1c84e6d_Enabled">
    <vt:lpwstr>true</vt:lpwstr>
  </property>
  <property fmtid="{D5CDD505-2E9C-101B-9397-08002B2CF9AE}" pid="5" name="MSIP_Label_ba9605fb-563a-471b-87b8-c305b1c84e6d_SetDate">
    <vt:lpwstr>2025-04-30T23:47:14Z</vt:lpwstr>
  </property>
  <property fmtid="{D5CDD505-2E9C-101B-9397-08002B2CF9AE}" pid="6" name="MSIP_Label_ba9605fb-563a-471b-87b8-c305b1c84e6d_Method">
    <vt:lpwstr>Standard</vt:lpwstr>
  </property>
  <property fmtid="{D5CDD505-2E9C-101B-9397-08002B2CF9AE}" pid="7" name="MSIP_Label_ba9605fb-563a-471b-87b8-c305b1c84e6d_Name">
    <vt:lpwstr>ba9605fb-563a-471b-87b8-c305b1c84e6d</vt:lpwstr>
  </property>
  <property fmtid="{D5CDD505-2E9C-101B-9397-08002B2CF9AE}" pid="8" name="MSIP_Label_ba9605fb-563a-471b-87b8-c305b1c84e6d_SiteId">
    <vt:lpwstr>8a257671-9872-4405-854e-77e32616d56c</vt:lpwstr>
  </property>
  <property fmtid="{D5CDD505-2E9C-101B-9397-08002B2CF9AE}" pid="9" name="MSIP_Label_ba9605fb-563a-471b-87b8-c305b1c84e6d_ActionId">
    <vt:lpwstr>6dc72f6c-35ff-40c9-9883-eb7019a2a113</vt:lpwstr>
  </property>
  <property fmtid="{D5CDD505-2E9C-101B-9397-08002B2CF9AE}" pid="10" name="MSIP_Label_ba9605fb-563a-471b-87b8-c305b1c84e6d_ContentBits">
    <vt:lpwstr>0</vt:lpwstr>
  </property>
  <property fmtid="{D5CDD505-2E9C-101B-9397-08002B2CF9AE}" pid="11" name="MSIP_Label_ba9605fb-563a-471b-87b8-c305b1c84e6d_Tag">
    <vt:lpwstr>10, 3, 0, 1</vt:lpwstr>
  </property>
  <property fmtid="{D5CDD505-2E9C-101B-9397-08002B2CF9AE}" pid="12" name="_dlc_DocIdItemGuid">
    <vt:lpwstr>093073d3-0346-4239-84d5-fbc074b95d58</vt:lpwstr>
  </property>
  <property fmtid="{D5CDD505-2E9C-101B-9397-08002B2CF9AE}" pid="13" name="Stratus_WorkActivity">
    <vt:lpwstr/>
  </property>
  <property fmtid="{D5CDD505-2E9C-101B-9397-08002B2CF9AE}" pid="14" name="Stratus_DocumentType">
    <vt:lpwstr>70;#Report|48effc76-1fc0-4a04-a22f-09c13f277e05</vt:lpwstr>
  </property>
  <property fmtid="{D5CDD505-2E9C-101B-9397-08002B2CF9AE}" pid="15" name="Stratus_Year">
    <vt:lpwstr/>
  </property>
  <property fmtid="{D5CDD505-2E9C-101B-9397-08002B2CF9AE}" pid="16" name="Stratus_AuditStage">
    <vt:lpwstr/>
  </property>
  <property fmtid="{D5CDD505-2E9C-101B-9397-08002B2CF9AE}" pid="17" name="Stratus_AuditName">
    <vt:lpwstr/>
  </property>
  <property fmtid="{D5CDD505-2E9C-101B-9397-08002B2CF9AE}" pid="18" name="Stratus_SecurityClassification">
    <vt:lpwstr>3;#OFFICIAL|1077e141-03cb-4307-8c0f-d43dc85f509f</vt:lpwstr>
  </property>
</Properties>
</file>