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4122B" w14:textId="2E51B145" w:rsidR="005D1136" w:rsidRPr="00EA7D70" w:rsidRDefault="005D1136" w:rsidP="00EA7D70">
      <w:pPr>
        <w:pStyle w:val="Heading1"/>
        <w:jc w:val="center"/>
        <w:rPr>
          <w:rFonts w:asciiTheme="minorHAnsi" w:hAnsiTheme="minorHAnsi" w:cstheme="minorHAnsi"/>
          <w:b/>
          <w:bCs/>
          <w:color w:val="auto"/>
          <w:sz w:val="24"/>
          <w:szCs w:val="24"/>
        </w:rPr>
      </w:pPr>
      <w:r w:rsidRPr="00EA7D70">
        <w:rPr>
          <w:rFonts w:asciiTheme="minorHAnsi" w:hAnsiTheme="minorHAnsi" w:cstheme="minorHAnsi"/>
          <w:b/>
          <w:bCs/>
          <w:color w:val="auto"/>
          <w:sz w:val="40"/>
          <w:szCs w:val="40"/>
        </w:rPr>
        <w:t xml:space="preserve">Guidance for </w:t>
      </w:r>
      <w:r w:rsidR="0080777A" w:rsidRPr="00EA7D70">
        <w:rPr>
          <w:rFonts w:asciiTheme="minorHAnsi" w:hAnsiTheme="minorHAnsi" w:cstheme="minorHAnsi"/>
          <w:b/>
          <w:bCs/>
          <w:color w:val="auto"/>
          <w:sz w:val="40"/>
          <w:szCs w:val="40"/>
        </w:rPr>
        <w:t xml:space="preserve">Preparing </w:t>
      </w:r>
      <w:r w:rsidRPr="00EA7D70">
        <w:rPr>
          <w:rFonts w:asciiTheme="minorHAnsi" w:hAnsiTheme="minorHAnsi" w:cstheme="minorHAnsi"/>
          <w:b/>
          <w:bCs/>
          <w:color w:val="auto"/>
          <w:sz w:val="40"/>
          <w:szCs w:val="40"/>
        </w:rPr>
        <w:t>Grounds of Review</w:t>
      </w:r>
    </w:p>
    <w:p w14:paraId="132DA155" w14:textId="77777777" w:rsidR="00EA7D70" w:rsidRDefault="00EA7D70" w:rsidP="0080777A">
      <w:pPr>
        <w:rPr>
          <w:rFonts w:ascii="Arial" w:hAnsi="Arial" w:cs="Arial"/>
          <w:b/>
          <w:bCs/>
          <w:sz w:val="24"/>
          <w:szCs w:val="24"/>
        </w:rPr>
      </w:pPr>
    </w:p>
    <w:p w14:paraId="7EC0A840" w14:textId="0F88EE60" w:rsidR="00275BC9" w:rsidRPr="00EA7D70" w:rsidRDefault="005D1BB8" w:rsidP="00EA7D70">
      <w:pPr>
        <w:pStyle w:val="Heading2"/>
        <w:spacing w:before="0"/>
        <w:rPr>
          <w:rFonts w:asciiTheme="minorHAnsi" w:hAnsiTheme="minorHAnsi" w:cstheme="minorHAnsi"/>
          <w:b/>
          <w:bCs/>
          <w:color w:val="auto"/>
          <w:sz w:val="28"/>
          <w:szCs w:val="28"/>
        </w:rPr>
      </w:pPr>
      <w:r w:rsidRPr="00EA7D70">
        <w:rPr>
          <w:rFonts w:asciiTheme="minorHAnsi" w:hAnsiTheme="minorHAnsi" w:cstheme="minorHAnsi"/>
          <w:b/>
          <w:bCs/>
          <w:color w:val="auto"/>
          <w:sz w:val="28"/>
          <w:szCs w:val="28"/>
        </w:rPr>
        <w:t>A</w:t>
      </w:r>
      <w:r w:rsidR="00275BC9" w:rsidRPr="00EA7D70">
        <w:rPr>
          <w:rFonts w:asciiTheme="minorHAnsi" w:hAnsiTheme="minorHAnsi" w:cstheme="minorHAnsi"/>
          <w:b/>
          <w:bCs/>
          <w:color w:val="auto"/>
          <w:sz w:val="28"/>
          <w:szCs w:val="28"/>
        </w:rPr>
        <w:t>pplication form</w:t>
      </w:r>
      <w:r w:rsidRPr="00EA7D70">
        <w:rPr>
          <w:rFonts w:asciiTheme="minorHAnsi" w:hAnsiTheme="minorHAnsi" w:cstheme="minorHAnsi"/>
          <w:b/>
          <w:bCs/>
          <w:color w:val="auto"/>
          <w:sz w:val="28"/>
          <w:szCs w:val="28"/>
        </w:rPr>
        <w:t xml:space="preserve"> requirements</w:t>
      </w:r>
    </w:p>
    <w:p w14:paraId="33A97D0A" w14:textId="77777777" w:rsidR="00EA7D70" w:rsidRPr="00EA7D70" w:rsidRDefault="00EA7D70" w:rsidP="00EA7D70">
      <w:pPr>
        <w:spacing w:after="0"/>
      </w:pPr>
    </w:p>
    <w:p w14:paraId="66D26DB6" w14:textId="50702F71" w:rsidR="00275BC9" w:rsidRPr="00EA7D70" w:rsidRDefault="00275BC9" w:rsidP="00EA7D70">
      <w:pPr>
        <w:pStyle w:val="ListParagraph"/>
        <w:numPr>
          <w:ilvl w:val="0"/>
          <w:numId w:val="4"/>
        </w:numPr>
        <w:spacing w:after="0"/>
        <w:rPr>
          <w:rFonts w:ascii="Arial" w:hAnsi="Arial" w:cs="Arial"/>
        </w:rPr>
      </w:pPr>
      <w:r w:rsidRPr="00EA7D70">
        <w:rPr>
          <w:rFonts w:ascii="Arial" w:hAnsi="Arial" w:cs="Arial"/>
        </w:rPr>
        <w:t>Question 9 requires the applicant to set out the grounds on which the applicant believes that the reviewable decision is not the correct or preferable decision</w:t>
      </w:r>
      <w:r w:rsidR="0039283E" w:rsidRPr="00EA7D70">
        <w:rPr>
          <w:rFonts w:ascii="Arial" w:hAnsi="Arial" w:cs="Arial"/>
        </w:rPr>
        <w:t xml:space="preserve"> (s 269ZZE(2)</w:t>
      </w:r>
      <w:r w:rsidR="00D94F4C" w:rsidRPr="00EA7D70">
        <w:rPr>
          <w:rFonts w:ascii="Arial" w:hAnsi="Arial" w:cs="Arial"/>
        </w:rPr>
        <w:t>(b)</w:t>
      </w:r>
      <w:r w:rsidR="00EC70F8" w:rsidRPr="00EA7D70">
        <w:t xml:space="preserve"> </w:t>
      </w:r>
      <w:r w:rsidR="00EC70F8" w:rsidRPr="00EA7D70">
        <w:rPr>
          <w:rFonts w:ascii="Arial" w:hAnsi="Arial" w:cs="Arial"/>
        </w:rPr>
        <w:t>and s 269ZZQ(1</w:t>
      </w:r>
      <w:proofErr w:type="gramStart"/>
      <w:r w:rsidR="00EC70F8" w:rsidRPr="00EA7D70">
        <w:rPr>
          <w:rFonts w:ascii="Arial" w:hAnsi="Arial" w:cs="Arial"/>
        </w:rPr>
        <w:t>A)(</w:t>
      </w:r>
      <w:proofErr w:type="gramEnd"/>
      <w:r w:rsidR="00EC70F8" w:rsidRPr="00EA7D70">
        <w:rPr>
          <w:rFonts w:ascii="Arial" w:hAnsi="Arial" w:cs="Arial"/>
        </w:rPr>
        <w:t xml:space="preserve">a) of the </w:t>
      </w:r>
      <w:r w:rsidR="00EC70F8" w:rsidRPr="00EA7D70">
        <w:rPr>
          <w:rFonts w:ascii="Arial" w:hAnsi="Arial" w:cs="Arial"/>
          <w:i/>
          <w:iCs/>
        </w:rPr>
        <w:t>Customs Act 1901</w:t>
      </w:r>
      <w:r w:rsidR="00EC70F8" w:rsidRPr="00EA7D70">
        <w:rPr>
          <w:rFonts w:ascii="Arial" w:hAnsi="Arial" w:cs="Arial"/>
        </w:rPr>
        <w:t xml:space="preserve"> (the Act)</w:t>
      </w:r>
      <w:r w:rsidR="00D94F4C" w:rsidRPr="00EA7D70">
        <w:rPr>
          <w:rFonts w:ascii="Arial" w:hAnsi="Arial" w:cs="Arial"/>
        </w:rPr>
        <w:t>)</w:t>
      </w:r>
      <w:r w:rsidRPr="00EA7D70">
        <w:rPr>
          <w:rFonts w:ascii="Arial" w:hAnsi="Arial" w:cs="Arial"/>
        </w:rPr>
        <w:t xml:space="preserve">. </w:t>
      </w:r>
    </w:p>
    <w:p w14:paraId="3536ADD0" w14:textId="316D844D" w:rsidR="00275BC9" w:rsidRPr="00EA7D70" w:rsidRDefault="00275BC9" w:rsidP="00EA7D70">
      <w:pPr>
        <w:pStyle w:val="ListParagraph"/>
        <w:numPr>
          <w:ilvl w:val="0"/>
          <w:numId w:val="4"/>
        </w:numPr>
        <w:spacing w:after="0"/>
        <w:rPr>
          <w:rFonts w:ascii="Arial" w:hAnsi="Arial" w:cs="Arial"/>
        </w:rPr>
      </w:pPr>
      <w:r w:rsidRPr="00EA7D70">
        <w:rPr>
          <w:rFonts w:ascii="Arial" w:hAnsi="Arial" w:cs="Arial"/>
        </w:rPr>
        <w:t>Question 10 requires the applicant to identify what, in the applicant’s opinion, the correct or preferable decision (or decisions) ought to be, resulting from the grounds raised in question 9</w:t>
      </w:r>
      <w:r w:rsidR="00D94F4C" w:rsidRPr="00EA7D70">
        <w:rPr>
          <w:rFonts w:ascii="Arial" w:hAnsi="Arial" w:cs="Arial"/>
        </w:rPr>
        <w:t xml:space="preserve"> (s 269ZZE(2)(c)</w:t>
      </w:r>
      <w:r w:rsidR="00EC70F8" w:rsidRPr="00EA7D70">
        <w:t xml:space="preserve"> </w:t>
      </w:r>
      <w:r w:rsidR="00EC70F8" w:rsidRPr="00EA7D70">
        <w:rPr>
          <w:rFonts w:ascii="Arial" w:hAnsi="Arial" w:cs="Arial"/>
        </w:rPr>
        <w:t>and s 269ZZQ(1</w:t>
      </w:r>
      <w:proofErr w:type="gramStart"/>
      <w:r w:rsidR="00EC70F8" w:rsidRPr="00EA7D70">
        <w:rPr>
          <w:rFonts w:ascii="Arial" w:hAnsi="Arial" w:cs="Arial"/>
        </w:rPr>
        <w:t>A)(</w:t>
      </w:r>
      <w:proofErr w:type="gramEnd"/>
      <w:r w:rsidR="00EC70F8" w:rsidRPr="00EA7D70">
        <w:rPr>
          <w:rFonts w:ascii="Arial" w:hAnsi="Arial" w:cs="Arial"/>
        </w:rPr>
        <w:t>b)</w:t>
      </w:r>
      <w:r w:rsidR="001D5D34" w:rsidRPr="00EA7D70">
        <w:rPr>
          <w:rFonts w:ascii="Arial" w:hAnsi="Arial" w:cs="Arial"/>
        </w:rPr>
        <w:t xml:space="preserve"> of the Act</w:t>
      </w:r>
      <w:r w:rsidR="00D94F4C" w:rsidRPr="00EA7D70">
        <w:rPr>
          <w:rFonts w:ascii="Arial" w:hAnsi="Arial" w:cs="Arial"/>
        </w:rPr>
        <w:t>).</w:t>
      </w:r>
    </w:p>
    <w:p w14:paraId="68774410" w14:textId="7DCE8EEA" w:rsidR="00275BC9" w:rsidRPr="00EA7D70" w:rsidRDefault="00275BC9" w:rsidP="00275BC9">
      <w:pPr>
        <w:pStyle w:val="ListParagraph"/>
        <w:numPr>
          <w:ilvl w:val="0"/>
          <w:numId w:val="4"/>
        </w:numPr>
        <w:rPr>
          <w:rFonts w:ascii="Arial" w:hAnsi="Arial" w:cs="Arial"/>
        </w:rPr>
      </w:pPr>
      <w:r w:rsidRPr="00EA7D70">
        <w:rPr>
          <w:rFonts w:ascii="Arial" w:hAnsi="Arial" w:cs="Arial"/>
        </w:rPr>
        <w:t>Question 11 requires the applicant to set out how the grounds raised in question 9 support the making of the proposed correct or preferable decision</w:t>
      </w:r>
      <w:r w:rsidR="00DF75AD" w:rsidRPr="00EA7D70">
        <w:rPr>
          <w:rFonts w:ascii="Arial" w:hAnsi="Arial" w:cs="Arial"/>
        </w:rPr>
        <w:t xml:space="preserve"> (s 269ZZE(2)(d)</w:t>
      </w:r>
      <w:r w:rsidR="001D5D34" w:rsidRPr="00EA7D70">
        <w:t xml:space="preserve"> </w:t>
      </w:r>
      <w:r w:rsidR="001D5D34" w:rsidRPr="00EA7D70">
        <w:rPr>
          <w:rFonts w:ascii="Arial" w:hAnsi="Arial" w:cs="Arial"/>
        </w:rPr>
        <w:t>and s 269ZZQ(1</w:t>
      </w:r>
      <w:proofErr w:type="gramStart"/>
      <w:r w:rsidR="001D5D34" w:rsidRPr="00EA7D70">
        <w:rPr>
          <w:rFonts w:ascii="Arial" w:hAnsi="Arial" w:cs="Arial"/>
        </w:rPr>
        <w:t>A)(</w:t>
      </w:r>
      <w:proofErr w:type="gramEnd"/>
      <w:r w:rsidR="001D5D34" w:rsidRPr="00EA7D70">
        <w:rPr>
          <w:rFonts w:ascii="Arial" w:hAnsi="Arial" w:cs="Arial"/>
        </w:rPr>
        <w:t>c) of the Act</w:t>
      </w:r>
      <w:r w:rsidR="00DF75AD" w:rsidRPr="00EA7D70">
        <w:rPr>
          <w:rFonts w:ascii="Arial" w:hAnsi="Arial" w:cs="Arial"/>
        </w:rPr>
        <w:t>).</w:t>
      </w:r>
    </w:p>
    <w:p w14:paraId="1063B47F" w14:textId="55E441E2" w:rsidR="00DE7015" w:rsidRPr="00EA7D70" w:rsidRDefault="00275BC9" w:rsidP="5B995660">
      <w:pPr>
        <w:pStyle w:val="ListParagraph"/>
        <w:numPr>
          <w:ilvl w:val="0"/>
          <w:numId w:val="4"/>
        </w:numPr>
        <w:shd w:val="clear" w:color="auto" w:fill="FFFFFF" w:themeFill="background1"/>
        <w:rPr>
          <w:rFonts w:ascii="Arial" w:hAnsi="Arial" w:cs="Arial"/>
        </w:rPr>
      </w:pPr>
      <w:r w:rsidRPr="00EA7D70">
        <w:rPr>
          <w:rFonts w:ascii="Arial" w:hAnsi="Arial" w:cs="Arial"/>
        </w:rPr>
        <w:t xml:space="preserve">Question 12 requires the applicant to set out the reasons why the proposed decision provided in response to question </w:t>
      </w:r>
      <w:r w:rsidR="45B20991" w:rsidRPr="00EA7D70">
        <w:rPr>
          <w:rFonts w:ascii="Arial" w:hAnsi="Arial" w:cs="Arial"/>
        </w:rPr>
        <w:t>10</w:t>
      </w:r>
      <w:r w:rsidRPr="00EA7D70">
        <w:rPr>
          <w:rFonts w:ascii="Arial" w:hAnsi="Arial" w:cs="Arial"/>
        </w:rPr>
        <w:t xml:space="preserve"> is materially different from the reviewable decision</w:t>
      </w:r>
      <w:r w:rsidR="00181024" w:rsidRPr="00EA7D70">
        <w:rPr>
          <w:rFonts w:ascii="Arial" w:hAnsi="Arial" w:cs="Arial"/>
        </w:rPr>
        <w:t xml:space="preserve"> (</w:t>
      </w:r>
      <w:r w:rsidR="00DE7015" w:rsidRPr="00EA7D70">
        <w:rPr>
          <w:rFonts w:ascii="Arial" w:hAnsi="Arial" w:cs="Arial"/>
        </w:rPr>
        <w:t>excluding decisions of the Commissioner referred to in ss 269ZZN</w:t>
      </w:r>
      <w:r w:rsidR="001D5D34" w:rsidRPr="00EA7D70">
        <w:rPr>
          <w:rFonts w:ascii="Arial" w:hAnsi="Arial" w:cs="Arial"/>
        </w:rPr>
        <w:t xml:space="preserve"> (a</w:t>
      </w:r>
      <w:r w:rsidR="004C5F90" w:rsidRPr="00EA7D70">
        <w:rPr>
          <w:rFonts w:ascii="Arial" w:hAnsi="Arial" w:cs="Arial"/>
        </w:rPr>
        <w:t>), (</w:t>
      </w:r>
      <w:r w:rsidR="00DE7015" w:rsidRPr="00EA7D70">
        <w:rPr>
          <w:rFonts w:ascii="Arial" w:hAnsi="Arial" w:cs="Arial"/>
        </w:rPr>
        <w:t>b)</w:t>
      </w:r>
      <w:r w:rsidR="001D5D34" w:rsidRPr="00EA7D70">
        <w:rPr>
          <w:rFonts w:ascii="Arial" w:hAnsi="Arial" w:cs="Arial"/>
        </w:rPr>
        <w:t>, (d)</w:t>
      </w:r>
      <w:r w:rsidR="00DE7015" w:rsidRPr="00EA7D70">
        <w:rPr>
          <w:rFonts w:ascii="Arial" w:hAnsi="Arial" w:cs="Arial"/>
        </w:rPr>
        <w:t xml:space="preserve"> and (e))</w:t>
      </w:r>
      <w:r w:rsidR="00DF75AD" w:rsidRPr="00EA7D70">
        <w:rPr>
          <w:rFonts w:ascii="Arial" w:hAnsi="Arial" w:cs="Arial"/>
        </w:rPr>
        <w:t xml:space="preserve"> (s 269ZZE(2)</w:t>
      </w:r>
      <w:r w:rsidR="00255467" w:rsidRPr="00EA7D70">
        <w:rPr>
          <w:rFonts w:ascii="Arial" w:hAnsi="Arial" w:cs="Arial"/>
        </w:rPr>
        <w:t>(e)</w:t>
      </w:r>
      <w:r w:rsidR="001D5D34" w:rsidRPr="00EA7D70">
        <w:t xml:space="preserve"> </w:t>
      </w:r>
      <w:r w:rsidR="001D5D34" w:rsidRPr="00EA7D70">
        <w:rPr>
          <w:rFonts w:ascii="Arial" w:hAnsi="Arial" w:cs="Arial"/>
        </w:rPr>
        <w:t>and s 269ZZQ(1</w:t>
      </w:r>
      <w:proofErr w:type="gramStart"/>
      <w:r w:rsidR="001D5D34" w:rsidRPr="00EA7D70">
        <w:rPr>
          <w:rFonts w:ascii="Arial" w:hAnsi="Arial" w:cs="Arial"/>
        </w:rPr>
        <w:t>A)(</w:t>
      </w:r>
      <w:proofErr w:type="gramEnd"/>
      <w:r w:rsidR="001D5D34" w:rsidRPr="00EA7D70">
        <w:rPr>
          <w:rFonts w:ascii="Arial" w:hAnsi="Arial" w:cs="Arial"/>
        </w:rPr>
        <w:t>d) of the Act</w:t>
      </w:r>
      <w:r w:rsidR="00255467" w:rsidRPr="00EA7D70">
        <w:rPr>
          <w:rFonts w:ascii="Arial" w:hAnsi="Arial" w:cs="Arial"/>
        </w:rPr>
        <w:t>).</w:t>
      </w:r>
    </w:p>
    <w:p w14:paraId="69F15EA9" w14:textId="3E3E8667" w:rsidR="00DE7015" w:rsidRPr="00DE7015" w:rsidRDefault="00DE7015" w:rsidP="00DE7015">
      <w:pPr>
        <w:rPr>
          <w:rFonts w:ascii="Arial" w:hAnsi="Arial" w:cs="Arial"/>
        </w:rPr>
      </w:pPr>
      <w:r w:rsidRPr="00DE7015">
        <w:rPr>
          <w:rFonts w:ascii="Arial" w:hAnsi="Arial" w:cs="Arial"/>
        </w:rPr>
        <w:t>In responding to Question 9, each ground should be articulated as a short, clear statement.</w:t>
      </w:r>
      <w:r w:rsidRPr="00DE7015">
        <w:rPr>
          <w:rFonts w:ascii="Arial" w:hAnsi="Arial" w:cs="Arial"/>
          <w:i/>
          <w:iCs/>
        </w:rPr>
        <w:t xml:space="preserve"> </w:t>
      </w:r>
      <w:r w:rsidRPr="00DE7015">
        <w:rPr>
          <w:rFonts w:ascii="Arial" w:hAnsi="Arial" w:cs="Arial"/>
        </w:rPr>
        <w:t xml:space="preserve">Reasons to support each ground should be included in response to Question 11. </w:t>
      </w:r>
    </w:p>
    <w:p w14:paraId="5EB8F288" w14:textId="474E5110" w:rsidR="00027F79" w:rsidRPr="00EA7D70" w:rsidRDefault="00027F79" w:rsidP="00EA7D70">
      <w:pPr>
        <w:pStyle w:val="Heading2"/>
        <w:rPr>
          <w:rFonts w:asciiTheme="minorHAnsi" w:hAnsiTheme="minorHAnsi" w:cstheme="minorHAnsi"/>
          <w:b/>
          <w:bCs/>
          <w:color w:val="auto"/>
          <w:sz w:val="28"/>
          <w:szCs w:val="28"/>
        </w:rPr>
      </w:pPr>
      <w:r w:rsidRPr="00EA7D70">
        <w:rPr>
          <w:rFonts w:asciiTheme="minorHAnsi" w:hAnsiTheme="minorHAnsi" w:cstheme="minorHAnsi"/>
          <w:b/>
          <w:bCs/>
          <w:color w:val="auto"/>
          <w:sz w:val="28"/>
          <w:szCs w:val="28"/>
        </w:rPr>
        <w:t>Requests for further information</w:t>
      </w:r>
    </w:p>
    <w:p w14:paraId="334A26FE" w14:textId="77777777" w:rsidR="00EA7D70" w:rsidRPr="00EA7D70" w:rsidRDefault="00EA7D70" w:rsidP="00EA7D70">
      <w:pPr>
        <w:spacing w:after="0"/>
      </w:pPr>
    </w:p>
    <w:p w14:paraId="61CBC214" w14:textId="77777777" w:rsidR="004C5F90" w:rsidRDefault="00027F79" w:rsidP="00EA7D70">
      <w:pPr>
        <w:spacing w:after="0"/>
        <w:rPr>
          <w:rFonts w:ascii="Arial" w:hAnsi="Arial" w:cs="Arial"/>
        </w:rPr>
      </w:pPr>
      <w:r w:rsidRPr="01770CB7">
        <w:rPr>
          <w:rFonts w:ascii="Arial" w:hAnsi="Arial" w:cs="Arial"/>
        </w:rPr>
        <w:t xml:space="preserve">If the Anti-Dumping Review Panel (Review Panel) is not satisfied that an application sets out reasonable grounds or otherwise satisfies the requirements of questions </w:t>
      </w:r>
      <w:r w:rsidR="004525F1" w:rsidRPr="01770CB7">
        <w:rPr>
          <w:rFonts w:ascii="Arial" w:hAnsi="Arial" w:cs="Arial"/>
        </w:rPr>
        <w:t>9</w:t>
      </w:r>
      <w:r w:rsidRPr="01770CB7">
        <w:rPr>
          <w:rFonts w:ascii="Arial" w:hAnsi="Arial" w:cs="Arial"/>
        </w:rPr>
        <w:t>-12 (where applicable), the Review Panel may, by notice given to the applicant, request the applicant to give the Review Panel, within the period specified in the notice, further information in relation to those matters pursuant to s 269ZZG(1)</w:t>
      </w:r>
      <w:r w:rsidR="00551245">
        <w:t xml:space="preserve"> </w:t>
      </w:r>
      <w:r w:rsidR="00551245" w:rsidRPr="01770CB7">
        <w:rPr>
          <w:rFonts w:ascii="Arial" w:hAnsi="Arial" w:cs="Arial"/>
        </w:rPr>
        <w:t xml:space="preserve">or s 269ZZQA(1). </w:t>
      </w:r>
    </w:p>
    <w:p w14:paraId="381C2ED5" w14:textId="77777777" w:rsidR="00EA7D70" w:rsidRDefault="00EA7D70" w:rsidP="00EA7D70">
      <w:pPr>
        <w:spacing w:after="0"/>
        <w:rPr>
          <w:rFonts w:ascii="Arial" w:hAnsi="Arial" w:cs="Arial"/>
        </w:rPr>
      </w:pPr>
    </w:p>
    <w:p w14:paraId="223D3D35" w14:textId="47919C0B" w:rsidR="00027F79" w:rsidRDefault="00551245" w:rsidP="00EA7D70">
      <w:pPr>
        <w:spacing w:after="0"/>
        <w:rPr>
          <w:rFonts w:ascii="Arial" w:hAnsi="Arial" w:cs="Arial"/>
        </w:rPr>
      </w:pPr>
      <w:r w:rsidRPr="01770CB7">
        <w:rPr>
          <w:rFonts w:ascii="Arial" w:hAnsi="Arial" w:cs="Arial"/>
        </w:rPr>
        <w:t>The Review Panel may also hold a conference after receiving an application for a review and before beginning to conduct the review</w:t>
      </w:r>
      <w:r w:rsidR="00C96E30" w:rsidRPr="01770CB7">
        <w:rPr>
          <w:rFonts w:ascii="Arial" w:hAnsi="Arial" w:cs="Arial"/>
        </w:rPr>
        <w:t>,</w:t>
      </w:r>
      <w:r w:rsidRPr="01770CB7">
        <w:rPr>
          <w:rFonts w:ascii="Arial" w:hAnsi="Arial" w:cs="Arial"/>
        </w:rPr>
        <w:t xml:space="preserve"> for the purpose of obtaining further information in relation to the application (including the grounds) pursuant to s</w:t>
      </w:r>
      <w:r w:rsidR="00C96E30" w:rsidRPr="01770CB7">
        <w:rPr>
          <w:rFonts w:ascii="Arial" w:hAnsi="Arial" w:cs="Arial"/>
        </w:rPr>
        <w:t xml:space="preserve">s </w:t>
      </w:r>
      <w:r w:rsidRPr="01770CB7">
        <w:rPr>
          <w:rFonts w:ascii="Arial" w:hAnsi="Arial" w:cs="Arial"/>
        </w:rPr>
        <w:t>269</w:t>
      </w:r>
      <w:proofErr w:type="gramStart"/>
      <w:r w:rsidRPr="01770CB7">
        <w:rPr>
          <w:rFonts w:ascii="Arial" w:hAnsi="Arial" w:cs="Arial"/>
        </w:rPr>
        <w:t>ZZHA(</w:t>
      </w:r>
      <w:proofErr w:type="gramEnd"/>
      <w:r w:rsidRPr="01770CB7">
        <w:rPr>
          <w:rFonts w:ascii="Arial" w:hAnsi="Arial" w:cs="Arial"/>
        </w:rPr>
        <w:t>1) and (3)</w:t>
      </w:r>
      <w:r w:rsidR="00C96E30" w:rsidRPr="01770CB7">
        <w:rPr>
          <w:rFonts w:ascii="Arial" w:hAnsi="Arial" w:cs="Arial"/>
        </w:rPr>
        <w:t>,</w:t>
      </w:r>
      <w:r w:rsidRPr="01770CB7">
        <w:rPr>
          <w:rFonts w:ascii="Arial" w:hAnsi="Arial" w:cs="Arial"/>
        </w:rPr>
        <w:t xml:space="preserve"> or s</w:t>
      </w:r>
      <w:r w:rsidR="00C96E30" w:rsidRPr="01770CB7">
        <w:rPr>
          <w:rFonts w:ascii="Arial" w:hAnsi="Arial" w:cs="Arial"/>
        </w:rPr>
        <w:t>s 269</w:t>
      </w:r>
      <w:r w:rsidRPr="01770CB7">
        <w:rPr>
          <w:rFonts w:ascii="Arial" w:hAnsi="Arial" w:cs="Arial"/>
        </w:rPr>
        <w:t>ZZRA(1) and (3)</w:t>
      </w:r>
      <w:r w:rsidR="00027F79" w:rsidRPr="01770CB7">
        <w:rPr>
          <w:rFonts w:ascii="Arial" w:hAnsi="Arial" w:cs="Arial"/>
        </w:rPr>
        <w:t xml:space="preserve">. </w:t>
      </w:r>
    </w:p>
    <w:p w14:paraId="0431FBEB" w14:textId="77777777" w:rsidR="00EA7D70" w:rsidRPr="00027F79" w:rsidRDefault="00EA7D70" w:rsidP="00EA7D70">
      <w:pPr>
        <w:spacing w:after="0"/>
        <w:rPr>
          <w:rFonts w:ascii="Arial" w:hAnsi="Arial" w:cs="Arial"/>
        </w:rPr>
      </w:pPr>
    </w:p>
    <w:p w14:paraId="62E5A9FF" w14:textId="032C8A0E" w:rsidR="00DE7015" w:rsidRPr="00EA7D70" w:rsidRDefault="00DE7015" w:rsidP="00EA7D70">
      <w:pPr>
        <w:pStyle w:val="Heading2"/>
        <w:rPr>
          <w:rFonts w:asciiTheme="minorHAnsi" w:hAnsiTheme="minorHAnsi" w:cstheme="minorHAnsi"/>
          <w:b/>
          <w:bCs/>
          <w:color w:val="auto"/>
          <w:sz w:val="28"/>
          <w:szCs w:val="28"/>
        </w:rPr>
      </w:pPr>
      <w:r w:rsidRPr="00EA7D70">
        <w:rPr>
          <w:rFonts w:asciiTheme="minorHAnsi" w:hAnsiTheme="minorHAnsi" w:cstheme="minorHAnsi"/>
          <w:b/>
          <w:bCs/>
          <w:color w:val="auto"/>
          <w:sz w:val="28"/>
          <w:szCs w:val="28"/>
        </w:rPr>
        <w:t>Rejection of grounds of review</w:t>
      </w:r>
    </w:p>
    <w:p w14:paraId="1E7A01EC" w14:textId="77777777" w:rsidR="00EA7D70" w:rsidRDefault="00EA7D70" w:rsidP="00EA7D70">
      <w:pPr>
        <w:spacing w:after="0"/>
        <w:rPr>
          <w:rFonts w:ascii="Arial" w:hAnsi="Arial" w:cs="Arial"/>
        </w:rPr>
      </w:pPr>
    </w:p>
    <w:p w14:paraId="2E5AA170" w14:textId="08A43460" w:rsidR="00027F79" w:rsidRDefault="0080777A" w:rsidP="00EA7D70">
      <w:pPr>
        <w:spacing w:after="0"/>
        <w:rPr>
          <w:rFonts w:ascii="Arial" w:hAnsi="Arial" w:cs="Arial"/>
          <w:b/>
          <w:bCs/>
        </w:rPr>
      </w:pPr>
      <w:r w:rsidRPr="58BA6107">
        <w:rPr>
          <w:rFonts w:ascii="Arial" w:hAnsi="Arial" w:cs="Arial"/>
        </w:rPr>
        <w:t>A</w:t>
      </w:r>
      <w:r w:rsidR="00876867" w:rsidRPr="58BA6107">
        <w:rPr>
          <w:rFonts w:ascii="Arial" w:hAnsi="Arial" w:cs="Arial"/>
        </w:rPr>
        <w:t xml:space="preserve"> </w:t>
      </w:r>
      <w:r w:rsidRPr="58BA6107">
        <w:rPr>
          <w:rFonts w:ascii="Arial" w:hAnsi="Arial" w:cs="Arial"/>
        </w:rPr>
        <w:t xml:space="preserve">failure to adequately and accurately respond to </w:t>
      </w:r>
      <w:r w:rsidR="00027F79" w:rsidRPr="58BA6107">
        <w:rPr>
          <w:rFonts w:ascii="Arial" w:hAnsi="Arial" w:cs="Arial"/>
        </w:rPr>
        <w:t xml:space="preserve">questions 9-12 </w:t>
      </w:r>
      <w:r w:rsidRPr="58BA6107">
        <w:rPr>
          <w:rFonts w:ascii="Arial" w:hAnsi="Arial" w:cs="Arial"/>
        </w:rPr>
        <w:t>may result in the ground/s of review being rejected pursuant to s 269</w:t>
      </w:r>
      <w:proofErr w:type="gramStart"/>
      <w:r w:rsidRPr="58BA6107">
        <w:rPr>
          <w:rFonts w:ascii="Arial" w:hAnsi="Arial" w:cs="Arial"/>
        </w:rPr>
        <w:t>ZZG(</w:t>
      </w:r>
      <w:proofErr w:type="gramEnd"/>
      <w:r w:rsidR="004E4EC5">
        <w:rPr>
          <w:rFonts w:ascii="Arial" w:hAnsi="Arial" w:cs="Arial"/>
        </w:rPr>
        <w:t>5</w:t>
      </w:r>
      <w:r w:rsidRPr="58BA6107">
        <w:rPr>
          <w:rFonts w:ascii="Arial" w:hAnsi="Arial" w:cs="Arial"/>
        </w:rPr>
        <w:t>)</w:t>
      </w:r>
      <w:r w:rsidR="00700965" w:rsidRPr="00700965">
        <w:t xml:space="preserve"> </w:t>
      </w:r>
      <w:r w:rsidR="00700965" w:rsidRPr="00700965">
        <w:rPr>
          <w:rFonts w:ascii="Arial" w:hAnsi="Arial" w:cs="Arial"/>
        </w:rPr>
        <w:t>or 269ZZQA(5)</w:t>
      </w:r>
      <w:r w:rsidR="0029073E">
        <w:rPr>
          <w:rFonts w:ascii="Arial" w:hAnsi="Arial" w:cs="Arial"/>
        </w:rPr>
        <w:t>,</w:t>
      </w:r>
      <w:r w:rsidRPr="58BA6107">
        <w:rPr>
          <w:rFonts w:ascii="Arial" w:hAnsi="Arial" w:cs="Arial"/>
        </w:rPr>
        <w:t xml:space="preserve"> </w:t>
      </w:r>
      <w:r w:rsidR="004E4EC5">
        <w:rPr>
          <w:rFonts w:ascii="Arial" w:hAnsi="Arial" w:cs="Arial"/>
        </w:rPr>
        <w:t xml:space="preserve">or the full application being rejected pursuant to s 269ZZG(2) </w:t>
      </w:r>
      <w:r w:rsidR="00700965" w:rsidRPr="00700965">
        <w:rPr>
          <w:rFonts w:ascii="Arial" w:hAnsi="Arial" w:cs="Arial"/>
        </w:rPr>
        <w:t xml:space="preserve">or s 269ZZQA(2) </w:t>
      </w:r>
      <w:r w:rsidRPr="58BA6107">
        <w:rPr>
          <w:rFonts w:ascii="Arial" w:hAnsi="Arial" w:cs="Arial"/>
        </w:rPr>
        <w:t xml:space="preserve">of the </w:t>
      </w:r>
      <w:r w:rsidR="00700965">
        <w:rPr>
          <w:rFonts w:ascii="Arial" w:hAnsi="Arial" w:cs="Arial"/>
        </w:rPr>
        <w:t>Act</w:t>
      </w:r>
      <w:r w:rsidR="006A4854" w:rsidRPr="58BA6107">
        <w:rPr>
          <w:rFonts w:ascii="Arial" w:hAnsi="Arial" w:cs="Arial"/>
        </w:rPr>
        <w:t>.</w:t>
      </w:r>
      <w:r w:rsidRPr="58BA6107">
        <w:rPr>
          <w:rFonts w:ascii="Arial" w:hAnsi="Arial" w:cs="Arial"/>
          <w:b/>
          <w:bCs/>
        </w:rPr>
        <w:t xml:space="preserve"> </w:t>
      </w:r>
    </w:p>
    <w:p w14:paraId="45F8D355" w14:textId="77777777" w:rsidR="00EA7D70" w:rsidRDefault="00EA7D70" w:rsidP="00EA7D70">
      <w:pPr>
        <w:spacing w:after="0"/>
        <w:rPr>
          <w:rFonts w:ascii="Arial" w:hAnsi="Arial" w:cs="Arial"/>
        </w:rPr>
      </w:pPr>
    </w:p>
    <w:p w14:paraId="46475428" w14:textId="4035395C" w:rsidR="00DF28B8" w:rsidRDefault="00DF28B8" w:rsidP="00DF28B8">
      <w:pPr>
        <w:rPr>
          <w:rFonts w:ascii="Arial" w:hAnsi="Arial" w:cs="Arial"/>
        </w:rPr>
      </w:pPr>
      <w:r>
        <w:rPr>
          <w:rFonts w:ascii="Arial" w:hAnsi="Arial" w:cs="Arial"/>
        </w:rPr>
        <w:t>If the Review Panel is satisfied that one or more of the grounds put forward in an application are not reasonable grounds for the reviewable decision not being the correct or preferable decision, then the Review Panel must reject these grounds pursuant to s 269</w:t>
      </w:r>
      <w:proofErr w:type="gramStart"/>
      <w:r>
        <w:rPr>
          <w:rFonts w:ascii="Arial" w:hAnsi="Arial" w:cs="Arial"/>
        </w:rPr>
        <w:t>ZZG(</w:t>
      </w:r>
      <w:proofErr w:type="gramEnd"/>
      <w:r>
        <w:rPr>
          <w:rFonts w:ascii="Arial" w:hAnsi="Arial" w:cs="Arial"/>
        </w:rPr>
        <w:t>5)</w:t>
      </w:r>
      <w:r w:rsidR="00700965" w:rsidRPr="00700965">
        <w:t xml:space="preserve"> </w:t>
      </w:r>
      <w:r w:rsidR="00700965" w:rsidRPr="00700965">
        <w:rPr>
          <w:rFonts w:ascii="Arial" w:hAnsi="Arial" w:cs="Arial"/>
        </w:rPr>
        <w:t>or 269ZZQA(5)</w:t>
      </w:r>
      <w:r w:rsidR="006A4854">
        <w:rPr>
          <w:rFonts w:ascii="Arial" w:hAnsi="Arial" w:cs="Arial"/>
        </w:rPr>
        <w:t xml:space="preserve"> of the Act</w:t>
      </w:r>
      <w:r>
        <w:rPr>
          <w:rFonts w:ascii="Arial" w:hAnsi="Arial" w:cs="Arial"/>
        </w:rPr>
        <w:t>.</w:t>
      </w:r>
    </w:p>
    <w:p w14:paraId="2E1AED87" w14:textId="78BEB8E5" w:rsidR="005D1BB8" w:rsidRPr="00EA7D70" w:rsidRDefault="005D1BB8" w:rsidP="00EA7D70">
      <w:pPr>
        <w:pStyle w:val="Heading2"/>
        <w:rPr>
          <w:rFonts w:asciiTheme="minorHAnsi" w:hAnsiTheme="minorHAnsi" w:cstheme="minorHAnsi"/>
          <w:b/>
          <w:bCs/>
          <w:color w:val="auto"/>
          <w:sz w:val="28"/>
          <w:szCs w:val="28"/>
        </w:rPr>
      </w:pPr>
      <w:r w:rsidRPr="00EA7D70">
        <w:rPr>
          <w:rFonts w:asciiTheme="minorHAnsi" w:hAnsiTheme="minorHAnsi" w:cstheme="minorHAnsi"/>
          <w:b/>
          <w:bCs/>
          <w:color w:val="auto"/>
          <w:sz w:val="28"/>
          <w:szCs w:val="28"/>
        </w:rPr>
        <w:lastRenderedPageBreak/>
        <w:t xml:space="preserve">Examples of </w:t>
      </w:r>
      <w:r w:rsidR="00EA7D70">
        <w:rPr>
          <w:rFonts w:asciiTheme="minorHAnsi" w:hAnsiTheme="minorHAnsi" w:cstheme="minorHAnsi"/>
          <w:b/>
          <w:bCs/>
          <w:color w:val="auto"/>
          <w:sz w:val="28"/>
          <w:szCs w:val="28"/>
        </w:rPr>
        <w:t>a</w:t>
      </w:r>
      <w:r w:rsidRPr="00EA7D70">
        <w:rPr>
          <w:rFonts w:asciiTheme="minorHAnsi" w:hAnsiTheme="minorHAnsi" w:cstheme="minorHAnsi"/>
          <w:b/>
          <w:bCs/>
          <w:color w:val="auto"/>
          <w:sz w:val="28"/>
          <w:szCs w:val="28"/>
        </w:rPr>
        <w:t xml:space="preserve">ccepted and </w:t>
      </w:r>
      <w:r w:rsidR="00EA7D70">
        <w:rPr>
          <w:rFonts w:asciiTheme="minorHAnsi" w:hAnsiTheme="minorHAnsi" w:cstheme="minorHAnsi"/>
          <w:b/>
          <w:bCs/>
          <w:color w:val="auto"/>
          <w:sz w:val="28"/>
          <w:szCs w:val="28"/>
        </w:rPr>
        <w:t>r</w:t>
      </w:r>
      <w:r w:rsidRPr="00EA7D70">
        <w:rPr>
          <w:rFonts w:asciiTheme="minorHAnsi" w:hAnsiTheme="minorHAnsi" w:cstheme="minorHAnsi"/>
          <w:b/>
          <w:bCs/>
          <w:color w:val="auto"/>
          <w:sz w:val="28"/>
          <w:szCs w:val="28"/>
        </w:rPr>
        <w:t xml:space="preserve">ejected </w:t>
      </w:r>
      <w:r w:rsidR="00EA7D70">
        <w:rPr>
          <w:rFonts w:asciiTheme="minorHAnsi" w:hAnsiTheme="minorHAnsi" w:cstheme="minorHAnsi"/>
          <w:b/>
          <w:bCs/>
          <w:color w:val="auto"/>
          <w:sz w:val="28"/>
          <w:szCs w:val="28"/>
        </w:rPr>
        <w:t>g</w:t>
      </w:r>
      <w:r w:rsidRPr="00EA7D70">
        <w:rPr>
          <w:rFonts w:asciiTheme="minorHAnsi" w:hAnsiTheme="minorHAnsi" w:cstheme="minorHAnsi"/>
          <w:b/>
          <w:bCs/>
          <w:color w:val="auto"/>
          <w:sz w:val="28"/>
          <w:szCs w:val="28"/>
        </w:rPr>
        <w:t xml:space="preserve">rounds of </w:t>
      </w:r>
      <w:r w:rsidR="00EA7D70">
        <w:rPr>
          <w:rFonts w:asciiTheme="minorHAnsi" w:hAnsiTheme="minorHAnsi" w:cstheme="minorHAnsi"/>
          <w:b/>
          <w:bCs/>
          <w:color w:val="auto"/>
          <w:sz w:val="28"/>
          <w:szCs w:val="28"/>
        </w:rPr>
        <w:t>r</w:t>
      </w:r>
      <w:r w:rsidRPr="00EA7D70">
        <w:rPr>
          <w:rFonts w:asciiTheme="minorHAnsi" w:hAnsiTheme="minorHAnsi" w:cstheme="minorHAnsi"/>
          <w:b/>
          <w:bCs/>
          <w:color w:val="auto"/>
          <w:sz w:val="28"/>
          <w:szCs w:val="28"/>
        </w:rPr>
        <w:t>eview</w:t>
      </w:r>
    </w:p>
    <w:p w14:paraId="6E1A3C12" w14:textId="0442E535" w:rsidR="00C96E30" w:rsidRPr="00EA7D70" w:rsidRDefault="00982618" w:rsidP="00EA7D70">
      <w:pPr>
        <w:pStyle w:val="Heading3"/>
        <w:rPr>
          <w:rFonts w:asciiTheme="minorHAnsi" w:hAnsiTheme="minorHAnsi" w:cstheme="minorHAnsi"/>
          <w:b/>
          <w:bCs/>
          <w:color w:val="auto"/>
        </w:rPr>
      </w:pPr>
      <w:r w:rsidRPr="00EA7D70">
        <w:rPr>
          <w:rFonts w:asciiTheme="minorHAnsi" w:hAnsiTheme="minorHAnsi" w:cstheme="minorHAnsi"/>
          <w:b/>
          <w:bCs/>
          <w:color w:val="auto"/>
        </w:rPr>
        <w:t xml:space="preserve">Accepted </w:t>
      </w:r>
      <w:r w:rsidR="00EA7D70">
        <w:rPr>
          <w:rFonts w:asciiTheme="minorHAnsi" w:hAnsiTheme="minorHAnsi" w:cstheme="minorHAnsi"/>
          <w:b/>
          <w:bCs/>
          <w:color w:val="auto"/>
        </w:rPr>
        <w:t>g</w:t>
      </w:r>
      <w:r w:rsidRPr="00EA7D70">
        <w:rPr>
          <w:rFonts w:asciiTheme="minorHAnsi" w:hAnsiTheme="minorHAnsi" w:cstheme="minorHAnsi"/>
          <w:b/>
          <w:bCs/>
          <w:color w:val="auto"/>
        </w:rPr>
        <w:t>rounds</w:t>
      </w:r>
    </w:p>
    <w:p w14:paraId="1269ED79" w14:textId="77777777" w:rsidR="00EA7D70" w:rsidRPr="00EA7D70" w:rsidRDefault="00EA7D70" w:rsidP="00EA7D70"/>
    <w:p w14:paraId="1F7DDDD6" w14:textId="347548D7" w:rsidR="009E2C45" w:rsidRPr="00EA7D70" w:rsidRDefault="00AB18F5" w:rsidP="00DF28B8">
      <w:pPr>
        <w:rPr>
          <w:rFonts w:ascii="Arial" w:hAnsi="Arial" w:cs="Arial"/>
        </w:rPr>
      </w:pPr>
      <w:r w:rsidRPr="00EA7D70">
        <w:rPr>
          <w:rFonts w:ascii="Arial" w:hAnsi="Arial" w:cs="Arial"/>
        </w:rPr>
        <w:t>N</w:t>
      </w:r>
      <w:r w:rsidR="006A4854" w:rsidRPr="00EA7D70">
        <w:rPr>
          <w:rFonts w:ascii="Arial" w:hAnsi="Arial" w:cs="Arial"/>
        </w:rPr>
        <w:t>ote</w:t>
      </w:r>
      <w:r w:rsidRPr="00EA7D70">
        <w:rPr>
          <w:rFonts w:ascii="Arial" w:hAnsi="Arial" w:cs="Arial"/>
        </w:rPr>
        <w:t>:</w:t>
      </w:r>
      <w:r w:rsidR="006A4854" w:rsidRPr="00EA7D70">
        <w:rPr>
          <w:rFonts w:ascii="Arial" w:hAnsi="Arial" w:cs="Arial"/>
        </w:rPr>
        <w:t xml:space="preserve"> </w:t>
      </w:r>
      <w:r w:rsidRPr="00EA7D70">
        <w:rPr>
          <w:rFonts w:ascii="Arial" w:hAnsi="Arial" w:cs="Arial"/>
        </w:rPr>
        <w:t xml:space="preserve">each ground should be </w:t>
      </w:r>
      <w:r w:rsidR="006A4854" w:rsidRPr="00EA7D70">
        <w:rPr>
          <w:rFonts w:ascii="Arial" w:hAnsi="Arial" w:cs="Arial"/>
        </w:rPr>
        <w:t xml:space="preserve">accompanied by </w:t>
      </w:r>
      <w:r w:rsidRPr="00EA7D70">
        <w:rPr>
          <w:rFonts w:ascii="Arial" w:hAnsi="Arial" w:cs="Arial"/>
        </w:rPr>
        <w:t xml:space="preserve">supporting </w:t>
      </w:r>
      <w:r w:rsidR="006A4854" w:rsidRPr="00EA7D70">
        <w:rPr>
          <w:rFonts w:ascii="Arial" w:hAnsi="Arial" w:cs="Arial"/>
        </w:rPr>
        <w:t xml:space="preserve">reasons </w:t>
      </w:r>
      <w:r w:rsidRPr="00EA7D70">
        <w:rPr>
          <w:rFonts w:ascii="Arial" w:hAnsi="Arial" w:cs="Arial"/>
        </w:rPr>
        <w:t xml:space="preserve">provided </w:t>
      </w:r>
      <w:r w:rsidR="006A4854" w:rsidRPr="00EA7D70">
        <w:rPr>
          <w:rFonts w:ascii="Arial" w:hAnsi="Arial" w:cs="Arial"/>
        </w:rPr>
        <w:t>in response to Question 11.</w:t>
      </w:r>
    </w:p>
    <w:p w14:paraId="14AAA220" w14:textId="5211D045" w:rsidR="00C96E30" w:rsidRDefault="00C96E30" w:rsidP="00027F79">
      <w:pPr>
        <w:pStyle w:val="ListParagraph"/>
        <w:numPr>
          <w:ilvl w:val="0"/>
          <w:numId w:val="2"/>
        </w:numPr>
        <w:rPr>
          <w:rFonts w:ascii="Arial" w:hAnsi="Arial" w:cs="Arial"/>
        </w:rPr>
      </w:pPr>
      <w:r w:rsidRPr="00C96E30">
        <w:rPr>
          <w:rFonts w:ascii="Arial" w:hAnsi="Arial" w:cs="Arial"/>
        </w:rPr>
        <w:t>Error by not making necessary adjustments to normal values in accordance with s 269</w:t>
      </w:r>
      <w:proofErr w:type="gramStart"/>
      <w:r w:rsidRPr="00C96E30">
        <w:rPr>
          <w:rFonts w:ascii="Arial" w:hAnsi="Arial" w:cs="Arial"/>
        </w:rPr>
        <w:t>TAC(</w:t>
      </w:r>
      <w:proofErr w:type="gramEnd"/>
      <w:r w:rsidRPr="00C96E30">
        <w:rPr>
          <w:rFonts w:ascii="Arial" w:hAnsi="Arial" w:cs="Arial"/>
        </w:rPr>
        <w:t>8) of the Act</w:t>
      </w:r>
      <w:r>
        <w:rPr>
          <w:rFonts w:ascii="Arial" w:hAnsi="Arial" w:cs="Arial"/>
        </w:rPr>
        <w:t>.</w:t>
      </w:r>
    </w:p>
    <w:p w14:paraId="496E23AD" w14:textId="7148BDD5" w:rsidR="00C96E30" w:rsidRPr="00C96E30" w:rsidRDefault="00C96E30" w:rsidP="00C96E30">
      <w:pPr>
        <w:pStyle w:val="ListParagraph"/>
        <w:numPr>
          <w:ilvl w:val="0"/>
          <w:numId w:val="2"/>
        </w:numPr>
        <w:rPr>
          <w:rFonts w:ascii="Arial" w:hAnsi="Arial" w:cs="Arial"/>
        </w:rPr>
      </w:pPr>
      <w:r w:rsidRPr="00C96E30">
        <w:rPr>
          <w:rFonts w:ascii="Arial" w:hAnsi="Arial" w:cs="Arial"/>
        </w:rPr>
        <w:t>Failure to adequately consider whether injury was caused by factors other than dumping, contrary to s</w:t>
      </w:r>
      <w:r>
        <w:rPr>
          <w:rFonts w:ascii="Arial" w:hAnsi="Arial" w:cs="Arial"/>
        </w:rPr>
        <w:t xml:space="preserve"> </w:t>
      </w:r>
      <w:r w:rsidRPr="00C96E30">
        <w:rPr>
          <w:rFonts w:ascii="Arial" w:hAnsi="Arial" w:cs="Arial"/>
        </w:rPr>
        <w:t xml:space="preserve">269TAE(2A). </w:t>
      </w:r>
    </w:p>
    <w:p w14:paraId="4BCF732E" w14:textId="16D9757A" w:rsidR="00C96E30" w:rsidRDefault="00C96E30" w:rsidP="00C96E30">
      <w:pPr>
        <w:pStyle w:val="ListParagraph"/>
        <w:numPr>
          <w:ilvl w:val="0"/>
          <w:numId w:val="2"/>
        </w:numPr>
        <w:rPr>
          <w:rFonts w:ascii="Arial" w:hAnsi="Arial" w:cs="Arial"/>
        </w:rPr>
      </w:pPr>
      <w:r w:rsidRPr="00C96E30">
        <w:rPr>
          <w:rFonts w:ascii="Arial" w:hAnsi="Arial" w:cs="Arial"/>
        </w:rPr>
        <w:t>Incorrect and unreasonable determination of material injury, by lack of objective examination of the Australian industry’s economic condition</w:t>
      </w:r>
      <w:r>
        <w:rPr>
          <w:rFonts w:ascii="Arial" w:hAnsi="Arial" w:cs="Arial"/>
        </w:rPr>
        <w:t>.</w:t>
      </w:r>
    </w:p>
    <w:p w14:paraId="35095F40" w14:textId="31F97823" w:rsidR="005D1BB8" w:rsidRPr="00F62036" w:rsidRDefault="00C96E30" w:rsidP="00166FE4">
      <w:pPr>
        <w:pStyle w:val="ListParagraph"/>
        <w:numPr>
          <w:ilvl w:val="0"/>
          <w:numId w:val="2"/>
        </w:numPr>
      </w:pPr>
      <w:r w:rsidRPr="00166FE4">
        <w:rPr>
          <w:rFonts w:ascii="Arial" w:hAnsi="Arial" w:cs="Arial"/>
        </w:rPr>
        <w:t>Error in failure to adjust normal value to account for the cost of inland freight so as to ensure a fair comparison between export price and normal value.</w:t>
      </w:r>
    </w:p>
    <w:p w14:paraId="355120FD" w14:textId="18A3F517" w:rsidR="005D1BB8" w:rsidRPr="00EA7D70" w:rsidRDefault="0032290B" w:rsidP="00EA7D70">
      <w:pPr>
        <w:pStyle w:val="ListParagraph"/>
        <w:numPr>
          <w:ilvl w:val="0"/>
          <w:numId w:val="2"/>
        </w:numPr>
        <w:rPr>
          <w:rFonts w:ascii="Arial" w:hAnsi="Arial" w:cs="Arial"/>
        </w:rPr>
      </w:pPr>
      <w:r w:rsidRPr="0032290B">
        <w:rPr>
          <w:rFonts w:ascii="Arial" w:hAnsi="Arial" w:cs="Arial"/>
        </w:rPr>
        <w:t>The determination of the dumping margin for the exporter based on an export price assessment using the order date as the date of sale, was not the correct or preferable decision.</w:t>
      </w:r>
    </w:p>
    <w:p w14:paraId="63A0DE5A" w14:textId="64E8D970" w:rsidR="0080777A" w:rsidRPr="00EA7D70" w:rsidRDefault="00982618" w:rsidP="00EA7D70">
      <w:pPr>
        <w:pStyle w:val="Heading3"/>
        <w:rPr>
          <w:rFonts w:asciiTheme="minorHAnsi" w:hAnsiTheme="minorHAnsi" w:cstheme="minorHAnsi"/>
          <w:b/>
          <w:color w:val="auto"/>
        </w:rPr>
      </w:pPr>
      <w:r w:rsidRPr="00EA7D70">
        <w:rPr>
          <w:rFonts w:asciiTheme="minorHAnsi" w:hAnsiTheme="minorHAnsi" w:cstheme="minorHAnsi"/>
          <w:b/>
          <w:color w:val="auto"/>
        </w:rPr>
        <w:t xml:space="preserve">Rejected </w:t>
      </w:r>
      <w:r w:rsidR="00EA7D70">
        <w:rPr>
          <w:rFonts w:asciiTheme="minorHAnsi" w:hAnsiTheme="minorHAnsi" w:cstheme="minorHAnsi"/>
          <w:b/>
          <w:color w:val="auto"/>
        </w:rPr>
        <w:t>g</w:t>
      </w:r>
      <w:r w:rsidRPr="00EA7D70">
        <w:rPr>
          <w:rFonts w:asciiTheme="minorHAnsi" w:hAnsiTheme="minorHAnsi" w:cstheme="minorHAnsi"/>
          <w:b/>
          <w:color w:val="auto"/>
        </w:rPr>
        <w:t>rounds</w:t>
      </w:r>
    </w:p>
    <w:p w14:paraId="192825A2" w14:textId="77777777" w:rsidR="00EA7D70" w:rsidRPr="00EA7D70" w:rsidRDefault="00EA7D70" w:rsidP="00EA7D70"/>
    <w:p w14:paraId="0E514C25" w14:textId="44645896" w:rsidR="00FA5E9A" w:rsidRDefault="004565D1" w:rsidP="00275BC9">
      <w:pPr>
        <w:pStyle w:val="ListParagraph"/>
        <w:numPr>
          <w:ilvl w:val="0"/>
          <w:numId w:val="3"/>
        </w:numPr>
        <w:rPr>
          <w:rFonts w:ascii="Arial" w:hAnsi="Arial" w:cs="Arial"/>
        </w:rPr>
      </w:pPr>
      <w:r>
        <w:rPr>
          <w:rFonts w:ascii="Arial" w:hAnsi="Arial" w:cs="Arial"/>
        </w:rPr>
        <w:t>T</w:t>
      </w:r>
      <w:r w:rsidRPr="004565D1">
        <w:rPr>
          <w:rFonts w:ascii="Arial" w:hAnsi="Arial" w:cs="Arial"/>
        </w:rPr>
        <w:t>he Commission did not comply with its obligations under s 269ZJ</w:t>
      </w:r>
      <w:r w:rsidR="006A4854">
        <w:rPr>
          <w:rFonts w:ascii="Arial" w:hAnsi="Arial" w:cs="Arial"/>
        </w:rPr>
        <w:t xml:space="preserve"> of the Act</w:t>
      </w:r>
      <w:r w:rsidRPr="004565D1">
        <w:rPr>
          <w:rFonts w:ascii="Arial" w:hAnsi="Arial" w:cs="Arial"/>
        </w:rPr>
        <w:t xml:space="preserve"> to maintain a public record.</w:t>
      </w:r>
    </w:p>
    <w:p w14:paraId="3A37C4B6" w14:textId="4359CE05" w:rsidR="00275BC9" w:rsidRPr="00275BC9" w:rsidRDefault="00275BC9" w:rsidP="00275BC9">
      <w:pPr>
        <w:pStyle w:val="ListParagraph"/>
        <w:rPr>
          <w:rFonts w:ascii="Arial" w:hAnsi="Arial" w:cs="Arial"/>
        </w:rPr>
      </w:pPr>
    </w:p>
    <w:p w14:paraId="6CD619CA" w14:textId="7C29F850" w:rsidR="009E2C45" w:rsidRPr="00EA7D70" w:rsidRDefault="004565D1" w:rsidP="00C96E30">
      <w:pPr>
        <w:pStyle w:val="ListParagraph"/>
        <w:numPr>
          <w:ilvl w:val="1"/>
          <w:numId w:val="3"/>
        </w:numPr>
      </w:pPr>
      <w:r w:rsidRPr="00EA7D70">
        <w:rPr>
          <w:rFonts w:ascii="Arial" w:hAnsi="Arial" w:cs="Arial"/>
        </w:rPr>
        <w:t>Ground rejected because the allegations made in this ground, even if correct, do not provide a ground for concluding that the decision was not the correct or preferable decision.</w:t>
      </w:r>
    </w:p>
    <w:p w14:paraId="196E2FE1" w14:textId="77777777" w:rsidR="00FA5E9A" w:rsidRPr="00B67C85" w:rsidRDefault="00FA5E9A" w:rsidP="00FA5E9A">
      <w:pPr>
        <w:pStyle w:val="ListParagraph"/>
        <w:ind w:left="1440"/>
        <w:rPr>
          <w:rFonts w:ascii="Arial" w:hAnsi="Arial" w:cs="Arial"/>
        </w:rPr>
      </w:pPr>
    </w:p>
    <w:p w14:paraId="02045B4F" w14:textId="76108A21" w:rsidR="00D7655A" w:rsidRPr="00C96E30" w:rsidRDefault="00D7655A" w:rsidP="00C96E30">
      <w:pPr>
        <w:pStyle w:val="ListParagraph"/>
        <w:numPr>
          <w:ilvl w:val="0"/>
          <w:numId w:val="3"/>
        </w:numPr>
        <w:rPr>
          <w:rFonts w:ascii="Arial" w:hAnsi="Arial" w:cs="Arial"/>
        </w:rPr>
      </w:pPr>
      <w:r w:rsidRPr="00C96E30">
        <w:rPr>
          <w:rFonts w:ascii="Arial" w:hAnsi="Arial" w:cs="Arial"/>
        </w:rPr>
        <w:t xml:space="preserve">Error in that the ‘combination method’ was unsuitable and the appropriate form of the duty to be applied should have been the ‘ad valorem method’. </w:t>
      </w:r>
    </w:p>
    <w:p w14:paraId="7C2F8671" w14:textId="77777777" w:rsidR="00D7655A" w:rsidRPr="005D545E" w:rsidRDefault="00D7655A" w:rsidP="00D7655A">
      <w:pPr>
        <w:pStyle w:val="ListParagraph"/>
        <w:rPr>
          <w:rFonts w:ascii="Arial" w:hAnsi="Arial" w:cs="Arial"/>
        </w:rPr>
      </w:pPr>
    </w:p>
    <w:p w14:paraId="4645855A" w14:textId="0DDF3094" w:rsidR="00D7655A" w:rsidRPr="00EA7D70" w:rsidRDefault="00D7655A" w:rsidP="00D7655A">
      <w:pPr>
        <w:pStyle w:val="ListParagraph"/>
        <w:numPr>
          <w:ilvl w:val="0"/>
          <w:numId w:val="6"/>
        </w:numPr>
        <w:rPr>
          <w:rFonts w:ascii="Arial" w:hAnsi="Arial" w:cs="Arial"/>
        </w:rPr>
      </w:pPr>
      <w:r w:rsidRPr="00EA7D70">
        <w:rPr>
          <w:rFonts w:ascii="Arial" w:hAnsi="Arial" w:cs="Arial"/>
        </w:rPr>
        <w:t xml:space="preserve">Ground rejected because </w:t>
      </w:r>
      <w:r w:rsidR="004C5F90" w:rsidRPr="00EA7D70">
        <w:rPr>
          <w:rFonts w:ascii="Arial" w:hAnsi="Arial" w:cs="Arial"/>
        </w:rPr>
        <w:t xml:space="preserve">a </w:t>
      </w:r>
      <w:r w:rsidRPr="00EA7D70">
        <w:rPr>
          <w:rFonts w:ascii="Arial" w:hAnsi="Arial" w:cs="Arial"/>
        </w:rPr>
        <w:t xml:space="preserve">decision of </w:t>
      </w:r>
      <w:r w:rsidR="004C5F90" w:rsidRPr="00EA7D70">
        <w:rPr>
          <w:rFonts w:ascii="Arial" w:hAnsi="Arial" w:cs="Arial"/>
        </w:rPr>
        <w:t xml:space="preserve">the </w:t>
      </w:r>
      <w:r w:rsidRPr="00EA7D70">
        <w:rPr>
          <w:rFonts w:ascii="Arial" w:hAnsi="Arial" w:cs="Arial"/>
        </w:rPr>
        <w:t>Minister in regard to the form of duties is made pursuant to s</w:t>
      </w:r>
      <w:r w:rsidR="004C5F90" w:rsidRPr="00EA7D70">
        <w:rPr>
          <w:rFonts w:ascii="Arial" w:hAnsi="Arial" w:cs="Arial"/>
        </w:rPr>
        <w:t xml:space="preserve"> </w:t>
      </w:r>
      <w:r w:rsidRPr="00EA7D70">
        <w:rPr>
          <w:rFonts w:ascii="Arial" w:hAnsi="Arial" w:cs="Arial"/>
        </w:rPr>
        <w:t>8(5) of the Customs Tariff (Anti-Dumping) Act 1975 (the Dumping Duty Act) and is not a reviewable decision pursuant to s</w:t>
      </w:r>
      <w:r w:rsidR="004064B7" w:rsidRPr="00EA7D70">
        <w:rPr>
          <w:rFonts w:ascii="Arial" w:hAnsi="Arial" w:cs="Arial"/>
        </w:rPr>
        <w:t xml:space="preserve"> </w:t>
      </w:r>
      <w:r w:rsidRPr="00EA7D70">
        <w:rPr>
          <w:rFonts w:ascii="Arial" w:hAnsi="Arial" w:cs="Arial"/>
        </w:rPr>
        <w:t>269</w:t>
      </w:r>
      <w:proofErr w:type="gramStart"/>
      <w:r w:rsidRPr="00EA7D70">
        <w:rPr>
          <w:rFonts w:ascii="Arial" w:hAnsi="Arial" w:cs="Arial"/>
        </w:rPr>
        <w:t>ZZA(</w:t>
      </w:r>
      <w:proofErr w:type="gramEnd"/>
      <w:r w:rsidRPr="00EA7D70">
        <w:rPr>
          <w:rFonts w:ascii="Arial" w:hAnsi="Arial" w:cs="Arial"/>
        </w:rPr>
        <w:t>1) of the Act.</w:t>
      </w:r>
    </w:p>
    <w:p w14:paraId="4FA662EE" w14:textId="77777777" w:rsidR="00D7655A" w:rsidRPr="00D05071" w:rsidRDefault="00D7655A" w:rsidP="00C96E30">
      <w:pPr>
        <w:pStyle w:val="ListParagraph"/>
        <w:ind w:left="1440"/>
        <w:rPr>
          <w:rFonts w:ascii="Arial" w:hAnsi="Arial" w:cs="Arial"/>
          <w:i/>
          <w:iCs/>
        </w:rPr>
      </w:pPr>
    </w:p>
    <w:p w14:paraId="2918CD99" w14:textId="64321C32" w:rsidR="00B67C85" w:rsidRPr="00C96E30" w:rsidRDefault="00985723" w:rsidP="00C96E30">
      <w:pPr>
        <w:pStyle w:val="ListParagraph"/>
        <w:numPr>
          <w:ilvl w:val="0"/>
          <w:numId w:val="3"/>
        </w:numPr>
        <w:rPr>
          <w:rFonts w:ascii="Arial" w:hAnsi="Arial" w:cs="Arial"/>
        </w:rPr>
      </w:pPr>
      <w:r w:rsidRPr="00C96E30">
        <w:rPr>
          <w:rFonts w:ascii="Arial" w:hAnsi="Arial" w:cs="Arial"/>
        </w:rPr>
        <w:t xml:space="preserve">The ADC ought to have </w:t>
      </w:r>
      <w:r w:rsidR="00FA5E9A" w:rsidRPr="00C96E30">
        <w:rPr>
          <w:rFonts w:ascii="Arial" w:hAnsi="Arial" w:cs="Arial"/>
        </w:rPr>
        <w:t>considered</w:t>
      </w:r>
      <w:r w:rsidRPr="00C96E30">
        <w:rPr>
          <w:rFonts w:ascii="Arial" w:hAnsi="Arial" w:cs="Arial"/>
        </w:rPr>
        <w:t xml:space="preserve"> whether the imposition of anti-dumping measures on the goods would further inflate domestic Australian prices for the goods and whether that is in the national interest. </w:t>
      </w:r>
    </w:p>
    <w:p w14:paraId="1483F2CE" w14:textId="77777777" w:rsidR="00FA5E9A" w:rsidRDefault="00FA5E9A" w:rsidP="00FA5E9A">
      <w:pPr>
        <w:pStyle w:val="ListParagraph"/>
        <w:rPr>
          <w:rFonts w:ascii="Arial" w:hAnsi="Arial" w:cs="Arial"/>
        </w:rPr>
      </w:pPr>
    </w:p>
    <w:p w14:paraId="5B05157C" w14:textId="5CF02FB2" w:rsidR="00027F79" w:rsidRPr="00EA7D70" w:rsidRDefault="00985723" w:rsidP="00C96E30">
      <w:pPr>
        <w:pStyle w:val="ListParagraph"/>
        <w:numPr>
          <w:ilvl w:val="1"/>
          <w:numId w:val="3"/>
        </w:numPr>
        <w:rPr>
          <w:rFonts w:ascii="Arial" w:hAnsi="Arial" w:cs="Arial"/>
        </w:rPr>
      </w:pPr>
      <w:r w:rsidRPr="00EA7D70">
        <w:rPr>
          <w:rFonts w:ascii="Arial" w:hAnsi="Arial" w:cs="Arial"/>
        </w:rPr>
        <w:t xml:space="preserve">Ground rejected because the Review Panel has no power to review whether the imposition of dumping measures are in the national interest as it is not a reviewable decision </w:t>
      </w:r>
      <w:r w:rsidR="00D7655A" w:rsidRPr="00EA7D70">
        <w:rPr>
          <w:rFonts w:ascii="Arial" w:hAnsi="Arial" w:cs="Arial"/>
        </w:rPr>
        <w:t xml:space="preserve">pursuant to </w:t>
      </w:r>
      <w:r w:rsidRPr="00EA7D70">
        <w:rPr>
          <w:rFonts w:ascii="Arial" w:hAnsi="Arial" w:cs="Arial"/>
        </w:rPr>
        <w:t>s 269</w:t>
      </w:r>
      <w:proofErr w:type="gramStart"/>
      <w:r w:rsidRPr="00EA7D70">
        <w:rPr>
          <w:rFonts w:ascii="Arial" w:hAnsi="Arial" w:cs="Arial"/>
        </w:rPr>
        <w:t>ZZA(</w:t>
      </w:r>
      <w:proofErr w:type="gramEnd"/>
      <w:r w:rsidRPr="00EA7D70">
        <w:rPr>
          <w:rFonts w:ascii="Arial" w:hAnsi="Arial" w:cs="Arial"/>
        </w:rPr>
        <w:t>1) of the Act</w:t>
      </w:r>
      <w:r w:rsidR="004C5F90" w:rsidRPr="00EA7D70">
        <w:rPr>
          <w:rFonts w:ascii="Arial" w:hAnsi="Arial" w:cs="Arial"/>
        </w:rPr>
        <w:t>.</w:t>
      </w:r>
    </w:p>
    <w:p w14:paraId="415FE643" w14:textId="77777777" w:rsidR="00FA5E9A" w:rsidRPr="00FA5E9A" w:rsidRDefault="00FA5E9A" w:rsidP="00FA5E9A">
      <w:pPr>
        <w:pStyle w:val="ListParagraph"/>
        <w:ind w:left="1440"/>
        <w:rPr>
          <w:rFonts w:ascii="Arial" w:hAnsi="Arial" w:cs="Arial"/>
        </w:rPr>
      </w:pPr>
    </w:p>
    <w:p w14:paraId="1DD29116" w14:textId="32EF984E" w:rsidR="00FA5E9A" w:rsidRDefault="00FA5E9A" w:rsidP="00C96E30">
      <w:pPr>
        <w:pStyle w:val="ListParagraph"/>
        <w:numPr>
          <w:ilvl w:val="0"/>
          <w:numId w:val="3"/>
        </w:numPr>
        <w:rPr>
          <w:rFonts w:ascii="Arial" w:hAnsi="Arial" w:cs="Arial"/>
        </w:rPr>
      </w:pPr>
      <w:r w:rsidRPr="00FA5E9A">
        <w:rPr>
          <w:rFonts w:ascii="Arial" w:hAnsi="Arial" w:cs="Arial"/>
        </w:rPr>
        <w:t xml:space="preserve">By refusing to undertake a verification visit to </w:t>
      </w:r>
      <w:r>
        <w:rPr>
          <w:rFonts w:ascii="Arial" w:hAnsi="Arial" w:cs="Arial"/>
        </w:rPr>
        <w:t>the importer</w:t>
      </w:r>
      <w:r w:rsidRPr="00FA5E9A">
        <w:rPr>
          <w:rFonts w:ascii="Arial" w:hAnsi="Arial" w:cs="Arial"/>
        </w:rPr>
        <w:t>, despite</w:t>
      </w:r>
      <w:r w:rsidR="004C5F90">
        <w:rPr>
          <w:rFonts w:ascii="Arial" w:hAnsi="Arial" w:cs="Arial"/>
        </w:rPr>
        <w:t xml:space="preserve"> </w:t>
      </w:r>
      <w:r w:rsidRPr="00FA5E9A">
        <w:rPr>
          <w:rFonts w:ascii="Arial" w:hAnsi="Arial" w:cs="Arial"/>
        </w:rPr>
        <w:t xml:space="preserve">invitations/requests, the </w:t>
      </w:r>
      <w:r>
        <w:rPr>
          <w:rFonts w:ascii="Arial" w:hAnsi="Arial" w:cs="Arial"/>
        </w:rPr>
        <w:t>ADC</w:t>
      </w:r>
      <w:r w:rsidRPr="00FA5E9A">
        <w:rPr>
          <w:rFonts w:ascii="Arial" w:hAnsi="Arial" w:cs="Arial"/>
        </w:rPr>
        <w:t xml:space="preserve"> did not afford </w:t>
      </w:r>
      <w:r>
        <w:rPr>
          <w:rFonts w:ascii="Arial" w:hAnsi="Arial" w:cs="Arial"/>
        </w:rPr>
        <w:t>the importer</w:t>
      </w:r>
      <w:r w:rsidRPr="00FA5E9A">
        <w:rPr>
          <w:rFonts w:ascii="Arial" w:hAnsi="Arial" w:cs="Arial"/>
        </w:rPr>
        <w:t xml:space="preserve"> natural justice or procedural fairness in its recommendations to the Minister regarding the reviewable decision</w:t>
      </w:r>
      <w:r>
        <w:rPr>
          <w:rFonts w:ascii="Arial" w:hAnsi="Arial" w:cs="Arial"/>
        </w:rPr>
        <w:t>.</w:t>
      </w:r>
    </w:p>
    <w:p w14:paraId="3291D592" w14:textId="77777777" w:rsidR="00027F79" w:rsidRPr="00027F79" w:rsidRDefault="00027F79" w:rsidP="00027F79">
      <w:pPr>
        <w:pStyle w:val="ListParagraph"/>
        <w:rPr>
          <w:rFonts w:ascii="Arial" w:hAnsi="Arial" w:cs="Arial"/>
        </w:rPr>
      </w:pPr>
    </w:p>
    <w:p w14:paraId="7175C791" w14:textId="6CED070C" w:rsidR="003353C4" w:rsidRPr="00EA7D70" w:rsidRDefault="00FA5E9A" w:rsidP="004C5F90">
      <w:pPr>
        <w:pStyle w:val="ListParagraph"/>
        <w:numPr>
          <w:ilvl w:val="1"/>
          <w:numId w:val="3"/>
        </w:numPr>
        <w:rPr>
          <w:rFonts w:ascii="Arial" w:hAnsi="Arial" w:cs="Arial"/>
        </w:rPr>
      </w:pPr>
      <w:r w:rsidRPr="00EA7D70">
        <w:rPr>
          <w:rFonts w:ascii="Arial" w:hAnsi="Arial" w:cs="Arial"/>
        </w:rPr>
        <w:lastRenderedPageBreak/>
        <w:t>Ground rejected because the Review Panel has no power to review whether the ADC accorded procedural fairness (or natural justice)</w:t>
      </w:r>
      <w:r w:rsidR="003353C4" w:rsidRPr="00EA7D70">
        <w:rPr>
          <w:rFonts w:ascii="Arial" w:hAnsi="Arial" w:cs="Arial"/>
        </w:rPr>
        <w:t>, in its own terms</w:t>
      </w:r>
      <w:r w:rsidR="006D4EA3" w:rsidRPr="00EA7D70">
        <w:rPr>
          <w:rFonts w:ascii="Arial" w:hAnsi="Arial" w:cs="Arial"/>
        </w:rPr>
        <w:t>,</w:t>
      </w:r>
      <w:r w:rsidRPr="00EA7D70">
        <w:rPr>
          <w:rFonts w:ascii="Arial" w:hAnsi="Arial" w:cs="Arial"/>
        </w:rPr>
        <w:t xml:space="preserve"> </w:t>
      </w:r>
      <w:r w:rsidR="003353C4" w:rsidRPr="00EA7D70">
        <w:rPr>
          <w:rFonts w:ascii="Arial" w:hAnsi="Arial" w:cs="Arial"/>
        </w:rPr>
        <w:t xml:space="preserve">as </w:t>
      </w:r>
      <w:r w:rsidR="004C5F90" w:rsidRPr="00EA7D70">
        <w:rPr>
          <w:rFonts w:ascii="Arial" w:hAnsi="Arial" w:cs="Arial"/>
        </w:rPr>
        <w:t>this</w:t>
      </w:r>
      <w:r w:rsidR="003353C4" w:rsidRPr="00EA7D70">
        <w:rPr>
          <w:rFonts w:ascii="Arial" w:hAnsi="Arial" w:cs="Arial"/>
        </w:rPr>
        <w:t xml:space="preserve"> is not a </w:t>
      </w:r>
      <w:r w:rsidRPr="00EA7D70">
        <w:rPr>
          <w:rFonts w:ascii="Arial" w:hAnsi="Arial" w:cs="Arial"/>
        </w:rPr>
        <w:t xml:space="preserve">reviewable decision </w:t>
      </w:r>
      <w:r w:rsidR="003353C4" w:rsidRPr="00EA7D70">
        <w:rPr>
          <w:rFonts w:ascii="Arial" w:hAnsi="Arial" w:cs="Arial"/>
        </w:rPr>
        <w:t xml:space="preserve">pursuant to </w:t>
      </w:r>
      <w:r w:rsidRPr="00EA7D70">
        <w:rPr>
          <w:rFonts w:ascii="Arial" w:hAnsi="Arial" w:cs="Arial"/>
        </w:rPr>
        <w:t>s 269</w:t>
      </w:r>
      <w:proofErr w:type="gramStart"/>
      <w:r w:rsidRPr="00EA7D70">
        <w:rPr>
          <w:rFonts w:ascii="Arial" w:hAnsi="Arial" w:cs="Arial"/>
        </w:rPr>
        <w:t>ZZA(</w:t>
      </w:r>
      <w:proofErr w:type="gramEnd"/>
      <w:r w:rsidRPr="00EA7D70">
        <w:rPr>
          <w:rFonts w:ascii="Arial" w:hAnsi="Arial" w:cs="Arial"/>
        </w:rPr>
        <w:t>1).</w:t>
      </w:r>
    </w:p>
    <w:p w14:paraId="5B0D65EA" w14:textId="77777777" w:rsidR="004C5F90" w:rsidRPr="004C5F90" w:rsidRDefault="004C5F90" w:rsidP="004C5F90">
      <w:pPr>
        <w:pStyle w:val="ListParagraph"/>
        <w:ind w:left="1440"/>
        <w:rPr>
          <w:rFonts w:ascii="Arial" w:hAnsi="Arial" w:cs="Arial"/>
        </w:rPr>
      </w:pPr>
    </w:p>
    <w:p w14:paraId="107E7AA3" w14:textId="42794598" w:rsidR="003353C4" w:rsidRPr="00C96E30" w:rsidRDefault="003353C4" w:rsidP="00561792">
      <w:pPr>
        <w:pStyle w:val="ListParagraph"/>
        <w:numPr>
          <w:ilvl w:val="0"/>
          <w:numId w:val="2"/>
        </w:numPr>
        <w:rPr>
          <w:rFonts w:ascii="Arial" w:hAnsi="Arial" w:cs="Arial"/>
        </w:rPr>
      </w:pPr>
      <w:r w:rsidRPr="00C96E30">
        <w:rPr>
          <w:rFonts w:ascii="Arial" w:hAnsi="Arial" w:cs="Arial"/>
        </w:rPr>
        <w:t xml:space="preserve">Error in </w:t>
      </w:r>
      <w:r w:rsidR="004C5F90">
        <w:rPr>
          <w:rFonts w:ascii="Arial" w:hAnsi="Arial" w:cs="Arial"/>
        </w:rPr>
        <w:t xml:space="preserve">the </w:t>
      </w:r>
      <w:r w:rsidRPr="00C96E30">
        <w:rPr>
          <w:rFonts w:ascii="Arial" w:hAnsi="Arial" w:cs="Arial"/>
        </w:rPr>
        <w:t>Minister not having regard to the lesser duty rule.</w:t>
      </w:r>
    </w:p>
    <w:p w14:paraId="5F338964" w14:textId="77777777" w:rsidR="003353C4" w:rsidRPr="003353C4" w:rsidRDefault="003353C4" w:rsidP="00C96E30">
      <w:pPr>
        <w:pStyle w:val="ListParagraph"/>
        <w:rPr>
          <w:rFonts w:ascii="Arial" w:hAnsi="Arial" w:cs="Arial"/>
        </w:rPr>
      </w:pPr>
    </w:p>
    <w:p w14:paraId="572ABAC9" w14:textId="5C344727" w:rsidR="003353C4" w:rsidRPr="00EA7D70" w:rsidRDefault="003353C4" w:rsidP="00C96E30">
      <w:pPr>
        <w:pStyle w:val="ListParagraph"/>
        <w:numPr>
          <w:ilvl w:val="0"/>
          <w:numId w:val="8"/>
        </w:numPr>
        <w:rPr>
          <w:rFonts w:ascii="Arial" w:hAnsi="Arial" w:cs="Arial"/>
        </w:rPr>
      </w:pPr>
      <w:r w:rsidRPr="00EA7D70">
        <w:rPr>
          <w:rFonts w:ascii="Arial" w:hAnsi="Arial" w:cs="Arial"/>
        </w:rPr>
        <w:t>Ground rejected because the requirement to have regard to the desirability of a lesser duty and the exceptions thereto are decisions by the Minister under the Dumping Duty Act and are not reviewable decisions under s</w:t>
      </w:r>
      <w:r w:rsidR="006D4EA3" w:rsidRPr="00EA7D70">
        <w:rPr>
          <w:rFonts w:ascii="Arial" w:hAnsi="Arial" w:cs="Arial"/>
        </w:rPr>
        <w:t xml:space="preserve"> </w:t>
      </w:r>
      <w:r w:rsidRPr="00EA7D70">
        <w:rPr>
          <w:rFonts w:ascii="Arial" w:hAnsi="Arial" w:cs="Arial"/>
        </w:rPr>
        <w:t>269ZZA of the Act.</w:t>
      </w:r>
      <w:r w:rsidR="00BE0D92" w:rsidRPr="00EA7D70">
        <w:rPr>
          <w:rFonts w:ascii="Arial" w:hAnsi="Arial" w:cs="Arial"/>
        </w:rPr>
        <w:t xml:space="preserve">   </w:t>
      </w:r>
    </w:p>
    <w:p w14:paraId="302B399C" w14:textId="1F6B17E1" w:rsidR="003353C4" w:rsidRPr="00C96E30" w:rsidRDefault="003353C4" w:rsidP="00EA7D70">
      <w:pPr>
        <w:pStyle w:val="ListParagraph"/>
        <w:spacing w:after="0"/>
        <w:rPr>
          <w:rFonts w:ascii="Arial" w:hAnsi="Arial" w:cs="Arial"/>
        </w:rPr>
      </w:pPr>
    </w:p>
    <w:p w14:paraId="02C5D88D" w14:textId="77777777" w:rsidR="00AD4F8D" w:rsidRPr="00EA7D70" w:rsidRDefault="00AD4F8D" w:rsidP="00EA7D70">
      <w:pPr>
        <w:pStyle w:val="Heading2"/>
        <w:rPr>
          <w:rFonts w:asciiTheme="minorHAnsi" w:hAnsiTheme="minorHAnsi" w:cstheme="minorHAnsi"/>
          <w:b/>
          <w:bCs/>
          <w:color w:val="auto"/>
          <w:sz w:val="28"/>
          <w:szCs w:val="28"/>
        </w:rPr>
      </w:pPr>
      <w:r w:rsidRPr="00EA7D70">
        <w:rPr>
          <w:rFonts w:asciiTheme="minorHAnsi" w:hAnsiTheme="minorHAnsi" w:cstheme="minorHAnsi"/>
          <w:b/>
          <w:bCs/>
          <w:color w:val="auto"/>
          <w:sz w:val="28"/>
          <w:szCs w:val="28"/>
        </w:rPr>
        <w:t>International Trade Remedies Advisory (ITRA) Service</w:t>
      </w:r>
    </w:p>
    <w:p w14:paraId="62CF62C4" w14:textId="77777777" w:rsidR="00EA7D70" w:rsidRPr="00EA7D70" w:rsidRDefault="00EA7D70" w:rsidP="00EA7D70">
      <w:pPr>
        <w:spacing w:after="0"/>
      </w:pPr>
    </w:p>
    <w:p w14:paraId="7B114953" w14:textId="4AF8DFFA" w:rsidR="00AD4F8D" w:rsidRDefault="00AD4F8D" w:rsidP="00EA7D70">
      <w:pPr>
        <w:spacing w:after="0"/>
        <w:rPr>
          <w:rFonts w:ascii="Arial" w:hAnsi="Arial" w:cs="Arial"/>
        </w:rPr>
      </w:pPr>
      <w:r w:rsidRPr="00B41537">
        <w:rPr>
          <w:rFonts w:ascii="Arial" w:hAnsi="Arial" w:cs="Arial"/>
        </w:rPr>
        <w:t xml:space="preserve">Small and medium enterprises (i.e., those with less than 200 full-time staff, which are independently operated and not a related body corporate for the purposes of the </w:t>
      </w:r>
      <w:r w:rsidRPr="00557563">
        <w:rPr>
          <w:rFonts w:ascii="Arial" w:hAnsi="Arial" w:cs="Arial"/>
          <w:i/>
          <w:iCs/>
        </w:rPr>
        <w:t>Corporations Act 2001</w:t>
      </w:r>
      <w:r w:rsidRPr="00B41537">
        <w:rPr>
          <w:rFonts w:ascii="Arial" w:hAnsi="Arial" w:cs="Arial"/>
        </w:rPr>
        <w:t xml:space="preserve">), may obtain assistance, at no charge, from the ITRA Service. </w:t>
      </w:r>
    </w:p>
    <w:p w14:paraId="6136E685" w14:textId="605E01AC" w:rsidR="00AD4F8D" w:rsidRPr="00332403" w:rsidRDefault="00AD4F8D" w:rsidP="00AD4F8D">
      <w:pPr>
        <w:rPr>
          <w:rFonts w:ascii="Arial" w:hAnsi="Arial" w:cs="Arial"/>
        </w:rPr>
      </w:pPr>
      <w:r w:rsidRPr="00B41537">
        <w:rPr>
          <w:rFonts w:ascii="Arial" w:hAnsi="Arial" w:cs="Arial"/>
        </w:rPr>
        <w:t xml:space="preserve">For more information on the ITRA Service, visit </w:t>
      </w:r>
      <w:hyperlink r:id="rId10" w:history="1">
        <w:r w:rsidRPr="00B41537">
          <w:rPr>
            <w:rFonts w:ascii="Arial" w:hAnsi="Arial" w:cs="Arial"/>
          </w:rPr>
          <w:t>www.business.gov.au</w:t>
        </w:r>
      </w:hyperlink>
      <w:r w:rsidRPr="00B41537">
        <w:rPr>
          <w:rFonts w:ascii="Arial" w:hAnsi="Arial" w:cs="Arial"/>
        </w:rPr>
        <w:t xml:space="preserve"> or telephone the ITRA Service Hotline on +61 2 6213 7267</w:t>
      </w:r>
      <w:r>
        <w:rPr>
          <w:rFonts w:ascii="Arial" w:hAnsi="Arial" w:cs="Arial"/>
        </w:rPr>
        <w:t>.</w:t>
      </w:r>
    </w:p>
    <w:p w14:paraId="12366658" w14:textId="77777777" w:rsidR="00AD4F8D" w:rsidRDefault="00AD4F8D" w:rsidP="00EA7D70">
      <w:pPr>
        <w:pStyle w:val="Heading2"/>
        <w:rPr>
          <w:rFonts w:asciiTheme="minorHAnsi" w:hAnsiTheme="minorHAnsi" w:cstheme="minorHAnsi"/>
          <w:b/>
          <w:bCs/>
          <w:color w:val="auto"/>
        </w:rPr>
      </w:pPr>
      <w:r w:rsidRPr="00EA7D70">
        <w:rPr>
          <w:rFonts w:asciiTheme="minorHAnsi" w:hAnsiTheme="minorHAnsi" w:cstheme="minorHAnsi"/>
          <w:b/>
          <w:bCs/>
          <w:color w:val="auto"/>
          <w:sz w:val="28"/>
          <w:szCs w:val="28"/>
        </w:rPr>
        <w:t xml:space="preserve">Contact </w:t>
      </w:r>
    </w:p>
    <w:p w14:paraId="0F9E156B" w14:textId="77777777" w:rsidR="00EA7D70" w:rsidRPr="00EA7D70" w:rsidRDefault="00EA7D70" w:rsidP="00EA7D70">
      <w:pPr>
        <w:spacing w:after="0"/>
      </w:pPr>
    </w:p>
    <w:p w14:paraId="22546C63" w14:textId="035ABC5D" w:rsidR="00275BC9" w:rsidRPr="005D1BB8" w:rsidRDefault="00AD4F8D" w:rsidP="00EA7D70">
      <w:pPr>
        <w:spacing w:after="0"/>
        <w:rPr>
          <w:rFonts w:ascii="Arial" w:hAnsi="Arial" w:cs="Arial"/>
        </w:rPr>
      </w:pPr>
      <w:r w:rsidRPr="00332403">
        <w:rPr>
          <w:rFonts w:ascii="Arial" w:hAnsi="Arial" w:cs="Arial"/>
        </w:rPr>
        <w:t>If you have any questions about what is required in an application</w:t>
      </w:r>
      <w:r w:rsidR="00C05E1D">
        <w:rPr>
          <w:rFonts w:ascii="Arial" w:hAnsi="Arial" w:cs="Arial"/>
        </w:rPr>
        <w:t>, please</w:t>
      </w:r>
      <w:r w:rsidRPr="00332403">
        <w:rPr>
          <w:rFonts w:ascii="Arial" w:hAnsi="Arial" w:cs="Arial"/>
        </w:rPr>
        <w:t xml:space="preserve"> refer to the </w:t>
      </w:r>
      <w:r>
        <w:rPr>
          <w:rFonts w:ascii="Arial" w:hAnsi="Arial" w:cs="Arial"/>
        </w:rPr>
        <w:t>Review Panel</w:t>
      </w:r>
      <w:r w:rsidRPr="00332403">
        <w:rPr>
          <w:rFonts w:ascii="Arial" w:hAnsi="Arial" w:cs="Arial"/>
        </w:rPr>
        <w:t xml:space="preserve"> website. You can also call the </w:t>
      </w:r>
      <w:r>
        <w:rPr>
          <w:rFonts w:ascii="Arial" w:hAnsi="Arial" w:cs="Arial"/>
        </w:rPr>
        <w:t>Review Panel</w:t>
      </w:r>
      <w:r w:rsidRPr="00332403">
        <w:rPr>
          <w:rFonts w:ascii="Arial" w:hAnsi="Arial" w:cs="Arial"/>
        </w:rPr>
        <w:t xml:space="preserve"> Secretariat on (02) 6276 1781 or email </w:t>
      </w:r>
      <w:hyperlink r:id="rId11" w:history="1">
        <w:r w:rsidRPr="00332403">
          <w:rPr>
            <w:rStyle w:val="Hyperlink"/>
            <w:rFonts w:ascii="Arial" w:hAnsi="Arial" w:cs="Arial"/>
          </w:rPr>
          <w:t>adrp@industry.gov.au</w:t>
        </w:r>
      </w:hyperlink>
      <w:r w:rsidRPr="00332403">
        <w:rPr>
          <w:rFonts w:ascii="Arial" w:hAnsi="Arial" w:cs="Arial"/>
        </w:rPr>
        <w:t>.</w:t>
      </w:r>
    </w:p>
    <w:sectPr w:rsidR="00275BC9" w:rsidRPr="005D1BB8" w:rsidSect="00C96E3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A3EE0" w14:textId="77777777" w:rsidR="001F7404" w:rsidRDefault="001F7404" w:rsidP="00AF6D76">
      <w:pPr>
        <w:spacing w:after="0" w:line="240" w:lineRule="auto"/>
      </w:pPr>
      <w:r>
        <w:separator/>
      </w:r>
    </w:p>
  </w:endnote>
  <w:endnote w:type="continuationSeparator" w:id="0">
    <w:p w14:paraId="421E2A9F" w14:textId="77777777" w:rsidR="001F7404" w:rsidRDefault="001F7404" w:rsidP="00AF6D76">
      <w:pPr>
        <w:spacing w:after="0" w:line="240" w:lineRule="auto"/>
      </w:pPr>
      <w:r>
        <w:continuationSeparator/>
      </w:r>
    </w:p>
  </w:endnote>
  <w:endnote w:type="continuationNotice" w:id="1">
    <w:p w14:paraId="6B7A13C6" w14:textId="77777777" w:rsidR="00DF1B63" w:rsidRDefault="00DF1B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4186" w14:textId="66B907C5" w:rsidR="00166FE4" w:rsidRDefault="00166FE4">
    <w:pPr>
      <w:pStyle w:val="Footer"/>
    </w:pPr>
    <w:r>
      <w:rPr>
        <w:noProof/>
      </w:rPr>
      <mc:AlternateContent>
        <mc:Choice Requires="wps">
          <w:drawing>
            <wp:anchor distT="0" distB="0" distL="0" distR="0" simplePos="0" relativeHeight="251664384" behindDoc="0" locked="0" layoutInCell="1" allowOverlap="1" wp14:anchorId="636C084D" wp14:editId="322EE0F2">
              <wp:simplePos x="635" y="635"/>
              <wp:positionH relativeFrom="page">
                <wp:align>center</wp:align>
              </wp:positionH>
              <wp:positionV relativeFrom="page">
                <wp:align>bottom</wp:align>
              </wp:positionV>
              <wp:extent cx="551815" cy="391160"/>
              <wp:effectExtent l="0" t="0" r="635" b="0"/>
              <wp:wrapNone/>
              <wp:docPr id="106888343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E131089" w14:textId="4C6E31D5" w:rsidR="00166FE4" w:rsidRPr="00166FE4" w:rsidRDefault="00166FE4" w:rsidP="00166FE4">
                          <w:pPr>
                            <w:spacing w:after="0"/>
                            <w:rPr>
                              <w:rFonts w:ascii="Calibri" w:eastAsia="Calibri" w:hAnsi="Calibri" w:cs="Calibri"/>
                              <w:noProof/>
                              <w:color w:val="C00000"/>
                              <w:sz w:val="24"/>
                              <w:szCs w:val="24"/>
                            </w:rPr>
                          </w:pPr>
                          <w:r w:rsidRPr="00166FE4">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636C084D">
              <v:stroke joinstyle="miter"/>
              <v:path gradientshapeok="t" o:connecttype="rect"/>
            </v:shapetype>
            <v:shape id="Text Box 5" style="position:absolute;margin-left:0;margin-top:0;width:43.45pt;height:30.8pt;z-index:251664384;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v:fill o:detectmouseclick="t"/>
              <v:textbox style="mso-fit-shape-to-text:t" inset="0,0,0,15pt">
                <w:txbxContent>
                  <w:p w:rsidRPr="00166FE4" w:rsidR="00166FE4" w:rsidP="00166FE4" w:rsidRDefault="00166FE4" w14:paraId="4E131089" w14:textId="4C6E31D5">
                    <w:pPr>
                      <w:spacing w:after="0"/>
                      <w:rPr>
                        <w:rFonts w:ascii="Calibri" w:hAnsi="Calibri" w:eastAsia="Calibri" w:cs="Calibri"/>
                        <w:noProof/>
                        <w:color w:val="C00000"/>
                        <w:sz w:val="24"/>
                        <w:szCs w:val="24"/>
                      </w:rPr>
                    </w:pPr>
                    <w:r w:rsidRPr="00166FE4">
                      <w:rPr>
                        <w:rFonts w:ascii="Calibri" w:hAnsi="Calibri" w:eastAsia="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AFA5" w14:textId="658648ED" w:rsidR="005D1BB8" w:rsidRDefault="00166FE4">
    <w:pPr>
      <w:pStyle w:val="Footer"/>
      <w:jc w:val="right"/>
    </w:pPr>
    <w:r>
      <w:rPr>
        <w:noProof/>
      </w:rPr>
      <mc:AlternateContent>
        <mc:Choice Requires="wps">
          <w:drawing>
            <wp:anchor distT="0" distB="0" distL="0" distR="0" simplePos="0" relativeHeight="251665408" behindDoc="0" locked="0" layoutInCell="1" allowOverlap="1" wp14:anchorId="6BA89346" wp14:editId="5418ED5E">
              <wp:simplePos x="914400" y="9908275"/>
              <wp:positionH relativeFrom="page">
                <wp:align>center</wp:align>
              </wp:positionH>
              <wp:positionV relativeFrom="page">
                <wp:align>bottom</wp:align>
              </wp:positionV>
              <wp:extent cx="551815" cy="391160"/>
              <wp:effectExtent l="0" t="0" r="635" b="0"/>
              <wp:wrapNone/>
              <wp:docPr id="7076442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8FB1D62" w14:textId="6CF24382" w:rsidR="00166FE4" w:rsidRPr="00EA7D70" w:rsidRDefault="00EA7D70" w:rsidP="00166FE4">
                          <w:pPr>
                            <w:spacing w:after="0"/>
                            <w:rPr>
                              <w:rFonts w:ascii="Calibri" w:eastAsia="Calibri" w:hAnsi="Calibri" w:cs="Calibri"/>
                              <w:noProof/>
                              <w:sz w:val="24"/>
                              <w:szCs w:val="24"/>
                            </w:rPr>
                          </w:pPr>
                          <w:r w:rsidRPr="00EA7D70">
                            <w:rPr>
                              <w:rFonts w:ascii="Calibri" w:eastAsia="Calibri" w:hAnsi="Calibri" w:cs="Calibri"/>
                              <w:noProof/>
                              <w:sz w:val="24"/>
                              <w:szCs w:val="24"/>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A89346"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0.8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08FB1D62" w14:textId="6CF24382" w:rsidR="00166FE4" w:rsidRPr="00EA7D70" w:rsidRDefault="00EA7D70" w:rsidP="00166FE4">
                    <w:pPr>
                      <w:spacing w:after="0"/>
                      <w:rPr>
                        <w:rFonts w:ascii="Calibri" w:eastAsia="Calibri" w:hAnsi="Calibri" w:cs="Calibri"/>
                        <w:noProof/>
                        <w:sz w:val="24"/>
                        <w:szCs w:val="24"/>
                      </w:rPr>
                    </w:pPr>
                    <w:r w:rsidRPr="00EA7D70">
                      <w:rPr>
                        <w:rFonts w:ascii="Calibri" w:eastAsia="Calibri" w:hAnsi="Calibri" w:cs="Calibri"/>
                        <w:noProof/>
                        <w:sz w:val="24"/>
                        <w:szCs w:val="24"/>
                      </w:rPr>
                      <w:t>PUBLIC</w:t>
                    </w:r>
                  </w:p>
                </w:txbxContent>
              </v:textbox>
              <w10:wrap anchorx="page" anchory="page"/>
            </v:shape>
          </w:pict>
        </mc:Fallback>
      </mc:AlternateContent>
    </w:r>
    <w:sdt>
      <w:sdtPr>
        <w:id w:val="99073082"/>
        <w:docPartObj>
          <w:docPartGallery w:val="Page Numbers (Bottom of Page)"/>
          <w:docPartUnique/>
        </w:docPartObj>
      </w:sdtPr>
      <w:sdtEndPr>
        <w:rPr>
          <w:noProof/>
        </w:rPr>
      </w:sdtEndPr>
      <w:sdtContent>
        <w:r w:rsidR="005D1BB8">
          <w:fldChar w:fldCharType="begin"/>
        </w:r>
        <w:r w:rsidR="005D1BB8">
          <w:instrText xml:space="preserve"> PAGE   \* MERGEFORMAT </w:instrText>
        </w:r>
        <w:r w:rsidR="005D1BB8">
          <w:fldChar w:fldCharType="separate"/>
        </w:r>
        <w:r w:rsidR="005D1BB8">
          <w:rPr>
            <w:noProof/>
          </w:rPr>
          <w:t>2</w:t>
        </w:r>
        <w:r w:rsidR="005D1BB8">
          <w:rPr>
            <w:noProof/>
          </w:rPr>
          <w:fldChar w:fldCharType="end"/>
        </w:r>
      </w:sdtContent>
    </w:sdt>
  </w:p>
  <w:p w14:paraId="0F0FDDA0" w14:textId="77777777" w:rsidR="005D1BB8" w:rsidRDefault="005D1B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1AB2" w14:textId="413A9516" w:rsidR="00166FE4" w:rsidRDefault="00166FE4">
    <w:pPr>
      <w:pStyle w:val="Footer"/>
    </w:pPr>
    <w:r>
      <w:rPr>
        <w:noProof/>
      </w:rPr>
      <mc:AlternateContent>
        <mc:Choice Requires="wps">
          <w:drawing>
            <wp:anchor distT="0" distB="0" distL="0" distR="0" simplePos="0" relativeHeight="251663360" behindDoc="0" locked="0" layoutInCell="1" allowOverlap="1" wp14:anchorId="7F764DDF" wp14:editId="62FB541B">
              <wp:simplePos x="635" y="635"/>
              <wp:positionH relativeFrom="page">
                <wp:align>center</wp:align>
              </wp:positionH>
              <wp:positionV relativeFrom="page">
                <wp:align>bottom</wp:align>
              </wp:positionV>
              <wp:extent cx="551815" cy="391160"/>
              <wp:effectExtent l="0" t="0" r="635" b="0"/>
              <wp:wrapNone/>
              <wp:docPr id="133415968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E6778E5" w14:textId="7295CA25" w:rsidR="00166FE4" w:rsidRPr="00166FE4" w:rsidRDefault="00166FE4" w:rsidP="00166FE4">
                          <w:pPr>
                            <w:spacing w:after="0"/>
                            <w:rPr>
                              <w:rFonts w:ascii="Calibri" w:eastAsia="Calibri" w:hAnsi="Calibri" w:cs="Calibri"/>
                              <w:noProof/>
                              <w:color w:val="C00000"/>
                              <w:sz w:val="24"/>
                              <w:szCs w:val="24"/>
                            </w:rPr>
                          </w:pPr>
                          <w:r w:rsidRPr="00166FE4">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7F764DDF">
              <v:stroke joinstyle="miter"/>
              <v:path gradientshapeok="t" o:connecttype="rect"/>
            </v:shapetype>
            <v:shape id="Text Box 4" style="position:absolute;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v:fill o:detectmouseclick="t"/>
              <v:textbox style="mso-fit-shape-to-text:t" inset="0,0,0,15pt">
                <w:txbxContent>
                  <w:p w:rsidRPr="00166FE4" w:rsidR="00166FE4" w:rsidP="00166FE4" w:rsidRDefault="00166FE4" w14:paraId="4E6778E5" w14:textId="7295CA25">
                    <w:pPr>
                      <w:spacing w:after="0"/>
                      <w:rPr>
                        <w:rFonts w:ascii="Calibri" w:hAnsi="Calibri" w:eastAsia="Calibri" w:cs="Calibri"/>
                        <w:noProof/>
                        <w:color w:val="C00000"/>
                        <w:sz w:val="24"/>
                        <w:szCs w:val="24"/>
                      </w:rPr>
                    </w:pPr>
                    <w:r w:rsidRPr="00166FE4">
                      <w:rPr>
                        <w:rFonts w:ascii="Calibri" w:hAnsi="Calibri" w:eastAsia="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685FF" w14:textId="77777777" w:rsidR="001F7404" w:rsidRDefault="001F7404" w:rsidP="00AF6D76">
      <w:pPr>
        <w:spacing w:after="0" w:line="240" w:lineRule="auto"/>
      </w:pPr>
      <w:r>
        <w:separator/>
      </w:r>
    </w:p>
  </w:footnote>
  <w:footnote w:type="continuationSeparator" w:id="0">
    <w:p w14:paraId="60CBA7DC" w14:textId="77777777" w:rsidR="001F7404" w:rsidRDefault="001F7404" w:rsidP="00AF6D76">
      <w:pPr>
        <w:spacing w:after="0" w:line="240" w:lineRule="auto"/>
      </w:pPr>
      <w:r>
        <w:continuationSeparator/>
      </w:r>
    </w:p>
  </w:footnote>
  <w:footnote w:type="continuationNotice" w:id="1">
    <w:p w14:paraId="3D701AB5" w14:textId="77777777" w:rsidR="00DF1B63" w:rsidRDefault="00DF1B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EC3B" w14:textId="4A8FAEC0" w:rsidR="00166FE4" w:rsidRDefault="00166FE4">
    <w:pPr>
      <w:pStyle w:val="Header"/>
    </w:pPr>
    <w:r>
      <w:rPr>
        <w:noProof/>
      </w:rPr>
      <mc:AlternateContent>
        <mc:Choice Requires="wps">
          <w:drawing>
            <wp:anchor distT="0" distB="0" distL="0" distR="0" simplePos="0" relativeHeight="251661312" behindDoc="0" locked="0" layoutInCell="1" allowOverlap="1" wp14:anchorId="052FD24C" wp14:editId="6AD4EE7F">
              <wp:simplePos x="635" y="635"/>
              <wp:positionH relativeFrom="page">
                <wp:align>center</wp:align>
              </wp:positionH>
              <wp:positionV relativeFrom="page">
                <wp:align>top</wp:align>
              </wp:positionV>
              <wp:extent cx="551815" cy="391160"/>
              <wp:effectExtent l="0" t="0" r="635" b="8890"/>
              <wp:wrapNone/>
              <wp:docPr id="197029026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D5196A0" w14:textId="1E0C6BBE" w:rsidR="00166FE4" w:rsidRPr="00166FE4" w:rsidRDefault="00166FE4" w:rsidP="00166FE4">
                          <w:pPr>
                            <w:spacing w:after="0"/>
                            <w:rPr>
                              <w:rFonts w:ascii="Calibri" w:eastAsia="Calibri" w:hAnsi="Calibri" w:cs="Calibri"/>
                              <w:noProof/>
                              <w:color w:val="C00000"/>
                              <w:sz w:val="24"/>
                              <w:szCs w:val="24"/>
                            </w:rPr>
                          </w:pPr>
                          <w:r w:rsidRPr="00166FE4">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052FD24C">
              <v:stroke joinstyle="miter"/>
              <v:path gradientshapeok="t" o:connecttype="rect"/>
            </v:shapetype>
            <v:shape id="Text Box 2" style="position:absolute;margin-left:0;margin-top:0;width:43.45pt;height:30.8pt;z-index:251661312;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v:fill o:detectmouseclick="t"/>
              <v:textbox style="mso-fit-shape-to-text:t" inset="0,15pt,0,0">
                <w:txbxContent>
                  <w:p w:rsidRPr="00166FE4" w:rsidR="00166FE4" w:rsidP="00166FE4" w:rsidRDefault="00166FE4" w14:paraId="5D5196A0" w14:textId="1E0C6BBE">
                    <w:pPr>
                      <w:spacing w:after="0"/>
                      <w:rPr>
                        <w:rFonts w:ascii="Calibri" w:hAnsi="Calibri" w:eastAsia="Calibri" w:cs="Calibri"/>
                        <w:noProof/>
                        <w:color w:val="C00000"/>
                        <w:sz w:val="24"/>
                        <w:szCs w:val="24"/>
                      </w:rPr>
                    </w:pPr>
                    <w:r w:rsidRPr="00166FE4">
                      <w:rPr>
                        <w:rFonts w:ascii="Calibri" w:hAnsi="Calibri" w:eastAsia="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8F35" w14:textId="5DA96329" w:rsidR="00C96E30" w:rsidRDefault="00166FE4">
    <w:pPr>
      <w:pStyle w:val="Header"/>
    </w:pPr>
    <w:r>
      <w:rPr>
        <w:noProof/>
        <w:lang w:eastAsia="en-AU"/>
      </w:rPr>
      <mc:AlternateContent>
        <mc:Choice Requires="wps">
          <w:drawing>
            <wp:anchor distT="0" distB="0" distL="0" distR="0" simplePos="0" relativeHeight="251662336" behindDoc="0" locked="0" layoutInCell="1" allowOverlap="1" wp14:anchorId="464E0F95" wp14:editId="52B17C24">
              <wp:simplePos x="914400" y="450376"/>
              <wp:positionH relativeFrom="page">
                <wp:align>center</wp:align>
              </wp:positionH>
              <wp:positionV relativeFrom="page">
                <wp:align>top</wp:align>
              </wp:positionV>
              <wp:extent cx="551815" cy="391160"/>
              <wp:effectExtent l="0" t="0" r="635" b="8890"/>
              <wp:wrapNone/>
              <wp:docPr id="118117091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979FE39" w14:textId="7211EA0B" w:rsidR="00166FE4" w:rsidRPr="00EA7D70" w:rsidRDefault="00EA7D70" w:rsidP="00166FE4">
                          <w:pPr>
                            <w:spacing w:after="0"/>
                            <w:rPr>
                              <w:rFonts w:ascii="Calibri" w:eastAsia="Calibri" w:hAnsi="Calibri" w:cs="Calibri"/>
                              <w:noProof/>
                              <w:sz w:val="24"/>
                              <w:szCs w:val="24"/>
                            </w:rPr>
                          </w:pPr>
                          <w:r w:rsidRPr="00EA7D70">
                            <w:rPr>
                              <w:rFonts w:ascii="Calibri" w:eastAsia="Calibri" w:hAnsi="Calibri" w:cs="Calibri"/>
                              <w:noProof/>
                              <w:sz w:val="24"/>
                              <w:szCs w:val="24"/>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4E0F95"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6979FE39" w14:textId="7211EA0B" w:rsidR="00166FE4" w:rsidRPr="00EA7D70" w:rsidRDefault="00EA7D70" w:rsidP="00166FE4">
                    <w:pPr>
                      <w:spacing w:after="0"/>
                      <w:rPr>
                        <w:rFonts w:ascii="Calibri" w:eastAsia="Calibri" w:hAnsi="Calibri" w:cs="Calibri"/>
                        <w:noProof/>
                        <w:sz w:val="24"/>
                        <w:szCs w:val="24"/>
                      </w:rPr>
                    </w:pPr>
                    <w:r w:rsidRPr="00EA7D70">
                      <w:rPr>
                        <w:rFonts w:ascii="Calibri" w:eastAsia="Calibri" w:hAnsi="Calibri" w:cs="Calibri"/>
                        <w:noProof/>
                        <w:sz w:val="24"/>
                        <w:szCs w:val="24"/>
                      </w:rPr>
                      <w:t>PUBLIC</w:t>
                    </w:r>
                  </w:p>
                </w:txbxContent>
              </v:textbox>
              <w10:wrap anchorx="page" anchory="page"/>
            </v:shape>
          </w:pict>
        </mc:Fallback>
      </mc:AlternateContent>
    </w:r>
    <w:r w:rsidR="00C96E30">
      <w:rPr>
        <w:noProof/>
        <w:lang w:eastAsia="en-AU"/>
      </w:rPr>
      <w:drawing>
        <wp:anchor distT="0" distB="0" distL="114300" distR="114300" simplePos="0" relativeHeight="251659264" behindDoc="1" locked="0" layoutInCell="1" allowOverlap="1" wp14:anchorId="7CE3B155" wp14:editId="7FDCC783">
          <wp:simplePos x="0" y="0"/>
          <wp:positionH relativeFrom="margin">
            <wp:posOffset>3657600</wp:posOffset>
          </wp:positionH>
          <wp:positionV relativeFrom="paragraph">
            <wp:posOffset>-238026</wp:posOffset>
          </wp:positionV>
          <wp:extent cx="2882265" cy="703345"/>
          <wp:effectExtent l="0" t="0" r="0" b="1905"/>
          <wp:wrapTight wrapText="bothSides">
            <wp:wrapPolygon edited="0">
              <wp:start x="0" y="0"/>
              <wp:lineTo x="0" y="21073"/>
              <wp:lineTo x="21414" y="21073"/>
              <wp:lineTo x="21414" y="0"/>
              <wp:lineTo x="0" y="0"/>
            </wp:wrapPolygon>
          </wp:wrapTight>
          <wp:docPr id="1751115928" name="Picture 1751115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033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F7CE" w14:textId="6ECE0A66" w:rsidR="00166FE4" w:rsidRDefault="00166FE4">
    <w:pPr>
      <w:pStyle w:val="Header"/>
    </w:pPr>
    <w:r>
      <w:rPr>
        <w:noProof/>
      </w:rPr>
      <mc:AlternateContent>
        <mc:Choice Requires="wps">
          <w:drawing>
            <wp:anchor distT="0" distB="0" distL="0" distR="0" simplePos="0" relativeHeight="251660288" behindDoc="0" locked="0" layoutInCell="1" allowOverlap="1" wp14:anchorId="7171DFB7" wp14:editId="5397D924">
              <wp:simplePos x="635" y="635"/>
              <wp:positionH relativeFrom="page">
                <wp:align>center</wp:align>
              </wp:positionH>
              <wp:positionV relativeFrom="page">
                <wp:align>top</wp:align>
              </wp:positionV>
              <wp:extent cx="551815" cy="391160"/>
              <wp:effectExtent l="0" t="0" r="635" b="8890"/>
              <wp:wrapNone/>
              <wp:docPr id="166623901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EF96E6C" w14:textId="420E18D9" w:rsidR="00166FE4" w:rsidRPr="00166FE4" w:rsidRDefault="00166FE4" w:rsidP="00166FE4">
                          <w:pPr>
                            <w:spacing w:after="0"/>
                            <w:rPr>
                              <w:rFonts w:ascii="Calibri" w:eastAsia="Calibri" w:hAnsi="Calibri" w:cs="Calibri"/>
                              <w:noProof/>
                              <w:color w:val="C00000"/>
                              <w:sz w:val="24"/>
                              <w:szCs w:val="24"/>
                            </w:rPr>
                          </w:pPr>
                          <w:r w:rsidRPr="00166FE4">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7171DFB7">
              <v:stroke joinstyle="miter"/>
              <v:path gradientshapeok="t" o:connecttype="rect"/>
            </v:shapetype>
            <v:shape id="Text Box 1"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v:fill o:detectmouseclick="t"/>
              <v:textbox style="mso-fit-shape-to-text:t" inset="0,15pt,0,0">
                <w:txbxContent>
                  <w:p w:rsidRPr="00166FE4" w:rsidR="00166FE4" w:rsidP="00166FE4" w:rsidRDefault="00166FE4" w14:paraId="7EF96E6C" w14:textId="420E18D9">
                    <w:pPr>
                      <w:spacing w:after="0"/>
                      <w:rPr>
                        <w:rFonts w:ascii="Calibri" w:hAnsi="Calibri" w:eastAsia="Calibri" w:cs="Calibri"/>
                        <w:noProof/>
                        <w:color w:val="C00000"/>
                        <w:sz w:val="24"/>
                        <w:szCs w:val="24"/>
                      </w:rPr>
                    </w:pPr>
                    <w:r w:rsidRPr="00166FE4">
                      <w:rPr>
                        <w:rFonts w:ascii="Calibri" w:hAnsi="Calibri" w:eastAsia="Calibri" w:cs="Calibri"/>
                        <w:noProof/>
                        <w:color w:val="C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47284"/>
    <w:multiLevelType w:val="hybridMultilevel"/>
    <w:tmpl w:val="047A3B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89000A0"/>
    <w:multiLevelType w:val="hybridMultilevel"/>
    <w:tmpl w:val="464ADB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589758EF"/>
    <w:multiLevelType w:val="hybridMultilevel"/>
    <w:tmpl w:val="3448F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CFC033E"/>
    <w:multiLevelType w:val="hybridMultilevel"/>
    <w:tmpl w:val="D7C67402"/>
    <w:lvl w:ilvl="0" w:tplc="6F8CF16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E0B08F9"/>
    <w:multiLevelType w:val="hybridMultilevel"/>
    <w:tmpl w:val="B92A1282"/>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35F02A9"/>
    <w:multiLevelType w:val="hybridMultilevel"/>
    <w:tmpl w:val="7F369E76"/>
    <w:lvl w:ilvl="0" w:tplc="90988B5E">
      <w:start w:val="1"/>
      <w:numFmt w:val="decimal"/>
      <w:lvlText w:val="%1."/>
      <w:lvlJc w:val="left"/>
      <w:pPr>
        <w:ind w:left="1020" w:hanging="360"/>
      </w:pPr>
    </w:lvl>
    <w:lvl w:ilvl="1" w:tplc="2CD09C0E">
      <w:start w:val="1"/>
      <w:numFmt w:val="decimal"/>
      <w:lvlText w:val="%2."/>
      <w:lvlJc w:val="left"/>
      <w:pPr>
        <w:ind w:left="1020" w:hanging="360"/>
      </w:pPr>
    </w:lvl>
    <w:lvl w:ilvl="2" w:tplc="3CC47B50">
      <w:start w:val="1"/>
      <w:numFmt w:val="decimal"/>
      <w:lvlText w:val="%3."/>
      <w:lvlJc w:val="left"/>
      <w:pPr>
        <w:ind w:left="1020" w:hanging="360"/>
      </w:pPr>
    </w:lvl>
    <w:lvl w:ilvl="3" w:tplc="13E21A58">
      <w:start w:val="1"/>
      <w:numFmt w:val="decimal"/>
      <w:lvlText w:val="%4."/>
      <w:lvlJc w:val="left"/>
      <w:pPr>
        <w:ind w:left="1020" w:hanging="360"/>
      </w:pPr>
    </w:lvl>
    <w:lvl w:ilvl="4" w:tplc="28DCDAB2">
      <w:start w:val="1"/>
      <w:numFmt w:val="decimal"/>
      <w:lvlText w:val="%5."/>
      <w:lvlJc w:val="left"/>
      <w:pPr>
        <w:ind w:left="1020" w:hanging="360"/>
      </w:pPr>
    </w:lvl>
    <w:lvl w:ilvl="5" w:tplc="7FCE687E">
      <w:start w:val="1"/>
      <w:numFmt w:val="decimal"/>
      <w:lvlText w:val="%6."/>
      <w:lvlJc w:val="left"/>
      <w:pPr>
        <w:ind w:left="1020" w:hanging="360"/>
      </w:pPr>
    </w:lvl>
    <w:lvl w:ilvl="6" w:tplc="08D2C6C8">
      <w:start w:val="1"/>
      <w:numFmt w:val="decimal"/>
      <w:lvlText w:val="%7."/>
      <w:lvlJc w:val="left"/>
      <w:pPr>
        <w:ind w:left="1020" w:hanging="360"/>
      </w:pPr>
    </w:lvl>
    <w:lvl w:ilvl="7" w:tplc="7968312A">
      <w:start w:val="1"/>
      <w:numFmt w:val="decimal"/>
      <w:lvlText w:val="%8."/>
      <w:lvlJc w:val="left"/>
      <w:pPr>
        <w:ind w:left="1020" w:hanging="360"/>
      </w:pPr>
    </w:lvl>
    <w:lvl w:ilvl="8" w:tplc="9224D1EE">
      <w:start w:val="1"/>
      <w:numFmt w:val="decimal"/>
      <w:lvlText w:val="%9."/>
      <w:lvlJc w:val="left"/>
      <w:pPr>
        <w:ind w:left="1020" w:hanging="360"/>
      </w:pPr>
    </w:lvl>
  </w:abstractNum>
  <w:abstractNum w:abstractNumId="6" w15:restartNumberingAfterBreak="0">
    <w:nsid w:val="72C0705D"/>
    <w:multiLevelType w:val="hybridMultilevel"/>
    <w:tmpl w:val="B92A128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7B0761D"/>
    <w:multiLevelType w:val="hybridMultilevel"/>
    <w:tmpl w:val="51C8E29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03049615">
    <w:abstractNumId w:val="3"/>
  </w:num>
  <w:num w:numId="2" w16cid:durableId="1077508978">
    <w:abstractNumId w:val="7"/>
  </w:num>
  <w:num w:numId="3" w16cid:durableId="1506483349">
    <w:abstractNumId w:val="4"/>
  </w:num>
  <w:num w:numId="4" w16cid:durableId="222369681">
    <w:abstractNumId w:val="2"/>
  </w:num>
  <w:num w:numId="5" w16cid:durableId="217712267">
    <w:abstractNumId w:val="5"/>
  </w:num>
  <w:num w:numId="6" w16cid:durableId="1771849682">
    <w:abstractNumId w:val="0"/>
  </w:num>
  <w:num w:numId="7" w16cid:durableId="2003502079">
    <w:abstractNumId w:val="6"/>
  </w:num>
  <w:num w:numId="8" w16cid:durableId="373116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136"/>
    <w:rsid w:val="00027F79"/>
    <w:rsid w:val="000A362F"/>
    <w:rsid w:val="00102E34"/>
    <w:rsid w:val="0010469E"/>
    <w:rsid w:val="00136AB1"/>
    <w:rsid w:val="00166FE4"/>
    <w:rsid w:val="00181024"/>
    <w:rsid w:val="001B2719"/>
    <w:rsid w:val="001D4159"/>
    <w:rsid w:val="001D5D34"/>
    <w:rsid w:val="001F7404"/>
    <w:rsid w:val="00253A7A"/>
    <w:rsid w:val="00255467"/>
    <w:rsid w:val="00275BC9"/>
    <w:rsid w:val="0029073E"/>
    <w:rsid w:val="002E3C48"/>
    <w:rsid w:val="0031065D"/>
    <w:rsid w:val="0032290B"/>
    <w:rsid w:val="0033129C"/>
    <w:rsid w:val="003353C4"/>
    <w:rsid w:val="00386817"/>
    <w:rsid w:val="0039283E"/>
    <w:rsid w:val="003B5600"/>
    <w:rsid w:val="004064B7"/>
    <w:rsid w:val="0041209B"/>
    <w:rsid w:val="004525F1"/>
    <w:rsid w:val="004565D1"/>
    <w:rsid w:val="00481909"/>
    <w:rsid w:val="00497894"/>
    <w:rsid w:val="004C5F90"/>
    <w:rsid w:val="004E4EC5"/>
    <w:rsid w:val="004F6044"/>
    <w:rsid w:val="00523E5E"/>
    <w:rsid w:val="00551245"/>
    <w:rsid w:val="0056102D"/>
    <w:rsid w:val="00561792"/>
    <w:rsid w:val="005D1136"/>
    <w:rsid w:val="005D1BB8"/>
    <w:rsid w:val="00600A39"/>
    <w:rsid w:val="006105B4"/>
    <w:rsid w:val="006A4854"/>
    <w:rsid w:val="006D4EA3"/>
    <w:rsid w:val="00700965"/>
    <w:rsid w:val="00792AF0"/>
    <w:rsid w:val="007B1E95"/>
    <w:rsid w:val="0080777A"/>
    <w:rsid w:val="00855A16"/>
    <w:rsid w:val="00876867"/>
    <w:rsid w:val="008A4D27"/>
    <w:rsid w:val="008D01DC"/>
    <w:rsid w:val="008D32D5"/>
    <w:rsid w:val="008F2F86"/>
    <w:rsid w:val="009145DD"/>
    <w:rsid w:val="0096571D"/>
    <w:rsid w:val="00982618"/>
    <w:rsid w:val="00985723"/>
    <w:rsid w:val="00994105"/>
    <w:rsid w:val="00994FD6"/>
    <w:rsid w:val="009D1EF8"/>
    <w:rsid w:val="009E2C45"/>
    <w:rsid w:val="00AB18F5"/>
    <w:rsid w:val="00AD4F8D"/>
    <w:rsid w:val="00AF6D76"/>
    <w:rsid w:val="00B47E38"/>
    <w:rsid w:val="00B62375"/>
    <w:rsid w:val="00B67C85"/>
    <w:rsid w:val="00BA2294"/>
    <w:rsid w:val="00BE0D92"/>
    <w:rsid w:val="00BE77C6"/>
    <w:rsid w:val="00C05E1D"/>
    <w:rsid w:val="00C470A4"/>
    <w:rsid w:val="00C96E30"/>
    <w:rsid w:val="00CA1685"/>
    <w:rsid w:val="00CD5047"/>
    <w:rsid w:val="00D262BD"/>
    <w:rsid w:val="00D7655A"/>
    <w:rsid w:val="00D94F4C"/>
    <w:rsid w:val="00DC071A"/>
    <w:rsid w:val="00DE5596"/>
    <w:rsid w:val="00DE7015"/>
    <w:rsid w:val="00DF1B63"/>
    <w:rsid w:val="00DF28B8"/>
    <w:rsid w:val="00DF75AD"/>
    <w:rsid w:val="00E53F48"/>
    <w:rsid w:val="00E83FF7"/>
    <w:rsid w:val="00E90485"/>
    <w:rsid w:val="00EA7D70"/>
    <w:rsid w:val="00EB03BE"/>
    <w:rsid w:val="00EC70F8"/>
    <w:rsid w:val="00EE1FCA"/>
    <w:rsid w:val="00F17853"/>
    <w:rsid w:val="00F51B49"/>
    <w:rsid w:val="00F60E93"/>
    <w:rsid w:val="00F62036"/>
    <w:rsid w:val="00FA5E9A"/>
    <w:rsid w:val="01770CB7"/>
    <w:rsid w:val="20588DDB"/>
    <w:rsid w:val="3D0B83C2"/>
    <w:rsid w:val="45B20991"/>
    <w:rsid w:val="58BA6107"/>
    <w:rsid w:val="5B995660"/>
    <w:rsid w:val="776A03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196D5"/>
  <w15:chartTrackingRefBased/>
  <w15:docId w15:val="{2DE6ED2D-45D0-4455-AF59-FB9E9C15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D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7D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7D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77A"/>
    <w:pPr>
      <w:spacing w:after="200" w:line="276" w:lineRule="auto"/>
      <w:ind w:left="720"/>
      <w:contextualSpacing/>
    </w:pPr>
  </w:style>
  <w:style w:type="paragraph" w:styleId="Header">
    <w:name w:val="header"/>
    <w:basedOn w:val="Normal"/>
    <w:link w:val="HeaderChar"/>
    <w:uiPriority w:val="99"/>
    <w:unhideWhenUsed/>
    <w:rsid w:val="00AF6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D76"/>
  </w:style>
  <w:style w:type="paragraph" w:styleId="Footer">
    <w:name w:val="footer"/>
    <w:basedOn w:val="Normal"/>
    <w:link w:val="FooterChar"/>
    <w:uiPriority w:val="99"/>
    <w:unhideWhenUsed/>
    <w:rsid w:val="00AF6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D76"/>
  </w:style>
  <w:style w:type="character" w:styleId="Hyperlink">
    <w:name w:val="Hyperlink"/>
    <w:basedOn w:val="DefaultParagraphFont"/>
    <w:uiPriority w:val="99"/>
    <w:unhideWhenUsed/>
    <w:rsid w:val="00AD4F8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D4159"/>
    <w:rPr>
      <w:b/>
      <w:bCs/>
    </w:rPr>
  </w:style>
  <w:style w:type="character" w:customStyle="1" w:styleId="CommentSubjectChar">
    <w:name w:val="Comment Subject Char"/>
    <w:basedOn w:val="CommentTextChar"/>
    <w:link w:val="CommentSubject"/>
    <w:uiPriority w:val="99"/>
    <w:semiHidden/>
    <w:rsid w:val="001D4159"/>
    <w:rPr>
      <w:b/>
      <w:bCs/>
      <w:sz w:val="20"/>
      <w:szCs w:val="20"/>
    </w:rPr>
  </w:style>
  <w:style w:type="paragraph" w:styleId="Revision">
    <w:name w:val="Revision"/>
    <w:hidden/>
    <w:uiPriority w:val="99"/>
    <w:semiHidden/>
    <w:rsid w:val="00EC70F8"/>
    <w:pPr>
      <w:spacing w:after="0" w:line="240" w:lineRule="auto"/>
    </w:pPr>
  </w:style>
  <w:style w:type="character" w:customStyle="1" w:styleId="Heading1Char">
    <w:name w:val="Heading 1 Char"/>
    <w:basedOn w:val="DefaultParagraphFont"/>
    <w:link w:val="Heading1"/>
    <w:uiPriority w:val="9"/>
    <w:rsid w:val="00EA7D7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7D7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A7D7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rp@industry.gov.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business.gov.a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FCAC683A2DA4091CA96E92FF38508" ma:contentTypeVersion="14" ma:contentTypeDescription="Create a new document." ma:contentTypeScope="" ma:versionID="510ea71ef5d531f02f7cd2ffc6bfe192">
  <xsd:schema xmlns:xsd="http://www.w3.org/2001/XMLSchema" xmlns:xs="http://www.w3.org/2001/XMLSchema" xmlns:p="http://schemas.microsoft.com/office/2006/metadata/properties" xmlns:ns1="http://schemas.microsoft.com/sharepoint/v3" xmlns:ns2="0abb9184-6b40-4c78-b79d-c1f3f20f32bf" xmlns:ns3="92cd6d86-4c89-4373-a91e-24e95f91d0d1" targetNamespace="http://schemas.microsoft.com/office/2006/metadata/properties" ma:root="true" ma:fieldsID="a133267118a27ebc30ea5c66a79e0dfb" ns1:_="" ns2:_="" ns3:_="">
    <xsd:import namespace="http://schemas.microsoft.com/sharepoint/v3"/>
    <xsd:import namespace="0abb9184-6b40-4c78-b79d-c1f3f20f32bf"/>
    <xsd:import namespace="92cd6d86-4c89-4373-a91e-24e95f91d0d1"/>
    <xsd:element name="properties">
      <xsd:complexType>
        <xsd:sequence>
          <xsd:element name="documentManagement">
            <xsd:complexType>
              <xsd:all>
                <xsd:element ref="ns2:f0f9040002a947eda607cc801c36eb41" minOccurs="0"/>
                <xsd:element ref="ns2:TaxCatchAll" minOccurs="0"/>
                <xsd:element ref="ns2:da0006e50b1d4ab0b2c5a309089b5695" minOccurs="0"/>
                <xsd:element ref="ns2:edf7b1db916f4e609289170213428490" minOccurs="0"/>
                <xsd:element ref="ns2:ad9ec65948fb43b6a4d9b9eeb4a85e17" minOccurs="0"/>
                <xsd:element ref="ns1:Comment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bb9184-6b40-4c78-b79d-c1f3f20f32bf" elementFormDefault="qualified">
    <xsd:import namespace="http://schemas.microsoft.com/office/2006/documentManagement/types"/>
    <xsd:import namespace="http://schemas.microsoft.com/office/infopath/2007/PartnerControls"/>
    <xsd:element name="f0f9040002a947eda607cc801c36eb41" ma:index="9" ma:taxonomy="true" ma:internalName="f0f9040002a947eda607cc801c36eb41" ma:taxonomyFieldName="Stratus_DocumentType" ma:displayName="Document Type" ma:fieldId="{f0f90400-02a9-47ed-a607-cc801c36eb41}"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45d76a4-7309-4d48-96e7-dd9d8df0a14f}" ma:internalName="TaxCatchAll" ma:showField="CatchAllData" ma:web="0abb9184-6b40-4c78-b79d-c1f3f20f32bf">
      <xsd:complexType>
        <xsd:complexContent>
          <xsd:extension base="dms:MultiChoiceLookup">
            <xsd:sequence>
              <xsd:element name="Value" type="dms:Lookup" maxOccurs="unbounded" minOccurs="0" nillable="true"/>
            </xsd:sequence>
          </xsd:extension>
        </xsd:complexContent>
      </xsd:complexType>
    </xsd:element>
    <xsd:element name="da0006e50b1d4ab0b2c5a309089b5695" ma:index="12" nillable="true" ma:taxonomy="true" ma:internalName="da0006e50b1d4ab0b2c5a309089b5695" ma:taxonomyFieldName="Stratus_WorkActivity" ma:displayName="Work Activity" ma:fieldId="{da0006e5-0b1d-4ab0-b2c5-a309089b5695}"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edf7b1db916f4e609289170213428490" ma:index="14" ma:taxonomy="true" ma:internalName="edf7b1db916f4e609289170213428490" ma:taxonomyFieldName="Stratus_SecurityClassification" ma:displayName="Security Classification" ma:fieldId="{edf7b1db-916f-4e60-9289-170213428490}"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ad9ec65948fb43b6a4d9b9eeb4a85e17" ma:index="16" nillable="true" ma:taxonomy="true" ma:internalName="ad9ec65948fb43b6a4d9b9eeb4a85e17" ma:taxonomyFieldName="Stratus_Year" ma:displayName="Year" ma:fieldId="{ad9ec659-48fb-43b6-a4d9-b9eeb4a85e17}" ma:sspId="b6206a2c-5ee7-4d50-b3ee-2668e744af9d" ma:termSetId="519f67bf-e7ac-413a-9b70-b55ecf9bb31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cd6d86-4c89-4373-a91e-24e95f91d0d1"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0006e50b1d4ab0b2c5a309089b5695 xmlns="0abb9184-6b40-4c78-b79d-c1f3f20f32bf">
      <Terms xmlns="http://schemas.microsoft.com/office/infopath/2007/PartnerControls">
        <TermInfo xmlns="http://schemas.microsoft.com/office/infopath/2007/PartnerControls">
          <TermName xmlns="http://schemas.microsoft.com/office/infopath/2007/PartnerControls">Website Content Management</TermName>
          <TermId xmlns="http://schemas.microsoft.com/office/infopath/2007/PartnerControls">54ae7053-60e9-4d99-b729-19aec6f994b7</TermId>
        </TermInfo>
      </Terms>
    </da0006e50b1d4ab0b2c5a309089b5695>
    <edf7b1db916f4e609289170213428490 xmlns="0abb9184-6b40-4c78-b79d-c1f3f20f32b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edf7b1db916f4e609289170213428490>
    <TaxCatchAll xmlns="0abb9184-6b40-4c78-b79d-c1f3f20f32bf">
      <Value>11</Value>
      <Value>3</Value>
      <Value>44</Value>
    </TaxCatchAll>
    <ad9ec65948fb43b6a4d9b9eeb4a85e17 xmlns="0abb9184-6b40-4c78-b79d-c1f3f20f32bf">
      <Terms xmlns="http://schemas.microsoft.com/office/infopath/2007/PartnerControls"/>
    </ad9ec65948fb43b6a4d9b9eeb4a85e17>
    <f0f9040002a947eda607cc801c36eb41 xmlns="0abb9184-6b40-4c78-b79d-c1f3f20f32bf">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0fc12bd6-a420-41d7-b0da-f25914025d16</TermId>
        </TermInfo>
      </Terms>
    </f0f9040002a947eda607cc801c36eb41>
    <Comments xmlns="http://schemas.microsoft.com/sharepoint/v3" xsi:nil="true"/>
  </documentManagement>
</p:properties>
</file>

<file path=customXml/itemProps1.xml><?xml version="1.0" encoding="utf-8"?>
<ds:datastoreItem xmlns:ds="http://schemas.openxmlformats.org/officeDocument/2006/customXml" ds:itemID="{752780D0-A067-49A9-88A4-8B901190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bb9184-6b40-4c78-b79d-c1f3f20f32bf"/>
    <ds:schemaRef ds:uri="92cd6d86-4c89-4373-a91e-24e95f91d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B2CDD-9DB8-4CF1-ACDE-1ADDD9A1512B}">
  <ds:schemaRefs>
    <ds:schemaRef ds:uri="http://schemas.microsoft.com/sharepoint/v3/contenttype/forms"/>
  </ds:schemaRefs>
</ds:datastoreItem>
</file>

<file path=customXml/itemProps3.xml><?xml version="1.0" encoding="utf-8"?>
<ds:datastoreItem xmlns:ds="http://schemas.openxmlformats.org/officeDocument/2006/customXml" ds:itemID="{D028C58A-087B-4446-94E5-54A803943D91}">
  <ds:schemaRefs>
    <ds:schemaRef ds:uri="http://schemas.microsoft.com/office/infopath/2007/PartnerControls"/>
    <ds:schemaRef ds:uri="http://purl.org/dc/terms/"/>
    <ds:schemaRef ds:uri="http://schemas.microsoft.com/office/2006/documentManagement/types"/>
    <ds:schemaRef ds:uri="92cd6d86-4c89-4373-a91e-24e95f91d0d1"/>
    <ds:schemaRef ds:uri="http://purl.org/dc/elements/1.1/"/>
    <ds:schemaRef ds:uri="http://schemas.microsoft.com/sharepoint/v3"/>
    <ds:schemaRef ds:uri="http://purl.org/dc/dcmitype/"/>
    <ds:schemaRef ds:uri="http://schemas.openxmlformats.org/package/2006/metadata/core-properties"/>
    <ds:schemaRef ds:uri="http://schemas.microsoft.com/office/2006/metadata/properties"/>
    <ds:schemaRef ds:uri="0abb9184-6b40-4c78-b79d-c1f3f20f32bf"/>
    <ds:schemaRef ds:uri="http://www.w3.org/XML/1998/namespace"/>
  </ds:schemaRefs>
</ds:datastoreItem>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23</TotalTime>
  <Pages>3</Pages>
  <Words>901</Words>
  <Characters>5138</Characters>
  <Application>Microsoft Office Word</Application>
  <DocSecurity>0</DocSecurity>
  <Lines>42</Lines>
  <Paragraphs>12</Paragraphs>
  <ScaleCrop>false</ScaleCrop>
  <Company>Department of Industry, Science, and Resources</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Rover, Elodie</dc:creator>
  <cp:keywords/>
  <dc:description/>
  <cp:lastModifiedBy>de Rover, Elodie</cp:lastModifiedBy>
  <cp:revision>8</cp:revision>
  <cp:lastPrinted>2025-06-16T06:40:00Z</cp:lastPrinted>
  <dcterms:created xsi:type="dcterms:W3CDTF">2025-06-15T23:54:00Z</dcterms:created>
  <dcterms:modified xsi:type="dcterms:W3CDTF">2025-06-18T04:32:00Z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0x010100504FCAC683A2DA4091CA96E92FF38508</vt:lpwstr>
  </property>
  <property fmtid="{D5CDD505-2E9C-101B-9397-08002B2CF9AE}" pid="3" name="Stratus_WorkActivity">
    <vt:lpwstr>44;#Website Content Management|54ae7053-60e9-4d99-b729-19aec6f994b7</vt:lpwstr>
  </property>
  <property fmtid="{D5CDD505-2E9C-101B-9397-08002B2CF9AE}" pid="4" name="Stratus_DocumentType">
    <vt:lpwstr>11;#Guide|0fc12bd6-a420-41d7-b0da-f25914025d16</vt:lpwstr>
  </property>
  <property fmtid="{D5CDD505-2E9C-101B-9397-08002B2CF9AE}" pid="5" name="Stratus_Year">
    <vt:lpwstr/>
  </property>
  <property fmtid="{D5CDD505-2E9C-101B-9397-08002B2CF9AE}" pid="6" name="Stratus_SecurityClassification">
    <vt:lpwstr>3;#OFFICIAL|1077e141-03cb-4307-8c0f-d43dc85f509f</vt:lpwstr>
  </property>
  <property fmtid="{D5CDD505-2E9C-101B-9397-08002B2CF9AE}" pid="7" name="ClassificationContentMarkingHeaderShapeIds">
    <vt:lpwstr>6350ca27,75703e58,46673ce5</vt:lpwstr>
  </property>
  <property fmtid="{D5CDD505-2E9C-101B-9397-08002B2CF9AE}" pid="8" name="ClassificationContentMarkingHeaderFontProps">
    <vt:lpwstr>#c00000,12,Calibri</vt:lpwstr>
  </property>
  <property fmtid="{D5CDD505-2E9C-101B-9397-08002B2CF9AE}" pid="9" name="ClassificationContentMarkingHeaderText">
    <vt:lpwstr>OFFICIAL</vt:lpwstr>
  </property>
  <property fmtid="{D5CDD505-2E9C-101B-9397-08002B2CF9AE}" pid="10" name="ClassificationContentMarkingFooterShapeIds">
    <vt:lpwstr>4f85a945,3fb5ddef,437c788</vt:lpwstr>
  </property>
  <property fmtid="{D5CDD505-2E9C-101B-9397-08002B2CF9AE}" pid="11" name="ClassificationContentMarkingFooterFontProps">
    <vt:lpwstr>#c00000,12,Calibri</vt:lpwstr>
  </property>
  <property fmtid="{D5CDD505-2E9C-101B-9397-08002B2CF9AE}" pid="12" name="ClassificationContentMarkingFooterText">
    <vt:lpwstr>OFFICIAL</vt:lpwstr>
  </property>
</Properties>
</file>