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2274E" w14:textId="72F429D6" w:rsidR="00FD4F34" w:rsidRDefault="001A45C2" w:rsidP="00FD4F34">
      <w:pPr>
        <w:pStyle w:val="Heading1"/>
      </w:pPr>
      <w:bookmarkStart w:id="0" w:name="_Toc19289801"/>
      <w:r>
        <w:rPr>
          <w:noProof/>
        </w:rPr>
        <w:drawing>
          <wp:anchor distT="0" distB="0" distL="114300" distR="114300" simplePos="0" relativeHeight="251658240" behindDoc="0" locked="0" layoutInCell="1" allowOverlap="1" wp14:anchorId="755E1C0D" wp14:editId="05C062D9">
            <wp:simplePos x="914400" y="1530985"/>
            <wp:positionH relativeFrom="page">
              <wp:align>center</wp:align>
            </wp:positionH>
            <wp:positionV relativeFrom="page">
              <wp:align>top</wp:align>
            </wp:positionV>
            <wp:extent cx="7540625" cy="10666730"/>
            <wp:effectExtent l="0" t="0" r="3175" b="127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0952" cy="106668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856345196"/>
          <w:placeholder>
            <w:docPart w:val="C7ABEE8D138F416582797B3DC541DC39"/>
          </w:placeholder>
          <w:dataBinding w:prefixMappings="xmlns:ns0='http://purl.org/dc/elements/1.1/' xmlns:ns1='http://schemas.openxmlformats.org/package/2006/metadata/core-properties' " w:xpath="/ns1:coreProperties[1]/ns0:title[1]" w:storeItemID="{6C3C8BC8-F283-45AE-878A-BAB7291924A1}"/>
          <w:text/>
        </w:sdtPr>
        <w:sdtEndPr/>
        <w:sdtContent>
          <w:r w:rsidR="00FD4F34" w:rsidRPr="00B90D21">
            <w:t>Future Gas Strategy</w:t>
          </w:r>
        </w:sdtContent>
      </w:sdt>
      <w:r w:rsidR="00FD4F34">
        <w:t xml:space="preserve"> </w:t>
      </w:r>
    </w:p>
    <w:p w14:paraId="65DACDC0" w14:textId="77777777" w:rsidR="00FD4F34" w:rsidRDefault="00FD4F34" w:rsidP="00FD4F34">
      <w:pPr>
        <w:pStyle w:val="Subtitle"/>
      </w:pPr>
      <w:r>
        <w:t>In brief</w:t>
      </w:r>
    </w:p>
    <w:p w14:paraId="161426AE" w14:textId="77777777" w:rsidR="00FD4F34" w:rsidRDefault="00FD4F34" w:rsidP="00FD4F34">
      <w:r>
        <w:t>May 2024</w:t>
      </w:r>
    </w:p>
    <w:p w14:paraId="403092FE" w14:textId="1B039191" w:rsidR="008C776C" w:rsidRDefault="008C776C" w:rsidP="00071A9A">
      <w:pPr>
        <w:pStyle w:val="Footer"/>
        <w:spacing w:before="480" w:after="480"/>
        <w:rPr>
          <w:noProof/>
        </w:rPr>
      </w:pPr>
      <w:r>
        <w:rPr>
          <w:noProof/>
        </w:rPr>
        <w:br w:type="page"/>
      </w:r>
    </w:p>
    <w:bookmarkStart w:id="1" w:name="_Toc144911604" w:displacedByCustomXml="next"/>
    <w:bookmarkStart w:id="2" w:name="_Toc155191311" w:displacedByCustomXml="next"/>
    <w:sdt>
      <w:sdtPr>
        <w:rPr>
          <w:rFonts w:asciiTheme="minorHAnsi" w:eastAsiaTheme="minorHAnsi" w:hAnsiTheme="minorHAnsi" w:cstheme="minorBidi"/>
          <w:color w:val="auto"/>
          <w:sz w:val="22"/>
          <w:szCs w:val="22"/>
          <w:highlight w:val="yellow"/>
        </w:rPr>
        <w:id w:val="-2088995269"/>
        <w:docPartObj>
          <w:docPartGallery w:val="Cover Pages"/>
          <w:docPartUnique/>
        </w:docPartObj>
      </w:sdtPr>
      <w:sdtEndPr>
        <w:rPr>
          <w:sz w:val="20"/>
        </w:rPr>
      </w:sdtEndPr>
      <w:sdtContent>
        <w:bookmarkEnd w:id="2" w:displacedByCustomXml="prev"/>
        <w:bookmarkEnd w:id="1" w:displacedByCustomXml="prev"/>
        <w:bookmarkEnd w:id="0" w:displacedByCustomXml="prev"/>
        <w:bookmarkStart w:id="3" w:name="_Toc155191312" w:displacedByCustomXml="prev"/>
        <w:bookmarkStart w:id="4" w:name="_Toc144911605" w:displacedByCustomXml="prev"/>
        <w:bookmarkStart w:id="5" w:name="_Toc19289802" w:displacedByCustomXml="prev"/>
        <w:bookmarkStart w:id="6" w:name="_Toc19023739" w:displacedByCustomXml="prev"/>
        <w:bookmarkStart w:id="7" w:name="_Hlk158040788" w:displacedByCustomXml="prev"/>
        <w:p w14:paraId="0B9E26E3" w14:textId="755381CA" w:rsidR="0066416C" w:rsidRDefault="0066416C" w:rsidP="008C776C">
          <w:pPr>
            <w:pStyle w:val="Heading2"/>
          </w:pPr>
          <w:r w:rsidRPr="001D216A">
            <w:t>Copyright</w:t>
          </w:r>
          <w:bookmarkEnd w:id="6"/>
          <w:bookmarkEnd w:id="5"/>
          <w:bookmarkEnd w:id="4"/>
          <w:bookmarkEnd w:id="3"/>
        </w:p>
        <w:p w14:paraId="4D468CD5" w14:textId="30CD3158" w:rsidR="0066416C" w:rsidRPr="0068286F" w:rsidRDefault="0066416C" w:rsidP="0066416C">
          <w:pPr>
            <w:rPr>
              <w:rStyle w:val="Strong"/>
            </w:rPr>
          </w:pPr>
          <w:r w:rsidRPr="0068286F">
            <w:rPr>
              <w:rStyle w:val="Strong"/>
            </w:rPr>
            <w:t xml:space="preserve">© Commonwealth of </w:t>
          </w:r>
          <w:r w:rsidRPr="000F2564">
            <w:rPr>
              <w:rStyle w:val="Strong"/>
            </w:rPr>
            <w:t xml:space="preserve">Australia </w:t>
          </w:r>
          <w:r w:rsidR="008C776C">
            <w:rPr>
              <w:rStyle w:val="Strong"/>
            </w:rPr>
            <w:t>2024</w:t>
          </w:r>
        </w:p>
        <w:p w14:paraId="2695B454" w14:textId="77777777" w:rsidR="0066416C" w:rsidRPr="0068286F" w:rsidRDefault="0066416C" w:rsidP="0066416C">
          <w:pPr>
            <w:rPr>
              <w:rStyle w:val="Strong"/>
            </w:rPr>
          </w:pPr>
          <w:r w:rsidRPr="0068286F">
            <w:rPr>
              <w:rStyle w:val="Strong"/>
            </w:rPr>
            <w:t>Ownership of intellectual property rights</w:t>
          </w:r>
        </w:p>
        <w:p w14:paraId="5833B209" w14:textId="77777777" w:rsidR="0066416C" w:rsidRDefault="0066416C" w:rsidP="0066416C">
          <w:r>
            <w:t>Unless otherwise noted, copyright (and any other intellectual property rights, if any) in this publication is owned by the Commonwealth of Australia.</w:t>
          </w:r>
        </w:p>
        <w:p w14:paraId="5241F3F6" w14:textId="77777777" w:rsidR="0066416C" w:rsidRPr="001D216A" w:rsidRDefault="0066416C" w:rsidP="0066416C">
          <w:pPr>
            <w:rPr>
              <w:rStyle w:val="Strong"/>
            </w:rPr>
          </w:pPr>
          <w:r>
            <w:rPr>
              <w:b/>
              <w:noProof/>
              <w:lang w:eastAsia="en-AU"/>
            </w:rPr>
            <w:drawing>
              <wp:inline distT="0" distB="0" distL="0" distR="0" wp14:anchorId="7859883C" wp14:editId="1DCC5D76">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47390566" w14:textId="77777777" w:rsidR="0066416C" w:rsidRPr="001D216A" w:rsidRDefault="001A45C2" w:rsidP="0066416C">
          <w:pPr>
            <w:rPr>
              <w:rStyle w:val="Strong"/>
            </w:rPr>
          </w:pPr>
          <w:hyperlink r:id="rId14" w:history="1">
            <w:r w:rsidR="009B4687" w:rsidRPr="001E0B1D">
              <w:rPr>
                <w:rStyle w:val="Hyperlink"/>
                <w:b/>
                <w:bCs/>
              </w:rPr>
              <w:t>Creative Commons Attribution 4.0 International Licence CC BY 4.0</w:t>
            </w:r>
          </w:hyperlink>
        </w:p>
        <w:p w14:paraId="7190FC82" w14:textId="77777777" w:rsidR="0066416C" w:rsidRPr="0066416C" w:rsidRDefault="0066416C" w:rsidP="0066416C">
          <w:r w:rsidRPr="0066416C">
            <w:t xml:space="preserve">All material in this publication is licensed under a Creative Commons Attribution 4.0 International Licence, </w:t>
          </w:r>
          <w:proofErr w:type="gramStart"/>
          <w:r w:rsidRPr="0066416C">
            <w:t>with the exception of</w:t>
          </w:r>
          <w:proofErr w:type="gramEnd"/>
          <w:r w:rsidRPr="0066416C">
            <w:t>:</w:t>
          </w:r>
        </w:p>
        <w:p w14:paraId="6233FAFD" w14:textId="77777777" w:rsidR="0066416C" w:rsidRPr="00C66984" w:rsidRDefault="0066416C" w:rsidP="00C66984">
          <w:pPr>
            <w:pStyle w:val="ListParagraph"/>
          </w:pPr>
          <w:r w:rsidRPr="0066416C">
            <w:t xml:space="preserve">the </w:t>
          </w:r>
          <w:r w:rsidRPr="00C66984">
            <w:t>Commonwealth Coat of Arms</w:t>
          </w:r>
        </w:p>
        <w:p w14:paraId="7F30AE2C" w14:textId="77777777" w:rsidR="0066416C" w:rsidRPr="00C66984" w:rsidRDefault="0066416C" w:rsidP="00C66984">
          <w:pPr>
            <w:pStyle w:val="ListParagraph"/>
          </w:pPr>
          <w:r w:rsidRPr="00C66984">
            <w:t xml:space="preserve">content supplied by third </w:t>
          </w:r>
          <w:proofErr w:type="gramStart"/>
          <w:r w:rsidRPr="00C66984">
            <w:t>parties</w:t>
          </w:r>
          <w:proofErr w:type="gramEnd"/>
        </w:p>
        <w:p w14:paraId="0996CE44" w14:textId="77777777" w:rsidR="0066416C" w:rsidRPr="00C66984" w:rsidRDefault="0066416C" w:rsidP="00C66984">
          <w:pPr>
            <w:pStyle w:val="ListParagraph"/>
          </w:pPr>
          <w:r w:rsidRPr="00C66984">
            <w:t>logos</w:t>
          </w:r>
        </w:p>
        <w:p w14:paraId="7973B8FA" w14:textId="77777777" w:rsidR="0066416C" w:rsidRPr="0066416C" w:rsidRDefault="0066416C" w:rsidP="00C66984">
          <w:pPr>
            <w:pStyle w:val="ListParagraph"/>
          </w:pPr>
          <w:r w:rsidRPr="00C66984">
            <w:t>any material protected</w:t>
          </w:r>
          <w:r w:rsidRPr="0066416C">
            <w:t xml:space="preserve"> by trademark or otherwise noted in this publication.</w:t>
          </w:r>
        </w:p>
        <w:p w14:paraId="678C4A73" w14:textId="77777777" w:rsidR="0066416C" w:rsidRPr="0066416C" w:rsidRDefault="0066416C" w:rsidP="0066416C">
          <w:r w:rsidRPr="0066416C">
            <w:t xml:space="preserve">Creative Commons Attribution 4.0 International Licence is a standard form licence agreement that allows you to copy, distribute, transmit and adapt this publication provided you attribute the work. </w:t>
          </w:r>
          <w:r w:rsidRPr="00393784">
            <w:t>A </w:t>
          </w:r>
          <w:r w:rsidRPr="0066416C">
            <w:t xml:space="preserve">summary of the licence terms is available from </w:t>
          </w:r>
          <w:hyperlink r:id="rId15" w:history="1">
            <w:r w:rsidRPr="00DB39DE">
              <w:rPr>
                <w:rStyle w:val="Hyperlink"/>
              </w:rPr>
              <w:t>https://creativecommons.org/licenses/by/4.0/</w:t>
            </w:r>
          </w:hyperlink>
          <w:r w:rsidRPr="0066416C">
            <w:t xml:space="preserve">. The full licence terms are available from </w:t>
          </w:r>
          <w:hyperlink r:id="rId16" w:history="1">
            <w:r w:rsidRPr="00DB39DE">
              <w:rPr>
                <w:rStyle w:val="Hyperlink"/>
              </w:rPr>
              <w:t>https://creativecommons.org/licenses/by/4.0/legalcode</w:t>
            </w:r>
          </w:hyperlink>
          <w:r w:rsidRPr="0066416C">
            <w:t>.</w:t>
          </w:r>
        </w:p>
        <w:p w14:paraId="0C1112E5" w14:textId="22102D1B" w:rsidR="000F50CE" w:rsidRDefault="000F50CE" w:rsidP="000F50CE">
          <w:r>
            <w:t xml:space="preserve">Content contained herein should be attributed as </w:t>
          </w:r>
          <w:r w:rsidR="008C776C" w:rsidRPr="00B55B9C">
            <w:rPr>
              <w:i/>
            </w:rPr>
            <w:t>Future Gas Strategy – In brief</w:t>
          </w:r>
          <w:r w:rsidRPr="00B55B9C">
            <w:rPr>
              <w:i/>
            </w:rPr>
            <w:t>, Australian Government Department of Industry, Science and Resources</w:t>
          </w:r>
          <w:r w:rsidRPr="00B55B9C">
            <w:t>.</w:t>
          </w:r>
        </w:p>
        <w:p w14:paraId="060E8B00" w14:textId="11A84165" w:rsidR="00B81C11" w:rsidRDefault="0066416C" w:rsidP="009B4687">
          <w:r w:rsidRPr="0066416C">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w:t>
          </w:r>
          <w:r w:rsidR="00B90D21">
            <w:t> </w:t>
          </w:r>
          <w:r w:rsidRPr="0066416C">
            <w:t>use.</w:t>
          </w:r>
        </w:p>
        <w:p w14:paraId="05DD2F8B" w14:textId="77777777" w:rsidR="00B90D21" w:rsidRPr="001376C3" w:rsidRDefault="00B90D21" w:rsidP="00B90D21">
          <w:pPr>
            <w:pStyle w:val="Heading2"/>
          </w:pPr>
          <w:r w:rsidRPr="001376C3">
            <w:t>Acknowledgement of Country</w:t>
          </w:r>
        </w:p>
        <w:p w14:paraId="11758FF6" w14:textId="77777777" w:rsidR="00B90D21" w:rsidRDefault="00B90D21" w:rsidP="00B90D21">
          <w:r w:rsidRPr="00EE3546">
            <w:t xml:space="preserve">This Strategy was developed on Aboriginal and Torres Strait Islander lands. The </w:t>
          </w:r>
          <w:r>
            <w:t>g</w:t>
          </w:r>
          <w:r w:rsidRPr="00EE3546">
            <w:t xml:space="preserve">overnment acknowledges and pays respect to all First Nations peoples across Australia, who are the Traditional Custodians of the land and waters and are the oldest continuous living cultures on Earth. </w:t>
          </w:r>
        </w:p>
        <w:p w14:paraId="66208723" w14:textId="2225312E" w:rsidR="00B90D21" w:rsidRDefault="00B90D21" w:rsidP="00B90D21">
          <w:r w:rsidRPr="00EE3546">
            <w:t xml:space="preserve">We pay respect to Elders past and present. The </w:t>
          </w:r>
          <w:r w:rsidR="00356EA9">
            <w:t>g</w:t>
          </w:r>
          <w:r w:rsidRPr="00EE3546">
            <w:t>overnment is committed to strengthening First Nations engagement and greatly values the insights and perspectives shared from First Nations peoples during the Future Gas Strategy’s</w:t>
          </w:r>
          <w:r>
            <w:t xml:space="preserve"> </w:t>
          </w:r>
          <w:r w:rsidRPr="00EE3546">
            <w:t>public consultation process.</w:t>
          </w:r>
        </w:p>
        <w:p w14:paraId="08ED4174" w14:textId="77777777" w:rsidR="00B90D21" w:rsidRDefault="00B90D21" w:rsidP="00B90D21">
          <w:r w:rsidRPr="00147039">
            <w:t>We thank First Nations people for their continuing custodianship of the Country that we live and work on today.</w:t>
          </w:r>
        </w:p>
        <w:p w14:paraId="67665682" w14:textId="77777777" w:rsidR="005C0D35" w:rsidRDefault="005C0D35" w:rsidP="008C776C"/>
        <w:p w14:paraId="6452D307" w14:textId="5FF830D3" w:rsidR="00CE59AE" w:rsidRDefault="00CE59AE" w:rsidP="008C776C">
          <w:pPr>
            <w:sectPr w:rsidR="00CE59AE" w:rsidSect="008C776C">
              <w:footerReference w:type="default" r:id="rId17"/>
              <w:pgSz w:w="11906" w:h="16838"/>
              <w:pgMar w:top="1276" w:right="1440" w:bottom="1440" w:left="1440" w:header="851" w:footer="708" w:gutter="0"/>
              <w:pgNumType w:start="1"/>
              <w:cols w:space="708"/>
              <w:docGrid w:linePitch="360"/>
            </w:sectPr>
          </w:pPr>
        </w:p>
        <w:p w14:paraId="19525A97" w14:textId="77777777" w:rsidR="005C0D35" w:rsidRDefault="001A45C2" w:rsidP="005C0D35">
          <w:pPr>
            <w:rPr>
              <w:highlight w:val="yellow"/>
            </w:rPr>
          </w:pPr>
        </w:p>
      </w:sdtContent>
    </w:sdt>
    <w:bookmarkStart w:id="8" w:name="_Toc144911609" w:displacedByCustomXml="prev"/>
    <w:bookmarkStart w:id="9" w:name="_Toc155176737" w:displacedByCustomXml="prev"/>
    <w:bookmarkStart w:id="10" w:name="_Toc155191316" w:displacedByCustomXml="prev"/>
    <w:bookmarkStart w:id="11" w:name="_Hlk158040826" w:displacedByCustomXml="prev"/>
    <w:bookmarkStart w:id="12" w:name="_Toc19023741" w:displacedByCustomXml="prev"/>
    <w:p w14:paraId="150CC106" w14:textId="1B72AC8D" w:rsidR="001376C3" w:rsidRPr="005C0D35" w:rsidRDefault="001376C3" w:rsidP="005C0D35">
      <w:pPr>
        <w:pStyle w:val="Heading2"/>
        <w:rPr>
          <w:highlight w:val="yellow"/>
        </w:rPr>
      </w:pPr>
      <w:r w:rsidRPr="001376C3">
        <w:t>Minister’s Message</w:t>
      </w:r>
    </w:p>
    <w:p w14:paraId="52085885" w14:textId="2EE5C39C" w:rsidR="00022A5B" w:rsidRPr="0064021F" w:rsidRDefault="003F05EE" w:rsidP="0064021F">
      <w:pPr>
        <w:pStyle w:val="Highlightsentence"/>
      </w:pPr>
      <w:bookmarkStart w:id="13" w:name="_Toc144911610"/>
      <w:bookmarkEnd w:id="10"/>
      <w:bookmarkEnd w:id="9"/>
      <w:bookmarkEnd w:id="8"/>
      <w:r>
        <w:rPr>
          <w:rFonts w:eastAsia="Times New Roman"/>
          <w:noProof/>
        </w:rPr>
        <w:drawing>
          <wp:anchor distT="0" distB="0" distL="114300" distR="114300" simplePos="0" relativeHeight="251658244" behindDoc="0" locked="0" layoutInCell="1" allowOverlap="1" wp14:anchorId="7EAEF6D8" wp14:editId="1954EF65">
            <wp:simplePos x="0" y="0"/>
            <wp:positionH relativeFrom="column">
              <wp:posOffset>4292600</wp:posOffset>
            </wp:positionH>
            <wp:positionV relativeFrom="paragraph">
              <wp:posOffset>127000</wp:posOffset>
            </wp:positionV>
            <wp:extent cx="1362075" cy="1445260"/>
            <wp:effectExtent l="0" t="0" r="9525" b="2540"/>
            <wp:wrapSquare wrapText="bothSides"/>
            <wp:docPr id="3" name="Picture 3" descr="Portrait of The Hon Madeleine King MP, Minister for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of The Hon Madeleine King MP, Minister for Resources. "/>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62075"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A5B" w:rsidRPr="0064021F">
        <w:t>Gas plays a critical role in Australia’s economy.</w:t>
      </w:r>
      <w:r w:rsidRPr="003F05EE">
        <w:rPr>
          <w:rFonts w:eastAsia="Times New Roman"/>
          <w:noProof/>
        </w:rPr>
        <w:t xml:space="preserve"> </w:t>
      </w:r>
    </w:p>
    <w:p w14:paraId="742BE092" w14:textId="77777777" w:rsidR="00616AB3" w:rsidRPr="00137DB8" w:rsidRDefault="00616AB3" w:rsidP="00616AB3">
      <w:r w:rsidRPr="001B6075">
        <w:t xml:space="preserve">Gas is an important part of </w:t>
      </w:r>
      <w:r w:rsidRPr="00471FDC">
        <w:t>Australia’s future</w:t>
      </w:r>
      <w:r w:rsidRPr="001B6075">
        <w:t xml:space="preserve"> because it will enable us to successfully compete in the global race for jobs and opportunities in a </w:t>
      </w:r>
      <w:r w:rsidRPr="00471FDC">
        <w:t xml:space="preserve">net zero </w:t>
      </w:r>
      <w:r w:rsidRPr="001B6075">
        <w:t>world. The</w:t>
      </w:r>
      <w:r w:rsidRPr="00137DB8">
        <w:t xml:space="preserve"> global shift to clean energy is Australia’s biggest opportunity for growth and prosperity.</w:t>
      </w:r>
    </w:p>
    <w:p w14:paraId="525325E4" w14:textId="77777777" w:rsidR="00616AB3" w:rsidRPr="001B6075" w:rsidRDefault="00616AB3" w:rsidP="00616AB3">
      <w:r w:rsidRPr="001B6075">
        <w:t>Over</w:t>
      </w:r>
      <w:r w:rsidRPr="00137DB8">
        <w:t xml:space="preserve"> the </w:t>
      </w:r>
      <w:r w:rsidRPr="001B6075">
        <w:t xml:space="preserve">past year, my department has rigorously researched, modelled, and analysed the future </w:t>
      </w:r>
      <w:r w:rsidRPr="00137DB8">
        <w:t xml:space="preserve">of </w:t>
      </w:r>
      <w:r w:rsidRPr="001B6075">
        <w:t>gas. This work has been tested through extensive consultation and peer</w:t>
      </w:r>
      <w:r>
        <w:t xml:space="preserve"> </w:t>
      </w:r>
      <w:r w:rsidRPr="001B6075">
        <w:t xml:space="preserve">review. I am proud to publish this work alongside the strategy in a comprehensive analytical report. </w:t>
      </w:r>
    </w:p>
    <w:p w14:paraId="5AE1888C" w14:textId="6EDF3DFC" w:rsidR="00616AB3" w:rsidRPr="001B6075" w:rsidRDefault="00616AB3" w:rsidP="00616AB3">
      <w:r>
        <w:t>The findings are clear. Under all credible net zero scenarios, natural gas is needed through to 2050 and beyond, though its production and use will change over this period.</w:t>
      </w:r>
      <w:r w:rsidR="0045494F">
        <w:t xml:space="preserve"> </w:t>
      </w:r>
      <w:r>
        <w:t>Gas will be essential to the transition because our energy system needs gas to achieve net zero. Gas will be a transition fuel that firms renewable power generation and will be required for manufacturing and minerals processing until such time as alternatives are viable.</w:t>
      </w:r>
      <w:r w:rsidR="0045494F">
        <w:t xml:space="preserve"> </w:t>
      </w:r>
      <w:r w:rsidR="0045494F" w:rsidRPr="0045494F">
        <w:t>Gas can support our future made in Australia.</w:t>
      </w:r>
      <w:r w:rsidR="0045494F">
        <w:t xml:space="preserve"> </w:t>
      </w:r>
      <w:r>
        <w:t>However, the greenhouse gas emissions associated with gas must sharply decline and where gas use cannot be reduced, emissions must be increasingly abated and offset.</w:t>
      </w:r>
    </w:p>
    <w:p w14:paraId="19405235" w14:textId="77777777" w:rsidR="00616AB3" w:rsidRPr="00137DB8" w:rsidRDefault="00616AB3" w:rsidP="00616AB3">
      <w:r w:rsidRPr="001B6075">
        <w:t xml:space="preserve">The Future Gas Strategy is the Australian Government’s approach to gas policy. The </w:t>
      </w:r>
      <w:r>
        <w:t>s</w:t>
      </w:r>
      <w:r w:rsidRPr="001B6075">
        <w:t>trategy uses evidence and data to establish six clear</w:t>
      </w:r>
      <w:r>
        <w:t xml:space="preserve"> and</w:t>
      </w:r>
      <w:r w:rsidRPr="001B6075">
        <w:t xml:space="preserve"> enduring</w:t>
      </w:r>
      <w:r w:rsidRPr="00137DB8">
        <w:t xml:space="preserve"> principles</w:t>
      </w:r>
      <w:r w:rsidRPr="001B6075">
        <w:t xml:space="preserve"> that</w:t>
      </w:r>
      <w:r w:rsidRPr="00137DB8">
        <w:t xml:space="preserve"> will </w:t>
      </w:r>
      <w:r w:rsidRPr="001B6075">
        <w:t>underpin</w:t>
      </w:r>
      <w:r w:rsidRPr="00137DB8">
        <w:t xml:space="preserve"> future</w:t>
      </w:r>
      <w:r>
        <w:t xml:space="preserve"> the G</w:t>
      </w:r>
      <w:r w:rsidRPr="001B6075">
        <w:t>overnment</w:t>
      </w:r>
      <w:r>
        <w:t>’s</w:t>
      </w:r>
      <w:r w:rsidRPr="001B6075">
        <w:t xml:space="preserve"> </w:t>
      </w:r>
      <w:r w:rsidRPr="00137DB8">
        <w:t>policies and actions.</w:t>
      </w:r>
    </w:p>
    <w:p w14:paraId="539E6B95" w14:textId="77777777" w:rsidR="00616AB3" w:rsidRPr="001B6075" w:rsidRDefault="00616AB3" w:rsidP="00616AB3">
      <w:r w:rsidRPr="001B6075">
        <w:t xml:space="preserve">We cannot rely on past investments in gas to get us through the next decades. We need continued investment in, and development of, gas supply and transport </w:t>
      </w:r>
      <w:r>
        <w:t xml:space="preserve">infrastructure </w:t>
      </w:r>
      <w:r w:rsidRPr="001B6075">
        <w:t xml:space="preserve">to get us through the energy transition with thriving industries. To secure the clean, affordable, and reliable energy Australia needs to compete in the global race for jobs and opportunities, we need to capitalise on </w:t>
      </w:r>
      <w:r>
        <w:t>our</w:t>
      </w:r>
      <w:r w:rsidRPr="001B6075">
        <w:t xml:space="preserve"> natural resource</w:t>
      </w:r>
      <w:r>
        <w:t xml:space="preserve"> endowment. </w:t>
      </w:r>
    </w:p>
    <w:p w14:paraId="7F921309" w14:textId="77777777" w:rsidR="00616AB3" w:rsidRPr="001B6075" w:rsidRDefault="00616AB3" w:rsidP="00616AB3">
      <w:r>
        <w:t>I want to make a point I have made many times before and will continue to make: Australia is and will remain a reliable and trusted trade and investment partner, including for liquefied natural gas (LNG). Our trade partners have made large investments over decades in Australia’s resources industry and are relying on Australian gas to transition their economies to net zero. Australia is broadening and deepening our existing energy partnerships into emerging industries like critical minerals, hydrogen, carbon capture and storage, and other clean energy exports. The strength of our relationships, based on mutual economic benefit and friendship, will endure.</w:t>
      </w:r>
    </w:p>
    <w:p w14:paraId="21F12D4B" w14:textId="77777777" w:rsidR="00616AB3" w:rsidRDefault="00616AB3" w:rsidP="00616AB3">
      <w:r w:rsidRPr="00137DB8">
        <w:t xml:space="preserve">I would like to thank and acknowledge the significant contribution from all who helped develop this strategy. </w:t>
      </w:r>
      <w:r w:rsidRPr="001B6075">
        <w:t xml:space="preserve">I look forward to continuing to work closely with industry and communities as we work towards net zero and a </w:t>
      </w:r>
      <w:r>
        <w:t>f</w:t>
      </w:r>
      <w:r w:rsidRPr="001B6075">
        <w:t xml:space="preserve">uture </w:t>
      </w:r>
      <w:r>
        <w:t>m</w:t>
      </w:r>
      <w:r w:rsidRPr="001B6075">
        <w:t xml:space="preserve">ade in Australia. </w:t>
      </w:r>
    </w:p>
    <w:p w14:paraId="3C6354D0" w14:textId="77777777" w:rsidR="00616AB3" w:rsidRDefault="00616AB3" w:rsidP="00616AB3">
      <w:r w:rsidRPr="001B6075">
        <w:t>The road to both runs through the Australian resources sector</w:t>
      </w:r>
      <w:r w:rsidRPr="00137DB8">
        <w:t>.</w:t>
      </w:r>
    </w:p>
    <w:p w14:paraId="54AAE428" w14:textId="1A1ECB56" w:rsidR="002E3033" w:rsidRPr="002E3033" w:rsidRDefault="002E3033" w:rsidP="002E3033">
      <w:pPr>
        <w:spacing w:before="360"/>
        <w:rPr>
          <w:b/>
          <w:bCs/>
          <w:color w:val="095258" w:themeColor="text2"/>
        </w:rPr>
      </w:pPr>
      <w:r w:rsidRPr="002E3033">
        <w:rPr>
          <w:b/>
          <w:bCs/>
          <w:color w:val="095258" w:themeColor="text2"/>
        </w:rPr>
        <w:t>The Hon Madeleine King MP</w:t>
      </w:r>
    </w:p>
    <w:p w14:paraId="72068E0C" w14:textId="4B463D90" w:rsidR="002E3033" w:rsidRDefault="002E3033" w:rsidP="002E3033">
      <w:pPr>
        <w:spacing w:before="0" w:after="0"/>
      </w:pPr>
      <w:r>
        <w:t>Minister for Resources</w:t>
      </w:r>
    </w:p>
    <w:p w14:paraId="68C5E4F4" w14:textId="4B9B65B6" w:rsidR="002E3033" w:rsidRDefault="002E3033" w:rsidP="002E3033">
      <w:pPr>
        <w:spacing w:before="0" w:after="0"/>
      </w:pPr>
      <w:r w:rsidRPr="002E3033">
        <w:t>Minister for Northern Australi</w:t>
      </w:r>
      <w:r>
        <w:t>a</w:t>
      </w:r>
    </w:p>
    <w:p w14:paraId="2DE7EF6B" w14:textId="77777777" w:rsidR="008C776C" w:rsidRDefault="008C776C">
      <w:pPr>
        <w:spacing w:before="0" w:after="160" w:line="259" w:lineRule="auto"/>
      </w:pPr>
      <w:r>
        <w:br w:type="page"/>
      </w:r>
    </w:p>
    <w:p w14:paraId="56F9A500" w14:textId="77777777" w:rsidR="00022A5B" w:rsidRDefault="00022A5B" w:rsidP="00022A5B">
      <w:pPr>
        <w:pStyle w:val="Heading3"/>
      </w:pPr>
      <w:r w:rsidRPr="00CB47D6">
        <w:lastRenderedPageBreak/>
        <w:t xml:space="preserve">Future Gas Strategy </w:t>
      </w:r>
      <w:proofErr w:type="gramStart"/>
      <w:r>
        <w:t>at a glance</w:t>
      </w:r>
      <w:proofErr w:type="gramEnd"/>
    </w:p>
    <w:p w14:paraId="18D49EB0" w14:textId="77777777" w:rsidR="00616AB3" w:rsidRDefault="00616AB3" w:rsidP="00616AB3">
      <w:bookmarkStart w:id="14" w:name="_Hlk155193274"/>
      <w:r>
        <w:t xml:space="preserve">Securing the clean, affordable, and reliable energy Australia needs to compete in the global race for jobs and opportunities requires us to capitalise on the natural resources we have in the ground and sky. </w:t>
      </w:r>
    </w:p>
    <w:p w14:paraId="2FD87D3C" w14:textId="77777777" w:rsidR="00616AB3" w:rsidRDefault="00616AB3" w:rsidP="00616AB3">
      <w:r w:rsidRPr="002E314D">
        <w:t xml:space="preserve">The Future Gas Strategy is </w:t>
      </w:r>
      <w:r>
        <w:t>the</w:t>
      </w:r>
      <w:r w:rsidRPr="002E314D">
        <w:t xml:space="preserve"> Australia</w:t>
      </w:r>
      <w:r>
        <w:t>n Government’s policy on the role of gas in our economy</w:t>
      </w:r>
      <w:r w:rsidRPr="002E314D">
        <w:t>.</w:t>
      </w:r>
      <w:r>
        <w:t xml:space="preserve"> </w:t>
      </w:r>
      <w:r>
        <w:br/>
        <w:t>It consists of six principles.</w:t>
      </w:r>
    </w:p>
    <w:p w14:paraId="1F494296" w14:textId="77777777" w:rsidR="00616AB3" w:rsidRPr="00CB47D6" w:rsidRDefault="00616AB3" w:rsidP="00616AB3">
      <w:r w:rsidRPr="00CB47D6">
        <w:rPr>
          <w:rStyle w:val="Heading5Char"/>
          <w:sz w:val="20"/>
          <w:szCs w:val="20"/>
        </w:rPr>
        <w:t>Principle 1</w:t>
      </w:r>
      <w:r w:rsidRPr="00CB47D6">
        <w:rPr>
          <w:rStyle w:val="Heading5Char"/>
        </w:rPr>
        <w:t xml:space="preserve"> </w:t>
      </w:r>
      <w:r>
        <w:t xml:space="preserve">– </w:t>
      </w:r>
      <w:r w:rsidRPr="00D5462E">
        <w:t>Australia is committed to supporting global emissions reductions to reduce the impacts of climate change and will reach net zero emissions by 2050.</w:t>
      </w:r>
      <w:r w:rsidRPr="00CB47D6">
        <w:t xml:space="preserve"> </w:t>
      </w:r>
    </w:p>
    <w:p w14:paraId="588C3B86" w14:textId="77777777" w:rsidR="00616AB3" w:rsidRPr="00CB47D6" w:rsidRDefault="00616AB3" w:rsidP="00616AB3">
      <w:r w:rsidRPr="00CB47D6">
        <w:rPr>
          <w:rStyle w:val="Heading5Char"/>
          <w:sz w:val="20"/>
          <w:szCs w:val="20"/>
        </w:rPr>
        <w:t>Principle 2</w:t>
      </w:r>
      <w:r w:rsidRPr="00CB47D6">
        <w:rPr>
          <w:sz w:val="14"/>
          <w:szCs w:val="16"/>
        </w:rPr>
        <w:t xml:space="preserve"> </w:t>
      </w:r>
      <w:r>
        <w:t xml:space="preserve">– </w:t>
      </w:r>
      <w:r w:rsidRPr="00CB47D6">
        <w:t xml:space="preserve">Gas must remain affordable for Australian users throughout the transition to net zero. </w:t>
      </w:r>
    </w:p>
    <w:p w14:paraId="16D46504" w14:textId="77777777" w:rsidR="00616AB3" w:rsidRPr="00CB47D6" w:rsidRDefault="00616AB3" w:rsidP="00616AB3">
      <w:r w:rsidRPr="00CB47D6">
        <w:rPr>
          <w:rStyle w:val="Heading5Char"/>
          <w:sz w:val="20"/>
          <w:szCs w:val="20"/>
        </w:rPr>
        <w:t>Principle 3</w:t>
      </w:r>
      <w:r w:rsidRPr="00CB47D6">
        <w:rPr>
          <w:sz w:val="14"/>
          <w:szCs w:val="16"/>
        </w:rPr>
        <w:t xml:space="preserve"> </w:t>
      </w:r>
      <w:r>
        <w:t xml:space="preserve">– </w:t>
      </w:r>
      <w:r w:rsidRPr="00CB47D6">
        <w:t xml:space="preserve">New sources of gas supply </w:t>
      </w:r>
      <w:r>
        <w:t>are</w:t>
      </w:r>
      <w:r w:rsidRPr="00CB47D6">
        <w:t xml:space="preserve"> needed to meet demand during the</w:t>
      </w:r>
      <w:r>
        <w:t xml:space="preserve"> economy wide</w:t>
      </w:r>
      <w:r w:rsidRPr="00CB47D6">
        <w:t xml:space="preserve"> transition.</w:t>
      </w:r>
    </w:p>
    <w:p w14:paraId="6D33FC0E" w14:textId="63951DBA" w:rsidR="00616AB3" w:rsidRPr="00CB47D6" w:rsidRDefault="00616AB3" w:rsidP="00616AB3">
      <w:r w:rsidRPr="00CB47D6">
        <w:rPr>
          <w:rStyle w:val="Heading5Char"/>
          <w:sz w:val="20"/>
          <w:szCs w:val="20"/>
        </w:rPr>
        <w:t>Principle 4</w:t>
      </w:r>
      <w:r w:rsidRPr="00CB47D6">
        <w:rPr>
          <w:sz w:val="14"/>
          <w:szCs w:val="16"/>
        </w:rPr>
        <w:t xml:space="preserve"> </w:t>
      </w:r>
      <w:r>
        <w:t>–</w:t>
      </w:r>
      <w:r w:rsidRPr="00D11EB3">
        <w:t xml:space="preserve"> </w:t>
      </w:r>
      <w:r>
        <w:t>Reliable gas supply will gradually and inevitably support a shift towards higher-value and non</w:t>
      </w:r>
      <w:r w:rsidR="00C051DD">
        <w:noBreakHyphen/>
      </w:r>
      <w:r>
        <w:t>substitutable gas uses. Households will continue to have a choice over how their energy needs are met.</w:t>
      </w:r>
      <w:r w:rsidRPr="00D11EB3">
        <w:t xml:space="preserve"> </w:t>
      </w:r>
    </w:p>
    <w:p w14:paraId="7E59885D" w14:textId="77777777" w:rsidR="00616AB3" w:rsidRPr="00CB47D6" w:rsidRDefault="00616AB3" w:rsidP="00616AB3">
      <w:r w:rsidRPr="00CB47D6">
        <w:rPr>
          <w:rStyle w:val="Heading5Char"/>
          <w:sz w:val="20"/>
          <w:szCs w:val="20"/>
        </w:rPr>
        <w:t>Principle 5</w:t>
      </w:r>
      <w:r w:rsidRPr="00CB47D6">
        <w:rPr>
          <w:sz w:val="14"/>
          <w:szCs w:val="16"/>
        </w:rPr>
        <w:t xml:space="preserve"> </w:t>
      </w:r>
      <w:r>
        <w:t xml:space="preserve">– </w:t>
      </w:r>
      <w:r w:rsidRPr="00D11EB3">
        <w:t>Gas and electricity markets must adapt to remain fit for purpose throughout the energy transformation.</w:t>
      </w:r>
    </w:p>
    <w:p w14:paraId="4BD14B8D" w14:textId="77777777" w:rsidR="00616AB3" w:rsidRDefault="00616AB3" w:rsidP="00616AB3">
      <w:r w:rsidRPr="00CB47D6">
        <w:rPr>
          <w:rStyle w:val="Heading5Char"/>
          <w:sz w:val="20"/>
          <w:szCs w:val="20"/>
        </w:rPr>
        <w:t>Principle 6</w:t>
      </w:r>
      <w:r w:rsidRPr="00CB47D6">
        <w:rPr>
          <w:sz w:val="14"/>
          <w:szCs w:val="16"/>
        </w:rPr>
        <w:t xml:space="preserve"> </w:t>
      </w:r>
      <w:r>
        <w:t xml:space="preserve">– </w:t>
      </w:r>
      <w:r w:rsidRPr="00D5462E">
        <w:t xml:space="preserve">Australia is, and will remain, a reliable trading partner for energy, including </w:t>
      </w:r>
      <w:r>
        <w:t>liquefied natural gas (LNG)</w:t>
      </w:r>
      <w:r w:rsidRPr="00D5462E">
        <w:t xml:space="preserve"> and low</w:t>
      </w:r>
      <w:r>
        <w:t>-</w:t>
      </w:r>
      <w:r w:rsidRPr="00D5462E">
        <w:t>emission</w:t>
      </w:r>
      <w:r>
        <w:t>s</w:t>
      </w:r>
      <w:r w:rsidRPr="00D5462E">
        <w:t xml:space="preserve"> gases.</w:t>
      </w:r>
    </w:p>
    <w:p w14:paraId="374C2C20" w14:textId="77777777" w:rsidR="00616AB3" w:rsidRDefault="00616AB3" w:rsidP="00616AB3">
      <w:r>
        <w:t xml:space="preserve">The strategy is grounded by rigorous analysis and extensive consultation. </w:t>
      </w:r>
    </w:p>
    <w:p w14:paraId="0045A18B" w14:textId="77777777" w:rsidR="00616AB3" w:rsidRDefault="00616AB3" w:rsidP="00616AB3">
      <w:r>
        <w:t>A detailed analytical report and submissions responding to the strategy’s discussion paper are available on the Department of Industry, Science and Resources website.</w:t>
      </w:r>
    </w:p>
    <w:bookmarkEnd w:id="14"/>
    <w:p w14:paraId="65568E50" w14:textId="404148E5" w:rsidR="002A574E" w:rsidRPr="00AD0671" w:rsidRDefault="00CB47D6" w:rsidP="00616AB3">
      <w:pPr>
        <w:pStyle w:val="Heading4"/>
      </w:pPr>
      <w:r w:rsidRPr="00AD0671">
        <w:t xml:space="preserve">Demand </w:t>
      </w:r>
      <w:r w:rsidR="00BE1F9A" w:rsidRPr="00AD0671">
        <w:t>outlook</w:t>
      </w:r>
      <w:r w:rsidRPr="00AD0671">
        <w:t xml:space="preserve"> </w:t>
      </w:r>
    </w:p>
    <w:p w14:paraId="539AB0DB" w14:textId="71332146" w:rsidR="00616AB3" w:rsidRPr="0098090B" w:rsidRDefault="00616AB3" w:rsidP="00616AB3">
      <w:r>
        <w:t>N</w:t>
      </w:r>
      <w:r w:rsidRPr="0098090B">
        <w:t xml:space="preserve">atural gas supports our standard of living and Australia’s energy security. </w:t>
      </w:r>
      <w:r>
        <w:t xml:space="preserve">How we use gas varies across the country depending on the businesses and households connected to the gas network </w:t>
      </w:r>
      <w:r w:rsidRPr="0098090B">
        <w:t>(</w:t>
      </w:r>
      <w:r w:rsidR="00C051DD">
        <w:t>F</w:t>
      </w:r>
      <w:r w:rsidRPr="0098090B">
        <w:t>igure 1).</w:t>
      </w:r>
    </w:p>
    <w:p w14:paraId="75BE7DA0" w14:textId="19FF26A1" w:rsidR="0098090B" w:rsidRPr="005C0D35" w:rsidRDefault="0098090B" w:rsidP="0024548E">
      <w:pPr>
        <w:pStyle w:val="Caption"/>
        <w:rPr>
          <w:b w:val="0"/>
          <w:bCs/>
        </w:rPr>
      </w:pPr>
      <w:r w:rsidRPr="0098090B">
        <w:t xml:space="preserve">Figure 1: </w:t>
      </w:r>
      <w:r w:rsidRPr="005C0D35">
        <w:rPr>
          <w:b w:val="0"/>
          <w:bCs/>
        </w:rPr>
        <w:t>Gas consumption by state/territory and sector, 2021</w:t>
      </w:r>
      <w:r w:rsidR="00813E60" w:rsidRPr="005C0D35">
        <w:rPr>
          <w:b w:val="0"/>
          <w:bCs/>
        </w:rPr>
        <w:t>–</w:t>
      </w:r>
      <w:r w:rsidRPr="005C0D35">
        <w:rPr>
          <w:b w:val="0"/>
          <w:bCs/>
        </w:rPr>
        <w:t>22</w:t>
      </w:r>
    </w:p>
    <w:p w14:paraId="2B493484" w14:textId="5FD968EB" w:rsidR="0098090B" w:rsidRDefault="0098090B" w:rsidP="005962FA">
      <w:r w:rsidRPr="0098090B">
        <w:rPr>
          <w:rFonts w:ascii="Calibri" w:eastAsia="Calibri" w:hAnsi="Calibri" w:cs="Times New Roman"/>
          <w:noProof/>
        </w:rPr>
        <w:drawing>
          <wp:inline distT="0" distB="0" distL="0" distR="0" wp14:anchorId="329AE533" wp14:editId="05D78858">
            <wp:extent cx="4680000" cy="2973606"/>
            <wp:effectExtent l="0" t="0" r="6350" b="0"/>
            <wp:docPr id="6" name="Picture 6" descr="This figure shows gas consumption by state and sector as a proportion of total gas use in 2021-22. As a percentage of total gas use, it shows that in WA and SA, that power is the predominant use of gas. Mining dominates in Qld and the NT, while Industry dominates in NSW and Tasmania. Victoria’s demand for gas primarily comes from Buildings. For the total of all states and territories in Australia, power is the predominant use of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shows gas consumption by state and sector as a proportion of total gas use in 2021-22. As a percentage of total gas use, it shows that in WA and SA, that power is the predominant use of gas. Mining dominates in Qld and the NT, while Industry dominates in NSW and Tasmania. Victoria’s demand for gas primarily comes from Buildings. For the total of all states and territories in Australia, power is the predominant use of gas."/>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680000" cy="2973606"/>
                    </a:xfrm>
                    <a:prstGeom prst="rect">
                      <a:avLst/>
                    </a:prstGeom>
                    <a:noFill/>
                    <a:ln>
                      <a:noFill/>
                    </a:ln>
                  </pic:spPr>
                </pic:pic>
              </a:graphicData>
            </a:graphic>
          </wp:inline>
        </w:drawing>
      </w:r>
    </w:p>
    <w:p w14:paraId="0B44882D" w14:textId="120FC4A7" w:rsidR="0061283E" w:rsidRPr="0024548E" w:rsidRDefault="0046183D" w:rsidP="005962FA">
      <w:pPr>
        <w:rPr>
          <w:sz w:val="16"/>
          <w:szCs w:val="18"/>
        </w:rPr>
      </w:pPr>
      <w:r w:rsidRPr="0046183D">
        <w:rPr>
          <w:sz w:val="16"/>
          <w:szCs w:val="18"/>
        </w:rPr>
        <w:t xml:space="preserve">Notes: ACT included in NSW. </w:t>
      </w:r>
      <w:r w:rsidR="00546CBE">
        <w:rPr>
          <w:sz w:val="16"/>
          <w:szCs w:val="18"/>
        </w:rPr>
        <w:t>P</w:t>
      </w:r>
      <w:r w:rsidR="00546CBE" w:rsidRPr="0046183D">
        <w:rPr>
          <w:sz w:val="16"/>
          <w:szCs w:val="18"/>
        </w:rPr>
        <w:t xml:space="preserve">ower </w:t>
      </w:r>
      <w:r w:rsidR="00546CBE">
        <w:rPr>
          <w:sz w:val="16"/>
          <w:szCs w:val="18"/>
        </w:rPr>
        <w:t>includes o</w:t>
      </w:r>
      <w:r w:rsidRPr="0046183D">
        <w:rPr>
          <w:sz w:val="16"/>
          <w:szCs w:val="18"/>
        </w:rPr>
        <w:t>n-site electricity generation.</w:t>
      </w:r>
      <w:r w:rsidR="00546CBE">
        <w:rPr>
          <w:sz w:val="16"/>
          <w:szCs w:val="18"/>
        </w:rPr>
        <w:t xml:space="preserve"> Buildings includes commercial and residential gas use.</w:t>
      </w:r>
      <w:r w:rsidR="004D72B8">
        <w:rPr>
          <w:sz w:val="16"/>
          <w:szCs w:val="18"/>
        </w:rPr>
        <w:t xml:space="preserve"> </w:t>
      </w:r>
      <w:r w:rsidRPr="0046183D">
        <w:rPr>
          <w:sz w:val="16"/>
          <w:szCs w:val="18"/>
        </w:rPr>
        <w:t xml:space="preserve">Mining includes gas used to power LNG liquefication. </w:t>
      </w:r>
      <w:r w:rsidR="001C70E6" w:rsidRPr="0024548E">
        <w:rPr>
          <w:sz w:val="16"/>
          <w:szCs w:val="18"/>
        </w:rPr>
        <w:t>Source: DISR (2024) Fig 3.1; Australian Energy Statistics (2023)</w:t>
      </w:r>
      <w:r>
        <w:rPr>
          <w:sz w:val="16"/>
          <w:szCs w:val="18"/>
        </w:rPr>
        <w:t>.</w:t>
      </w:r>
    </w:p>
    <w:p w14:paraId="5A3ED561" w14:textId="77777777" w:rsidR="00616AB3" w:rsidRDefault="00616AB3" w:rsidP="00616AB3">
      <w:r>
        <w:t>Natural gas is integral to the Australian economy. It</w:t>
      </w:r>
      <w:r w:rsidRPr="00CB47D6">
        <w:t xml:space="preserve"> meets 27% of our energy</w:t>
      </w:r>
      <w:r>
        <w:t xml:space="preserve"> needs and represents nearly 20% of our export income. Global and domestic gas demand outlooks are</w:t>
      </w:r>
      <w:r w:rsidDel="00C92490">
        <w:t xml:space="preserve"> </w:t>
      </w:r>
      <w:r>
        <w:t xml:space="preserve">uncertain because they depend on a range of assumptions about how the energy transition progresses. However, under all credible net zero scenarios, natural gas is needed through to 2050 and beyond, albeit to a lesser extent. Australian industry requires </w:t>
      </w:r>
      <w:r w:rsidRPr="00CB47D6">
        <w:t xml:space="preserve">a </w:t>
      </w:r>
      <w:r>
        <w:t xml:space="preserve">reliable </w:t>
      </w:r>
      <w:r w:rsidRPr="00CB47D6">
        <w:t xml:space="preserve">and affordable supply of gas. </w:t>
      </w:r>
    </w:p>
    <w:p w14:paraId="194ED8A9" w14:textId="77777777" w:rsidR="00616AB3" w:rsidRPr="00CB47D6" w:rsidRDefault="00616AB3" w:rsidP="00616AB3">
      <w:r>
        <w:lastRenderedPageBreak/>
        <w:t>Gas is used to process f</w:t>
      </w:r>
      <w:r w:rsidRPr="00CB47D6">
        <w:t>ood</w:t>
      </w:r>
      <w:r>
        <w:t>, to process critical minerals</w:t>
      </w:r>
      <w:r w:rsidRPr="00CB47D6">
        <w:t xml:space="preserve"> </w:t>
      </w:r>
      <w:r>
        <w:t xml:space="preserve">and in the </w:t>
      </w:r>
      <w:r w:rsidRPr="00CB47D6">
        <w:t>manufactur</w:t>
      </w:r>
      <w:r>
        <w:t>e</w:t>
      </w:r>
      <w:r w:rsidRPr="00CB47D6">
        <w:t xml:space="preserve"> </w:t>
      </w:r>
      <w:r>
        <w:t xml:space="preserve">of </w:t>
      </w:r>
      <w:r w:rsidRPr="00CB47D6">
        <w:t>cement, bricks, glass, and fertiliser</w:t>
      </w:r>
      <w:r>
        <w:t>.</w:t>
      </w:r>
      <w:r w:rsidRPr="00CB47D6">
        <w:t xml:space="preserve"> </w:t>
      </w:r>
      <w:r>
        <w:t>D</w:t>
      </w:r>
      <w:r w:rsidRPr="00CB47D6">
        <w:t xml:space="preserve">emand for gas </w:t>
      </w:r>
      <w:r>
        <w:t xml:space="preserve">in these industries </w:t>
      </w:r>
      <w:r w:rsidRPr="00CB47D6">
        <w:t xml:space="preserve">will remain </w:t>
      </w:r>
      <w:r>
        <w:t>until commercially viable alternatives, such as hydrogen or biomethane, become available</w:t>
      </w:r>
      <w:r w:rsidRPr="00CB47D6">
        <w:t>.</w:t>
      </w:r>
      <w:r>
        <w:t xml:space="preserve"> S</w:t>
      </w:r>
      <w:r w:rsidRPr="00CB47D6">
        <w:t>ome industries may increase their consumption of gas</w:t>
      </w:r>
      <w:r>
        <w:t xml:space="preserve"> in the short term </w:t>
      </w:r>
      <w:r w:rsidRPr="00821409">
        <w:t xml:space="preserve">ahead of </w:t>
      </w:r>
      <w:r>
        <w:t xml:space="preserve">the </w:t>
      </w:r>
      <w:r w:rsidRPr="00821409">
        <w:t>commercial</w:t>
      </w:r>
      <w:r>
        <w:t xml:space="preserve"> availability of low-emissions gases, or in response to increased refinery or manufacturing demand related to the energy transformation.</w:t>
      </w:r>
    </w:p>
    <w:p w14:paraId="00DA847E" w14:textId="77777777" w:rsidR="00616AB3" w:rsidRPr="00CB47D6" w:rsidRDefault="00616AB3" w:rsidP="00616AB3">
      <w:r>
        <w:t xml:space="preserve">As we transition away from coal, </w:t>
      </w:r>
      <w:r w:rsidRPr="00821409">
        <w:t>gas will likely play an important role</w:t>
      </w:r>
      <w:r>
        <w:t xml:space="preserve"> in Australia’s electricity sector. </w:t>
      </w:r>
      <w:r w:rsidRPr="009D0EFA">
        <w:rPr>
          <w:rStyle w:val="cf01"/>
          <w:rFonts w:asciiTheme="minorHAnsi" w:hAnsiTheme="minorHAnsi"/>
          <w:sz w:val="20"/>
          <w:szCs w:val="20"/>
        </w:rPr>
        <w:t>G</w:t>
      </w:r>
      <w:r w:rsidRPr="00CB47D6">
        <w:t>as power</w:t>
      </w:r>
      <w:r>
        <w:t>ed</w:t>
      </w:r>
      <w:r w:rsidRPr="00CB47D6">
        <w:t xml:space="preserve"> generation </w:t>
      </w:r>
      <w:r>
        <w:t xml:space="preserve">will continue to maintain grid reliability during periods of low generation from renewable sources, complementing </w:t>
      </w:r>
      <w:r w:rsidRPr="00CB47D6">
        <w:t>battery</w:t>
      </w:r>
      <w:r>
        <w:t xml:space="preserve"> storage</w:t>
      </w:r>
      <w:r w:rsidRPr="00CB47D6">
        <w:t xml:space="preserve"> and pumped hydro generation</w:t>
      </w:r>
      <w:r>
        <w:t>.</w:t>
      </w:r>
    </w:p>
    <w:p w14:paraId="5A1998FC" w14:textId="77777777" w:rsidR="00616AB3" w:rsidRDefault="00616AB3" w:rsidP="00616AB3">
      <w:r w:rsidRPr="00C27BBB">
        <w:t xml:space="preserve">Demand for Australia’s exported LNG </w:t>
      </w:r>
      <w:r>
        <w:t>will</w:t>
      </w:r>
      <w:r w:rsidRPr="00C27BBB">
        <w:t xml:space="preserve"> remain strong until 2035 to service existing long-term LNG contracts. </w:t>
      </w:r>
      <w:r>
        <w:t>T</w:t>
      </w:r>
      <w:r w:rsidRPr="00C27BBB">
        <w:t xml:space="preserve">rade partners </w:t>
      </w:r>
      <w:r>
        <w:t xml:space="preserve">have indicated their LNG demand will persist </w:t>
      </w:r>
      <w:r w:rsidRPr="00C27BBB">
        <w:t>beyond 2050</w:t>
      </w:r>
      <w:r>
        <w:t>, albeit on a reduced scale as gas demand wanes,</w:t>
      </w:r>
      <w:r w:rsidRPr="00C27BBB">
        <w:t xml:space="preserve"> </w:t>
      </w:r>
      <w:r w:rsidRPr="0067606E">
        <w:t xml:space="preserve">as they progress along their </w:t>
      </w:r>
      <w:r>
        <w:t xml:space="preserve">own </w:t>
      </w:r>
      <w:r w:rsidRPr="0067606E">
        <w:t>decarbonisation pathways</w:t>
      </w:r>
      <w:r>
        <w:t>.</w:t>
      </w:r>
    </w:p>
    <w:p w14:paraId="7DD27590" w14:textId="62E8D051" w:rsidR="003B348A" w:rsidRPr="00AD0671" w:rsidRDefault="00B45126" w:rsidP="00616AB3">
      <w:pPr>
        <w:pStyle w:val="Heading4"/>
      </w:pPr>
      <w:r w:rsidRPr="00AD0671">
        <w:t xml:space="preserve">Supply </w:t>
      </w:r>
      <w:r w:rsidR="00BE1F9A" w:rsidRPr="00AD0671">
        <w:t>outlook</w:t>
      </w:r>
    </w:p>
    <w:p w14:paraId="58859BE6" w14:textId="77777777" w:rsidR="00616AB3" w:rsidRDefault="00616AB3" w:rsidP="00616AB3">
      <w:r w:rsidRPr="00CB47D6">
        <w:t xml:space="preserve">New sources of </w:t>
      </w:r>
      <w:r>
        <w:t xml:space="preserve">natural </w:t>
      </w:r>
      <w:r w:rsidRPr="00CB47D6">
        <w:t xml:space="preserve">gas supply </w:t>
      </w:r>
      <w:r>
        <w:t>are</w:t>
      </w:r>
      <w:r w:rsidRPr="00CB47D6">
        <w:t xml:space="preserve"> needed to meet demand during the transition.</w:t>
      </w:r>
      <w:r w:rsidRPr="00C13BF1">
        <w:t xml:space="preserve"> Without continued investment in </w:t>
      </w:r>
      <w:r>
        <w:t>our</w:t>
      </w:r>
      <w:r w:rsidRPr="00C13BF1">
        <w:t xml:space="preserve"> gas sector</w:t>
      </w:r>
      <w:r>
        <w:t xml:space="preserve"> and development of supply sources</w:t>
      </w:r>
      <w:r w:rsidRPr="00C13BF1">
        <w:t xml:space="preserve">, </w:t>
      </w:r>
      <w:r>
        <w:t>Australia faces</w:t>
      </w:r>
      <w:r w:rsidRPr="00C13BF1">
        <w:t xml:space="preserve"> </w:t>
      </w:r>
      <w:r>
        <w:t xml:space="preserve">the risk of annual supply gaps emerging </w:t>
      </w:r>
      <w:r w:rsidRPr="00C13BF1">
        <w:t>by 2028 on the east coast, and by 2030 on the west coast</w:t>
      </w:r>
      <w:r>
        <w:t xml:space="preserve">. Existing policies such as </w:t>
      </w:r>
      <w:r w:rsidRPr="002114C0">
        <w:t xml:space="preserve">the </w:t>
      </w:r>
      <w:r w:rsidRPr="00821409">
        <w:t>Gas Market Code</w:t>
      </w:r>
      <w:r w:rsidRPr="002114C0">
        <w:t>, H</w:t>
      </w:r>
      <w:r>
        <w:t xml:space="preserve">eads </w:t>
      </w:r>
      <w:r w:rsidRPr="002114C0">
        <w:t>o</w:t>
      </w:r>
      <w:r>
        <w:t xml:space="preserve">f </w:t>
      </w:r>
      <w:r w:rsidRPr="002114C0">
        <w:t>A</w:t>
      </w:r>
      <w:r>
        <w:t>greement,</w:t>
      </w:r>
      <w:r w:rsidRPr="002114C0">
        <w:t xml:space="preserve"> and </w:t>
      </w:r>
      <w:r>
        <w:t>the Australian Domestic Gas Security Mechanism (</w:t>
      </w:r>
      <w:r w:rsidRPr="002114C0">
        <w:t>ADGSM</w:t>
      </w:r>
      <w:r>
        <w:t>)</w:t>
      </w:r>
      <w:r w:rsidRPr="002114C0">
        <w:t xml:space="preserve"> </w:t>
      </w:r>
      <w:r>
        <w:t>remain</w:t>
      </w:r>
      <w:r w:rsidRPr="002114C0">
        <w:t xml:space="preserve"> in place to manage or mitigate shortfall risks</w:t>
      </w:r>
      <w:r>
        <w:t>.</w:t>
      </w:r>
    </w:p>
    <w:p w14:paraId="18BAA74A" w14:textId="77777777" w:rsidR="00616AB3" w:rsidRDefault="00616AB3" w:rsidP="00616AB3">
      <w:r>
        <w:t xml:space="preserve">Developing more flexible gas infrastructure is likely to be part of the solution on the east and west coast and may include infrastructure such as LNG import terminals and gas storage. </w:t>
      </w:r>
    </w:p>
    <w:p w14:paraId="4BB08877" w14:textId="77777777" w:rsidR="00616AB3" w:rsidRDefault="00616AB3" w:rsidP="00616AB3">
      <w:r w:rsidRPr="00EE6439">
        <w:t xml:space="preserve">To encourage investment in </w:t>
      </w:r>
      <w:r>
        <w:t>our resources sector</w:t>
      </w:r>
      <w:r w:rsidRPr="00EE6439">
        <w:t xml:space="preserve"> and embrace Australia’s natural advantages, the government </w:t>
      </w:r>
      <w:r>
        <w:t>will continue to invest in precompetitive geoscientific data</w:t>
      </w:r>
      <w:r w:rsidRPr="005243FA">
        <w:t>.</w:t>
      </w:r>
      <w:r w:rsidRPr="00746049">
        <w:t xml:space="preserve"> </w:t>
      </w:r>
      <w:r>
        <w:t>Our policies also will focus on optimising existing discoveries and infrastructure in producing basins, prioritise energy security, and align with our net zero emissions targets.</w:t>
      </w:r>
    </w:p>
    <w:p w14:paraId="4E701B1D" w14:textId="77777777" w:rsidR="00616AB3" w:rsidRDefault="00616AB3" w:rsidP="00616AB3">
      <w:r w:rsidRPr="00C13BF1">
        <w:t xml:space="preserve">Australia has a strong regulatory framework that aims to </w:t>
      </w:r>
      <w:r>
        <w:t>avoid adverse</w:t>
      </w:r>
      <w:r w:rsidRPr="00C13BF1">
        <w:t xml:space="preserve"> environmental</w:t>
      </w:r>
      <w:r>
        <w:t>, cultural,</w:t>
      </w:r>
      <w:r w:rsidRPr="00C13BF1">
        <w:t xml:space="preserve"> and social impacts while encouraging </w:t>
      </w:r>
      <w:r>
        <w:t>investment in resources projects that support our economic prosperity. We must</w:t>
      </w:r>
      <w:r w:rsidRPr="00C13BF1">
        <w:t xml:space="preserve"> </w:t>
      </w:r>
      <w:r>
        <w:t>ensure</w:t>
      </w:r>
      <w:r w:rsidRPr="00C13BF1">
        <w:t xml:space="preserve"> our regulatory settings</w:t>
      </w:r>
      <w:r>
        <w:t xml:space="preserve"> balance these key priorities and are efficient so Australia can compete for a sustainable, fairer, and prosperous future – made right here in Australia</w:t>
      </w:r>
      <w:r w:rsidRPr="00C13BF1">
        <w:t>.</w:t>
      </w:r>
    </w:p>
    <w:p w14:paraId="1BDA477D" w14:textId="5AD703E1" w:rsidR="00CB77FA" w:rsidRDefault="00CB77FA" w:rsidP="00186D6E">
      <w:pPr>
        <w:pStyle w:val="Heading4"/>
      </w:pPr>
      <w:r>
        <w:t>Emissions reduction</w:t>
      </w:r>
    </w:p>
    <w:p w14:paraId="3675C6C2" w14:textId="77777777" w:rsidR="00616AB3" w:rsidRDefault="00616AB3" w:rsidP="00616AB3">
      <w:r>
        <w:t>As detailed in the Future Gas Strategy companion analytical report,</w:t>
      </w:r>
      <w:r w:rsidRPr="003C19A2">
        <w:t xml:space="preserve"> gas production and </w:t>
      </w:r>
      <w:r>
        <w:t xml:space="preserve">domestic </w:t>
      </w:r>
      <w:r w:rsidRPr="003C19A2">
        <w:t>use accounted for 24% of total emissions in Australia</w:t>
      </w:r>
      <w:r>
        <w:t xml:space="preserve"> i</w:t>
      </w:r>
      <w:r w:rsidRPr="003C19A2">
        <w:t>n 2021</w:t>
      </w:r>
      <w:r>
        <w:t>–</w:t>
      </w:r>
      <w:r w:rsidRPr="003C19A2">
        <w:t>22</w:t>
      </w:r>
      <w:r>
        <w:t>. T</w:t>
      </w:r>
      <w:r w:rsidRPr="00821409">
        <w:t>hese emissions must be minimi</w:t>
      </w:r>
      <w:r>
        <w:t>s</w:t>
      </w:r>
      <w:r w:rsidRPr="00821409">
        <w:t>ed and eliminated where possible for us to meet our climate goals</w:t>
      </w:r>
      <w:r>
        <w:t xml:space="preserve">. Australia has legislated strong emissions reduction </w:t>
      </w:r>
      <w:r w:rsidRPr="0034270F">
        <w:t xml:space="preserve">targets and has reformed the Safeguard Mechanism to ensure that </w:t>
      </w:r>
      <w:r>
        <w:t xml:space="preserve">our </w:t>
      </w:r>
      <w:r w:rsidRPr="00DF2A06">
        <w:t>highest greenhouse gas emitting facilities</w:t>
      </w:r>
      <w:r w:rsidRPr="0034270F">
        <w:t>, including those in the gas industry, contribute to achieving those targets</w:t>
      </w:r>
      <w:r>
        <w:t>. The government</w:t>
      </w:r>
      <w:r w:rsidRPr="0034270F">
        <w:t xml:space="preserve"> is building the infrastructure and clean energy to power new</w:t>
      </w:r>
      <w:r>
        <w:t xml:space="preserve"> growth, facilitate private sector innovation and catalyse new investment for a prosperous future. </w:t>
      </w:r>
    </w:p>
    <w:p w14:paraId="5F56D944" w14:textId="77777777" w:rsidR="00616AB3" w:rsidRDefault="00616AB3" w:rsidP="00616AB3">
      <w:r w:rsidRPr="00085CA4">
        <w:t xml:space="preserve">The </w:t>
      </w:r>
      <w:r>
        <w:t>g</w:t>
      </w:r>
      <w:r w:rsidRPr="00085CA4">
        <w:t xml:space="preserve">overnment </w:t>
      </w:r>
      <w:r>
        <w:t>is</w:t>
      </w:r>
      <w:r w:rsidRPr="00085CA4">
        <w:t xml:space="preserve"> develop</w:t>
      </w:r>
      <w:r>
        <w:t>ing</w:t>
      </w:r>
      <w:r w:rsidRPr="00085CA4">
        <w:t xml:space="preserve"> </w:t>
      </w:r>
      <w:r>
        <w:t>six</w:t>
      </w:r>
      <w:r w:rsidRPr="00085CA4">
        <w:t xml:space="preserve"> sectoral decarbonisation plans which cover all major components of the economy</w:t>
      </w:r>
      <w:r>
        <w:t>. The sectoral decarbonisation plans aim to materially reduce emissions associated with gas production and use.</w:t>
      </w:r>
    </w:p>
    <w:p w14:paraId="21D9E8E9" w14:textId="77777777" w:rsidR="00616AB3" w:rsidRDefault="00616AB3" w:rsidP="00616AB3">
      <w:r>
        <w:t>Australia’s gas industry can also help our trade partners to decarbonise. The Asia-Pacific considers Australia a leader in the permanent, safe geological storage of CO</w:t>
      </w:r>
      <w:r w:rsidRPr="00085CA4">
        <w:rPr>
          <w:vertAlign w:val="subscript"/>
        </w:rPr>
        <w:t>2</w:t>
      </w:r>
      <w:r>
        <w:t xml:space="preserve"> and wants to invest. Australia will continue to release acreage for offshore greenhouse gas storage and is reviewing its offshore regulatory regime to realise opportunities associated with the geological storage of CO</w:t>
      </w:r>
      <w:r w:rsidRPr="001722BB">
        <w:rPr>
          <w:vertAlign w:val="subscript"/>
        </w:rPr>
        <w:t>2</w:t>
      </w:r>
      <w:r>
        <w:t xml:space="preserve"> for domestic industry and our trade partners.</w:t>
      </w:r>
      <w:r w:rsidRPr="001722BB">
        <w:t xml:space="preserve"> </w:t>
      </w:r>
      <w:r>
        <w:t>Carbon capture, use and storage (CCUS), if achieved at scale, represents one of the few decarbonisation options for many hard-to-abate industries, such as cement and chemical production. It also underpins technology-based pathways for carbon dioxide removal.</w:t>
      </w:r>
    </w:p>
    <w:p w14:paraId="6F5299B9" w14:textId="2FE87ABF" w:rsidR="005C2F6F" w:rsidRPr="00085CA4" w:rsidRDefault="005C2F6F" w:rsidP="00CB47D6">
      <w:pPr>
        <w:sectPr w:rsidR="005C2F6F" w:rsidRPr="00085CA4" w:rsidSect="0024548E">
          <w:footerReference w:type="even" r:id="rId22"/>
          <w:pgSz w:w="11906" w:h="16838"/>
          <w:pgMar w:top="1276" w:right="1133" w:bottom="1440" w:left="1440" w:header="851" w:footer="708" w:gutter="0"/>
          <w:pgNumType w:start="1"/>
          <w:cols w:space="708"/>
          <w:docGrid w:linePitch="360"/>
        </w:sectPr>
      </w:pPr>
    </w:p>
    <w:p w14:paraId="279469D1" w14:textId="32AEC102" w:rsidR="002632C9" w:rsidRDefault="002632C9" w:rsidP="005C0D35">
      <w:pPr>
        <w:pStyle w:val="Caption"/>
      </w:pPr>
      <w:r w:rsidRPr="00AB44A1">
        <w:rPr>
          <w:bCs/>
        </w:rPr>
        <w:lastRenderedPageBreak/>
        <w:t xml:space="preserve">Figure </w:t>
      </w:r>
      <w:r w:rsidR="00813E60">
        <w:rPr>
          <w:bCs/>
        </w:rPr>
        <w:t>2</w:t>
      </w:r>
      <w:r w:rsidR="00F822D0">
        <w:t xml:space="preserve">: </w:t>
      </w:r>
      <w:r w:rsidR="007B76F8" w:rsidRPr="005C0D35">
        <w:rPr>
          <w:b w:val="0"/>
          <w:bCs/>
        </w:rPr>
        <w:t>G</w:t>
      </w:r>
      <w:r w:rsidRPr="005C0D35">
        <w:rPr>
          <w:b w:val="0"/>
          <w:bCs/>
        </w:rPr>
        <w:t xml:space="preserve">as production and use </w:t>
      </w:r>
      <w:r w:rsidR="007B76F8" w:rsidRPr="005C0D35">
        <w:rPr>
          <w:b w:val="0"/>
          <w:bCs/>
        </w:rPr>
        <w:t>in</w:t>
      </w:r>
      <w:r w:rsidRPr="005C0D35">
        <w:rPr>
          <w:b w:val="0"/>
          <w:bCs/>
        </w:rPr>
        <w:t xml:space="preserve"> the Australian economy</w:t>
      </w:r>
      <w:r w:rsidR="00145F22" w:rsidRPr="005C0D35">
        <w:rPr>
          <w:b w:val="0"/>
          <w:bCs/>
        </w:rPr>
        <w:t>, including emissions (CO</w:t>
      </w:r>
      <w:r w:rsidR="00145F22" w:rsidRPr="005C0D35">
        <w:rPr>
          <w:b w:val="0"/>
          <w:bCs/>
          <w:vertAlign w:val="subscript"/>
        </w:rPr>
        <w:t>2</w:t>
      </w:r>
      <w:r w:rsidR="00145F22" w:rsidRPr="005C0D35">
        <w:rPr>
          <w:b w:val="0"/>
          <w:bCs/>
        </w:rPr>
        <w:t xml:space="preserve"> equivalent)</w:t>
      </w:r>
    </w:p>
    <w:p w14:paraId="22B7D151" w14:textId="0F30D62F" w:rsidR="00AB44A1" w:rsidRDefault="00F822D0" w:rsidP="00AB44A1">
      <w:pPr>
        <w:jc w:val="center"/>
        <w:rPr>
          <w:noProof/>
        </w:rPr>
      </w:pPr>
      <w:r>
        <w:rPr>
          <w:noProof/>
        </w:rPr>
        <w:drawing>
          <wp:inline distT="0" distB="0" distL="0" distR="0" wp14:anchorId="5F958970" wp14:editId="29192FD0">
            <wp:extent cx="5731510" cy="7931785"/>
            <wp:effectExtent l="0" t="0" r="2540" b="0"/>
            <wp:docPr id="1" name="Picture 1" descr="Upstream natural gas is the extraction and production of methane. In the diagram, methane is used to make liquified natural gas which is solved overseas. Methane is also used to generate electricity. The emissions created by both these processes in Australia is about 48 million tonnes of carbon dioxide equivalent. Emerging substitutes to methane include hydrogen and biometha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pstream natural gas is the extraction and production of methane. In the diagram, methane is used to make liquified natural gas which is solved overseas. Methane is also used to generate electricity. The emissions created by both these processes in Australia is about 48 million tonnes of carbon dioxide equivalent. Emerging substitutes to methane include hydrogen and biomethane.">
                      <a:extLst>
                        <a:ext uri="{C183D7F6-B498-43B3-948B-1728B52AA6E4}">
                          <adec:decorative xmlns:adec="http://schemas.microsoft.com/office/drawing/2017/decorative" val="0"/>
                        </a:ext>
                      </a:extLst>
                    </pic:cNvPr>
                    <pic:cNvPicPr/>
                  </pic:nvPicPr>
                  <pic:blipFill>
                    <a:blip r:embed="rId23"/>
                    <a:stretch>
                      <a:fillRect/>
                    </a:stretch>
                  </pic:blipFill>
                  <pic:spPr>
                    <a:xfrm>
                      <a:off x="0" y="0"/>
                      <a:ext cx="5731510" cy="7931785"/>
                    </a:xfrm>
                    <a:prstGeom prst="rect">
                      <a:avLst/>
                    </a:prstGeom>
                  </pic:spPr>
                </pic:pic>
              </a:graphicData>
            </a:graphic>
          </wp:inline>
        </w:drawing>
      </w:r>
    </w:p>
    <w:p w14:paraId="3CF7D31B" w14:textId="0A6A75CC" w:rsidR="00F822D0" w:rsidRDefault="00F822D0">
      <w:pPr>
        <w:spacing w:before="0" w:after="160" w:line="259" w:lineRule="auto"/>
        <w:rPr>
          <w:noProof/>
        </w:rPr>
      </w:pPr>
      <w:r>
        <w:rPr>
          <w:noProof/>
        </w:rPr>
        <w:br w:type="page"/>
      </w:r>
    </w:p>
    <w:p w14:paraId="3135D56C" w14:textId="77777777" w:rsidR="00F822D0" w:rsidRDefault="00F822D0" w:rsidP="00AB44A1">
      <w:pPr>
        <w:jc w:val="center"/>
        <w:rPr>
          <w:noProof/>
        </w:rPr>
      </w:pPr>
    </w:p>
    <w:p w14:paraId="0F0A1D00" w14:textId="64EEE096" w:rsidR="00F822D0" w:rsidRDefault="00F822D0" w:rsidP="00AB44A1">
      <w:pPr>
        <w:jc w:val="center"/>
        <w:rPr>
          <w:noProof/>
        </w:rPr>
      </w:pPr>
      <w:r w:rsidRPr="00F822D0">
        <w:rPr>
          <w:noProof/>
        </w:rPr>
        <w:drawing>
          <wp:inline distT="0" distB="0" distL="0" distR="0" wp14:anchorId="3B2AB6BB" wp14:editId="0E8C7376">
            <wp:extent cx="5731510" cy="7962265"/>
            <wp:effectExtent l="0" t="0" r="2540" b="635"/>
            <wp:docPr id="2" name="Picture 2" descr="Down-stream natural gas is the use of methane in industrial processes to make chemicals and products. In the diagram, methane is used as a heat source and as a chemical input for industrial processes to make fertilizers, explosives and cleaning products. The emissions created in Australia from the down-stream use of methane is about 48.7 millio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wn-stream natural gas is the use of methane in industrial processes to make chemicals and products. In the diagram, methane is used as a heat source and as a chemical input for industrial processes to make fertilizers, explosives and cleaning products. The emissions created in Australia from the down-stream use of methane is about 48.7 million tonnes of carbon dioxide equivalent."/>
                    <pic:cNvPicPr/>
                  </pic:nvPicPr>
                  <pic:blipFill>
                    <a:blip r:embed="rId24"/>
                    <a:stretch>
                      <a:fillRect/>
                    </a:stretch>
                  </pic:blipFill>
                  <pic:spPr>
                    <a:xfrm>
                      <a:off x="0" y="0"/>
                      <a:ext cx="5731510" cy="7962265"/>
                    </a:xfrm>
                    <a:prstGeom prst="rect">
                      <a:avLst/>
                    </a:prstGeom>
                  </pic:spPr>
                </pic:pic>
              </a:graphicData>
            </a:graphic>
          </wp:inline>
        </w:drawing>
      </w:r>
    </w:p>
    <w:p w14:paraId="67ABF639" w14:textId="77777777" w:rsidR="00F822D0" w:rsidRDefault="00F822D0" w:rsidP="00AB44A1">
      <w:pPr>
        <w:jc w:val="center"/>
        <w:rPr>
          <w:color w:val="001B35" w:themeColor="accent1"/>
        </w:rPr>
      </w:pPr>
    </w:p>
    <w:p w14:paraId="4EE02E7D" w14:textId="19CAB1D4" w:rsidR="002632C9" w:rsidRDefault="002632C9" w:rsidP="00CB47D6">
      <w:pPr>
        <w:rPr>
          <w:color w:val="001B35" w:themeColor="accent1"/>
        </w:rPr>
        <w:sectPr w:rsidR="002632C9" w:rsidSect="00F822D0">
          <w:pgSz w:w="11906" w:h="16838"/>
          <w:pgMar w:top="1440" w:right="1440" w:bottom="1440" w:left="1440" w:header="851" w:footer="708" w:gutter="0"/>
          <w:cols w:space="708"/>
          <w:docGrid w:linePitch="360"/>
        </w:sectPr>
      </w:pPr>
    </w:p>
    <w:bookmarkEnd w:id="13"/>
    <w:bookmarkEnd w:id="7"/>
    <w:bookmarkEnd w:id="12"/>
    <w:bookmarkEnd w:id="11"/>
    <w:p w14:paraId="712F89DE" w14:textId="77777777" w:rsidR="00022A5B" w:rsidRDefault="00022A5B" w:rsidP="00022A5B">
      <w:pPr>
        <w:pStyle w:val="Heading3"/>
      </w:pPr>
      <w:r>
        <w:lastRenderedPageBreak/>
        <w:t>Action Plan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E8EB"/>
        <w:tblCellMar>
          <w:left w:w="113" w:type="dxa"/>
          <w:bottom w:w="170" w:type="dxa"/>
          <w:right w:w="113" w:type="dxa"/>
        </w:tblCellMar>
        <w:tblLook w:val="04A0" w:firstRow="1" w:lastRow="0" w:firstColumn="1" w:lastColumn="0" w:noHBand="0" w:noVBand="1"/>
      </w:tblPr>
      <w:tblGrid>
        <w:gridCol w:w="4233"/>
        <w:gridCol w:w="346"/>
        <w:gridCol w:w="4447"/>
      </w:tblGrid>
      <w:tr w:rsidR="00AA547E" w14:paraId="2B6F62F2" w14:textId="77777777" w:rsidTr="0024548E">
        <w:trPr>
          <w:cnfStyle w:val="100000000000" w:firstRow="1" w:lastRow="0" w:firstColumn="0" w:lastColumn="0" w:oddVBand="0" w:evenVBand="0" w:oddHBand="0" w:evenHBand="0" w:firstRowFirstColumn="0" w:firstRowLastColumn="0" w:lastRowFirstColumn="0" w:lastRowLastColumn="0"/>
          <w:trHeight w:val="20"/>
        </w:trPr>
        <w:tc>
          <w:tcPr>
            <w:tcW w:w="4233" w:type="dxa"/>
            <w:shd w:val="clear" w:color="auto" w:fill="C6E8EB"/>
          </w:tcPr>
          <w:p w14:paraId="0BD6C9C1" w14:textId="0810BA3F" w:rsidR="00AA547E" w:rsidRPr="0064021F" w:rsidRDefault="00AA547E" w:rsidP="0024548E">
            <w:pPr>
              <w:pStyle w:val="Heading5"/>
              <w:spacing w:after="0"/>
            </w:pPr>
            <w:r w:rsidRPr="0064021F">
              <w:t>Action 1: Prevent gas shortfalls</w:t>
            </w:r>
          </w:p>
        </w:tc>
        <w:tc>
          <w:tcPr>
            <w:tcW w:w="346" w:type="dxa"/>
            <w:shd w:val="clear" w:color="auto" w:fill="C6E8EB"/>
          </w:tcPr>
          <w:p w14:paraId="4A06BA2B" w14:textId="77777777" w:rsidR="00AA547E" w:rsidRPr="00EE6618" w:rsidRDefault="00AA547E" w:rsidP="0024548E">
            <w:pPr>
              <w:spacing w:after="0"/>
              <w:rPr>
                <w:b w:val="0"/>
                <w:bCs/>
                <w:szCs w:val="20"/>
              </w:rPr>
            </w:pPr>
          </w:p>
        </w:tc>
        <w:tc>
          <w:tcPr>
            <w:tcW w:w="4447" w:type="dxa"/>
            <w:shd w:val="clear" w:color="auto" w:fill="C6E8EB"/>
          </w:tcPr>
          <w:p w14:paraId="7F20E147" w14:textId="7FCD6440" w:rsidR="00AA547E" w:rsidRPr="00F93189" w:rsidRDefault="00AA547E" w:rsidP="0024548E">
            <w:pPr>
              <w:pStyle w:val="Heading5"/>
              <w:spacing w:after="0"/>
            </w:pPr>
            <w:r w:rsidRPr="00F93189">
              <w:t>Action 2: Reduce gas-related emissions</w:t>
            </w:r>
          </w:p>
        </w:tc>
      </w:tr>
      <w:tr w:rsidR="00022A5B" w14:paraId="1644411B" w14:textId="77777777" w:rsidTr="0024548E">
        <w:trPr>
          <w:trHeight w:val="20"/>
        </w:trPr>
        <w:tc>
          <w:tcPr>
            <w:tcW w:w="4233" w:type="dxa"/>
            <w:shd w:val="clear" w:color="auto" w:fill="C6E8EB"/>
          </w:tcPr>
          <w:p w14:paraId="5132EB7E" w14:textId="77777777" w:rsidR="00616AB3" w:rsidRPr="002A7E92" w:rsidRDefault="00616AB3" w:rsidP="00616AB3">
            <w:pPr>
              <w:rPr>
                <w:b/>
              </w:rPr>
            </w:pPr>
            <w:r w:rsidRPr="002A7E92">
              <w:rPr>
                <w:b/>
                <w:szCs w:val="20"/>
              </w:rPr>
              <w:t>A reliable supply of gas is essential for energy production, and industrial and residential use. Forecast shortfalls are expected to put upward pressure on prices.</w:t>
            </w:r>
          </w:p>
          <w:p w14:paraId="2981258E" w14:textId="77777777" w:rsidR="00616AB3" w:rsidRPr="00F15534" w:rsidRDefault="00616AB3" w:rsidP="00616AB3">
            <w:pPr>
              <w:rPr>
                <w:b/>
                <w:bCs/>
                <w:szCs w:val="20"/>
              </w:rPr>
            </w:pPr>
            <w:r w:rsidRPr="00F15534">
              <w:rPr>
                <w:bCs/>
                <w:szCs w:val="20"/>
              </w:rPr>
              <w:t xml:space="preserve">The </w:t>
            </w:r>
            <w:r>
              <w:rPr>
                <w:bCs/>
                <w:szCs w:val="20"/>
              </w:rPr>
              <w:t>G</w:t>
            </w:r>
            <w:r w:rsidRPr="00F15534">
              <w:rPr>
                <w:bCs/>
                <w:szCs w:val="20"/>
              </w:rPr>
              <w:t>overnment is currently managing shortfall risks through a mix of policy and regulatory settings by:</w:t>
            </w:r>
          </w:p>
          <w:p w14:paraId="5A8A77D3" w14:textId="77777777" w:rsidR="00616AB3" w:rsidRPr="00AA547E" w:rsidRDefault="00616AB3" w:rsidP="00616AB3">
            <w:pPr>
              <w:pStyle w:val="ListParagraph"/>
            </w:pPr>
            <w:r w:rsidRPr="00AA547E">
              <w:t xml:space="preserve">utilising the powers of the Australian Energy Market Operator, the supply commitments under the </w:t>
            </w:r>
            <w:r>
              <w:t>Gas Market Code</w:t>
            </w:r>
            <w:r w:rsidRPr="00AA547E">
              <w:t>, and the Heads of Agreement to address forecast shortfalls ahead of time</w:t>
            </w:r>
            <w:r>
              <w:t>.</w:t>
            </w:r>
          </w:p>
          <w:p w14:paraId="0D23BF2F" w14:textId="77777777" w:rsidR="00616AB3" w:rsidRPr="00AA547E" w:rsidRDefault="00616AB3" w:rsidP="00616AB3">
            <w:pPr>
              <w:pStyle w:val="ListParagraph"/>
            </w:pPr>
            <w:r w:rsidRPr="00AA547E">
              <w:t>using the Australian Domestic Gas Security Mechanism (ADGSM) as a measure of last resort</w:t>
            </w:r>
            <w:r>
              <w:t>,</w:t>
            </w:r>
            <w:r w:rsidRPr="00AA547E">
              <w:t xml:space="preserve"> to limit exports and ensure an adequate and secure supply of gas.</w:t>
            </w:r>
          </w:p>
          <w:p w14:paraId="2F6A2646" w14:textId="77777777" w:rsidR="00616AB3" w:rsidRPr="00F15534" w:rsidRDefault="00616AB3" w:rsidP="00616AB3">
            <w:pPr>
              <w:rPr>
                <w:b/>
                <w:bCs/>
                <w:szCs w:val="20"/>
              </w:rPr>
            </w:pPr>
            <w:proofErr w:type="gramStart"/>
            <w:r w:rsidRPr="00F15534">
              <w:rPr>
                <w:bCs/>
                <w:szCs w:val="20"/>
              </w:rPr>
              <w:t>In light of</w:t>
            </w:r>
            <w:proofErr w:type="gramEnd"/>
            <w:r w:rsidRPr="00F15534">
              <w:rPr>
                <w:bCs/>
                <w:szCs w:val="20"/>
              </w:rPr>
              <w:t xml:space="preserve"> the findings of the analysis support</w:t>
            </w:r>
            <w:r>
              <w:rPr>
                <w:bCs/>
                <w:szCs w:val="20"/>
              </w:rPr>
              <w:t>ing</w:t>
            </w:r>
            <w:r w:rsidRPr="00F15534">
              <w:rPr>
                <w:bCs/>
                <w:szCs w:val="20"/>
              </w:rPr>
              <w:t xml:space="preserve"> the </w:t>
            </w:r>
            <w:r>
              <w:rPr>
                <w:bCs/>
                <w:szCs w:val="20"/>
              </w:rPr>
              <w:t>s</w:t>
            </w:r>
            <w:r w:rsidRPr="00F15534">
              <w:rPr>
                <w:bCs/>
                <w:szCs w:val="20"/>
              </w:rPr>
              <w:t>trategy, the government will also:</w:t>
            </w:r>
          </w:p>
          <w:p w14:paraId="164B07C0" w14:textId="77777777" w:rsidR="00616AB3" w:rsidRPr="00071A9A" w:rsidRDefault="00616AB3" w:rsidP="00616AB3">
            <w:pPr>
              <w:pStyle w:val="ListParagraph"/>
            </w:pPr>
            <w:r w:rsidRPr="00AA547E">
              <w:t xml:space="preserve">continue </w:t>
            </w:r>
            <w:r w:rsidRPr="00071A9A">
              <w:t>investing in pre-competitive geoscien</w:t>
            </w:r>
            <w:r>
              <w:t>tific</w:t>
            </w:r>
            <w:r w:rsidRPr="00071A9A">
              <w:t xml:space="preserve"> data</w:t>
            </w:r>
            <w:r>
              <w:t>.</w:t>
            </w:r>
          </w:p>
          <w:p w14:paraId="57750CB1" w14:textId="77777777" w:rsidR="00616AB3" w:rsidRPr="00AA547E" w:rsidRDefault="00616AB3" w:rsidP="00616AB3">
            <w:pPr>
              <w:pStyle w:val="ListParagraph"/>
            </w:pPr>
            <w:r w:rsidRPr="00AA547E">
              <w:t xml:space="preserve">update Commonwealth retention lease policies to encourage more timely development of existing gas discoveries and consider a firmer </w:t>
            </w:r>
            <w:r>
              <w:t>‘</w:t>
            </w:r>
            <w:r w:rsidRPr="00AA547E">
              <w:t>use it or lose it</w:t>
            </w:r>
            <w:r>
              <w:t>’</w:t>
            </w:r>
            <w:r w:rsidRPr="00AA547E">
              <w:t xml:space="preserve"> policy</w:t>
            </w:r>
            <w:r>
              <w:t>.</w:t>
            </w:r>
          </w:p>
          <w:p w14:paraId="4074C821" w14:textId="77777777" w:rsidR="00616AB3" w:rsidRDefault="00616AB3" w:rsidP="00616AB3">
            <w:pPr>
              <w:pStyle w:val="ListParagraph"/>
            </w:pPr>
            <w:r w:rsidRPr="00AA547E">
              <w:t>reframe any future Commonwealth offshore exploration acreage releases to focus on optimising existing discoveries and infrastructure in producing basins, prioritise energy security, and align with our net zero emissions targets</w:t>
            </w:r>
            <w:r>
              <w:t xml:space="preserve">. </w:t>
            </w:r>
          </w:p>
          <w:p w14:paraId="5B2E6E0E" w14:textId="77777777" w:rsidR="00616AB3" w:rsidRPr="00AA547E" w:rsidRDefault="00616AB3" w:rsidP="00616AB3">
            <w:pPr>
              <w:pStyle w:val="ListParagraph"/>
            </w:pPr>
            <w:r w:rsidRPr="00AA547E">
              <w:t>work with gas producers</w:t>
            </w:r>
            <w:r>
              <w:t>,</w:t>
            </w:r>
            <w:r w:rsidRPr="00AA547E">
              <w:t xml:space="preserve"> under the Gas Market Code exemption framework</w:t>
            </w:r>
            <w:r>
              <w:t>,</w:t>
            </w:r>
            <w:r w:rsidRPr="00AA547E">
              <w:t xml:space="preserve"> to increase gas supply committed for future domestic supply</w:t>
            </w:r>
            <w:r>
              <w:t>.</w:t>
            </w:r>
          </w:p>
          <w:p w14:paraId="4188D573" w14:textId="1F4107A6" w:rsidR="00022A5B" w:rsidRPr="00F15534" w:rsidRDefault="00616AB3" w:rsidP="00616AB3">
            <w:pPr>
              <w:pStyle w:val="ListParagraph"/>
              <w:rPr>
                <w:b/>
                <w:i/>
                <w:iCs/>
              </w:rPr>
            </w:pPr>
            <w:r>
              <w:t>continue</w:t>
            </w:r>
            <w:r w:rsidRPr="00AA547E">
              <w:t xml:space="preserve"> to work with state and territory governments to improve the</w:t>
            </w:r>
            <w:r w:rsidRPr="00F15534">
              <w:rPr>
                <w:bCs/>
              </w:rPr>
              <w:t xml:space="preserve"> efficiency of the regulatory regime.</w:t>
            </w:r>
          </w:p>
        </w:tc>
        <w:tc>
          <w:tcPr>
            <w:tcW w:w="346" w:type="dxa"/>
            <w:shd w:val="clear" w:color="auto" w:fill="C6E8EB"/>
          </w:tcPr>
          <w:p w14:paraId="39717E8F" w14:textId="77777777" w:rsidR="00022A5B" w:rsidRPr="00EE6618" w:rsidRDefault="00022A5B" w:rsidP="0064021F">
            <w:pPr>
              <w:rPr>
                <w:b/>
                <w:bCs/>
                <w:szCs w:val="20"/>
              </w:rPr>
            </w:pPr>
          </w:p>
        </w:tc>
        <w:tc>
          <w:tcPr>
            <w:tcW w:w="4447" w:type="dxa"/>
            <w:shd w:val="clear" w:color="auto" w:fill="C6E8EB"/>
          </w:tcPr>
          <w:p w14:paraId="4ED7F7F3" w14:textId="77777777" w:rsidR="00616AB3" w:rsidRPr="002A7E92" w:rsidRDefault="00616AB3" w:rsidP="00616AB3">
            <w:pPr>
              <w:rPr>
                <w:b/>
                <w:szCs w:val="20"/>
              </w:rPr>
            </w:pPr>
            <w:r w:rsidRPr="002A7E92">
              <w:rPr>
                <w:b/>
                <w:szCs w:val="20"/>
              </w:rPr>
              <w:t xml:space="preserve">The </w:t>
            </w:r>
            <w:r>
              <w:rPr>
                <w:b/>
                <w:szCs w:val="20"/>
              </w:rPr>
              <w:t>G</w:t>
            </w:r>
            <w:r w:rsidRPr="002A7E92">
              <w:rPr>
                <w:b/>
                <w:szCs w:val="20"/>
              </w:rPr>
              <w:t xml:space="preserve">overnment is committed to reducing greenhouse gas emissions by 43% below 2005 levels by 2030 and achieving net zero by 2050. The </w:t>
            </w:r>
            <w:r>
              <w:rPr>
                <w:b/>
                <w:szCs w:val="20"/>
              </w:rPr>
              <w:t>G</w:t>
            </w:r>
            <w:r w:rsidRPr="002A7E92">
              <w:rPr>
                <w:b/>
                <w:szCs w:val="20"/>
              </w:rPr>
              <w:t>overnment will accelerate the reduction of gas-related emissions through:</w:t>
            </w:r>
          </w:p>
          <w:p w14:paraId="4E4FF560" w14:textId="77777777" w:rsidR="00616AB3" w:rsidRPr="00AA547E" w:rsidRDefault="00616AB3" w:rsidP="00616AB3">
            <w:pPr>
              <w:pStyle w:val="ListParagraph"/>
            </w:pPr>
            <w:r w:rsidRPr="00AA547E">
              <w:t>the Safeguard Mechanism which obligates Australia’s largest emitters, including gas and LNG producers, to reduce emissions</w:t>
            </w:r>
            <w:r>
              <w:t>.</w:t>
            </w:r>
          </w:p>
          <w:p w14:paraId="6C854461" w14:textId="77777777" w:rsidR="00616AB3" w:rsidRPr="00F15534" w:rsidRDefault="00616AB3" w:rsidP="00616AB3">
            <w:pPr>
              <w:pStyle w:val="ListParagraph"/>
              <w:rPr>
                <w:b/>
                <w:szCs w:val="20"/>
              </w:rPr>
            </w:pPr>
            <w:r w:rsidRPr="00AA547E">
              <w:t xml:space="preserve">the </w:t>
            </w:r>
            <w:r>
              <w:t>six</w:t>
            </w:r>
            <w:r w:rsidRPr="00AA547E">
              <w:t xml:space="preserve"> sectoral decarbonisation plans </w:t>
            </w:r>
            <w:r>
              <w:t>which</w:t>
            </w:r>
            <w:r w:rsidRPr="00AA547E">
              <w:t xml:space="preserve"> cover all</w:t>
            </w:r>
            <w:r w:rsidRPr="00547CBE">
              <w:t xml:space="preserve"> major components of the economy to produce decarbonisation pathways that are robust, ambitious and achievable</w:t>
            </w:r>
            <w:r w:rsidRPr="00F15534">
              <w:t>.</w:t>
            </w:r>
          </w:p>
          <w:p w14:paraId="4F9D3BA4" w14:textId="77777777" w:rsidR="00616AB3" w:rsidRDefault="00616AB3" w:rsidP="00616AB3">
            <w:proofErr w:type="gramStart"/>
            <w:r w:rsidRPr="00F15534">
              <w:rPr>
                <w:bCs/>
                <w:szCs w:val="20"/>
              </w:rPr>
              <w:t>In light of</w:t>
            </w:r>
            <w:proofErr w:type="gramEnd"/>
            <w:r w:rsidRPr="00F15534">
              <w:rPr>
                <w:bCs/>
                <w:szCs w:val="20"/>
              </w:rPr>
              <w:t xml:space="preserve"> the findings of the analysis support</w:t>
            </w:r>
            <w:r>
              <w:rPr>
                <w:bCs/>
                <w:szCs w:val="20"/>
              </w:rPr>
              <w:t>ing</w:t>
            </w:r>
            <w:r w:rsidRPr="00F15534">
              <w:rPr>
                <w:bCs/>
                <w:szCs w:val="20"/>
              </w:rPr>
              <w:t xml:space="preserve"> th</w:t>
            </w:r>
            <w:r>
              <w:rPr>
                <w:bCs/>
                <w:szCs w:val="20"/>
              </w:rPr>
              <w:t>e</w:t>
            </w:r>
            <w:r w:rsidRPr="00F15534">
              <w:rPr>
                <w:bCs/>
                <w:szCs w:val="20"/>
              </w:rPr>
              <w:t xml:space="preserve"> </w:t>
            </w:r>
            <w:r>
              <w:rPr>
                <w:bCs/>
                <w:szCs w:val="20"/>
              </w:rPr>
              <w:t>s</w:t>
            </w:r>
            <w:r w:rsidRPr="00F15534">
              <w:rPr>
                <w:bCs/>
                <w:szCs w:val="20"/>
              </w:rPr>
              <w:t>trategy, the government will also:</w:t>
            </w:r>
          </w:p>
          <w:p w14:paraId="5E05ECE6" w14:textId="77777777" w:rsidR="00616AB3" w:rsidRDefault="00616AB3" w:rsidP="00616AB3">
            <w:pPr>
              <w:pStyle w:val="ListParagraph"/>
            </w:pPr>
            <w:r>
              <w:t xml:space="preserve">work with regulators and industry to reduce </w:t>
            </w:r>
            <w:r w:rsidRPr="00AA547E">
              <w:t>and where possible eliminate venting and flaring of gas, unless required for safety purposes</w:t>
            </w:r>
            <w:r>
              <w:t xml:space="preserve">.  </w:t>
            </w:r>
          </w:p>
          <w:p w14:paraId="245E2A18" w14:textId="77777777" w:rsidR="00616AB3" w:rsidRDefault="00616AB3" w:rsidP="00616AB3">
            <w:pPr>
              <w:pStyle w:val="ListParagraph"/>
            </w:pPr>
            <w:r>
              <w:t xml:space="preserve">applying a technologically neutral approach to data acquisition in Commonwealth waters to minimise the use of </w:t>
            </w:r>
            <w:r w:rsidRPr="00CB47D6">
              <w:t xml:space="preserve">marine </w:t>
            </w:r>
            <w:r>
              <w:t>seismic surveys where possible.</w:t>
            </w:r>
          </w:p>
          <w:p w14:paraId="4B819BD5" w14:textId="77777777" w:rsidR="00616AB3" w:rsidRPr="00AA547E" w:rsidRDefault="00616AB3" w:rsidP="00616AB3">
            <w:pPr>
              <w:pStyle w:val="ListParagraph"/>
            </w:pPr>
            <w:r w:rsidRPr="00AA547E">
              <w:t xml:space="preserve">consider gas demand reduction measures in the government’s </w:t>
            </w:r>
            <w:r>
              <w:t>six</w:t>
            </w:r>
            <w:r w:rsidRPr="00AA547E">
              <w:t xml:space="preserve"> sector</w:t>
            </w:r>
            <w:r>
              <w:t>al decarbonisation</w:t>
            </w:r>
            <w:r w:rsidRPr="00AA547E">
              <w:t xml:space="preserve"> plans, including the Resources Sector Plan. The Resources Sector Plan is also considering how to promote electrification of gas used in compressors, pumps, and liquefaction in gas production</w:t>
            </w:r>
            <w:r>
              <w:t xml:space="preserve">. </w:t>
            </w:r>
          </w:p>
          <w:p w14:paraId="5E08E4F4" w14:textId="46440E4C" w:rsidR="00DA31F9" w:rsidRPr="00071A9A" w:rsidRDefault="00616AB3" w:rsidP="00616AB3">
            <w:pPr>
              <w:pStyle w:val="ListParagraph"/>
              <w:rPr>
                <w:szCs w:val="20"/>
              </w:rPr>
            </w:pPr>
            <w:r w:rsidRPr="00AA547E">
              <w:t>the Australian Government’s Future Made in Australia Agenda will help decrease gas emissions in specific sectors over the medium to long-term and contribute to making Australia a renewable energy superpower.</w:t>
            </w:r>
          </w:p>
        </w:tc>
      </w:tr>
      <w:tr w:rsidR="00AA547E" w14:paraId="17D4735A" w14:textId="77777777" w:rsidTr="0024548E">
        <w:trPr>
          <w:trHeight w:val="20"/>
        </w:trPr>
        <w:tc>
          <w:tcPr>
            <w:tcW w:w="4233" w:type="dxa"/>
            <w:shd w:val="clear" w:color="auto" w:fill="C6E8EB"/>
          </w:tcPr>
          <w:p w14:paraId="59BF68DD" w14:textId="471E704B" w:rsidR="00AA547E" w:rsidRPr="00AA547E" w:rsidRDefault="00AA547E" w:rsidP="0024548E">
            <w:pPr>
              <w:pStyle w:val="Heading5"/>
              <w:spacing w:after="0"/>
            </w:pPr>
            <w:r w:rsidRPr="00186D6E">
              <w:lastRenderedPageBreak/>
              <w:t xml:space="preserve">Action </w:t>
            </w:r>
            <w:r>
              <w:t>3</w:t>
            </w:r>
            <w:r w:rsidRPr="00186D6E">
              <w:t xml:space="preserve">: </w:t>
            </w:r>
            <w:r w:rsidRPr="00F15534">
              <w:t xml:space="preserve">Support households and businesses through the transition to net zero. </w:t>
            </w:r>
          </w:p>
        </w:tc>
        <w:tc>
          <w:tcPr>
            <w:tcW w:w="346" w:type="dxa"/>
            <w:shd w:val="clear" w:color="auto" w:fill="C6E8EB"/>
          </w:tcPr>
          <w:p w14:paraId="1F26CA2B" w14:textId="77777777" w:rsidR="00AA547E" w:rsidRPr="00EE6618" w:rsidRDefault="00AA547E" w:rsidP="0024548E">
            <w:pPr>
              <w:spacing w:after="0"/>
              <w:rPr>
                <w:b/>
                <w:bCs/>
                <w:szCs w:val="20"/>
              </w:rPr>
            </w:pPr>
          </w:p>
        </w:tc>
        <w:tc>
          <w:tcPr>
            <w:tcW w:w="4447" w:type="dxa"/>
            <w:shd w:val="clear" w:color="auto" w:fill="C6E8EB"/>
          </w:tcPr>
          <w:p w14:paraId="2E268BF8" w14:textId="5D39BECE" w:rsidR="00AA547E" w:rsidRPr="00AA547E" w:rsidRDefault="00AA547E" w:rsidP="0024548E">
            <w:pPr>
              <w:pStyle w:val="Heading5"/>
              <w:spacing w:after="0"/>
            </w:pPr>
            <w:r w:rsidRPr="00186D6E">
              <w:t xml:space="preserve">Action </w:t>
            </w:r>
            <w:r>
              <w:t>4</w:t>
            </w:r>
            <w:r w:rsidRPr="00186D6E">
              <w:t>:</w:t>
            </w:r>
            <w:r>
              <w:t xml:space="preserve"> </w:t>
            </w:r>
            <w:r w:rsidRPr="00F15534">
              <w:t>Empower First Nations people to benefit from the transition to net zero.</w:t>
            </w:r>
          </w:p>
        </w:tc>
      </w:tr>
      <w:tr w:rsidR="00022A5B" w14:paraId="75891C82" w14:textId="77777777" w:rsidTr="0024548E">
        <w:trPr>
          <w:trHeight w:val="20"/>
        </w:trPr>
        <w:tc>
          <w:tcPr>
            <w:tcW w:w="4233" w:type="dxa"/>
            <w:shd w:val="clear" w:color="auto" w:fill="C6E8EB"/>
          </w:tcPr>
          <w:p w14:paraId="2A7A6BD5" w14:textId="77777777" w:rsidR="00616AB3" w:rsidRPr="00F93189" w:rsidRDefault="00616AB3" w:rsidP="00616AB3">
            <w:pPr>
              <w:rPr>
                <w:b/>
                <w:szCs w:val="20"/>
              </w:rPr>
            </w:pPr>
            <w:r w:rsidRPr="00F93189">
              <w:rPr>
                <w:b/>
                <w:szCs w:val="20"/>
              </w:rPr>
              <w:t xml:space="preserve">Helping Australians with the cost of living is the </w:t>
            </w:r>
            <w:r>
              <w:rPr>
                <w:b/>
                <w:szCs w:val="20"/>
              </w:rPr>
              <w:t>G</w:t>
            </w:r>
            <w:r w:rsidRPr="00F93189">
              <w:rPr>
                <w:b/>
                <w:szCs w:val="20"/>
              </w:rPr>
              <w:t>overnment’s number one priority. The cost of living is an important element of community wellbeing and prosperity. Short</w:t>
            </w:r>
            <w:r w:rsidRPr="00F93189">
              <w:rPr>
                <w:b/>
                <w:szCs w:val="20"/>
              </w:rPr>
              <w:noBreakHyphen/>
              <w:t>term affordability challenges will be managed through targeted intervention, such as:</w:t>
            </w:r>
          </w:p>
          <w:p w14:paraId="35879C0D" w14:textId="77777777" w:rsidR="00616AB3" w:rsidRPr="001E216D" w:rsidRDefault="00616AB3" w:rsidP="00616AB3">
            <w:pPr>
              <w:pStyle w:val="ListParagraph"/>
              <w:rPr>
                <w:bCs/>
                <w:szCs w:val="20"/>
              </w:rPr>
            </w:pPr>
            <w:r>
              <w:t>working closely with states and territories to manage pricing impacts.</w:t>
            </w:r>
          </w:p>
          <w:p w14:paraId="2E7A781D" w14:textId="77777777" w:rsidR="00616AB3" w:rsidRDefault="00616AB3" w:rsidP="00616AB3">
            <w:pPr>
              <w:pStyle w:val="ListParagraph"/>
              <w:rPr>
                <w:bCs/>
                <w:szCs w:val="20"/>
              </w:rPr>
            </w:pPr>
            <w:r>
              <w:t>the Gas Market Code, including statutory reviews to refine or strengthen aspects.</w:t>
            </w:r>
          </w:p>
          <w:p w14:paraId="2B5EBEC3" w14:textId="77777777" w:rsidR="00616AB3" w:rsidRDefault="00616AB3" w:rsidP="00616AB3">
            <w:pPr>
              <w:rPr>
                <w:b/>
                <w:bCs/>
                <w:szCs w:val="20"/>
              </w:rPr>
            </w:pPr>
            <w:r>
              <w:rPr>
                <w:bCs/>
                <w:szCs w:val="20"/>
              </w:rPr>
              <w:t>This is in addition to the existing:</w:t>
            </w:r>
          </w:p>
          <w:p w14:paraId="6CC90A97" w14:textId="77777777" w:rsidR="00616AB3" w:rsidRPr="00AA547E" w:rsidRDefault="00616AB3" w:rsidP="00616AB3">
            <w:pPr>
              <w:pStyle w:val="ListParagraph"/>
            </w:pPr>
            <w:r w:rsidRPr="00AA547E">
              <w:t>Energy Price Relief Plan</w:t>
            </w:r>
            <w:r>
              <w:t>.</w:t>
            </w:r>
          </w:p>
          <w:p w14:paraId="28029752" w14:textId="77A83531" w:rsidR="00022A5B" w:rsidRPr="00605519" w:rsidRDefault="00616AB3" w:rsidP="00616AB3">
            <w:pPr>
              <w:pStyle w:val="ListParagraph"/>
              <w:rPr>
                <w:szCs w:val="20"/>
              </w:rPr>
            </w:pPr>
            <w:r w:rsidRPr="00AA547E">
              <w:t>$1.3 billion Household Energy Upgrades Fund to provide concessional finance to more than 170,000 households for home upgrades that save energy and contains $300 million to support energy performance retrofits for social housing.</w:t>
            </w:r>
          </w:p>
        </w:tc>
        <w:tc>
          <w:tcPr>
            <w:tcW w:w="346" w:type="dxa"/>
            <w:shd w:val="clear" w:color="auto" w:fill="C6E8EB"/>
          </w:tcPr>
          <w:p w14:paraId="0673DDE3" w14:textId="77777777" w:rsidR="00022A5B" w:rsidRPr="00EE6618" w:rsidRDefault="00022A5B" w:rsidP="0064021F">
            <w:pPr>
              <w:rPr>
                <w:b/>
                <w:bCs/>
                <w:szCs w:val="20"/>
              </w:rPr>
            </w:pPr>
          </w:p>
        </w:tc>
        <w:tc>
          <w:tcPr>
            <w:tcW w:w="4447" w:type="dxa"/>
            <w:shd w:val="clear" w:color="auto" w:fill="C6E8EB"/>
          </w:tcPr>
          <w:p w14:paraId="3A1ACCDA" w14:textId="77777777" w:rsidR="00616AB3" w:rsidRPr="00F93189" w:rsidRDefault="00616AB3" w:rsidP="00616AB3">
            <w:pPr>
              <w:rPr>
                <w:b/>
                <w:bCs/>
                <w:szCs w:val="20"/>
              </w:rPr>
            </w:pPr>
            <w:r w:rsidRPr="00F93189">
              <w:rPr>
                <w:b/>
                <w:bCs/>
                <w:szCs w:val="20"/>
              </w:rPr>
              <w:t xml:space="preserve">The </w:t>
            </w:r>
            <w:r>
              <w:rPr>
                <w:b/>
                <w:bCs/>
                <w:szCs w:val="20"/>
              </w:rPr>
              <w:t>G</w:t>
            </w:r>
            <w:r w:rsidRPr="00F93189">
              <w:rPr>
                <w:b/>
                <w:bCs/>
                <w:szCs w:val="20"/>
              </w:rPr>
              <w:t xml:space="preserve">overnment recognises the importance of our First Nations people’s connection to country and is committed to improving social and economic outcomes through future energy projects. To achieve this, the </w:t>
            </w:r>
            <w:r>
              <w:rPr>
                <w:b/>
                <w:bCs/>
                <w:szCs w:val="20"/>
              </w:rPr>
              <w:t>G</w:t>
            </w:r>
            <w:r w:rsidRPr="00F93189">
              <w:rPr>
                <w:b/>
                <w:bCs/>
                <w:szCs w:val="20"/>
              </w:rPr>
              <w:t>overnment will introduce reforms that:</w:t>
            </w:r>
          </w:p>
          <w:p w14:paraId="3131A77B" w14:textId="77777777" w:rsidR="00616AB3" w:rsidRDefault="00616AB3" w:rsidP="00616AB3">
            <w:pPr>
              <w:pStyle w:val="ListParagraph"/>
            </w:pPr>
            <w:r w:rsidRPr="00AA547E">
              <w:t>clarify consultation requirements for offshore petroleum and greenhouse gas storage activities – this is part of a broader 3</w:t>
            </w:r>
            <w:r>
              <w:t>-year</w:t>
            </w:r>
            <w:r w:rsidRPr="00AA547E">
              <w:t xml:space="preserve"> review of the offshore environmental management regime</w:t>
            </w:r>
            <w:r>
              <w:t>.</w:t>
            </w:r>
          </w:p>
          <w:p w14:paraId="619D95CF" w14:textId="58F2DCD1" w:rsidR="00E70EC5" w:rsidRPr="005F3598" w:rsidRDefault="00616AB3" w:rsidP="00616AB3">
            <w:pPr>
              <w:pStyle w:val="ListParagraph"/>
            </w:pPr>
            <w:r w:rsidRPr="00AA547E">
              <w:t>pursue an appropriate level of benefit sharing that ensures First Nations people are partners in the transition to net zero. This includes new job opportunities, improved education programs and direct community investment.</w:t>
            </w:r>
          </w:p>
        </w:tc>
      </w:tr>
    </w:tbl>
    <w:p w14:paraId="741ED581" w14:textId="73F7521E" w:rsidR="0064021F" w:rsidRDefault="005C2F6F" w:rsidP="00616AB3">
      <w:pPr>
        <w:jc w:val="center"/>
      </w:pPr>
      <w:r>
        <w:rPr>
          <w:noProof/>
        </w:rPr>
        <w:drawing>
          <wp:inline distT="0" distB="0" distL="0" distR="0" wp14:anchorId="21C20950" wp14:editId="5B9EC73B">
            <wp:extent cx="4603531" cy="3787483"/>
            <wp:effectExtent l="0" t="0" r="698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5675" cy="3789247"/>
                    </a:xfrm>
                    <a:prstGeom prst="rect">
                      <a:avLst/>
                    </a:prstGeom>
                  </pic:spPr>
                </pic:pic>
              </a:graphicData>
            </a:graphic>
          </wp:inline>
        </w:drawing>
      </w:r>
    </w:p>
    <w:tbl>
      <w:tblPr>
        <w:tblStyle w:val="TableGrid"/>
        <w:tblW w:w="5008"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E8EB"/>
        <w:tblCellMar>
          <w:left w:w="170" w:type="dxa"/>
          <w:bottom w:w="170" w:type="dxa"/>
          <w:right w:w="170" w:type="dxa"/>
        </w:tblCellMar>
        <w:tblLook w:val="04A0" w:firstRow="1" w:lastRow="0" w:firstColumn="1" w:lastColumn="0" w:noHBand="0" w:noVBand="1"/>
      </w:tblPr>
      <w:tblGrid>
        <w:gridCol w:w="4236"/>
        <w:gridCol w:w="360"/>
        <w:gridCol w:w="4444"/>
      </w:tblGrid>
      <w:tr w:rsidR="00AA547E" w14:paraId="372B611E" w14:textId="77777777" w:rsidTr="00AA547E">
        <w:trPr>
          <w:cnfStyle w:val="100000000000" w:firstRow="1" w:lastRow="0" w:firstColumn="0" w:lastColumn="0" w:oddVBand="0" w:evenVBand="0" w:oddHBand="0" w:evenHBand="0" w:firstRowFirstColumn="0" w:firstRowLastColumn="0" w:lastRowFirstColumn="0" w:lastRowLastColumn="0"/>
          <w:trHeight w:val="20"/>
        </w:trPr>
        <w:tc>
          <w:tcPr>
            <w:tcW w:w="4236" w:type="dxa"/>
            <w:shd w:val="clear" w:color="auto" w:fill="C6E8EB"/>
          </w:tcPr>
          <w:p w14:paraId="62FA2292" w14:textId="2206CFEF" w:rsidR="00AA547E" w:rsidRPr="00AA547E" w:rsidRDefault="00AA547E" w:rsidP="0024548E">
            <w:pPr>
              <w:pStyle w:val="Heading5"/>
              <w:spacing w:after="0"/>
            </w:pPr>
            <w:r w:rsidRPr="002B3C0E">
              <w:lastRenderedPageBreak/>
              <w:t xml:space="preserve">Action </w:t>
            </w:r>
            <w:r>
              <w:t>5</w:t>
            </w:r>
            <w:r w:rsidRPr="002B3C0E">
              <w:t xml:space="preserve">: </w:t>
            </w:r>
            <w:r>
              <w:t>Promote geological storage of CO</w:t>
            </w:r>
            <w:r w:rsidRPr="00F15534">
              <w:rPr>
                <w:vertAlign w:val="subscript"/>
              </w:rPr>
              <w:t>2</w:t>
            </w:r>
            <w:r w:rsidRPr="00616AB3">
              <w:t xml:space="preserve"> </w:t>
            </w:r>
            <w:r w:rsidRPr="00071A9A">
              <w:t>and support our region’s transition to net zero.</w:t>
            </w:r>
          </w:p>
        </w:tc>
        <w:tc>
          <w:tcPr>
            <w:tcW w:w="360" w:type="dxa"/>
            <w:shd w:val="clear" w:color="auto" w:fill="C6E8EB"/>
          </w:tcPr>
          <w:p w14:paraId="310D1F72" w14:textId="77777777" w:rsidR="00AA547E" w:rsidRPr="00AA547E" w:rsidRDefault="00AA547E" w:rsidP="0024548E">
            <w:pPr>
              <w:spacing w:after="0"/>
            </w:pPr>
          </w:p>
        </w:tc>
        <w:tc>
          <w:tcPr>
            <w:tcW w:w="4444" w:type="dxa"/>
            <w:shd w:val="clear" w:color="auto" w:fill="C6E8EB"/>
          </w:tcPr>
          <w:p w14:paraId="5F7C1B2C" w14:textId="5A8F4CBF" w:rsidR="00AA547E" w:rsidRPr="00AA547E" w:rsidRDefault="00AA547E" w:rsidP="0024548E">
            <w:pPr>
              <w:pStyle w:val="Heading5"/>
              <w:spacing w:after="0"/>
              <w:rPr>
                <w:b w:val="0"/>
              </w:rPr>
            </w:pPr>
            <w:r w:rsidRPr="0007121F">
              <w:t xml:space="preserve">Action 6: </w:t>
            </w:r>
            <w:r>
              <w:t xml:space="preserve">Update the </w:t>
            </w:r>
            <w:r w:rsidR="008D1ED9">
              <w:t>s</w:t>
            </w:r>
            <w:r>
              <w:t>trategy</w:t>
            </w:r>
          </w:p>
        </w:tc>
      </w:tr>
      <w:tr w:rsidR="00022A5B" w14:paraId="5871D8B0" w14:textId="77777777" w:rsidTr="00AA547E">
        <w:trPr>
          <w:trHeight w:val="20"/>
        </w:trPr>
        <w:tc>
          <w:tcPr>
            <w:tcW w:w="4236" w:type="dxa"/>
            <w:shd w:val="clear" w:color="auto" w:fill="C6E8EB"/>
          </w:tcPr>
          <w:p w14:paraId="2558A2B6" w14:textId="77777777" w:rsidR="00616AB3" w:rsidRPr="00184D6E" w:rsidRDefault="00616AB3" w:rsidP="00616AB3">
            <w:pPr>
              <w:rPr>
                <w:b/>
                <w:bCs/>
                <w:szCs w:val="20"/>
              </w:rPr>
            </w:pPr>
            <w:r w:rsidRPr="00184D6E">
              <w:rPr>
                <w:b/>
                <w:bCs/>
                <w:szCs w:val="20"/>
              </w:rPr>
              <w:t>The Australia’s gas industry can assist our region to decarbonise through the permanent, safe geological storage of CO</w:t>
            </w:r>
            <w:r w:rsidRPr="00184D6E">
              <w:rPr>
                <w:b/>
                <w:bCs/>
                <w:szCs w:val="20"/>
                <w:vertAlign w:val="subscript"/>
              </w:rPr>
              <w:t>2</w:t>
            </w:r>
            <w:r w:rsidRPr="00184D6E">
              <w:rPr>
                <w:b/>
                <w:bCs/>
                <w:szCs w:val="20"/>
              </w:rPr>
              <w:t xml:space="preserve">. To enable this, the government will: </w:t>
            </w:r>
          </w:p>
          <w:p w14:paraId="5466F59C" w14:textId="77777777" w:rsidR="00616AB3" w:rsidRPr="00AA547E" w:rsidRDefault="00616AB3" w:rsidP="00616AB3">
            <w:pPr>
              <w:pStyle w:val="ListParagraph"/>
            </w:pPr>
            <w:r w:rsidRPr="00AA547E">
              <w:t>continue to release offshore acreage for greenhouse gas storage</w:t>
            </w:r>
            <w:r>
              <w:t>.</w:t>
            </w:r>
          </w:p>
          <w:p w14:paraId="0CE9452E" w14:textId="77777777" w:rsidR="00616AB3" w:rsidRPr="00AA547E" w:rsidRDefault="00616AB3" w:rsidP="00616AB3">
            <w:pPr>
              <w:pStyle w:val="ListParagraph"/>
            </w:pPr>
            <w:r w:rsidRPr="00AA547E">
              <w:rPr>
                <w:rStyle w:val="ui-provider"/>
              </w:rPr>
              <w:t>ensure future Commonwealth offshore exploration acreage releases consider the energy security and transition needs of our region</w:t>
            </w:r>
            <w:r>
              <w:rPr>
                <w:rStyle w:val="ui-provider"/>
              </w:rPr>
              <w:t>.</w:t>
            </w:r>
          </w:p>
          <w:p w14:paraId="6C0FB194" w14:textId="77777777" w:rsidR="00616AB3" w:rsidRPr="00AA547E" w:rsidRDefault="00616AB3" w:rsidP="00616AB3">
            <w:pPr>
              <w:pStyle w:val="ListParagraph"/>
            </w:pPr>
            <w:r>
              <w:t xml:space="preserve">finalise the </w:t>
            </w:r>
            <w:r w:rsidRPr="00AA547E">
              <w:t xml:space="preserve">review the offshore regulatory regime to realise opportunities associated with the geological storage of </w:t>
            </w:r>
            <w:r w:rsidRPr="003E66DF">
              <w:rPr>
                <w:szCs w:val="20"/>
              </w:rPr>
              <w:t>CO</w:t>
            </w:r>
            <w:r w:rsidRPr="003E66DF">
              <w:rPr>
                <w:szCs w:val="20"/>
                <w:vertAlign w:val="subscript"/>
              </w:rPr>
              <w:t>2</w:t>
            </w:r>
            <w:r w:rsidRPr="00184D6E">
              <w:rPr>
                <w:b/>
                <w:bCs/>
                <w:szCs w:val="20"/>
              </w:rPr>
              <w:t xml:space="preserve"> </w:t>
            </w:r>
            <w:r w:rsidRPr="00AA547E">
              <w:t>for Australian industry and our trade partners</w:t>
            </w:r>
            <w:r>
              <w:t>.</w:t>
            </w:r>
          </w:p>
          <w:p w14:paraId="311C59A0" w14:textId="77777777" w:rsidR="00616AB3" w:rsidRPr="003F68A6" w:rsidRDefault="00616AB3" w:rsidP="00616AB3">
            <w:pPr>
              <w:pStyle w:val="ListParagraph"/>
            </w:pPr>
            <w:r w:rsidRPr="00AA547E">
              <w:rPr>
                <w:rStyle w:val="ui-provider"/>
              </w:rPr>
              <w:t xml:space="preserve">grow our clean energy exports and connect Australia to new clean energy supply chains through the Hydrogen </w:t>
            </w:r>
            <w:proofErr w:type="spellStart"/>
            <w:r w:rsidRPr="00AA547E">
              <w:rPr>
                <w:rStyle w:val="ui-provider"/>
              </w:rPr>
              <w:t>Headstart</w:t>
            </w:r>
            <w:proofErr w:type="spellEnd"/>
            <w:r w:rsidRPr="00AA547E">
              <w:rPr>
                <w:rStyle w:val="ui-provider"/>
              </w:rPr>
              <w:t xml:space="preserve"> and Regional Hydrogen Hubs programs.</w:t>
            </w:r>
            <w:r>
              <w:rPr>
                <w:rStyle w:val="ui-provider"/>
              </w:rPr>
              <w:t xml:space="preserve"> </w:t>
            </w:r>
          </w:p>
          <w:p w14:paraId="27A72778" w14:textId="77777777" w:rsidR="00616AB3" w:rsidRPr="003F68A6" w:rsidRDefault="00616AB3" w:rsidP="00616AB3">
            <w:pPr>
              <w:spacing w:line="256" w:lineRule="auto"/>
              <w:contextualSpacing/>
              <w:rPr>
                <w:szCs w:val="20"/>
              </w:rPr>
            </w:pPr>
            <w:proofErr w:type="gramStart"/>
            <w:r w:rsidRPr="003F68A6">
              <w:rPr>
                <w:szCs w:val="20"/>
              </w:rPr>
              <w:t>In light of</w:t>
            </w:r>
            <w:proofErr w:type="gramEnd"/>
            <w:r w:rsidRPr="003F68A6">
              <w:rPr>
                <w:szCs w:val="20"/>
              </w:rPr>
              <w:t xml:space="preserve"> the findings of the analysis to support this </w:t>
            </w:r>
            <w:r>
              <w:rPr>
                <w:szCs w:val="20"/>
              </w:rPr>
              <w:t>s</w:t>
            </w:r>
            <w:r w:rsidRPr="003F68A6">
              <w:rPr>
                <w:szCs w:val="20"/>
              </w:rPr>
              <w:t>trategy, the government will also:</w:t>
            </w:r>
          </w:p>
          <w:p w14:paraId="4AC4D632" w14:textId="52A1DFFD" w:rsidR="00022A5B" w:rsidRPr="00F15534" w:rsidRDefault="00616AB3" w:rsidP="00616AB3">
            <w:pPr>
              <w:pStyle w:val="ListParagraph"/>
            </w:pPr>
            <w:r>
              <w:t>establish a new initiative on regional cooperation on transboundary carbon capture and storage, which will provide options for energy security and carbon management solutions for our regional partners.</w:t>
            </w:r>
          </w:p>
        </w:tc>
        <w:tc>
          <w:tcPr>
            <w:tcW w:w="360" w:type="dxa"/>
            <w:shd w:val="clear" w:color="auto" w:fill="C6E8EB"/>
          </w:tcPr>
          <w:p w14:paraId="7C5A280F" w14:textId="77777777" w:rsidR="00022A5B" w:rsidRPr="00AA547E" w:rsidRDefault="00022A5B" w:rsidP="00AA547E"/>
        </w:tc>
        <w:tc>
          <w:tcPr>
            <w:tcW w:w="4444" w:type="dxa"/>
            <w:shd w:val="clear" w:color="auto" w:fill="C6E8EB"/>
          </w:tcPr>
          <w:p w14:paraId="638C50F8" w14:textId="77777777" w:rsidR="00616AB3" w:rsidRPr="00184D6E" w:rsidRDefault="00616AB3" w:rsidP="00616AB3">
            <w:pPr>
              <w:rPr>
                <w:b/>
                <w:bCs/>
                <w:szCs w:val="20"/>
              </w:rPr>
            </w:pPr>
            <w:r w:rsidRPr="00184D6E">
              <w:rPr>
                <w:b/>
                <w:bCs/>
                <w:szCs w:val="20"/>
              </w:rPr>
              <w:t>The Future Gas Strategy has a long-term outlook. The government is closely monitor</w:t>
            </w:r>
            <w:r>
              <w:rPr>
                <w:b/>
                <w:bCs/>
                <w:szCs w:val="20"/>
              </w:rPr>
              <w:t>ing</w:t>
            </w:r>
            <w:r w:rsidRPr="00184D6E">
              <w:rPr>
                <w:b/>
                <w:bCs/>
                <w:szCs w:val="20"/>
              </w:rPr>
              <w:t xml:space="preserve"> the evolving role of gas as the energy transformation progresses and </w:t>
            </w:r>
            <w:r>
              <w:rPr>
                <w:b/>
                <w:bCs/>
                <w:szCs w:val="20"/>
              </w:rPr>
              <w:t xml:space="preserve">will </w:t>
            </w:r>
            <w:r w:rsidRPr="00184D6E">
              <w:rPr>
                <w:b/>
                <w:bCs/>
                <w:szCs w:val="20"/>
              </w:rPr>
              <w:t xml:space="preserve">update the </w:t>
            </w:r>
            <w:r>
              <w:rPr>
                <w:b/>
                <w:bCs/>
                <w:szCs w:val="20"/>
              </w:rPr>
              <w:t>s</w:t>
            </w:r>
            <w:r w:rsidRPr="00184D6E">
              <w:rPr>
                <w:b/>
                <w:bCs/>
                <w:szCs w:val="20"/>
              </w:rPr>
              <w:t>trategy as needed. This includes:</w:t>
            </w:r>
          </w:p>
          <w:p w14:paraId="190B1D14" w14:textId="77777777" w:rsidR="00616AB3" w:rsidRPr="00AA547E" w:rsidRDefault="00616AB3" w:rsidP="00616AB3">
            <w:pPr>
              <w:pStyle w:val="ListParagraph"/>
            </w:pPr>
            <w:r w:rsidRPr="00AA547E">
              <w:t>reviewing and, where needed, updating near-term policy levers, such as the Gas Market Code, Heads of Agreement and the ADGSM</w:t>
            </w:r>
            <w:r>
              <w:t>.</w:t>
            </w:r>
          </w:p>
          <w:p w14:paraId="5A6739B8" w14:textId="77777777" w:rsidR="00616AB3" w:rsidRPr="00AA547E" w:rsidRDefault="00616AB3" w:rsidP="00616AB3">
            <w:pPr>
              <w:pStyle w:val="ListParagraph"/>
            </w:pPr>
            <w:r w:rsidRPr="00AA547E">
              <w:t>providing tailored policy responses for emerging issues</w:t>
            </w:r>
            <w:r>
              <w:t>.</w:t>
            </w:r>
          </w:p>
          <w:p w14:paraId="640CC1C0" w14:textId="451E1D30" w:rsidR="005F3598" w:rsidRPr="005F3598" w:rsidRDefault="00616AB3" w:rsidP="00616AB3">
            <w:pPr>
              <w:pStyle w:val="ListParagraph"/>
              <w:rPr>
                <w:szCs w:val="20"/>
              </w:rPr>
            </w:pPr>
            <w:r w:rsidRPr="00AA547E">
              <w:t xml:space="preserve">ensuring the </w:t>
            </w:r>
            <w:r>
              <w:t>s</w:t>
            </w:r>
            <w:r w:rsidRPr="00AA547E">
              <w:t>trategy continues to support Australia’s commitments under the Paris Agreement.</w:t>
            </w:r>
          </w:p>
        </w:tc>
      </w:tr>
    </w:tbl>
    <w:p w14:paraId="595E081E" w14:textId="1A34E1AF" w:rsidR="00B90D21" w:rsidRDefault="005C2F6F">
      <w:pPr>
        <w:spacing w:before="0" w:after="160" w:line="259" w:lineRule="auto"/>
      </w:pPr>
      <w:r>
        <w:rPr>
          <w:noProof/>
        </w:rPr>
        <w:drawing>
          <wp:anchor distT="0" distB="0" distL="114300" distR="114300" simplePos="0" relativeHeight="251658243" behindDoc="0" locked="0" layoutInCell="1" allowOverlap="1" wp14:anchorId="7B2E86AA" wp14:editId="754E087C">
            <wp:simplePos x="0" y="0"/>
            <wp:positionH relativeFrom="margin">
              <wp:posOffset>59055</wp:posOffset>
            </wp:positionH>
            <wp:positionV relativeFrom="paragraph">
              <wp:posOffset>-350272</wp:posOffset>
            </wp:positionV>
            <wp:extent cx="5724332" cy="3074317"/>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4332" cy="3074317"/>
                    </a:xfrm>
                    <a:prstGeom prst="rect">
                      <a:avLst/>
                    </a:prstGeom>
                  </pic:spPr>
                </pic:pic>
              </a:graphicData>
            </a:graphic>
            <wp14:sizeRelH relativeFrom="margin">
              <wp14:pctWidth>0</wp14:pctWidth>
            </wp14:sizeRelH>
            <wp14:sizeRelV relativeFrom="margin">
              <wp14:pctHeight>0</wp14:pctHeight>
            </wp14:sizeRelV>
          </wp:anchor>
        </w:drawing>
      </w:r>
    </w:p>
    <w:p w14:paraId="26BE8671" w14:textId="77777777" w:rsidR="005C0D35" w:rsidRDefault="005C0D35">
      <w:pPr>
        <w:spacing w:before="0" w:after="160" w:line="259" w:lineRule="auto"/>
        <w:sectPr w:rsidR="005C0D35" w:rsidSect="00CB47D6">
          <w:pgSz w:w="11906" w:h="16838"/>
          <w:pgMar w:top="1276" w:right="1440" w:bottom="1440" w:left="1440" w:header="851" w:footer="708" w:gutter="0"/>
          <w:cols w:space="708"/>
          <w:docGrid w:linePitch="360"/>
        </w:sectPr>
      </w:pPr>
    </w:p>
    <w:p w14:paraId="430828E3" w14:textId="77777777" w:rsidR="005C0D35" w:rsidRDefault="00CE59AE">
      <w:pPr>
        <w:spacing w:before="0" w:after="160" w:line="259" w:lineRule="auto"/>
      </w:pPr>
      <w:r>
        <w:rPr>
          <w:noProof/>
        </w:rPr>
        <w:lastRenderedPageBreak/>
        <w:drawing>
          <wp:inline distT="0" distB="0" distL="0" distR="0" wp14:anchorId="6215E56C" wp14:editId="4DA86605">
            <wp:extent cx="5522026" cy="4450780"/>
            <wp:effectExtent l="0" t="0" r="2540" b="698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8620" cy="4456095"/>
                    </a:xfrm>
                    <a:prstGeom prst="rect">
                      <a:avLst/>
                    </a:prstGeom>
                  </pic:spPr>
                </pic:pic>
              </a:graphicData>
            </a:graphic>
          </wp:inline>
        </w:drawing>
      </w:r>
    </w:p>
    <w:p w14:paraId="76C2164B" w14:textId="54EDD4C3" w:rsidR="00B90D21" w:rsidRDefault="00B90D21">
      <w:pPr>
        <w:spacing w:before="0" w:after="160" w:line="259" w:lineRule="auto"/>
        <w:rPr>
          <w:rFonts w:asciiTheme="majorHAnsi" w:eastAsiaTheme="majorEastAsia" w:hAnsiTheme="majorHAnsi" w:cstheme="majorBidi"/>
          <w:color w:val="15659B" w:themeColor="accent4"/>
          <w:sz w:val="40"/>
          <w:szCs w:val="40"/>
        </w:rPr>
      </w:pPr>
      <w:r>
        <w:br w:type="page"/>
      </w:r>
    </w:p>
    <w:p w14:paraId="385EABF9" w14:textId="7598820D" w:rsidR="008A5808" w:rsidRDefault="008C776C" w:rsidP="005A30E6">
      <w:pPr>
        <w:pStyle w:val="Heading3"/>
      </w:pPr>
      <w:r>
        <w:rPr>
          <w:noProof/>
        </w:rPr>
        <w:lastRenderedPageBreak/>
        <w:drawing>
          <wp:anchor distT="0" distB="0" distL="114300" distR="114300" simplePos="0" relativeHeight="251658241" behindDoc="1" locked="0" layoutInCell="1" allowOverlap="1" wp14:anchorId="43A53E60" wp14:editId="505EBA16">
            <wp:simplePos x="914400" y="808074"/>
            <wp:positionH relativeFrom="page">
              <wp:align>center</wp:align>
            </wp:positionH>
            <wp:positionV relativeFrom="page">
              <wp:align>top</wp:align>
            </wp:positionV>
            <wp:extent cx="7542000" cy="10666800"/>
            <wp:effectExtent l="0" t="0" r="1905" b="127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sectPr w:rsidR="008A5808" w:rsidSect="005C0D35">
      <w:footerReference w:type="default" r:id="rId29"/>
      <w:pgSz w:w="11906" w:h="16838" w:code="9"/>
      <w:pgMar w:top="1276" w:right="1440" w:bottom="1440" w:left="1440" w:header="851"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AE99" w14:textId="77777777" w:rsidR="00EA15EA" w:rsidRDefault="00EA15EA" w:rsidP="00B251DB">
      <w:pPr>
        <w:spacing w:after="0"/>
      </w:pPr>
      <w:r>
        <w:separator/>
      </w:r>
    </w:p>
  </w:endnote>
  <w:endnote w:type="continuationSeparator" w:id="0">
    <w:p w14:paraId="6CF9F220" w14:textId="77777777" w:rsidR="00EA15EA" w:rsidRDefault="00EA15EA" w:rsidP="00B251DB">
      <w:pPr>
        <w:spacing w:after="0"/>
      </w:pPr>
      <w:r>
        <w:continuationSeparator/>
      </w:r>
    </w:p>
  </w:endnote>
  <w:endnote w:type="continuationNotice" w:id="1">
    <w:p w14:paraId="3738FF98" w14:textId="77777777" w:rsidR="0087187A" w:rsidRDefault="008718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78E4" w14:textId="671E7CCE" w:rsidR="00B90D21" w:rsidRPr="0024548E" w:rsidRDefault="001A45C2" w:rsidP="00B90D21">
    <w:pPr>
      <w:pStyle w:val="Footer"/>
      <w:rPr>
        <w:color w:val="095258" w:themeColor="text2"/>
      </w:rPr>
    </w:pPr>
    <w:sdt>
      <w:sdtPr>
        <w:rPr>
          <w:color w:val="095258" w:themeColor="text2"/>
        </w:rPr>
        <w:alias w:val="Title"/>
        <w:tag w:val=""/>
        <w:id w:val="-1005120900"/>
        <w:placeholder>
          <w:docPart w:val="E55C7377A15147AFB8D089BC7A0E3E2C"/>
        </w:placeholder>
        <w:dataBinding w:prefixMappings="xmlns:ns0='http://purl.org/dc/elements/1.1/' xmlns:ns1='http://schemas.openxmlformats.org/package/2006/metadata/core-properties' " w:xpath="/ns1:coreProperties[1]/ns0:title[1]" w:storeItemID="{6C3C8BC8-F283-45AE-878A-BAB7291924A1}"/>
        <w:text/>
      </w:sdtPr>
      <w:sdtEndPr/>
      <w:sdtContent>
        <w:r w:rsidR="00B90D21" w:rsidRPr="0024548E">
          <w:rPr>
            <w:color w:val="095258" w:themeColor="text2"/>
          </w:rPr>
          <w:t>Future Gas Strategy</w:t>
        </w:r>
      </w:sdtContent>
    </w:sdt>
  </w:p>
  <w:p w14:paraId="2ECE0675" w14:textId="4076CCD2" w:rsidR="00B90D21" w:rsidRPr="00B90D21" w:rsidRDefault="00B90D21" w:rsidP="0024548E">
    <w:pPr>
      <w:pStyle w:val="Footer"/>
      <w:tabs>
        <w:tab w:val="clear" w:pos="4513"/>
      </w:tabs>
      <w:spacing w:before="0"/>
      <w:rPr>
        <w:noProof/>
      </w:rPr>
    </w:pPr>
    <w:r w:rsidRPr="0024548E">
      <w:rPr>
        <w:b/>
        <w:bCs/>
        <w:color w:val="E5FD8C" w:themeColor="accent5"/>
      </w:rPr>
      <w:t>|</w:t>
    </w:r>
    <w:r w:rsidRPr="0035140F">
      <w:rPr>
        <w:b/>
        <w:bCs/>
        <w:color w:val="001B35" w:themeColor="accent1"/>
      </w:rPr>
      <w:t xml:space="preserve"> </w:t>
    </w:r>
    <w:r w:rsidRPr="0024548E">
      <w:rPr>
        <w:b/>
        <w:bCs/>
        <w:color w:val="095258" w:themeColor="text2"/>
      </w:rPr>
      <w:t>industry.</w:t>
    </w:r>
    <w:r w:rsidRPr="0024548E">
      <w:rPr>
        <w:color w:val="095258" w:themeColor="text2"/>
      </w:rPr>
      <w:t>gov.au/</w:t>
    </w:r>
    <w:proofErr w:type="spellStart"/>
    <w:r w:rsidRPr="0024548E">
      <w:rPr>
        <w:color w:val="095258" w:themeColor="text2"/>
      </w:rPr>
      <w:t>FutureGasStrategy</w:t>
    </w:r>
    <w:proofErr w:type="spellEnd"/>
    <w:r w:rsidR="00813E60">
      <w:tab/>
    </w:r>
    <w:sdt>
      <w:sdtPr>
        <w:rPr>
          <w:color w:val="095258" w:themeColor="text2"/>
        </w:rPr>
        <w:id w:val="-1044901746"/>
        <w:docPartObj>
          <w:docPartGallery w:val="Page Numbers (Bottom of Page)"/>
          <w:docPartUnique/>
        </w:docPartObj>
      </w:sdtPr>
      <w:sdtEndPr>
        <w:rPr>
          <w:noProof/>
        </w:rPr>
      </w:sdtEndPr>
      <w:sdtContent>
        <w:r w:rsidRPr="0024548E">
          <w:rPr>
            <w:color w:val="095258" w:themeColor="text2"/>
          </w:rPr>
          <w:fldChar w:fldCharType="begin"/>
        </w:r>
        <w:r w:rsidRPr="0024548E">
          <w:rPr>
            <w:color w:val="095258" w:themeColor="text2"/>
          </w:rPr>
          <w:instrText xml:space="preserve"> PAGE   \* MERGEFORMAT </w:instrText>
        </w:r>
        <w:r w:rsidRPr="0024548E">
          <w:rPr>
            <w:color w:val="095258" w:themeColor="text2"/>
          </w:rPr>
          <w:fldChar w:fldCharType="separate"/>
        </w:r>
        <w:r w:rsidRPr="00616AB3">
          <w:rPr>
            <w:color w:val="095258" w:themeColor="text2"/>
          </w:rPr>
          <w:t>i</w:t>
        </w:r>
        <w:proofErr w:type="spellStart"/>
        <w:r w:rsidRPr="00616AB3">
          <w:rPr>
            <w:color w:val="095258" w:themeColor="text2"/>
          </w:rPr>
          <w:t>i</w:t>
        </w:r>
        <w:proofErr w:type="spellEnd"/>
        <w:r w:rsidRPr="0024548E">
          <w:rPr>
            <w:noProof/>
            <w:color w:val="095258"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1F67" w14:textId="77777777" w:rsidR="00B90D21" w:rsidRPr="0024548E" w:rsidRDefault="001A45C2" w:rsidP="00B90D21">
    <w:pPr>
      <w:pStyle w:val="Footer"/>
      <w:jc w:val="right"/>
      <w:rPr>
        <w:color w:val="095258" w:themeColor="text2"/>
      </w:rPr>
    </w:pPr>
    <w:sdt>
      <w:sdtPr>
        <w:rPr>
          <w:color w:val="095258" w:themeColor="text2"/>
        </w:rPr>
        <w:alias w:val="Title"/>
        <w:tag w:val=""/>
        <w:id w:val="-860738335"/>
        <w:placeholder>
          <w:docPart w:val="9F4D7BC258EE4E2E9984C6C023DD533E"/>
        </w:placeholder>
        <w:dataBinding w:prefixMappings="xmlns:ns0='http://purl.org/dc/elements/1.1/' xmlns:ns1='http://schemas.openxmlformats.org/package/2006/metadata/core-properties' " w:xpath="/ns1:coreProperties[1]/ns0:title[1]" w:storeItemID="{6C3C8BC8-F283-45AE-878A-BAB7291924A1}"/>
        <w:text/>
      </w:sdtPr>
      <w:sdtEndPr/>
      <w:sdtContent>
        <w:r w:rsidR="00B90D21" w:rsidRPr="0024548E">
          <w:rPr>
            <w:color w:val="095258" w:themeColor="text2"/>
          </w:rPr>
          <w:t>Future Gas Strategy</w:t>
        </w:r>
      </w:sdtContent>
    </w:sdt>
  </w:p>
  <w:p w14:paraId="5FD487FC" w14:textId="77777777" w:rsidR="00B90D21" w:rsidRPr="00B90D21" w:rsidRDefault="001A45C2" w:rsidP="0024548E">
    <w:pPr>
      <w:pStyle w:val="Footer"/>
      <w:tabs>
        <w:tab w:val="clear" w:pos="4513"/>
      </w:tabs>
      <w:spacing w:before="0"/>
      <w:jc w:val="right"/>
      <w:rPr>
        <w:noProof/>
      </w:rPr>
    </w:pPr>
    <w:sdt>
      <w:sdtPr>
        <w:id w:val="-183055908"/>
        <w:docPartObj>
          <w:docPartGallery w:val="Page Numbers (Bottom of Page)"/>
          <w:docPartUnique/>
        </w:docPartObj>
      </w:sdtPr>
      <w:sdtEndPr>
        <w:rPr>
          <w:noProof/>
        </w:rPr>
      </w:sdtEndPr>
      <w:sdtContent>
        <w:r w:rsidR="00B90D21" w:rsidRPr="0024548E">
          <w:rPr>
            <w:color w:val="095258" w:themeColor="text2"/>
          </w:rPr>
          <w:fldChar w:fldCharType="begin"/>
        </w:r>
        <w:r w:rsidR="00B90D21" w:rsidRPr="0024548E">
          <w:rPr>
            <w:color w:val="095258" w:themeColor="text2"/>
          </w:rPr>
          <w:instrText xml:space="preserve"> PAGE   \* MERGEFORMAT </w:instrText>
        </w:r>
        <w:r w:rsidR="00B90D21" w:rsidRPr="0024548E">
          <w:rPr>
            <w:color w:val="095258" w:themeColor="text2"/>
          </w:rPr>
          <w:fldChar w:fldCharType="separate"/>
        </w:r>
        <w:r w:rsidR="00B90D21" w:rsidRPr="0024548E">
          <w:rPr>
            <w:color w:val="095258" w:themeColor="text2"/>
          </w:rPr>
          <w:t>2</w:t>
        </w:r>
        <w:r w:rsidR="00B90D21" w:rsidRPr="0024548E">
          <w:rPr>
            <w:noProof/>
            <w:color w:val="095258" w:themeColor="text2"/>
          </w:rPr>
          <w:fldChar w:fldCharType="end"/>
        </w:r>
      </w:sdtContent>
    </w:sdt>
    <w:r w:rsidR="00B90D21">
      <w:rPr>
        <w:b/>
        <w:bCs/>
        <w:color w:val="15659B" w:themeColor="accent4"/>
      </w:rPr>
      <w:tab/>
    </w:r>
    <w:r w:rsidR="00B90D21" w:rsidRPr="0024548E">
      <w:rPr>
        <w:b/>
        <w:bCs/>
        <w:color w:val="E5FD8C" w:themeColor="accent5"/>
      </w:rPr>
      <w:t>|</w:t>
    </w:r>
    <w:r w:rsidR="00B90D21" w:rsidRPr="0035140F">
      <w:rPr>
        <w:b/>
        <w:bCs/>
        <w:color w:val="001B35" w:themeColor="accent1"/>
      </w:rPr>
      <w:t xml:space="preserve"> </w:t>
    </w:r>
    <w:r w:rsidR="00B90D21" w:rsidRPr="0024548E">
      <w:rPr>
        <w:b/>
        <w:bCs/>
        <w:color w:val="095258" w:themeColor="text2"/>
      </w:rPr>
      <w:t>industry.</w:t>
    </w:r>
    <w:r w:rsidR="00B90D21" w:rsidRPr="0024548E">
      <w:rPr>
        <w:color w:val="095258" w:themeColor="text2"/>
      </w:rPr>
      <w:t>gov.au/</w:t>
    </w:r>
    <w:proofErr w:type="spellStart"/>
    <w:r w:rsidR="00B90D21" w:rsidRPr="0024548E">
      <w:rPr>
        <w:color w:val="095258" w:themeColor="text2"/>
      </w:rPr>
      <w:t>FutureGasStrategy</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B0F8" w14:textId="18D06700" w:rsidR="005C0D35" w:rsidRPr="00B90D21" w:rsidRDefault="005C0D35" w:rsidP="0024548E">
    <w:pPr>
      <w:pStyle w:val="Footer"/>
      <w:tabs>
        <w:tab w:val="clear" w:pos="4513"/>
      </w:tabs>
      <w:spacing w:before="0"/>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078F1" w14:textId="77777777" w:rsidR="00EA15EA" w:rsidRDefault="00EA15EA" w:rsidP="00B251DB">
      <w:pPr>
        <w:spacing w:after="0"/>
      </w:pPr>
      <w:r>
        <w:separator/>
      </w:r>
    </w:p>
  </w:footnote>
  <w:footnote w:type="continuationSeparator" w:id="0">
    <w:p w14:paraId="7E3F6E2C" w14:textId="77777777" w:rsidR="00EA15EA" w:rsidRDefault="00EA15EA" w:rsidP="00B251DB">
      <w:pPr>
        <w:spacing w:after="0"/>
      </w:pPr>
      <w:r>
        <w:continuationSeparator/>
      </w:r>
    </w:p>
  </w:footnote>
  <w:footnote w:type="continuationNotice" w:id="1">
    <w:p w14:paraId="5E754864" w14:textId="77777777" w:rsidR="0087187A" w:rsidRDefault="0087187A">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95F10"/>
    <w:multiLevelType w:val="hybridMultilevel"/>
    <w:tmpl w:val="74BA79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2A5BE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4D74F4"/>
    <w:multiLevelType w:val="hybridMultilevel"/>
    <w:tmpl w:val="D6283F8E"/>
    <w:lvl w:ilvl="0" w:tplc="6A00F2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55DB8"/>
    <w:multiLevelType w:val="hybridMultilevel"/>
    <w:tmpl w:val="53A2D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B340C1"/>
    <w:multiLevelType w:val="hybridMultilevel"/>
    <w:tmpl w:val="F1C4B4B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11EB214E"/>
    <w:multiLevelType w:val="hybridMultilevel"/>
    <w:tmpl w:val="BF583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F078C0"/>
    <w:multiLevelType w:val="hybridMultilevel"/>
    <w:tmpl w:val="6A641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A76F51"/>
    <w:multiLevelType w:val="hybridMultilevel"/>
    <w:tmpl w:val="940ACE1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CA106C"/>
    <w:multiLevelType w:val="hybridMultilevel"/>
    <w:tmpl w:val="4ABC7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F37229"/>
    <w:multiLevelType w:val="hybridMultilevel"/>
    <w:tmpl w:val="99A86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7F4B1A"/>
    <w:multiLevelType w:val="hybridMultilevel"/>
    <w:tmpl w:val="13BEC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7413DEC"/>
    <w:multiLevelType w:val="hybridMultilevel"/>
    <w:tmpl w:val="FD485D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2E10FD"/>
    <w:multiLevelType w:val="hybridMultilevel"/>
    <w:tmpl w:val="66D46394"/>
    <w:lvl w:ilvl="0" w:tplc="E2F097D6">
      <w:numFmt w:val="bullet"/>
      <w:pStyle w:val="ListParagraph"/>
      <w:lvlText w:val=""/>
      <w:lvlJc w:val="left"/>
      <w:pPr>
        <w:ind w:left="567" w:hanging="567"/>
      </w:pPr>
      <w:rPr>
        <w:rFonts w:ascii="Symbol" w:eastAsiaTheme="minorHAnsi" w:hAnsi="Symbol" w:cstheme="minorBidi" w:hint="default"/>
      </w:rPr>
    </w:lvl>
    <w:lvl w:ilvl="1" w:tplc="6606920E">
      <w:numFmt w:val="bullet"/>
      <w:lvlText w:val="-"/>
      <w:lvlJc w:val="left"/>
      <w:pPr>
        <w:ind w:left="1134" w:hanging="567"/>
      </w:pPr>
      <w:rPr>
        <w:rFonts w:ascii="Calibri" w:eastAsiaTheme="minorHAnsi" w:hAnsi="Calibri" w:hint="default"/>
      </w:rPr>
    </w:lvl>
    <w:lvl w:ilvl="2" w:tplc="75C69B6E">
      <w:start w:val="1"/>
      <w:numFmt w:val="bullet"/>
      <w:lvlText w:val=""/>
      <w:lvlJc w:val="left"/>
      <w:pPr>
        <w:ind w:left="1701" w:hanging="567"/>
      </w:pPr>
      <w:rPr>
        <w:rFonts w:ascii="Wingdings" w:hAnsi="Wingdings" w:hint="default"/>
      </w:rPr>
    </w:lvl>
    <w:lvl w:ilvl="3" w:tplc="B84A8EA2">
      <w:start w:val="1"/>
      <w:numFmt w:val="bullet"/>
      <w:lvlText w:val=""/>
      <w:lvlJc w:val="left"/>
      <w:pPr>
        <w:ind w:left="2268" w:hanging="567"/>
      </w:pPr>
      <w:rPr>
        <w:rFonts w:ascii="Symbol" w:hAnsi="Symbol" w:hint="default"/>
      </w:rPr>
    </w:lvl>
    <w:lvl w:ilvl="4" w:tplc="9E469228">
      <w:start w:val="1"/>
      <w:numFmt w:val="bullet"/>
      <w:lvlText w:val="o"/>
      <w:lvlJc w:val="left"/>
      <w:pPr>
        <w:ind w:left="2835" w:hanging="567"/>
      </w:pPr>
      <w:rPr>
        <w:rFonts w:ascii="Courier New" w:hAnsi="Courier New" w:hint="default"/>
      </w:rPr>
    </w:lvl>
    <w:lvl w:ilvl="5" w:tplc="406CF0B6">
      <w:start w:val="1"/>
      <w:numFmt w:val="bullet"/>
      <w:lvlText w:val=""/>
      <w:lvlJc w:val="left"/>
      <w:pPr>
        <w:ind w:left="3402" w:hanging="567"/>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5E78A8"/>
    <w:multiLevelType w:val="hybridMultilevel"/>
    <w:tmpl w:val="CF22F768"/>
    <w:lvl w:ilvl="0" w:tplc="0D524B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55074E5"/>
    <w:multiLevelType w:val="hybridMultilevel"/>
    <w:tmpl w:val="15CA3E48"/>
    <w:lvl w:ilvl="0" w:tplc="93BAD356">
      <w:start w:val="1"/>
      <w:numFmt w:val="decimal"/>
      <w:lvlText w:val="%1."/>
      <w:lvlJc w:val="left"/>
      <w:pPr>
        <w:ind w:left="567" w:hanging="567"/>
      </w:pPr>
      <w:rPr>
        <w:rFonts w:hint="default"/>
      </w:rPr>
    </w:lvl>
    <w:lvl w:ilvl="1" w:tplc="D2E408C2">
      <w:start w:val="1"/>
      <w:numFmt w:val="lowerLetter"/>
      <w:lvlText w:val="%2."/>
      <w:lvlJc w:val="left"/>
      <w:pPr>
        <w:ind w:left="1134" w:hanging="567"/>
      </w:pPr>
      <w:rPr>
        <w:rFonts w:hint="default"/>
      </w:rPr>
    </w:lvl>
    <w:lvl w:ilvl="2" w:tplc="528088D0">
      <w:start w:val="1"/>
      <w:numFmt w:val="lowerRoman"/>
      <w:lvlText w:val="%3."/>
      <w:lvlJc w:val="right"/>
      <w:pPr>
        <w:ind w:left="1701" w:hanging="567"/>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6A6F7C"/>
    <w:multiLevelType w:val="hybridMultilevel"/>
    <w:tmpl w:val="93443AD6"/>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9" w15:restartNumberingAfterBreak="0">
    <w:nsid w:val="6E1B49A7"/>
    <w:multiLevelType w:val="hybridMultilevel"/>
    <w:tmpl w:val="E1006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0A03D8"/>
    <w:multiLevelType w:val="hybridMultilevel"/>
    <w:tmpl w:val="58D66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22605387">
    <w:abstractNumId w:val="15"/>
  </w:num>
  <w:num w:numId="2" w16cid:durableId="648444589">
    <w:abstractNumId w:val="17"/>
  </w:num>
  <w:num w:numId="3" w16cid:durableId="1474374502">
    <w:abstractNumId w:val="3"/>
  </w:num>
  <w:num w:numId="4" w16cid:durableId="660547498">
    <w:abstractNumId w:val="1"/>
  </w:num>
  <w:num w:numId="5" w16cid:durableId="1405948882">
    <w:abstractNumId w:val="0"/>
  </w:num>
  <w:num w:numId="6" w16cid:durableId="1770931210">
    <w:abstractNumId w:val="4"/>
  </w:num>
  <w:num w:numId="7" w16cid:durableId="1514956900">
    <w:abstractNumId w:val="8"/>
  </w:num>
  <w:num w:numId="8" w16cid:durableId="1928151220">
    <w:abstractNumId w:val="16"/>
  </w:num>
  <w:num w:numId="9" w16cid:durableId="1919442051">
    <w:abstractNumId w:val="13"/>
  </w:num>
  <w:num w:numId="10" w16cid:durableId="563764016">
    <w:abstractNumId w:val="12"/>
  </w:num>
  <w:num w:numId="11" w16cid:durableId="377169740">
    <w:abstractNumId w:val="11"/>
  </w:num>
  <w:num w:numId="12" w16cid:durableId="1207840999">
    <w:abstractNumId w:val="9"/>
  </w:num>
  <w:num w:numId="13" w16cid:durableId="428161156">
    <w:abstractNumId w:val="19"/>
  </w:num>
  <w:num w:numId="14" w16cid:durableId="279071418">
    <w:abstractNumId w:val="5"/>
  </w:num>
  <w:num w:numId="15" w16cid:durableId="1130900242">
    <w:abstractNumId w:val="6"/>
  </w:num>
  <w:num w:numId="16" w16cid:durableId="2015640762">
    <w:abstractNumId w:val="2"/>
  </w:num>
  <w:num w:numId="17" w16cid:durableId="982470484">
    <w:abstractNumId w:val="14"/>
  </w:num>
  <w:num w:numId="18" w16cid:durableId="1918396731">
    <w:abstractNumId w:val="15"/>
  </w:num>
  <w:num w:numId="19" w16cid:durableId="697700193">
    <w:abstractNumId w:val="15"/>
  </w:num>
  <w:num w:numId="20" w16cid:durableId="1577862882">
    <w:abstractNumId w:val="15"/>
  </w:num>
  <w:num w:numId="21" w16cid:durableId="1247612532">
    <w:abstractNumId w:val="15"/>
  </w:num>
  <w:num w:numId="22" w16cid:durableId="455223100">
    <w:abstractNumId w:val="18"/>
  </w:num>
  <w:num w:numId="23" w16cid:durableId="1593971949">
    <w:abstractNumId w:val="15"/>
  </w:num>
  <w:num w:numId="24" w16cid:durableId="1105928661">
    <w:abstractNumId w:val="15"/>
  </w:num>
  <w:num w:numId="25" w16cid:durableId="1129785296">
    <w:abstractNumId w:val="7"/>
  </w:num>
  <w:num w:numId="26" w16cid:durableId="67777627">
    <w:abstractNumId w:val="10"/>
  </w:num>
  <w:num w:numId="27" w16cid:durableId="1058748198">
    <w:abstractNumId w:val="20"/>
  </w:num>
  <w:num w:numId="28" w16cid:durableId="1937713571">
    <w:abstractNumId w:val="15"/>
  </w:num>
  <w:num w:numId="29" w16cid:durableId="99688319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706"/>
    <w:rsid w:val="00003766"/>
    <w:rsid w:val="000042E9"/>
    <w:rsid w:val="0000617C"/>
    <w:rsid w:val="00007AFF"/>
    <w:rsid w:val="00017287"/>
    <w:rsid w:val="00022A5B"/>
    <w:rsid w:val="000254F6"/>
    <w:rsid w:val="00026AEB"/>
    <w:rsid w:val="00027072"/>
    <w:rsid w:val="00031F9B"/>
    <w:rsid w:val="00032995"/>
    <w:rsid w:val="00034867"/>
    <w:rsid w:val="00036988"/>
    <w:rsid w:val="00036F01"/>
    <w:rsid w:val="0004640C"/>
    <w:rsid w:val="00051622"/>
    <w:rsid w:val="000552B3"/>
    <w:rsid w:val="0006293B"/>
    <w:rsid w:val="00064C2F"/>
    <w:rsid w:val="0007067B"/>
    <w:rsid w:val="0007121F"/>
    <w:rsid w:val="00071A9A"/>
    <w:rsid w:val="0007495A"/>
    <w:rsid w:val="0008167B"/>
    <w:rsid w:val="00081D07"/>
    <w:rsid w:val="000832BB"/>
    <w:rsid w:val="00085CA4"/>
    <w:rsid w:val="00090DDB"/>
    <w:rsid w:val="00091DEB"/>
    <w:rsid w:val="00097F3B"/>
    <w:rsid w:val="000A0078"/>
    <w:rsid w:val="000A75CB"/>
    <w:rsid w:val="000B24FC"/>
    <w:rsid w:val="000B6C60"/>
    <w:rsid w:val="000B7C01"/>
    <w:rsid w:val="000C3494"/>
    <w:rsid w:val="000C57CE"/>
    <w:rsid w:val="000C7EA7"/>
    <w:rsid w:val="000D5B1E"/>
    <w:rsid w:val="000D69F4"/>
    <w:rsid w:val="000E0491"/>
    <w:rsid w:val="000E0F53"/>
    <w:rsid w:val="000E2681"/>
    <w:rsid w:val="000E599A"/>
    <w:rsid w:val="000E5C60"/>
    <w:rsid w:val="000E601E"/>
    <w:rsid w:val="000F2564"/>
    <w:rsid w:val="000F50CE"/>
    <w:rsid w:val="00101632"/>
    <w:rsid w:val="0010441B"/>
    <w:rsid w:val="0010487D"/>
    <w:rsid w:val="00106C90"/>
    <w:rsid w:val="00115EC1"/>
    <w:rsid w:val="00116696"/>
    <w:rsid w:val="001376C3"/>
    <w:rsid w:val="00140DAB"/>
    <w:rsid w:val="0014250A"/>
    <w:rsid w:val="001428A0"/>
    <w:rsid w:val="00145CF6"/>
    <w:rsid w:val="00145F22"/>
    <w:rsid w:val="00146585"/>
    <w:rsid w:val="00153C15"/>
    <w:rsid w:val="00153CD0"/>
    <w:rsid w:val="001541A2"/>
    <w:rsid w:val="001549C0"/>
    <w:rsid w:val="001654E2"/>
    <w:rsid w:val="00170307"/>
    <w:rsid w:val="00171757"/>
    <w:rsid w:val="001722BB"/>
    <w:rsid w:val="00174108"/>
    <w:rsid w:val="00184D6E"/>
    <w:rsid w:val="001854A8"/>
    <w:rsid w:val="0018647F"/>
    <w:rsid w:val="00186D6E"/>
    <w:rsid w:val="0018753C"/>
    <w:rsid w:val="00187E0F"/>
    <w:rsid w:val="0019031C"/>
    <w:rsid w:val="001913EA"/>
    <w:rsid w:val="00192E37"/>
    <w:rsid w:val="0019428E"/>
    <w:rsid w:val="0019773E"/>
    <w:rsid w:val="001A38CC"/>
    <w:rsid w:val="001A45C2"/>
    <w:rsid w:val="001A4887"/>
    <w:rsid w:val="001B314C"/>
    <w:rsid w:val="001C70E6"/>
    <w:rsid w:val="001D216A"/>
    <w:rsid w:val="001D2E82"/>
    <w:rsid w:val="001D51DA"/>
    <w:rsid w:val="001D5EEE"/>
    <w:rsid w:val="001E0C9F"/>
    <w:rsid w:val="001E216D"/>
    <w:rsid w:val="001F3E9A"/>
    <w:rsid w:val="001F5AB1"/>
    <w:rsid w:val="002044E6"/>
    <w:rsid w:val="00205DF3"/>
    <w:rsid w:val="00206632"/>
    <w:rsid w:val="00207383"/>
    <w:rsid w:val="00214D02"/>
    <w:rsid w:val="002174B0"/>
    <w:rsid w:val="00217E06"/>
    <w:rsid w:val="0022083E"/>
    <w:rsid w:val="00222D0B"/>
    <w:rsid w:val="00224842"/>
    <w:rsid w:val="00225923"/>
    <w:rsid w:val="00225F0A"/>
    <w:rsid w:val="00232ED3"/>
    <w:rsid w:val="002344A2"/>
    <w:rsid w:val="0023522E"/>
    <w:rsid w:val="00240DCE"/>
    <w:rsid w:val="00241D3D"/>
    <w:rsid w:val="0024548E"/>
    <w:rsid w:val="00246116"/>
    <w:rsid w:val="0024727A"/>
    <w:rsid w:val="00250B0F"/>
    <w:rsid w:val="00254DA8"/>
    <w:rsid w:val="00254DD6"/>
    <w:rsid w:val="0026064A"/>
    <w:rsid w:val="002632C9"/>
    <w:rsid w:val="00265714"/>
    <w:rsid w:val="00266F7C"/>
    <w:rsid w:val="002717AE"/>
    <w:rsid w:val="00272A9E"/>
    <w:rsid w:val="00272B04"/>
    <w:rsid w:val="00274A2F"/>
    <w:rsid w:val="00274C94"/>
    <w:rsid w:val="00274E42"/>
    <w:rsid w:val="00282ED3"/>
    <w:rsid w:val="00285363"/>
    <w:rsid w:val="00294D73"/>
    <w:rsid w:val="002A101F"/>
    <w:rsid w:val="002A3E55"/>
    <w:rsid w:val="002A5669"/>
    <w:rsid w:val="002A574E"/>
    <w:rsid w:val="002A7E92"/>
    <w:rsid w:val="002B1B7D"/>
    <w:rsid w:val="002B37DD"/>
    <w:rsid w:val="002B3A3A"/>
    <w:rsid w:val="002B3C0E"/>
    <w:rsid w:val="002B4C7D"/>
    <w:rsid w:val="002B5C69"/>
    <w:rsid w:val="002B6C4B"/>
    <w:rsid w:val="002C5240"/>
    <w:rsid w:val="002D16EE"/>
    <w:rsid w:val="002D221E"/>
    <w:rsid w:val="002D230B"/>
    <w:rsid w:val="002D2828"/>
    <w:rsid w:val="002E1671"/>
    <w:rsid w:val="002E3033"/>
    <w:rsid w:val="002E70E9"/>
    <w:rsid w:val="002F1D03"/>
    <w:rsid w:val="002F242B"/>
    <w:rsid w:val="002F4A66"/>
    <w:rsid w:val="002F60C0"/>
    <w:rsid w:val="002F761C"/>
    <w:rsid w:val="002F7DD4"/>
    <w:rsid w:val="003100A2"/>
    <w:rsid w:val="0031048E"/>
    <w:rsid w:val="00313A91"/>
    <w:rsid w:val="003153FD"/>
    <w:rsid w:val="00315846"/>
    <w:rsid w:val="0031654A"/>
    <w:rsid w:val="00321682"/>
    <w:rsid w:val="00321F2F"/>
    <w:rsid w:val="0032506B"/>
    <w:rsid w:val="0032724E"/>
    <w:rsid w:val="00330C0B"/>
    <w:rsid w:val="00337BCC"/>
    <w:rsid w:val="0034477D"/>
    <w:rsid w:val="0035140F"/>
    <w:rsid w:val="003523AE"/>
    <w:rsid w:val="00356C88"/>
    <w:rsid w:val="00356EA9"/>
    <w:rsid w:val="0036057F"/>
    <w:rsid w:val="003606DC"/>
    <w:rsid w:val="00360EFE"/>
    <w:rsid w:val="003622C1"/>
    <w:rsid w:val="00364541"/>
    <w:rsid w:val="003848F0"/>
    <w:rsid w:val="003879AF"/>
    <w:rsid w:val="00390881"/>
    <w:rsid w:val="00393784"/>
    <w:rsid w:val="003A0E7F"/>
    <w:rsid w:val="003B348A"/>
    <w:rsid w:val="003C19A2"/>
    <w:rsid w:val="003C4E82"/>
    <w:rsid w:val="003D38ED"/>
    <w:rsid w:val="003D4F1B"/>
    <w:rsid w:val="003D5115"/>
    <w:rsid w:val="003D54C8"/>
    <w:rsid w:val="003D6E70"/>
    <w:rsid w:val="003D747D"/>
    <w:rsid w:val="003E66DF"/>
    <w:rsid w:val="003E699D"/>
    <w:rsid w:val="003F05EE"/>
    <w:rsid w:val="003F68A6"/>
    <w:rsid w:val="00400430"/>
    <w:rsid w:val="00406032"/>
    <w:rsid w:val="00407917"/>
    <w:rsid w:val="00407E33"/>
    <w:rsid w:val="00415664"/>
    <w:rsid w:val="00423B2E"/>
    <w:rsid w:val="00423D13"/>
    <w:rsid w:val="00424CAD"/>
    <w:rsid w:val="00425987"/>
    <w:rsid w:val="0043720A"/>
    <w:rsid w:val="00443CA1"/>
    <w:rsid w:val="00444A3B"/>
    <w:rsid w:val="004454B8"/>
    <w:rsid w:val="004460E3"/>
    <w:rsid w:val="00446C04"/>
    <w:rsid w:val="0045414E"/>
    <w:rsid w:val="0045494F"/>
    <w:rsid w:val="00455958"/>
    <w:rsid w:val="004604DE"/>
    <w:rsid w:val="00460EB9"/>
    <w:rsid w:val="0046183D"/>
    <w:rsid w:val="00462D27"/>
    <w:rsid w:val="004632E9"/>
    <w:rsid w:val="0046678C"/>
    <w:rsid w:val="004675CA"/>
    <w:rsid w:val="004759EB"/>
    <w:rsid w:val="00482CF9"/>
    <w:rsid w:val="004859D9"/>
    <w:rsid w:val="00492D9B"/>
    <w:rsid w:val="00496290"/>
    <w:rsid w:val="004A067B"/>
    <w:rsid w:val="004A7856"/>
    <w:rsid w:val="004B0348"/>
    <w:rsid w:val="004B4254"/>
    <w:rsid w:val="004B46CD"/>
    <w:rsid w:val="004B5157"/>
    <w:rsid w:val="004B55CF"/>
    <w:rsid w:val="004B755B"/>
    <w:rsid w:val="004D0A1A"/>
    <w:rsid w:val="004D3B0F"/>
    <w:rsid w:val="004D72B8"/>
    <w:rsid w:val="004E024A"/>
    <w:rsid w:val="004E025B"/>
    <w:rsid w:val="004E1262"/>
    <w:rsid w:val="004E23A9"/>
    <w:rsid w:val="004E464D"/>
    <w:rsid w:val="004E5181"/>
    <w:rsid w:val="004E75D2"/>
    <w:rsid w:val="004F30CD"/>
    <w:rsid w:val="004F3308"/>
    <w:rsid w:val="004F6147"/>
    <w:rsid w:val="00501F80"/>
    <w:rsid w:val="00512647"/>
    <w:rsid w:val="00515CA7"/>
    <w:rsid w:val="00516B0E"/>
    <w:rsid w:val="00523400"/>
    <w:rsid w:val="005243FA"/>
    <w:rsid w:val="00524BED"/>
    <w:rsid w:val="00525111"/>
    <w:rsid w:val="00527381"/>
    <w:rsid w:val="00527D1B"/>
    <w:rsid w:val="005419C2"/>
    <w:rsid w:val="005467B7"/>
    <w:rsid w:val="00546CBE"/>
    <w:rsid w:val="00547CBE"/>
    <w:rsid w:val="00551B71"/>
    <w:rsid w:val="005625B5"/>
    <w:rsid w:val="005666ED"/>
    <w:rsid w:val="005706FD"/>
    <w:rsid w:val="00570BA7"/>
    <w:rsid w:val="00572521"/>
    <w:rsid w:val="00575664"/>
    <w:rsid w:val="005777BC"/>
    <w:rsid w:val="005837DE"/>
    <w:rsid w:val="00584B74"/>
    <w:rsid w:val="00594B78"/>
    <w:rsid w:val="005962FA"/>
    <w:rsid w:val="005A0931"/>
    <w:rsid w:val="005A1B5C"/>
    <w:rsid w:val="005A30E6"/>
    <w:rsid w:val="005A5647"/>
    <w:rsid w:val="005B5A79"/>
    <w:rsid w:val="005B798D"/>
    <w:rsid w:val="005C0D35"/>
    <w:rsid w:val="005C111D"/>
    <w:rsid w:val="005C1EB8"/>
    <w:rsid w:val="005C2F6F"/>
    <w:rsid w:val="005D1DBA"/>
    <w:rsid w:val="005D27F7"/>
    <w:rsid w:val="005D3B5C"/>
    <w:rsid w:val="005D4B73"/>
    <w:rsid w:val="005E0807"/>
    <w:rsid w:val="005E167A"/>
    <w:rsid w:val="005E182B"/>
    <w:rsid w:val="005E1F73"/>
    <w:rsid w:val="005E5F5F"/>
    <w:rsid w:val="005F3598"/>
    <w:rsid w:val="005F3A9F"/>
    <w:rsid w:val="00600CB1"/>
    <w:rsid w:val="00603DDF"/>
    <w:rsid w:val="00604A64"/>
    <w:rsid w:val="00605519"/>
    <w:rsid w:val="00607188"/>
    <w:rsid w:val="00610D81"/>
    <w:rsid w:val="00610DAC"/>
    <w:rsid w:val="0061283E"/>
    <w:rsid w:val="00612AD0"/>
    <w:rsid w:val="006142B4"/>
    <w:rsid w:val="00614669"/>
    <w:rsid w:val="00616AB3"/>
    <w:rsid w:val="00623171"/>
    <w:rsid w:val="00625643"/>
    <w:rsid w:val="00626A1F"/>
    <w:rsid w:val="006337C7"/>
    <w:rsid w:val="0064021F"/>
    <w:rsid w:val="00640D20"/>
    <w:rsid w:val="006420DE"/>
    <w:rsid w:val="00646C45"/>
    <w:rsid w:val="00650E63"/>
    <w:rsid w:val="00651886"/>
    <w:rsid w:val="006548E5"/>
    <w:rsid w:val="0066003E"/>
    <w:rsid w:val="0066416C"/>
    <w:rsid w:val="0066486A"/>
    <w:rsid w:val="00664EC4"/>
    <w:rsid w:val="00664F17"/>
    <w:rsid w:val="00671D1D"/>
    <w:rsid w:val="00671F42"/>
    <w:rsid w:val="00671FC8"/>
    <w:rsid w:val="00674C47"/>
    <w:rsid w:val="00675378"/>
    <w:rsid w:val="0067606E"/>
    <w:rsid w:val="0068286F"/>
    <w:rsid w:val="00695B12"/>
    <w:rsid w:val="00697567"/>
    <w:rsid w:val="006A0885"/>
    <w:rsid w:val="006A2218"/>
    <w:rsid w:val="006A6FF5"/>
    <w:rsid w:val="006C3AB8"/>
    <w:rsid w:val="006C4C9C"/>
    <w:rsid w:val="006C54A5"/>
    <w:rsid w:val="006C5B52"/>
    <w:rsid w:val="006C6973"/>
    <w:rsid w:val="006C7D25"/>
    <w:rsid w:val="006D14EF"/>
    <w:rsid w:val="006D2221"/>
    <w:rsid w:val="006D53C4"/>
    <w:rsid w:val="006E1636"/>
    <w:rsid w:val="006E1E6A"/>
    <w:rsid w:val="006E294F"/>
    <w:rsid w:val="006E4001"/>
    <w:rsid w:val="006E4881"/>
    <w:rsid w:val="006E64BF"/>
    <w:rsid w:val="006F4D42"/>
    <w:rsid w:val="006F58A5"/>
    <w:rsid w:val="00703734"/>
    <w:rsid w:val="00706005"/>
    <w:rsid w:val="00711349"/>
    <w:rsid w:val="00715079"/>
    <w:rsid w:val="00723C5D"/>
    <w:rsid w:val="0072548E"/>
    <w:rsid w:val="00727BF5"/>
    <w:rsid w:val="00731154"/>
    <w:rsid w:val="00732169"/>
    <w:rsid w:val="0073362E"/>
    <w:rsid w:val="00733BEB"/>
    <w:rsid w:val="00735ACE"/>
    <w:rsid w:val="00735E74"/>
    <w:rsid w:val="007360A6"/>
    <w:rsid w:val="00736D75"/>
    <w:rsid w:val="0073786E"/>
    <w:rsid w:val="00745DA6"/>
    <w:rsid w:val="00746049"/>
    <w:rsid w:val="00746678"/>
    <w:rsid w:val="00752D2C"/>
    <w:rsid w:val="00752D41"/>
    <w:rsid w:val="007535A7"/>
    <w:rsid w:val="00766A2E"/>
    <w:rsid w:val="00771C01"/>
    <w:rsid w:val="00773050"/>
    <w:rsid w:val="00776E30"/>
    <w:rsid w:val="00777576"/>
    <w:rsid w:val="00781A22"/>
    <w:rsid w:val="00781C9A"/>
    <w:rsid w:val="00782B24"/>
    <w:rsid w:val="007833EE"/>
    <w:rsid w:val="0079385D"/>
    <w:rsid w:val="0079754A"/>
    <w:rsid w:val="007A3806"/>
    <w:rsid w:val="007A536C"/>
    <w:rsid w:val="007B3A87"/>
    <w:rsid w:val="007B553F"/>
    <w:rsid w:val="007B76F8"/>
    <w:rsid w:val="007C60D4"/>
    <w:rsid w:val="007C651F"/>
    <w:rsid w:val="007D7AE2"/>
    <w:rsid w:val="007F4683"/>
    <w:rsid w:val="00803CC5"/>
    <w:rsid w:val="00806473"/>
    <w:rsid w:val="00813E60"/>
    <w:rsid w:val="00821409"/>
    <w:rsid w:val="008261A4"/>
    <w:rsid w:val="00826293"/>
    <w:rsid w:val="00840965"/>
    <w:rsid w:val="0084533F"/>
    <w:rsid w:val="0084745E"/>
    <w:rsid w:val="00847A67"/>
    <w:rsid w:val="008527AF"/>
    <w:rsid w:val="00853A7A"/>
    <w:rsid w:val="00861DA8"/>
    <w:rsid w:val="0086274C"/>
    <w:rsid w:val="00864A08"/>
    <w:rsid w:val="008653E9"/>
    <w:rsid w:val="00866E7C"/>
    <w:rsid w:val="008676FD"/>
    <w:rsid w:val="0087187A"/>
    <w:rsid w:val="00872DFF"/>
    <w:rsid w:val="00873B9B"/>
    <w:rsid w:val="00873EC4"/>
    <w:rsid w:val="0087402E"/>
    <w:rsid w:val="00877958"/>
    <w:rsid w:val="00881EF4"/>
    <w:rsid w:val="00883A46"/>
    <w:rsid w:val="00883FFD"/>
    <w:rsid w:val="00891458"/>
    <w:rsid w:val="00892B6E"/>
    <w:rsid w:val="00894E3D"/>
    <w:rsid w:val="008A5808"/>
    <w:rsid w:val="008B7B1E"/>
    <w:rsid w:val="008C1724"/>
    <w:rsid w:val="008C3B21"/>
    <w:rsid w:val="008C776C"/>
    <w:rsid w:val="008D1ED9"/>
    <w:rsid w:val="008D48FF"/>
    <w:rsid w:val="008E3C31"/>
    <w:rsid w:val="008E5902"/>
    <w:rsid w:val="008E5E4B"/>
    <w:rsid w:val="008E6066"/>
    <w:rsid w:val="00903D3C"/>
    <w:rsid w:val="009059E9"/>
    <w:rsid w:val="00911D0C"/>
    <w:rsid w:val="00915040"/>
    <w:rsid w:val="0091556D"/>
    <w:rsid w:val="00917329"/>
    <w:rsid w:val="0092292E"/>
    <w:rsid w:val="009316A2"/>
    <w:rsid w:val="009327DE"/>
    <w:rsid w:val="00942495"/>
    <w:rsid w:val="0094481E"/>
    <w:rsid w:val="009468E5"/>
    <w:rsid w:val="00947977"/>
    <w:rsid w:val="0095203B"/>
    <w:rsid w:val="00952B29"/>
    <w:rsid w:val="009540B3"/>
    <w:rsid w:val="00957738"/>
    <w:rsid w:val="00957DC1"/>
    <w:rsid w:val="00960D98"/>
    <w:rsid w:val="00966C93"/>
    <w:rsid w:val="00974B08"/>
    <w:rsid w:val="0098090B"/>
    <w:rsid w:val="009830D1"/>
    <w:rsid w:val="00985EDA"/>
    <w:rsid w:val="0098695D"/>
    <w:rsid w:val="00991E93"/>
    <w:rsid w:val="009A1BCE"/>
    <w:rsid w:val="009A266C"/>
    <w:rsid w:val="009A549D"/>
    <w:rsid w:val="009A5F87"/>
    <w:rsid w:val="009A64AF"/>
    <w:rsid w:val="009A6661"/>
    <w:rsid w:val="009B0F59"/>
    <w:rsid w:val="009B1503"/>
    <w:rsid w:val="009B21C1"/>
    <w:rsid w:val="009B4687"/>
    <w:rsid w:val="009B48C1"/>
    <w:rsid w:val="009B4C79"/>
    <w:rsid w:val="009D31A0"/>
    <w:rsid w:val="009D337B"/>
    <w:rsid w:val="009E0C36"/>
    <w:rsid w:val="009F7822"/>
    <w:rsid w:val="00A10652"/>
    <w:rsid w:val="00A12D6F"/>
    <w:rsid w:val="00A2306A"/>
    <w:rsid w:val="00A267F3"/>
    <w:rsid w:val="00A3315F"/>
    <w:rsid w:val="00A3332F"/>
    <w:rsid w:val="00A41C7E"/>
    <w:rsid w:val="00A42F06"/>
    <w:rsid w:val="00A46CDB"/>
    <w:rsid w:val="00A47FB9"/>
    <w:rsid w:val="00A52F3D"/>
    <w:rsid w:val="00A5440E"/>
    <w:rsid w:val="00A6365B"/>
    <w:rsid w:val="00A65F3C"/>
    <w:rsid w:val="00A731BB"/>
    <w:rsid w:val="00A733F1"/>
    <w:rsid w:val="00A736EE"/>
    <w:rsid w:val="00A80CB3"/>
    <w:rsid w:val="00A87EB9"/>
    <w:rsid w:val="00A9136A"/>
    <w:rsid w:val="00A950BB"/>
    <w:rsid w:val="00AA5432"/>
    <w:rsid w:val="00AA547E"/>
    <w:rsid w:val="00AA560F"/>
    <w:rsid w:val="00AA740C"/>
    <w:rsid w:val="00AB44A1"/>
    <w:rsid w:val="00AC04E2"/>
    <w:rsid w:val="00AC3B91"/>
    <w:rsid w:val="00AD0671"/>
    <w:rsid w:val="00AD22BA"/>
    <w:rsid w:val="00AD2A45"/>
    <w:rsid w:val="00AD473E"/>
    <w:rsid w:val="00AE08ED"/>
    <w:rsid w:val="00AE43A2"/>
    <w:rsid w:val="00AE442B"/>
    <w:rsid w:val="00AE6C19"/>
    <w:rsid w:val="00AF1780"/>
    <w:rsid w:val="00AF5640"/>
    <w:rsid w:val="00AF6C34"/>
    <w:rsid w:val="00B010DC"/>
    <w:rsid w:val="00B03256"/>
    <w:rsid w:val="00B04478"/>
    <w:rsid w:val="00B06BBE"/>
    <w:rsid w:val="00B11455"/>
    <w:rsid w:val="00B13E23"/>
    <w:rsid w:val="00B15C01"/>
    <w:rsid w:val="00B17F38"/>
    <w:rsid w:val="00B201F0"/>
    <w:rsid w:val="00B216A1"/>
    <w:rsid w:val="00B237ED"/>
    <w:rsid w:val="00B251DB"/>
    <w:rsid w:val="00B26C25"/>
    <w:rsid w:val="00B26D06"/>
    <w:rsid w:val="00B35C0C"/>
    <w:rsid w:val="00B43C2C"/>
    <w:rsid w:val="00B445EA"/>
    <w:rsid w:val="00B45126"/>
    <w:rsid w:val="00B455DD"/>
    <w:rsid w:val="00B4602B"/>
    <w:rsid w:val="00B55B9C"/>
    <w:rsid w:val="00B62D06"/>
    <w:rsid w:val="00B633FB"/>
    <w:rsid w:val="00B74748"/>
    <w:rsid w:val="00B8021B"/>
    <w:rsid w:val="00B8152E"/>
    <w:rsid w:val="00B81C11"/>
    <w:rsid w:val="00B850D5"/>
    <w:rsid w:val="00B9099B"/>
    <w:rsid w:val="00B90D21"/>
    <w:rsid w:val="00B90E0C"/>
    <w:rsid w:val="00BA0B22"/>
    <w:rsid w:val="00BA386A"/>
    <w:rsid w:val="00BA6DFB"/>
    <w:rsid w:val="00BA7DF5"/>
    <w:rsid w:val="00BB350F"/>
    <w:rsid w:val="00BB76F1"/>
    <w:rsid w:val="00BC39C1"/>
    <w:rsid w:val="00BC4462"/>
    <w:rsid w:val="00BC53E7"/>
    <w:rsid w:val="00BD0F8A"/>
    <w:rsid w:val="00BE1CB4"/>
    <w:rsid w:val="00BE1F9A"/>
    <w:rsid w:val="00BE24F3"/>
    <w:rsid w:val="00BE53C7"/>
    <w:rsid w:val="00BE6EEA"/>
    <w:rsid w:val="00BF092F"/>
    <w:rsid w:val="00BF55BE"/>
    <w:rsid w:val="00C00703"/>
    <w:rsid w:val="00C051DD"/>
    <w:rsid w:val="00C13BF1"/>
    <w:rsid w:val="00C157DC"/>
    <w:rsid w:val="00C16A60"/>
    <w:rsid w:val="00C17230"/>
    <w:rsid w:val="00C235A7"/>
    <w:rsid w:val="00C24367"/>
    <w:rsid w:val="00C2783B"/>
    <w:rsid w:val="00C27BBB"/>
    <w:rsid w:val="00C33C75"/>
    <w:rsid w:val="00C375D5"/>
    <w:rsid w:val="00C425EB"/>
    <w:rsid w:val="00C43D48"/>
    <w:rsid w:val="00C46488"/>
    <w:rsid w:val="00C46C9D"/>
    <w:rsid w:val="00C50A9A"/>
    <w:rsid w:val="00C5203F"/>
    <w:rsid w:val="00C56C6D"/>
    <w:rsid w:val="00C601C8"/>
    <w:rsid w:val="00C6046A"/>
    <w:rsid w:val="00C65E4E"/>
    <w:rsid w:val="00C66984"/>
    <w:rsid w:val="00C74CFB"/>
    <w:rsid w:val="00C80DD5"/>
    <w:rsid w:val="00C82A41"/>
    <w:rsid w:val="00C83402"/>
    <w:rsid w:val="00C83E33"/>
    <w:rsid w:val="00C92490"/>
    <w:rsid w:val="00C937D8"/>
    <w:rsid w:val="00C97668"/>
    <w:rsid w:val="00C9785B"/>
    <w:rsid w:val="00CB095A"/>
    <w:rsid w:val="00CB2DE1"/>
    <w:rsid w:val="00CB47D6"/>
    <w:rsid w:val="00CB71FF"/>
    <w:rsid w:val="00CB7499"/>
    <w:rsid w:val="00CB77FA"/>
    <w:rsid w:val="00CB79A8"/>
    <w:rsid w:val="00CC6379"/>
    <w:rsid w:val="00CD312C"/>
    <w:rsid w:val="00CE4789"/>
    <w:rsid w:val="00CE59AE"/>
    <w:rsid w:val="00CE6413"/>
    <w:rsid w:val="00CE6BBD"/>
    <w:rsid w:val="00CE7F17"/>
    <w:rsid w:val="00CF7658"/>
    <w:rsid w:val="00D074DD"/>
    <w:rsid w:val="00D10678"/>
    <w:rsid w:val="00D11EB3"/>
    <w:rsid w:val="00D122AB"/>
    <w:rsid w:val="00D13038"/>
    <w:rsid w:val="00D20072"/>
    <w:rsid w:val="00D21535"/>
    <w:rsid w:val="00D220CF"/>
    <w:rsid w:val="00D27B99"/>
    <w:rsid w:val="00D34063"/>
    <w:rsid w:val="00D42232"/>
    <w:rsid w:val="00D4251A"/>
    <w:rsid w:val="00D457CD"/>
    <w:rsid w:val="00D45D7B"/>
    <w:rsid w:val="00D5456B"/>
    <w:rsid w:val="00D5462E"/>
    <w:rsid w:val="00D5718B"/>
    <w:rsid w:val="00D5755A"/>
    <w:rsid w:val="00D57880"/>
    <w:rsid w:val="00D60F61"/>
    <w:rsid w:val="00D64BFA"/>
    <w:rsid w:val="00D73789"/>
    <w:rsid w:val="00D76706"/>
    <w:rsid w:val="00D77674"/>
    <w:rsid w:val="00D8165A"/>
    <w:rsid w:val="00D83710"/>
    <w:rsid w:val="00D841E9"/>
    <w:rsid w:val="00D87E60"/>
    <w:rsid w:val="00D9122B"/>
    <w:rsid w:val="00D9211D"/>
    <w:rsid w:val="00D9455D"/>
    <w:rsid w:val="00DA31F9"/>
    <w:rsid w:val="00DB1F98"/>
    <w:rsid w:val="00DB3547"/>
    <w:rsid w:val="00DD41C7"/>
    <w:rsid w:val="00DD5116"/>
    <w:rsid w:val="00DD7A0C"/>
    <w:rsid w:val="00DE0404"/>
    <w:rsid w:val="00DE04A8"/>
    <w:rsid w:val="00DE1060"/>
    <w:rsid w:val="00DE766E"/>
    <w:rsid w:val="00DF2A06"/>
    <w:rsid w:val="00DF340B"/>
    <w:rsid w:val="00E01D7D"/>
    <w:rsid w:val="00E024DD"/>
    <w:rsid w:val="00E0372B"/>
    <w:rsid w:val="00E04DA0"/>
    <w:rsid w:val="00E05F77"/>
    <w:rsid w:val="00E07498"/>
    <w:rsid w:val="00E11B00"/>
    <w:rsid w:val="00E14E96"/>
    <w:rsid w:val="00E14F58"/>
    <w:rsid w:val="00E173AE"/>
    <w:rsid w:val="00E25F2F"/>
    <w:rsid w:val="00E27DE6"/>
    <w:rsid w:val="00E3027E"/>
    <w:rsid w:val="00E3390F"/>
    <w:rsid w:val="00E37443"/>
    <w:rsid w:val="00E37508"/>
    <w:rsid w:val="00E41B34"/>
    <w:rsid w:val="00E43809"/>
    <w:rsid w:val="00E473AB"/>
    <w:rsid w:val="00E50177"/>
    <w:rsid w:val="00E51EC5"/>
    <w:rsid w:val="00E550E7"/>
    <w:rsid w:val="00E56D7A"/>
    <w:rsid w:val="00E57994"/>
    <w:rsid w:val="00E6379B"/>
    <w:rsid w:val="00E649B9"/>
    <w:rsid w:val="00E67BAB"/>
    <w:rsid w:val="00E67DFE"/>
    <w:rsid w:val="00E70828"/>
    <w:rsid w:val="00E70EC5"/>
    <w:rsid w:val="00E71875"/>
    <w:rsid w:val="00E718C6"/>
    <w:rsid w:val="00E71FC9"/>
    <w:rsid w:val="00E72048"/>
    <w:rsid w:val="00E7282E"/>
    <w:rsid w:val="00E73144"/>
    <w:rsid w:val="00E92E19"/>
    <w:rsid w:val="00E95372"/>
    <w:rsid w:val="00EA0739"/>
    <w:rsid w:val="00EA15EA"/>
    <w:rsid w:val="00EA19E7"/>
    <w:rsid w:val="00EA792A"/>
    <w:rsid w:val="00EB1E3B"/>
    <w:rsid w:val="00EB2A69"/>
    <w:rsid w:val="00EC0651"/>
    <w:rsid w:val="00ED453A"/>
    <w:rsid w:val="00EE014A"/>
    <w:rsid w:val="00EE1F4B"/>
    <w:rsid w:val="00EE2A3E"/>
    <w:rsid w:val="00EE3528"/>
    <w:rsid w:val="00EE3546"/>
    <w:rsid w:val="00EE4350"/>
    <w:rsid w:val="00EE6439"/>
    <w:rsid w:val="00EE6618"/>
    <w:rsid w:val="00EF1E7F"/>
    <w:rsid w:val="00EF21C4"/>
    <w:rsid w:val="00F05061"/>
    <w:rsid w:val="00F110BA"/>
    <w:rsid w:val="00F14BD2"/>
    <w:rsid w:val="00F15534"/>
    <w:rsid w:val="00F16FE0"/>
    <w:rsid w:val="00F22BB9"/>
    <w:rsid w:val="00F247F9"/>
    <w:rsid w:val="00F32757"/>
    <w:rsid w:val="00F44C29"/>
    <w:rsid w:val="00F4751D"/>
    <w:rsid w:val="00F50FA6"/>
    <w:rsid w:val="00F534EF"/>
    <w:rsid w:val="00F53CC5"/>
    <w:rsid w:val="00F6121C"/>
    <w:rsid w:val="00F62AC1"/>
    <w:rsid w:val="00F62B4E"/>
    <w:rsid w:val="00F66A4B"/>
    <w:rsid w:val="00F735DC"/>
    <w:rsid w:val="00F75C42"/>
    <w:rsid w:val="00F822D0"/>
    <w:rsid w:val="00F82FAE"/>
    <w:rsid w:val="00F83535"/>
    <w:rsid w:val="00F86ADC"/>
    <w:rsid w:val="00F86CE5"/>
    <w:rsid w:val="00F92DC2"/>
    <w:rsid w:val="00F93189"/>
    <w:rsid w:val="00F93C45"/>
    <w:rsid w:val="00F95FF8"/>
    <w:rsid w:val="00F971D9"/>
    <w:rsid w:val="00FA14FE"/>
    <w:rsid w:val="00FA4E30"/>
    <w:rsid w:val="00FB444C"/>
    <w:rsid w:val="00FB62DB"/>
    <w:rsid w:val="00FC3537"/>
    <w:rsid w:val="00FD4F34"/>
    <w:rsid w:val="00FE4569"/>
    <w:rsid w:val="00FE7DB2"/>
    <w:rsid w:val="00FF33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B769A"/>
  <w15:chartTrackingRefBased/>
  <w15:docId w15:val="{CEA865F0-B735-4D99-94E3-FD7F0D7E9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766"/>
    <w:pPr>
      <w:spacing w:before="120" w:after="120" w:line="240" w:lineRule="auto"/>
    </w:pPr>
    <w:rPr>
      <w:sz w:val="20"/>
    </w:rPr>
  </w:style>
  <w:style w:type="paragraph" w:styleId="Heading1">
    <w:name w:val="heading 1"/>
    <w:basedOn w:val="Normal"/>
    <w:next w:val="Normal"/>
    <w:link w:val="Heading1Char"/>
    <w:uiPriority w:val="9"/>
    <w:qFormat/>
    <w:rsid w:val="00B90D21"/>
    <w:pPr>
      <w:keepNext/>
      <w:keepLines/>
      <w:contextualSpacing/>
      <w:outlineLvl w:val="0"/>
    </w:pPr>
    <w:rPr>
      <w:rFonts w:asciiTheme="majorHAnsi" w:eastAsiaTheme="majorEastAsia" w:hAnsiTheme="majorHAnsi" w:cstheme="majorBidi"/>
      <w:color w:val="0B474D"/>
      <w:sz w:val="72"/>
      <w:szCs w:val="32"/>
    </w:rPr>
  </w:style>
  <w:style w:type="paragraph" w:styleId="Heading2">
    <w:name w:val="heading 2"/>
    <w:basedOn w:val="Normal"/>
    <w:next w:val="Normal"/>
    <w:link w:val="Heading2Char"/>
    <w:uiPriority w:val="9"/>
    <w:unhideWhenUsed/>
    <w:qFormat/>
    <w:rsid w:val="00B90D21"/>
    <w:pPr>
      <w:keepNext/>
      <w:keepLines/>
      <w:spacing w:before="360"/>
      <w:outlineLvl w:val="1"/>
    </w:pPr>
    <w:rPr>
      <w:rFonts w:asciiTheme="majorHAnsi" w:eastAsiaTheme="majorEastAsia" w:hAnsiTheme="majorHAnsi" w:cstheme="majorBidi"/>
      <w:color w:val="0B474D"/>
      <w:sz w:val="48"/>
      <w:szCs w:val="48"/>
    </w:rPr>
  </w:style>
  <w:style w:type="paragraph" w:styleId="Heading3">
    <w:name w:val="heading 3"/>
    <w:basedOn w:val="Normal"/>
    <w:next w:val="Normal"/>
    <w:link w:val="Heading3Char"/>
    <w:uiPriority w:val="9"/>
    <w:unhideWhenUsed/>
    <w:qFormat/>
    <w:rsid w:val="00B90D21"/>
    <w:pPr>
      <w:keepNext/>
      <w:keepLines/>
      <w:spacing w:before="240"/>
      <w:outlineLvl w:val="2"/>
    </w:pPr>
    <w:rPr>
      <w:rFonts w:asciiTheme="majorHAnsi" w:eastAsiaTheme="majorEastAsia" w:hAnsiTheme="majorHAnsi" w:cstheme="majorBidi"/>
      <w:color w:val="0B474D"/>
      <w:sz w:val="40"/>
      <w:szCs w:val="40"/>
    </w:rPr>
  </w:style>
  <w:style w:type="paragraph" w:styleId="Heading4">
    <w:name w:val="heading 4"/>
    <w:basedOn w:val="Normal"/>
    <w:next w:val="Normal"/>
    <w:link w:val="Heading4Char"/>
    <w:uiPriority w:val="9"/>
    <w:unhideWhenUsed/>
    <w:qFormat/>
    <w:rsid w:val="00B90D21"/>
    <w:pPr>
      <w:keepNext/>
      <w:keepLines/>
      <w:spacing w:before="240"/>
      <w:outlineLvl w:val="3"/>
    </w:pPr>
    <w:rPr>
      <w:rFonts w:asciiTheme="majorHAnsi" w:eastAsiaTheme="majorEastAsia" w:hAnsiTheme="majorHAnsi" w:cstheme="majorBidi"/>
      <w:iCs/>
      <w:color w:val="0B474D"/>
      <w:sz w:val="32"/>
      <w:szCs w:val="28"/>
    </w:rPr>
  </w:style>
  <w:style w:type="paragraph" w:styleId="Heading5">
    <w:name w:val="heading 5"/>
    <w:basedOn w:val="Normal"/>
    <w:next w:val="Normal"/>
    <w:link w:val="Heading5Char"/>
    <w:uiPriority w:val="9"/>
    <w:unhideWhenUsed/>
    <w:qFormat/>
    <w:rsid w:val="00B90D21"/>
    <w:pPr>
      <w:keepNext/>
      <w:keepLines/>
      <w:spacing w:before="240"/>
      <w:outlineLvl w:val="4"/>
    </w:pPr>
    <w:rPr>
      <w:rFonts w:asciiTheme="majorHAnsi" w:eastAsiaTheme="majorEastAsia" w:hAnsiTheme="majorHAnsi" w:cstheme="majorBidi"/>
      <w:color w:val="0B474D"/>
      <w:sz w:val="26"/>
      <w:szCs w:val="26"/>
    </w:rPr>
  </w:style>
  <w:style w:type="paragraph" w:styleId="Heading6">
    <w:name w:val="heading 6"/>
    <w:basedOn w:val="Normal"/>
    <w:next w:val="Normal"/>
    <w:link w:val="Heading6Char"/>
    <w:uiPriority w:val="9"/>
    <w:unhideWhenUsed/>
    <w:qFormat/>
    <w:rsid w:val="00C50A9A"/>
    <w:pPr>
      <w:keepNext/>
      <w:keepLines/>
      <w:spacing w:before="240"/>
      <w:outlineLvl w:val="5"/>
    </w:pPr>
    <w:rPr>
      <w:rFonts w:asciiTheme="majorHAnsi" w:eastAsiaTheme="majorEastAsia" w:hAnsiTheme="majorHAnsi" w:cstheme="majorBidi"/>
      <w:color w:val="000000" w:themeColor="text1"/>
      <w:sz w:val="24"/>
    </w:rPr>
  </w:style>
  <w:style w:type="paragraph" w:styleId="Heading7">
    <w:name w:val="heading 7"/>
    <w:basedOn w:val="Normal"/>
    <w:next w:val="Normal"/>
    <w:link w:val="Heading7Char"/>
    <w:uiPriority w:val="9"/>
    <w:unhideWhenUsed/>
    <w:qFormat/>
    <w:rsid w:val="00C50A9A"/>
    <w:pPr>
      <w:keepNext/>
      <w:keepLines/>
      <w:spacing w:before="240"/>
      <w:outlineLvl w:val="6"/>
    </w:pPr>
    <w:rPr>
      <w:rFonts w:asciiTheme="majorHAnsi" w:eastAsiaTheme="majorEastAsia" w:hAnsiTheme="majorHAnsi" w:cstheme="majorBidi"/>
      <w:b/>
      <w:iCs/>
      <w:color w:val="001B35" w:themeColor="accent1"/>
      <w:sz w:val="22"/>
    </w:rPr>
  </w:style>
  <w:style w:type="paragraph" w:styleId="Heading8">
    <w:name w:val="heading 8"/>
    <w:basedOn w:val="Normal"/>
    <w:next w:val="Normal"/>
    <w:link w:val="Heading8Char"/>
    <w:uiPriority w:val="9"/>
    <w:unhideWhenUsed/>
    <w:qFormat/>
    <w:rsid w:val="00C50A9A"/>
    <w:pPr>
      <w:keepNext/>
      <w:keepLines/>
      <w:spacing w:before="24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B90D21"/>
    <w:rPr>
      <w:rFonts w:asciiTheme="majorHAnsi" w:eastAsiaTheme="majorEastAsia" w:hAnsiTheme="majorHAnsi" w:cstheme="majorBidi"/>
      <w:color w:val="0B474D"/>
      <w:sz w:val="72"/>
      <w:szCs w:val="32"/>
    </w:rPr>
  </w:style>
  <w:style w:type="table" w:customStyle="1" w:styleId="Verticaltable">
    <w:name w:val="Vertical table"/>
    <w:basedOn w:val="TableNormal"/>
    <w:uiPriority w:val="99"/>
    <w:rsid w:val="00AD22BA"/>
    <w:pPr>
      <w:spacing w:after="0" w:line="240" w:lineRule="auto"/>
    </w:pPr>
    <w:tblPr>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lastRow">
      <w:rPr>
        <w:b w:val="0"/>
      </w:rPr>
    </w:tblStylePr>
    <w:tblStylePr w:type="firstCol">
      <w:rPr>
        <w:b/>
        <w:color w:val="FFFFFF" w:themeColor="background1"/>
      </w:rPr>
      <w:tblPr/>
      <w:tcPr>
        <w:shd w:val="clear" w:color="auto" w:fill="15659B" w:themeFill="accent4"/>
      </w:tcPr>
    </w:tblStylePr>
  </w:style>
  <w:style w:type="character" w:styleId="FollowedHyperlink">
    <w:name w:val="FollowedHyperlink"/>
    <w:basedOn w:val="DefaultParagraphFont"/>
    <w:uiPriority w:val="99"/>
    <w:semiHidden/>
    <w:unhideWhenUsed/>
    <w:rsid w:val="00872DFF"/>
    <w:rPr>
      <w:color w:val="954F72" w:themeColor="followedHyperlink"/>
      <w:u w:val="single"/>
    </w:rPr>
  </w:style>
  <w:style w:type="paragraph" w:styleId="Subtitle">
    <w:name w:val="Subtitle"/>
    <w:basedOn w:val="Normal"/>
    <w:next w:val="Normal"/>
    <w:link w:val="SubtitleChar"/>
    <w:uiPriority w:val="11"/>
    <w:qFormat/>
    <w:rsid w:val="00960D98"/>
    <w:pPr>
      <w:numPr>
        <w:ilvl w:val="1"/>
      </w:numPr>
    </w:pPr>
    <w:rPr>
      <w:rFonts w:eastAsiaTheme="minorEastAsia"/>
      <w:color w:val="15659B" w:themeColor="accent4"/>
      <w:sz w:val="40"/>
    </w:rPr>
  </w:style>
  <w:style w:type="character" w:customStyle="1" w:styleId="SubtitleChar">
    <w:name w:val="Subtitle Char"/>
    <w:basedOn w:val="DefaultParagraphFont"/>
    <w:link w:val="Subtitle"/>
    <w:uiPriority w:val="11"/>
    <w:rsid w:val="00960D98"/>
    <w:rPr>
      <w:rFonts w:eastAsiaTheme="minorEastAsia"/>
      <w:color w:val="15659B" w:themeColor="accent4"/>
      <w:sz w:val="40"/>
    </w:rPr>
  </w:style>
  <w:style w:type="character" w:customStyle="1" w:styleId="Heading2Char">
    <w:name w:val="Heading 2 Char"/>
    <w:basedOn w:val="DefaultParagraphFont"/>
    <w:link w:val="Heading2"/>
    <w:uiPriority w:val="9"/>
    <w:rsid w:val="00B90D21"/>
    <w:rPr>
      <w:rFonts w:asciiTheme="majorHAnsi" w:eastAsiaTheme="majorEastAsia" w:hAnsiTheme="majorHAnsi" w:cstheme="majorBidi"/>
      <w:color w:val="0B474D"/>
      <w:sz w:val="48"/>
      <w:szCs w:val="48"/>
    </w:rPr>
  </w:style>
  <w:style w:type="character" w:customStyle="1" w:styleId="Heading3Char">
    <w:name w:val="Heading 3 Char"/>
    <w:basedOn w:val="DefaultParagraphFont"/>
    <w:link w:val="Heading3"/>
    <w:uiPriority w:val="9"/>
    <w:rsid w:val="00B90D21"/>
    <w:rPr>
      <w:rFonts w:asciiTheme="majorHAnsi" w:eastAsiaTheme="majorEastAsia" w:hAnsiTheme="majorHAnsi" w:cstheme="majorBidi"/>
      <w:color w:val="0B474D"/>
      <w:sz w:val="40"/>
      <w:szCs w:val="40"/>
    </w:rPr>
  </w:style>
  <w:style w:type="character" w:customStyle="1" w:styleId="Heading4Char">
    <w:name w:val="Heading 4 Char"/>
    <w:basedOn w:val="DefaultParagraphFont"/>
    <w:link w:val="Heading4"/>
    <w:uiPriority w:val="9"/>
    <w:rsid w:val="00B90D21"/>
    <w:rPr>
      <w:rFonts w:asciiTheme="majorHAnsi" w:eastAsiaTheme="majorEastAsia" w:hAnsiTheme="majorHAnsi" w:cstheme="majorBidi"/>
      <w:iCs/>
      <w:color w:val="0B474D"/>
      <w:sz w:val="32"/>
      <w:szCs w:val="28"/>
    </w:rPr>
  </w:style>
  <w:style w:type="character" w:customStyle="1" w:styleId="Heading5Char">
    <w:name w:val="Heading 5 Char"/>
    <w:basedOn w:val="DefaultParagraphFont"/>
    <w:link w:val="Heading5"/>
    <w:uiPriority w:val="9"/>
    <w:rsid w:val="00B90D21"/>
    <w:rPr>
      <w:rFonts w:asciiTheme="majorHAnsi" w:eastAsiaTheme="majorEastAsia" w:hAnsiTheme="majorHAnsi" w:cstheme="majorBidi"/>
      <w:color w:val="0B474D"/>
      <w:sz w:val="26"/>
      <w:szCs w:val="26"/>
    </w:rPr>
  </w:style>
  <w:style w:type="paragraph" w:styleId="Quote">
    <w:name w:val="Quote"/>
    <w:basedOn w:val="Normal"/>
    <w:next w:val="Normal"/>
    <w:link w:val="QuoteChar"/>
    <w:uiPriority w:val="29"/>
    <w:qFormat/>
    <w:rsid w:val="00171757"/>
    <w:pPr>
      <w:pBdr>
        <w:top w:val="single" w:sz="4" w:space="6" w:color="15659B" w:themeColor="accent4"/>
        <w:bottom w:val="single" w:sz="4" w:space="6" w:color="15659B" w:themeColor="accent4"/>
      </w:pBdr>
      <w:spacing w:before="240" w:after="240"/>
      <w:ind w:right="2835"/>
    </w:pPr>
    <w:rPr>
      <w:iCs/>
      <w:color w:val="000000" w:themeColor="text1"/>
      <w:sz w:val="22"/>
      <w:szCs w:val="24"/>
    </w:rPr>
  </w:style>
  <w:style w:type="character" w:customStyle="1" w:styleId="QuoteChar">
    <w:name w:val="Quote Char"/>
    <w:basedOn w:val="DefaultParagraphFont"/>
    <w:link w:val="Quote"/>
    <w:uiPriority w:val="29"/>
    <w:rsid w:val="00171757"/>
    <w:rPr>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List Paragraph1,Recommendation,List Paragraph11,Bullet point,NFP GP Bulleted List,L,bullet point list,1 heading,Bulleted Para,Bullet points,Content descriptions,Bullet Point,NAST Quote,FooterText,numbered,Paragraphe de liste1,列出段落,列出段落1"/>
    <w:basedOn w:val="Normal"/>
    <w:link w:val="ListParagraphChar"/>
    <w:uiPriority w:val="34"/>
    <w:qFormat/>
    <w:rsid w:val="00813E60"/>
    <w:pPr>
      <w:numPr>
        <w:numId w:val="1"/>
      </w:numPr>
      <w:spacing w:before="0"/>
      <w:ind w:left="284" w:hanging="284"/>
    </w:pPr>
  </w:style>
  <w:style w:type="character" w:styleId="Hyperlink">
    <w:name w:val="Hyperlink"/>
    <w:basedOn w:val="DefaultParagraphFont"/>
    <w:uiPriority w:val="99"/>
    <w:unhideWhenUsed/>
    <w:rsid w:val="0064021F"/>
    <w:rPr>
      <w:color w:val="0B474D"/>
      <w:u w:val="single"/>
    </w:rPr>
  </w:style>
  <w:style w:type="table" w:styleId="TableGrid">
    <w:name w:val="Table Grid"/>
    <w:aliases w:val="DISR plain Table 1"/>
    <w:basedOn w:val="TableNormal"/>
    <w:uiPriority w:val="39"/>
    <w:rsid w:val="0064021F"/>
    <w:pPr>
      <w:spacing w:after="1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777BC"/>
    <w:rPr>
      <w:b/>
      <w:iCs/>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43720A"/>
    <w:pPr>
      <w:spacing w:after="100"/>
    </w:pPr>
  </w:style>
  <w:style w:type="paragraph" w:styleId="TOC3">
    <w:name w:val="toc 3"/>
    <w:basedOn w:val="Normal"/>
    <w:next w:val="Normal"/>
    <w:autoRedefine/>
    <w:uiPriority w:val="39"/>
    <w:unhideWhenUsed/>
    <w:rsid w:val="0043720A"/>
    <w:pPr>
      <w:spacing w:after="100"/>
      <w:ind w:left="221"/>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93533" w:themeColor="accent2"/>
        <w:left w:val="single" w:sz="4" w:space="0" w:color="993533" w:themeColor="accent2"/>
        <w:bottom w:val="single" w:sz="4" w:space="0" w:color="993533" w:themeColor="accent2"/>
        <w:right w:val="single" w:sz="4" w:space="0" w:color="993533" w:themeColor="accent2"/>
      </w:tblBorders>
    </w:tblPr>
    <w:tblStylePr w:type="firstRow">
      <w:rPr>
        <w:b/>
        <w:bCs/>
        <w:color w:val="FFFFFF" w:themeColor="background1"/>
      </w:rPr>
      <w:tblPr/>
      <w:tcPr>
        <w:shd w:val="clear" w:color="auto" w:fill="993533" w:themeFill="accent2"/>
      </w:tcPr>
    </w:tblStylePr>
    <w:tblStylePr w:type="lastRow">
      <w:rPr>
        <w:b/>
        <w:bCs/>
      </w:rPr>
      <w:tblPr/>
      <w:tcPr>
        <w:tcBorders>
          <w:top w:val="double" w:sz="4" w:space="0" w:color="9935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3533" w:themeColor="accent2"/>
          <w:right w:val="single" w:sz="4" w:space="0" w:color="993533" w:themeColor="accent2"/>
        </w:tcBorders>
      </w:tcPr>
    </w:tblStylePr>
    <w:tblStylePr w:type="band1Horz">
      <w:tblPr/>
      <w:tcPr>
        <w:tcBorders>
          <w:top w:val="single" w:sz="4" w:space="0" w:color="993533" w:themeColor="accent2"/>
          <w:bottom w:val="single" w:sz="4" w:space="0" w:color="9935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3533" w:themeColor="accent2"/>
          <w:left w:val="nil"/>
        </w:tcBorders>
      </w:tcPr>
    </w:tblStylePr>
    <w:tblStylePr w:type="swCell">
      <w:tblPr/>
      <w:tcPr>
        <w:tcBorders>
          <w:top w:val="double" w:sz="4" w:space="0" w:color="993533"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00D3D1" w:themeColor="accent3"/>
        <w:left w:val="single" w:sz="4" w:space="0" w:color="00D3D1" w:themeColor="accent3"/>
        <w:bottom w:val="single" w:sz="4" w:space="0" w:color="00D3D1" w:themeColor="accent3"/>
        <w:right w:val="single" w:sz="4" w:space="0" w:color="00D3D1" w:themeColor="accent3"/>
      </w:tblBorders>
    </w:tblPr>
    <w:tblStylePr w:type="firstRow">
      <w:rPr>
        <w:b/>
        <w:bCs/>
        <w:color w:val="FFFFFF" w:themeColor="background1"/>
      </w:rPr>
      <w:tblPr/>
      <w:tcPr>
        <w:shd w:val="clear" w:color="auto" w:fill="00D3D1" w:themeFill="accent3"/>
      </w:tcPr>
    </w:tblStylePr>
    <w:tblStylePr w:type="lastRow">
      <w:rPr>
        <w:b/>
        <w:bCs/>
      </w:rPr>
      <w:tblPr/>
      <w:tcPr>
        <w:tcBorders>
          <w:top w:val="double" w:sz="4" w:space="0" w:color="00D3D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3D1" w:themeColor="accent3"/>
          <w:right w:val="single" w:sz="4" w:space="0" w:color="00D3D1" w:themeColor="accent3"/>
        </w:tcBorders>
      </w:tcPr>
    </w:tblStylePr>
    <w:tblStylePr w:type="band1Horz">
      <w:tblPr/>
      <w:tcPr>
        <w:tcBorders>
          <w:top w:val="single" w:sz="4" w:space="0" w:color="00D3D1" w:themeColor="accent3"/>
          <w:bottom w:val="single" w:sz="4" w:space="0" w:color="00D3D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3D1" w:themeColor="accent3"/>
          <w:left w:val="nil"/>
        </w:tcBorders>
      </w:tcPr>
    </w:tblStylePr>
    <w:tblStylePr w:type="swCell">
      <w:tblPr/>
      <w:tcPr>
        <w:tcBorders>
          <w:top w:val="double" w:sz="4" w:space="0" w:color="00D3D1" w:themeColor="accent3"/>
          <w:right w:val="nil"/>
        </w:tcBorders>
      </w:tcPr>
    </w:tblStylePr>
  </w:style>
  <w:style w:type="paragraph" w:styleId="IntenseQuote">
    <w:name w:val="Intense Quote"/>
    <w:basedOn w:val="Normal"/>
    <w:next w:val="Normal"/>
    <w:link w:val="IntenseQuoteChar"/>
    <w:uiPriority w:val="30"/>
    <w:qFormat/>
    <w:rsid w:val="000A75CB"/>
    <w:pPr>
      <w:pBdr>
        <w:top w:val="single" w:sz="4" w:space="6" w:color="15659B" w:themeColor="accent4"/>
        <w:bottom w:val="single" w:sz="4" w:space="6" w:color="15659B" w:themeColor="accent4"/>
      </w:pBdr>
      <w:spacing w:before="360" w:after="360"/>
      <w:ind w:right="2835"/>
      <w:jc w:val="center"/>
    </w:pPr>
    <w:rPr>
      <w:b/>
      <w:iCs/>
      <w:sz w:val="24"/>
    </w:rPr>
  </w:style>
  <w:style w:type="character" w:customStyle="1" w:styleId="IntenseQuoteChar">
    <w:name w:val="Intense Quote Char"/>
    <w:basedOn w:val="DefaultParagraphFont"/>
    <w:link w:val="IntenseQuote"/>
    <w:uiPriority w:val="30"/>
    <w:rsid w:val="000A75CB"/>
    <w:rPr>
      <w:b/>
      <w:iCs/>
      <w:sz w:val="24"/>
    </w:rPr>
  </w:style>
  <w:style w:type="paragraph" w:customStyle="1" w:styleId="Calloutbox">
    <w:name w:val="Call out box"/>
    <w:basedOn w:val="Normal"/>
    <w:qFormat/>
    <w:rsid w:val="00266F7C"/>
    <w:pPr>
      <w:pBdr>
        <w:top w:val="single" w:sz="4" w:space="6" w:color="E7E6E6" w:themeColor="background2"/>
        <w:left w:val="single" w:sz="4" w:space="4" w:color="E7E6E6" w:themeColor="background2"/>
        <w:bottom w:val="single" w:sz="4" w:space="6" w:color="E7E6E6" w:themeColor="background2"/>
        <w:right w:val="single" w:sz="4" w:space="4" w:color="E7E6E6" w:themeColor="background2"/>
      </w:pBdr>
      <w:shd w:val="clear" w:color="auto" w:fill="E7E6E6" w:themeFill="background2"/>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D17675" w:themeColor="accent2" w:themeTint="99"/>
        <w:left w:val="single" w:sz="4" w:space="0" w:color="D17675" w:themeColor="accent2" w:themeTint="99"/>
        <w:bottom w:val="single" w:sz="4" w:space="0" w:color="D17675" w:themeColor="accent2" w:themeTint="99"/>
        <w:right w:val="single" w:sz="4" w:space="0" w:color="D17675" w:themeColor="accent2" w:themeTint="99"/>
        <w:insideH w:val="single" w:sz="4" w:space="0" w:color="D17675" w:themeColor="accent2" w:themeTint="99"/>
        <w:insideV w:val="single" w:sz="4" w:space="0" w:color="D17675" w:themeColor="accent2" w:themeTint="99"/>
      </w:tblBorders>
    </w:tblPr>
    <w:tblStylePr w:type="firstRow">
      <w:rPr>
        <w:b/>
        <w:bCs/>
        <w:color w:val="FFFFFF" w:themeColor="background1"/>
      </w:rPr>
      <w:tblPr/>
      <w:tcPr>
        <w:tcBorders>
          <w:top w:val="single" w:sz="4" w:space="0" w:color="993533" w:themeColor="accent2"/>
          <w:left w:val="single" w:sz="4" w:space="0" w:color="993533" w:themeColor="accent2"/>
          <w:bottom w:val="single" w:sz="4" w:space="0" w:color="993533" w:themeColor="accent2"/>
          <w:right w:val="single" w:sz="4" w:space="0" w:color="993533" w:themeColor="accent2"/>
          <w:insideH w:val="nil"/>
          <w:insideV w:val="nil"/>
        </w:tcBorders>
        <w:shd w:val="clear" w:color="auto" w:fill="993533" w:themeFill="accent2"/>
      </w:tcPr>
    </w:tblStylePr>
    <w:tblStylePr w:type="lastRow">
      <w:rPr>
        <w:b/>
        <w:bCs/>
      </w:rPr>
      <w:tblPr/>
      <w:tcPr>
        <w:tcBorders>
          <w:top w:val="double" w:sz="4" w:space="0" w:color="993533" w:themeColor="accent2"/>
        </w:tcBorders>
      </w:tcPr>
    </w:tblStylePr>
    <w:tblStylePr w:type="firstCol">
      <w:rPr>
        <w:b/>
        <w:bCs/>
      </w:rPr>
    </w:tblStylePr>
    <w:tblStylePr w:type="lastCol">
      <w:rPr>
        <w:b/>
        <w:bCs/>
      </w:rPr>
    </w:tblStylePr>
    <w:tblStylePr w:type="band1Vert">
      <w:tblPr/>
      <w:tcPr>
        <w:shd w:val="clear" w:color="auto" w:fill="EFD1D1" w:themeFill="accent2" w:themeFillTint="33"/>
      </w:tcPr>
    </w:tblStylePr>
    <w:tblStylePr w:type="band1Horz">
      <w:tblPr/>
      <w:tcPr>
        <w:shd w:val="clear" w:color="auto" w:fill="EFD1D1"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E0A4A3" w:themeColor="accent2" w:themeTint="66"/>
        <w:left w:val="single" w:sz="4" w:space="0" w:color="E0A4A3" w:themeColor="accent2" w:themeTint="66"/>
        <w:bottom w:val="single" w:sz="4" w:space="0" w:color="E0A4A3" w:themeColor="accent2" w:themeTint="66"/>
        <w:right w:val="single" w:sz="4" w:space="0" w:color="E0A4A3" w:themeColor="accent2" w:themeTint="66"/>
        <w:insideH w:val="single" w:sz="4" w:space="0" w:color="E0A4A3" w:themeColor="accent2" w:themeTint="66"/>
        <w:insideV w:val="single" w:sz="4" w:space="0" w:color="E0A4A3" w:themeColor="accent2" w:themeTint="66"/>
      </w:tblBorders>
    </w:tblPr>
    <w:tblStylePr w:type="firstRow">
      <w:rPr>
        <w:b/>
        <w:bCs/>
      </w:rPr>
      <w:tblPr/>
      <w:tcPr>
        <w:tcBorders>
          <w:bottom w:val="single" w:sz="12" w:space="0" w:color="D17675" w:themeColor="accent2" w:themeTint="99"/>
        </w:tcBorders>
      </w:tcPr>
    </w:tblStylePr>
    <w:tblStylePr w:type="lastRow">
      <w:rPr>
        <w:b/>
        <w:bCs/>
      </w:rPr>
      <w:tblPr/>
      <w:tcPr>
        <w:tcBorders>
          <w:top w:val="double" w:sz="2" w:space="0" w:color="D17675"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D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B3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B3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B3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B35" w:themeFill="accent1"/>
      </w:tcPr>
    </w:tblStylePr>
    <w:tblStylePr w:type="band1Vert">
      <w:tblPr/>
      <w:tcPr>
        <w:shd w:val="clear" w:color="auto" w:fill="48A4FF" w:themeFill="accent1" w:themeFillTint="66"/>
      </w:tcPr>
    </w:tblStylePr>
    <w:tblStylePr w:type="band1Horz">
      <w:tblPr/>
      <w:tcPr>
        <w:shd w:val="clear" w:color="auto" w:fill="48A4FF"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0077EB" w:themeColor="accent1" w:themeTint="99"/>
        <w:left w:val="single" w:sz="4" w:space="0" w:color="0077EB" w:themeColor="accent1" w:themeTint="99"/>
        <w:bottom w:val="single" w:sz="4" w:space="0" w:color="0077EB" w:themeColor="accent1" w:themeTint="99"/>
        <w:right w:val="single" w:sz="4" w:space="0" w:color="0077EB" w:themeColor="accent1" w:themeTint="99"/>
        <w:insideH w:val="single" w:sz="4" w:space="0" w:color="0077EB" w:themeColor="accent1" w:themeTint="99"/>
        <w:insideV w:val="single" w:sz="4" w:space="0" w:color="0077EB" w:themeColor="accent1" w:themeTint="99"/>
      </w:tblBorders>
    </w:tblPr>
    <w:tblStylePr w:type="firstRow">
      <w:rPr>
        <w:b/>
        <w:bCs/>
        <w:color w:val="FFFFFF" w:themeColor="background1"/>
      </w:rPr>
      <w:tblPr/>
      <w:tcPr>
        <w:shd w:val="clear" w:color="auto" w:fill="001427" w:themeFill="accent1" w:themeFillShade="BF"/>
      </w:tcPr>
    </w:tblStylePr>
    <w:tblStylePr w:type="lastRow">
      <w:rPr>
        <w:b/>
        <w:bCs/>
      </w:rPr>
      <w:tblPr/>
      <w:tcPr>
        <w:tcBorders>
          <w:top w:val="double" w:sz="4" w:space="0" w:color="001B35" w:themeColor="accent1"/>
        </w:tcBorders>
      </w:tcPr>
    </w:tblStylePr>
    <w:tblStylePr w:type="firstCol">
      <w:rPr>
        <w:b/>
        <w:bCs/>
      </w:rPr>
    </w:tblStylePr>
    <w:tblStylePr w:type="lastCol">
      <w:rPr>
        <w:b/>
        <w:bCs/>
      </w:rPr>
    </w:tblStylePr>
    <w:tblStylePr w:type="band1Vert">
      <w:tblPr/>
      <w:tcPr>
        <w:shd w:val="clear" w:color="auto" w:fill="A3D1FF" w:themeFill="accent1" w:themeFillTint="33"/>
      </w:tcPr>
    </w:tblStylePr>
    <w:tblStylePr w:type="band1Horz">
      <w:tblPr/>
      <w:tcPr>
        <w:shd w:val="clear" w:color="auto" w:fill="A3D1FF"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EFFDB9" w:themeColor="accent5" w:themeTint="99"/>
        <w:left w:val="single" w:sz="4" w:space="0" w:color="EFFDB9" w:themeColor="accent5" w:themeTint="99"/>
        <w:bottom w:val="single" w:sz="4" w:space="0" w:color="EFFDB9" w:themeColor="accent5" w:themeTint="99"/>
        <w:right w:val="single" w:sz="4" w:space="0" w:color="EFFDB9" w:themeColor="accent5" w:themeTint="99"/>
        <w:insideH w:val="single" w:sz="4" w:space="0" w:color="EFFDB9" w:themeColor="accent5" w:themeTint="99"/>
        <w:insideV w:val="single" w:sz="4" w:space="0" w:color="EFFDB9" w:themeColor="accent5" w:themeTint="99"/>
      </w:tblBorders>
    </w:tblPr>
    <w:tblStylePr w:type="firstRow">
      <w:rPr>
        <w:b/>
        <w:bCs/>
        <w:color w:val="FFFFFF" w:themeColor="background1"/>
      </w:rPr>
      <w:tblPr/>
      <w:tcPr>
        <w:tcBorders>
          <w:top w:val="single" w:sz="4" w:space="0" w:color="E5FD8C" w:themeColor="accent5"/>
          <w:left w:val="single" w:sz="4" w:space="0" w:color="E5FD8C" w:themeColor="accent5"/>
          <w:bottom w:val="single" w:sz="4" w:space="0" w:color="E5FD8C" w:themeColor="accent5"/>
          <w:right w:val="single" w:sz="4" w:space="0" w:color="E5FD8C" w:themeColor="accent5"/>
          <w:insideH w:val="nil"/>
          <w:insideV w:val="nil"/>
        </w:tcBorders>
        <w:shd w:val="clear" w:color="auto" w:fill="E5FD8C" w:themeFill="accent5"/>
      </w:tcPr>
    </w:tblStylePr>
    <w:tblStylePr w:type="lastRow">
      <w:rPr>
        <w:b/>
        <w:bCs/>
      </w:rPr>
      <w:tblPr/>
      <w:tcPr>
        <w:tcBorders>
          <w:top w:val="double" w:sz="4" w:space="0" w:color="E5FD8C" w:themeColor="accent5"/>
        </w:tcBorders>
      </w:tcPr>
    </w:tblStylePr>
    <w:tblStylePr w:type="firstCol">
      <w:rPr>
        <w:b/>
        <w:bCs/>
      </w:rPr>
    </w:tblStylePr>
    <w:tblStylePr w:type="lastCol">
      <w:rPr>
        <w:b/>
        <w:bCs/>
      </w:rPr>
    </w:tblStylePr>
    <w:tblStylePr w:type="band1Vert">
      <w:tblPr/>
      <w:tcPr>
        <w:shd w:val="clear" w:color="auto" w:fill="F9FEE7" w:themeFill="accent5" w:themeFillTint="33"/>
      </w:tcPr>
    </w:tblStylePr>
    <w:tblStylePr w:type="band1Horz">
      <w:tblPr/>
      <w:tcPr>
        <w:shd w:val="clear" w:color="auto" w:fill="F9FEE7" w:themeFill="accent5" w:themeFillTint="33"/>
      </w:tcPr>
    </w:tblStylePr>
  </w:style>
  <w:style w:type="table" w:styleId="GridTable4-Accent4">
    <w:name w:val="Grid Table 4 Accent 4"/>
    <w:aliases w:val="DISR banded - Table 2"/>
    <w:basedOn w:val="TableNormal"/>
    <w:uiPriority w:val="49"/>
    <w:rsid w:val="005777BC"/>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firstRow">
      <w:rPr>
        <w:b/>
        <w:bCs/>
        <w:color w:val="FFFFFF" w:themeColor="background1"/>
      </w:rPr>
      <w:tblPr/>
      <w:tcPr>
        <w:tcBorders>
          <w:top w:val="single" w:sz="4" w:space="0" w:color="15659B" w:themeColor="accent4"/>
          <w:left w:val="single" w:sz="4" w:space="0" w:color="15659B" w:themeColor="accent4"/>
          <w:bottom w:val="single" w:sz="4" w:space="0" w:color="15659B" w:themeColor="accent4"/>
          <w:right w:val="single" w:sz="4" w:space="0" w:color="15659B" w:themeColor="accent4"/>
          <w:insideH w:val="nil"/>
          <w:insideV w:val="nil"/>
        </w:tcBorders>
        <w:shd w:val="clear" w:color="auto" w:fill="15659B" w:themeFill="accent4"/>
      </w:tcPr>
    </w:tblStylePr>
    <w:tblStylePr w:type="lastRow">
      <w:rPr>
        <w:b/>
        <w:bCs/>
      </w:rPr>
      <w:tblPr/>
      <w:tcPr>
        <w:tcBorders>
          <w:top w:val="single" w:sz="18" w:space="0" w:color="15659B" w:themeColor="accent4"/>
        </w:tcBorders>
      </w:tcPr>
    </w:tblStylePr>
    <w:tblStylePr w:type="firstCol">
      <w:rPr>
        <w:b/>
        <w:bCs/>
      </w:rPr>
    </w:tblStylePr>
    <w:tblStylePr w:type="lastCol">
      <w:rPr>
        <w:b/>
        <w:bCs/>
      </w:rPr>
    </w:tblStylePr>
    <w:tblStylePr w:type="band1Vert">
      <w:tblPr/>
      <w:tcPr>
        <w:shd w:val="clear" w:color="auto" w:fill="C4E2F7" w:themeFill="accent4" w:themeFillTint="33"/>
      </w:tcPr>
    </w:tblStylePr>
    <w:tblStylePr w:type="band1Horz">
      <w:tblPr/>
      <w:tcPr>
        <w:shd w:val="clear" w:color="auto" w:fill="E7E6E6" w:themeFill="background2"/>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4BFFFC" w:themeColor="accent3" w:themeTint="99"/>
        <w:left w:val="single" w:sz="4" w:space="0" w:color="4BFFFC" w:themeColor="accent3" w:themeTint="99"/>
        <w:bottom w:val="single" w:sz="4" w:space="0" w:color="4BFFFC" w:themeColor="accent3" w:themeTint="99"/>
        <w:right w:val="single" w:sz="4" w:space="0" w:color="4BFFFC" w:themeColor="accent3" w:themeTint="99"/>
        <w:insideH w:val="single" w:sz="4" w:space="0" w:color="4BFFFC" w:themeColor="accent3" w:themeTint="99"/>
        <w:insideV w:val="single" w:sz="4" w:space="0" w:color="4BFFFC" w:themeColor="accent3" w:themeTint="99"/>
      </w:tblBorders>
    </w:tblPr>
    <w:tblStylePr w:type="firstRow">
      <w:rPr>
        <w:b/>
        <w:bCs/>
        <w:color w:val="FFFFFF" w:themeColor="background1"/>
      </w:rPr>
      <w:tblPr/>
      <w:tcPr>
        <w:tcBorders>
          <w:top w:val="single" w:sz="4" w:space="0" w:color="00D3D1" w:themeColor="accent3"/>
          <w:left w:val="single" w:sz="4" w:space="0" w:color="00D3D1" w:themeColor="accent3"/>
          <w:bottom w:val="single" w:sz="4" w:space="0" w:color="00D3D1" w:themeColor="accent3"/>
          <w:right w:val="single" w:sz="4" w:space="0" w:color="00D3D1" w:themeColor="accent3"/>
          <w:insideH w:val="nil"/>
          <w:insideV w:val="nil"/>
        </w:tcBorders>
        <w:shd w:val="clear" w:color="auto" w:fill="00D3D1" w:themeFill="accent3"/>
      </w:tcPr>
    </w:tblStylePr>
    <w:tblStylePr w:type="lastRow">
      <w:rPr>
        <w:b/>
        <w:bCs/>
      </w:rPr>
      <w:tblPr/>
      <w:tcPr>
        <w:tcBorders>
          <w:top w:val="double" w:sz="4" w:space="0" w:color="00D3D1" w:themeColor="accent3"/>
        </w:tcBorders>
      </w:tcPr>
    </w:tblStylePr>
    <w:tblStylePr w:type="firstCol">
      <w:rPr>
        <w:b/>
        <w:bCs/>
      </w:rPr>
    </w:tblStylePr>
    <w:tblStylePr w:type="lastCol">
      <w:rPr>
        <w:b/>
        <w:bCs/>
      </w:rPr>
    </w:tblStylePr>
    <w:tblStylePr w:type="band1Vert">
      <w:tblPr/>
      <w:tcPr>
        <w:shd w:val="clear" w:color="auto" w:fill="C3FFFE" w:themeFill="accent3" w:themeFillTint="33"/>
      </w:tcPr>
    </w:tblStylePr>
    <w:tblStylePr w:type="band1Horz">
      <w:tblPr/>
      <w:tcPr>
        <w:shd w:val="clear" w:color="auto" w:fill="C3FFFE"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E7E6E6" w:themeColor="background2"/>
      <w:sz w:val="40"/>
      <w:szCs w:val="40"/>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b/>
      <w:iCs/>
      <w:color w:val="001B35" w:themeColor="accent1"/>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31654A"/>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tblBorders>
    </w:tblPr>
    <w:tblStylePr w:type="firstRow">
      <w:rPr>
        <w:b/>
        <w:bCs/>
        <w:color w:val="FFFFFF" w:themeColor="background1"/>
      </w:rPr>
      <w:tblPr/>
      <w:tcPr>
        <w:shd w:val="clear" w:color="auto" w:fill="15659B" w:themeFill="accent4"/>
      </w:tcPr>
    </w:tblStylePr>
    <w:tblStylePr w:type="lastRow">
      <w:rPr>
        <w:b/>
        <w:bCs/>
      </w:rPr>
      <w:tblPr/>
      <w:tcPr>
        <w:tcBorders>
          <w:top w:val="double" w:sz="4" w:space="0" w:color="1565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59B" w:themeColor="accent4"/>
          <w:right w:val="single" w:sz="4" w:space="0" w:color="15659B" w:themeColor="accent4"/>
        </w:tcBorders>
      </w:tcPr>
    </w:tblStylePr>
    <w:tblStylePr w:type="band1Horz">
      <w:tblPr/>
      <w:tcPr>
        <w:tcBorders>
          <w:top w:val="single" w:sz="4" w:space="0" w:color="15659B" w:themeColor="accent4"/>
          <w:bottom w:val="single" w:sz="4" w:space="0" w:color="1565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59B" w:themeColor="accent4"/>
          <w:left w:val="nil"/>
        </w:tcBorders>
      </w:tcPr>
    </w:tblStylePr>
    <w:tblStylePr w:type="swCell">
      <w:tblPr/>
      <w:tcPr>
        <w:tcBorders>
          <w:top w:val="double" w:sz="4" w:space="0" w:color="15659B" w:themeColor="accent4"/>
          <w:right w:val="nil"/>
        </w:tcBorders>
      </w:tc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unhideWhenUsed/>
    <w:rsid w:val="00703734"/>
    <w:pPr>
      <w:numPr>
        <w:numId w:val="4"/>
      </w:numPr>
      <w:ind w:left="567" w:hanging="567"/>
      <w:contextualSpacing/>
    </w:pPr>
  </w:style>
  <w:style w:type="paragraph" w:styleId="ListBullet2">
    <w:name w:val="List Bullet 2"/>
    <w:basedOn w:val="Normal"/>
    <w:uiPriority w:val="99"/>
    <w:semiHidden/>
    <w:unhideWhenUsed/>
    <w:rsid w:val="00703734"/>
    <w:pPr>
      <w:numPr>
        <w:numId w:val="5"/>
      </w:numPr>
      <w:ind w:left="567" w:hanging="567"/>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paragraph" w:styleId="Title">
    <w:name w:val="Title"/>
    <w:basedOn w:val="Normal"/>
    <w:next w:val="Normal"/>
    <w:link w:val="TitleChar"/>
    <w:uiPriority w:val="10"/>
    <w:qFormat/>
    <w:rsid w:val="0066416C"/>
    <w:pPr>
      <w:contextualSpacing/>
      <w:outlineLvl w:val="0"/>
    </w:pPr>
    <w:rPr>
      <w:rFonts w:asciiTheme="majorHAnsi" w:eastAsiaTheme="majorEastAsia" w:hAnsiTheme="majorHAnsi" w:cstheme="majorBidi"/>
      <w:color w:val="001B35" w:themeColor="accent1"/>
      <w:spacing w:val="-10"/>
      <w:kern w:val="28"/>
      <w:sz w:val="72"/>
      <w:szCs w:val="72"/>
    </w:rPr>
  </w:style>
  <w:style w:type="character" w:customStyle="1" w:styleId="TitleChar">
    <w:name w:val="Title Char"/>
    <w:basedOn w:val="DefaultParagraphFont"/>
    <w:link w:val="Title"/>
    <w:uiPriority w:val="10"/>
    <w:rsid w:val="0066416C"/>
    <w:rPr>
      <w:rFonts w:asciiTheme="majorHAnsi" w:eastAsiaTheme="majorEastAsia" w:hAnsiTheme="majorHAnsi" w:cstheme="majorBidi"/>
      <w:color w:val="001B35" w:themeColor="accent1"/>
      <w:spacing w:val="-10"/>
      <w:kern w:val="28"/>
      <w:sz w:val="72"/>
      <w:szCs w:val="72"/>
    </w:rPr>
  </w:style>
  <w:style w:type="paragraph" w:styleId="NormalWeb">
    <w:name w:val="Normal (Web)"/>
    <w:basedOn w:val="Normal"/>
    <w:uiPriority w:val="99"/>
    <w:semiHidden/>
    <w:unhideWhenUsed/>
    <w:rsid w:val="00BA0B22"/>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AD473E"/>
    <w:pPr>
      <w:spacing w:after="0" w:line="240" w:lineRule="auto"/>
    </w:pPr>
    <w:rPr>
      <w:sz w:val="20"/>
    </w:rPr>
  </w:style>
  <w:style w:type="character" w:customStyle="1" w:styleId="cf01">
    <w:name w:val="cf01"/>
    <w:basedOn w:val="DefaultParagraphFont"/>
    <w:rsid w:val="00B9099B"/>
    <w:rPr>
      <w:rFonts w:ascii="Segoe UI" w:hAnsi="Segoe UI" w:cs="Segoe UI" w:hint="default"/>
      <w:sz w:val="18"/>
      <w:szCs w:val="18"/>
    </w:rPr>
  </w:style>
  <w:style w:type="character" w:customStyle="1" w:styleId="cf11">
    <w:name w:val="cf11"/>
    <w:basedOn w:val="DefaultParagraphFont"/>
    <w:rsid w:val="002A3E55"/>
    <w:rPr>
      <w:rFonts w:ascii="Segoe UI" w:hAnsi="Segoe UI" w:cs="Segoe UI" w:hint="default"/>
      <w:sz w:val="18"/>
      <w:szCs w:val="18"/>
    </w:rPr>
  </w:style>
  <w:style w:type="paragraph" w:styleId="BodyText">
    <w:name w:val="Body Text"/>
    <w:basedOn w:val="Normal"/>
    <w:link w:val="BodyTextChar"/>
    <w:unhideWhenUsed/>
    <w:qFormat/>
    <w:rsid w:val="00BA6DFB"/>
  </w:style>
  <w:style w:type="character" w:customStyle="1" w:styleId="BodyTextChar">
    <w:name w:val="Body Text Char"/>
    <w:basedOn w:val="DefaultParagraphFont"/>
    <w:link w:val="BodyText"/>
    <w:rsid w:val="00BA6DFB"/>
    <w:rPr>
      <w:sz w:val="20"/>
    </w:rPr>
  </w:style>
  <w:style w:type="character" w:customStyle="1" w:styleId="ListParagraphChar">
    <w:name w:val="List Paragraph Char"/>
    <w:aliases w:val="List Paragraph1 Char,Recommendation Char,List Paragraph11 Char,Bullet point Char,NFP GP Bulleted List Char,L Char,bullet point list Char,1 heading Char,Bulleted Para Char,Bullet points Char,Content descriptions Char,Bullet Point Char"/>
    <w:link w:val="ListParagraph"/>
    <w:uiPriority w:val="34"/>
    <w:qFormat/>
    <w:rsid w:val="00813E60"/>
    <w:rPr>
      <w:sz w:val="20"/>
    </w:rPr>
  </w:style>
  <w:style w:type="character" w:customStyle="1" w:styleId="ui-provider">
    <w:name w:val="ui-provider"/>
    <w:basedOn w:val="DefaultParagraphFont"/>
    <w:rsid w:val="00E27DE6"/>
  </w:style>
  <w:style w:type="paragraph" w:customStyle="1" w:styleId="Highlightsentence">
    <w:name w:val="Highlight sentence"/>
    <w:basedOn w:val="Normal"/>
    <w:qFormat/>
    <w:rsid w:val="0064021F"/>
    <w:pPr>
      <w:pBdr>
        <w:left w:val="single" w:sz="12" w:space="4" w:color="D6E271"/>
      </w:pBdr>
      <w:spacing w:before="240" w:after="240"/>
      <w:ind w:left="113"/>
    </w:pPr>
    <w:rPr>
      <w:color w:val="1F7D7B"/>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818889168">
      <w:bodyDiv w:val="1"/>
      <w:marLeft w:val="0"/>
      <w:marRight w:val="0"/>
      <w:marTop w:val="0"/>
      <w:marBottom w:val="0"/>
      <w:divBdr>
        <w:top w:val="none" w:sz="0" w:space="0" w:color="auto"/>
        <w:left w:val="none" w:sz="0" w:space="0" w:color="auto"/>
        <w:bottom w:val="none" w:sz="0" w:space="0" w:color="auto"/>
        <w:right w:val="none" w:sz="0" w:space="0" w:color="auto"/>
      </w:divBdr>
      <w:divsChild>
        <w:div w:id="1014235431">
          <w:marLeft w:val="0"/>
          <w:marRight w:val="0"/>
          <w:marTop w:val="0"/>
          <w:marBottom w:val="336"/>
          <w:divBdr>
            <w:top w:val="none" w:sz="0" w:space="0" w:color="auto"/>
            <w:left w:val="none" w:sz="0" w:space="0" w:color="auto"/>
            <w:bottom w:val="none" w:sz="0" w:space="0" w:color="auto"/>
            <w:right w:val="none" w:sz="0" w:space="0" w:color="auto"/>
          </w:divBdr>
        </w:div>
      </w:divsChild>
    </w:div>
    <w:div w:id="893397003">
      <w:bodyDiv w:val="1"/>
      <w:marLeft w:val="0"/>
      <w:marRight w:val="0"/>
      <w:marTop w:val="0"/>
      <w:marBottom w:val="0"/>
      <w:divBdr>
        <w:top w:val="none" w:sz="0" w:space="0" w:color="auto"/>
        <w:left w:val="none" w:sz="0" w:space="0" w:color="auto"/>
        <w:bottom w:val="none" w:sz="0" w:space="0" w:color="auto"/>
        <w:right w:val="none" w:sz="0" w:space="0" w:color="auto"/>
      </w:divBdr>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29977586">
      <w:bodyDiv w:val="1"/>
      <w:marLeft w:val="0"/>
      <w:marRight w:val="0"/>
      <w:marTop w:val="0"/>
      <w:marBottom w:val="0"/>
      <w:divBdr>
        <w:top w:val="none" w:sz="0" w:space="0" w:color="auto"/>
        <w:left w:val="none" w:sz="0" w:space="0" w:color="auto"/>
        <w:bottom w:val="none" w:sz="0" w:space="0" w:color="auto"/>
        <w:right w:val="none" w:sz="0" w:space="0" w:color="auto"/>
      </w:divBdr>
    </w:div>
    <w:div w:id="1575314092">
      <w:bodyDiv w:val="1"/>
      <w:marLeft w:val="0"/>
      <w:marRight w:val="0"/>
      <w:marTop w:val="0"/>
      <w:marBottom w:val="0"/>
      <w:divBdr>
        <w:top w:val="none" w:sz="0" w:space="0" w:color="auto"/>
        <w:left w:val="none" w:sz="0" w:space="0" w:color="auto"/>
        <w:bottom w:val="none" w:sz="0" w:space="0" w:color="auto"/>
        <w:right w:val="none" w:sz="0" w:space="0" w:color="auto"/>
      </w:divBdr>
    </w:div>
    <w:div w:id="1776055991">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847742109">
      <w:bodyDiv w:val="1"/>
      <w:marLeft w:val="0"/>
      <w:marRight w:val="0"/>
      <w:marTop w:val="0"/>
      <w:marBottom w:val="0"/>
      <w:divBdr>
        <w:top w:val="none" w:sz="0" w:space="0" w:color="auto"/>
        <w:left w:val="none" w:sz="0" w:space="0" w:color="auto"/>
        <w:bottom w:val="none" w:sz="0" w:space="0" w:color="auto"/>
        <w:right w:val="none" w:sz="0" w:space="0" w:color="auto"/>
      </w:divBdr>
    </w:div>
    <w:div w:id="1975211728">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cid:image001.png@01DA9FD9.543303C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image" Target="media/image4.gi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reativecommons.org/licenses/by/4.0/"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cid:18f3d5bad97f62bf9751"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5C7377A15147AFB8D089BC7A0E3E2C"/>
        <w:category>
          <w:name w:val="General"/>
          <w:gallery w:val="placeholder"/>
        </w:category>
        <w:types>
          <w:type w:val="bbPlcHdr"/>
        </w:types>
        <w:behaviors>
          <w:behavior w:val="content"/>
        </w:behaviors>
        <w:guid w:val="{9585B650-2419-4C49-8581-92CC27D13571}"/>
      </w:docPartPr>
      <w:docPartBody>
        <w:p w:rsidR="0023068C" w:rsidRDefault="0023068C" w:rsidP="0023068C">
          <w:pPr>
            <w:pStyle w:val="E55C7377A15147AFB8D089BC7A0E3E2C"/>
          </w:pPr>
          <w:r w:rsidRPr="00DB39DE">
            <w:rPr>
              <w:rStyle w:val="PlaceholderText"/>
            </w:rPr>
            <w:t>[Title]</w:t>
          </w:r>
        </w:p>
      </w:docPartBody>
    </w:docPart>
    <w:docPart>
      <w:docPartPr>
        <w:name w:val="9F4D7BC258EE4E2E9984C6C023DD533E"/>
        <w:category>
          <w:name w:val="General"/>
          <w:gallery w:val="placeholder"/>
        </w:category>
        <w:types>
          <w:type w:val="bbPlcHdr"/>
        </w:types>
        <w:behaviors>
          <w:behavior w:val="content"/>
        </w:behaviors>
        <w:guid w:val="{A2C838C0-CF52-4544-A6E3-EE921500E520}"/>
      </w:docPartPr>
      <w:docPartBody>
        <w:p w:rsidR="0023068C" w:rsidRDefault="0023068C" w:rsidP="0023068C">
          <w:pPr>
            <w:pStyle w:val="9F4D7BC258EE4E2E9984C6C023DD533E"/>
          </w:pPr>
          <w:r w:rsidRPr="00DB39DE">
            <w:rPr>
              <w:rStyle w:val="PlaceholderText"/>
            </w:rPr>
            <w:t>[Title]</w:t>
          </w:r>
        </w:p>
      </w:docPartBody>
    </w:docPart>
    <w:docPart>
      <w:docPartPr>
        <w:name w:val="C7ABEE8D138F416582797B3DC541DC39"/>
        <w:category>
          <w:name w:val="General"/>
          <w:gallery w:val="placeholder"/>
        </w:category>
        <w:types>
          <w:type w:val="bbPlcHdr"/>
        </w:types>
        <w:behaviors>
          <w:behavior w:val="content"/>
        </w:behaviors>
        <w:guid w:val="{F53B5872-B2C0-44E1-B4F9-2DE05A9B58D3}"/>
      </w:docPartPr>
      <w:docPartBody>
        <w:p w:rsidR="0073772E" w:rsidRDefault="0073772E" w:rsidP="0073772E">
          <w:pPr>
            <w:pStyle w:val="C7ABEE8D138F416582797B3DC541DC39"/>
          </w:pPr>
          <w:r w:rsidRPr="00DB39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1EA"/>
    <w:rsid w:val="001F6497"/>
    <w:rsid w:val="0023068C"/>
    <w:rsid w:val="002A7988"/>
    <w:rsid w:val="00333DDF"/>
    <w:rsid w:val="005E5F58"/>
    <w:rsid w:val="0073772E"/>
    <w:rsid w:val="007E6AC5"/>
    <w:rsid w:val="008909F6"/>
    <w:rsid w:val="00A1686A"/>
    <w:rsid w:val="00C71CC8"/>
    <w:rsid w:val="00D831EA"/>
    <w:rsid w:val="00DA226F"/>
    <w:rsid w:val="00EB3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772E"/>
    <w:rPr>
      <w:color w:val="808080"/>
    </w:rPr>
  </w:style>
  <w:style w:type="paragraph" w:customStyle="1" w:styleId="E55C7377A15147AFB8D089BC7A0E3E2C">
    <w:name w:val="E55C7377A15147AFB8D089BC7A0E3E2C"/>
    <w:rsid w:val="0023068C"/>
  </w:style>
  <w:style w:type="paragraph" w:customStyle="1" w:styleId="9F4D7BC258EE4E2E9984C6C023DD533E">
    <w:name w:val="9F4D7BC258EE4E2E9984C6C023DD533E"/>
    <w:rsid w:val="0023068C"/>
  </w:style>
  <w:style w:type="paragraph" w:customStyle="1" w:styleId="C7ABEE8D138F416582797B3DC541DC39">
    <w:name w:val="C7ABEE8D138F416582797B3DC541DC39"/>
    <w:rsid w:val="007377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SR 2023">
      <a:dk1>
        <a:srgbClr val="000000"/>
      </a:dk1>
      <a:lt1>
        <a:sysClr val="window" lastClr="FFFFFF"/>
      </a:lt1>
      <a:dk2>
        <a:srgbClr val="095258"/>
      </a:dk2>
      <a:lt2>
        <a:srgbClr val="E7E6E6"/>
      </a:lt2>
      <a:accent1>
        <a:srgbClr val="001B35"/>
      </a:accent1>
      <a:accent2>
        <a:srgbClr val="993533"/>
      </a:accent2>
      <a:accent3>
        <a:srgbClr val="00D3D1"/>
      </a:accent3>
      <a:accent4>
        <a:srgbClr val="15659B"/>
      </a:accent4>
      <a:accent5>
        <a:srgbClr val="E5FD8C"/>
      </a:accent5>
      <a:accent6>
        <a:srgbClr val="B7E4F7"/>
      </a:accent6>
      <a:hlink>
        <a:srgbClr val="15659B"/>
      </a:hlink>
      <a:folHlink>
        <a:srgbClr val="954F72"/>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6BB3E1-D1B0-4995-8FCA-35C7E3312B43}">
  <we:reference id="8021f97c-8905-4693-9bcb-ecda41b4cf7b" version="1.0.1.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C986DFDE75994F940B8C539C91BA04" ma:contentTypeVersion="14" ma:contentTypeDescription="Create a new document." ma:contentTypeScope="" ma:versionID="bfc64f570e5a2ceb842a3b4b1c3e4921">
  <xsd:schema xmlns:xsd="http://www.w3.org/2001/XMLSchema" xmlns:xs="http://www.w3.org/2001/XMLSchema" xmlns:p="http://schemas.microsoft.com/office/2006/metadata/properties" xmlns:ns1="http://schemas.microsoft.com/sharepoint/v3" xmlns:ns2="a36bd50b-1532-4c22-b385-5c082c960938" xmlns:ns3="45b2e695-1792-485e-89e0-1e9284144441" xmlns:ns4="http://schemas.microsoft.com/sharepoint/v4" targetNamespace="http://schemas.microsoft.com/office/2006/metadata/properties" ma:root="true" ma:fieldsID="660147726623fb1a9b57194626704c84" ns1:_="" ns2:_="" ns3:_="" ns4:_="">
    <xsd:import namespace="http://schemas.microsoft.com/sharepoint/v3"/>
    <xsd:import namespace="a36bd50b-1532-4c22-b385-5c082c960938"/>
    <xsd:import namespace="45b2e695-1792-485e-89e0-1e928414444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fb05c7bd-122c-45c5-a4ff-f373218121b7}" ma:internalName="TaxCatchAll" ma:showField="CatchAllData" ma:web="45b2e695-1792-485e-89e0-1e928414444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11e0090-b7f1-4eb5-8270-2f011ad855c4"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b2e695-1792-485e-89e0-1e928414444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a36bd50b-1532-4c22-b385-5c082c960938">
      <Value>118</Value>
      <Value>1294</Value>
      <Value>1086</Value>
      <Value>36</Value>
      <Value>1421</Value>
    </TaxCatchAll>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Future Gas Strategy</TermName>
          <TermId xmlns="http://schemas.microsoft.com/office/infopath/2007/PartnerControls">ba1d4921-849d-4bc1-a086-0fd88dc3d0b8</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Pamphlet</TermName>
          <TermId xmlns="http://schemas.microsoft.com/office/infopath/2007/PartnerControls">bdf90c0f-5c0a-4e20-b16e-7cc0520c31b3</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PROTECTED</TermName>
          <TermId xmlns="http://schemas.microsoft.com/office/infopath/2007/PartnerControls">1f93d6e9-ce72-494e-aefd-be45817cd598</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cd41d649-1e1a-44f5-b99b-946d42ce56d6</TermId>
        </TermInfo>
      </Terms>
    </g7bcb40ba23249a78edca7d43a67c1c9>
    <Comments xmlns="http://schemas.microsoft.com/sharepoint/v3" xsi:nil="true"/>
  </documentManagement>
</p:properties>
</file>

<file path=customXml/itemProps1.xml><?xml version="1.0" encoding="utf-8"?>
<ds:datastoreItem xmlns:ds="http://schemas.openxmlformats.org/officeDocument/2006/customXml" ds:itemID="{03346A24-1903-4A55-8284-F5C93CF88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45b2e695-1792-485e-89e0-1e928414444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5AE6EB-A8D4-4D9D-8D6C-A552C96C0E4C}">
  <ds:schemaRefs>
    <ds:schemaRef ds:uri="http://schemas.microsoft.com/sharepoint/v3/contenttype/forms"/>
  </ds:schemaRefs>
</ds:datastoreItem>
</file>

<file path=customXml/itemProps3.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customXml/itemProps4.xml><?xml version="1.0" encoding="utf-8"?>
<ds:datastoreItem xmlns:ds="http://schemas.openxmlformats.org/officeDocument/2006/customXml" ds:itemID="{A7044815-8FDC-4B02-A41B-DC9E3BBB68A4}">
  <ds:schemaRefs>
    <ds:schemaRef ds:uri="http://schemas.microsoft.com/sharepoint/events"/>
  </ds:schemaRefs>
</ds:datastoreItem>
</file>

<file path=customXml/itemProps5.xml><?xml version="1.0" encoding="utf-8"?>
<ds:datastoreItem xmlns:ds="http://schemas.openxmlformats.org/officeDocument/2006/customXml" ds:itemID="{297BCF5D-ECED-40B9-848C-61973DAC72C5}">
  <ds:schemaRefs>
    <ds:schemaRef ds:uri="http://purl.org/dc/elements/1.1/"/>
    <ds:schemaRef ds:uri="http://www.w3.org/XML/1998/namespace"/>
    <ds:schemaRef ds:uri="a36bd50b-1532-4c22-b385-5c082c960938"/>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schemas.microsoft.com/sharepoint/v4"/>
    <ds:schemaRef ds:uri="45b2e695-1792-485e-89e0-1e928414444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2675</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Future Gas Strategy</vt:lpstr>
    </vt:vector>
  </TitlesOfParts>
  <Manager/>
  <Company/>
  <LinksUpToDate>false</LinksUpToDate>
  <CharactersWithSpaces>17888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Gas Strategy</dc:title>
  <dc:subject/>
  <cp:keywords/>
  <dc:description/>
  <cp:lastPrinted>2024-05-06T22:51:00Z</cp:lastPrinted>
  <dcterms:created xsi:type="dcterms:W3CDTF">2024-05-08T05:10:00Z</dcterms:created>
  <dcterms:modified xsi:type="dcterms:W3CDTF">2024-05-09T02:32:00Z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0x0101005BC986DFDE75994F940B8C539C91BA04</vt:lpwstr>
  </property>
  <property fmtid="{D5CDD505-2E9C-101B-9397-08002B2CF9AE}" pid="3" name="MediaServiceImageTags">
    <vt:lpwstr/>
  </property>
  <property fmtid="{D5CDD505-2E9C-101B-9397-08002B2CF9AE}" pid="4" name="_dlc_DocIdItemGuid">
    <vt:lpwstr>553fb374-a08e-43d8-a260-50cb4cf18e4a</vt:lpwstr>
  </property>
  <property fmtid="{D5CDD505-2E9C-101B-9397-08002B2CF9AE}" pid="5" name="DocHub_Year">
    <vt:lpwstr>1421;#2024|a9509632-5de2-45f9-9fc7-c24df7848880</vt:lpwstr>
  </property>
  <property fmtid="{D5CDD505-2E9C-101B-9397-08002B2CF9AE}" pid="6" name="DocHub_DocumentType">
    <vt:lpwstr>1086;#Pamphlet|bdf90c0f-5c0a-4e20-b16e-7cc0520c31b3</vt:lpwstr>
  </property>
  <property fmtid="{D5CDD505-2E9C-101B-9397-08002B2CF9AE}" pid="7" name="DocHub_SecurityClassification">
    <vt:lpwstr>36;#PROTECTED|1f93d6e9-ce72-494e-aefd-be45817cd598</vt:lpwstr>
  </property>
  <property fmtid="{D5CDD505-2E9C-101B-9397-08002B2CF9AE}" pid="8" name="DocHub_Keywords">
    <vt:lpwstr>1294;#Future Gas Strategy|ba1d4921-849d-4bc1-a086-0fd88dc3d0b8</vt:lpwstr>
  </property>
  <property fmtid="{D5CDD505-2E9C-101B-9397-08002B2CF9AE}" pid="9" name="DocHub_WorkActivity">
    <vt:lpwstr>118;#Communication|cd41d649-1e1a-44f5-b99b-946d42ce56d6</vt:lpwstr>
  </property>
</Properties>
</file>